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RMClassLabel"/>
        <w:numPr>
          <w:ilvl w:val="0"/>
          <w:numId w:val="0"/>
        </w:numPr>
        <w:bidi w:val="0"/>
        <w:spacing w:before="240" w:after="120"/>
        <w:jc w:val="left"/>
        <w:outlineLvl w:val="1"/>
        <w:rPr/>
      </w:pPr>
      <w:r>
        <w:rPr>
          <w:rFonts w:eastAsia="Noto Sans CJK SC" w:cs="Lohit Devanagari"/>
          <w:b/>
          <w:sz w:val="20"/>
          <w:szCs w:val="28"/>
        </w:rPr>
        <w:t>Sxx</w:t>
      </w:r>
      <w:r>
        <w:rPr/>
        <w:t xml:space="preserve"> </w:t>
      </w:r>
      <w:r>
        <w:rPr>
          <w:rFonts w:eastAsia="Noto Sans CJK SC" w:cs="Lohit Devanagari"/>
          <w:b/>
          <w:sz w:val="20"/>
          <w:szCs w:val="28"/>
        </w:rPr>
        <w:t>Sample Splitting</w:t>
      </w:r>
    </w:p>
    <w:p>
      <w:pPr>
        <w:pStyle w:val="CRMDescriptionLabel"/>
        <w:bidi w:val="0"/>
        <w:spacing w:before="170" w:after="0"/>
        <w:jc w:val="left"/>
        <w:rPr/>
      </w:pPr>
      <w:r>
        <w:rPr/>
        <w:t>Su</w:t>
      </w:r>
      <w:r>
        <w:rPr>
          <w:sz w:val="20"/>
        </w:rPr>
        <w:t>b</w:t>
      </w:r>
      <w:r>
        <w:rPr/>
        <w:t>class of:</w:t>
      </w:r>
    </w:p>
    <w:p>
      <w:pPr>
        <w:pStyle w:val="CRMSuperSubClass"/>
        <w:bidi w:val="0"/>
        <w:jc w:val="left"/>
        <w:rPr>
          <w:rFonts w:ascii="Times New Roman" w:hAnsi="Times New Roman"/>
          <w:sz w:val="20"/>
        </w:rPr>
      </w:pPr>
      <w:r>
        <w:rPr>
          <w:sz w:val="20"/>
        </w:rPr>
        <w:t>S2 Sample Taking</w:t>
      </w:r>
    </w:p>
    <w:p>
      <w:pPr>
        <w:pStyle w:val="CRMDescriptionLabel"/>
        <w:bidi w:val="0"/>
        <w:spacing w:before="170" w:after="0"/>
        <w:jc w:val="left"/>
        <w:rPr/>
      </w:pPr>
      <w:r>
        <w:rPr/>
        <w:t>Scope note:</w:t>
      </w:r>
    </w:p>
    <w:p>
      <w:pPr>
        <w:pStyle w:val="CRMScopeNoteText"/>
        <w:bidi w:val="0"/>
        <w:jc w:val="left"/>
        <w:rPr/>
      </w:pPr>
      <w:r>
        <w:rPr/>
        <w:t xml:space="preserve">This class comprises </w:t>
      </w:r>
      <w:r>
        <w:rPr/>
        <w:t xml:space="preserve">the activity </w:t>
      </w:r>
      <w:r>
        <w:rPr/>
        <w:t>of div</w:t>
      </w:r>
      <w:r>
        <w:rPr/>
        <w:t>id</w:t>
      </w:r>
      <w:r>
        <w:rPr/>
        <w:t>ing an instance of S13 Sample into new instances of S13 Sample. This activity describes cases of sub-sampling where the resulting instance maintains the characteristic qualities of the original instance. Any observations of these qualities made on the new instance also apply to the original one. This class should be used to model cases of splitting a homogenous sample into multiple ones.</w:t>
      </w:r>
    </w:p>
    <w:p>
      <w:pPr>
        <w:pStyle w:val="CRMDescriptionLabel"/>
        <w:bidi w:val="0"/>
        <w:spacing w:before="170" w:after="0"/>
        <w:jc w:val="left"/>
        <w:rPr/>
      </w:pPr>
      <w:r>
        <w:rPr/>
        <w:t>Examples:</w:t>
      </w:r>
    </w:p>
    <w:p>
      <w:pPr>
        <w:pStyle w:val="CRMExample"/>
        <w:numPr>
          <w:ilvl w:val="0"/>
          <w:numId w:val="2"/>
        </w:numPr>
        <w:bidi w:val="0"/>
        <w:ind w:left="1667" w:right="0" w:hanging="227"/>
        <w:jc w:val="left"/>
        <w:rPr/>
      </w:pPr>
      <w:r>
        <w:rPr/>
        <w:t>The activity (S</w:t>
      </w:r>
      <w:r>
        <w:rPr>
          <w:sz w:val="20"/>
        </w:rPr>
        <w:t>xx</w:t>
      </w:r>
      <w:r>
        <w:rPr/>
        <w:t xml:space="preserve">) of removing a part from the sample (S13), which was originally taken from the tusk fragment GT993 by Godfrey et al. in 2000, </w:t>
      </w:r>
      <w:r>
        <w:rPr/>
        <w:t>in order to analyse it through</w:t>
      </w:r>
      <w:r>
        <w:rPr/>
        <w:t xml:space="preserve"> ICP-AES analysis to reveal the composition of the original sample. [In 2000, Godfrey et al. (2002) took a sample from a section of the tusk fragment GT993 which was originally found in the ship-wreck of Vergulde Draeck in Western Australia. This sample was homogenous (ground to fine powder). Part of the sample was then removed for elemental analysis using inductively coupled plasma atomic emission spectrometry (ICP-AES). Another part was removed for carbon/nitrogen analysis using a LECO analyser.] </w:t>
      </w:r>
      <w:r>
        <w:rPr/>
        <w:t>(Godfrey et al., 2000)</w:t>
      </w:r>
    </w:p>
    <w:p>
      <w:pPr>
        <w:pStyle w:val="CRMDescriptionLabel"/>
        <w:bidi w:val="0"/>
        <w:spacing w:before="170" w:after="0"/>
        <w:jc w:val="left"/>
        <w:rPr/>
      </w:pPr>
      <w:r>
        <w:rPr/>
        <w:t>In First Order Logic:</w:t>
      </w:r>
    </w:p>
    <w:p>
      <w:pPr>
        <w:pStyle w:val="CRMFirstOrderLogic"/>
        <w:bidi w:val="0"/>
        <w:spacing w:before="0" w:after="0"/>
        <w:ind w:left="1440" w:right="0" w:hanging="0"/>
        <w:jc w:val="left"/>
        <w:rPr/>
      </w:pPr>
      <w:r>
        <w:rPr/>
        <w:t>S</w:t>
      </w:r>
      <w:r>
        <w:rPr>
          <w:sz w:val="20"/>
        </w:rPr>
        <w:t>xx</w:t>
      </w:r>
      <w:r>
        <w:rPr/>
        <w:t>(x) ⇒ S</w:t>
      </w:r>
      <w:r>
        <w:rPr>
          <w:sz w:val="20"/>
        </w:rPr>
        <w:t>2</w:t>
      </w:r>
      <w:r>
        <w:rPr/>
        <w:t>(x)</w:t>
      </w:r>
    </w:p>
    <w:p>
      <w:pPr>
        <w:pStyle w:val="CRMDescriptionLabel"/>
        <w:bidi w:val="0"/>
        <w:spacing w:before="170" w:after="0"/>
        <w:jc w:val="left"/>
        <w:rPr/>
      </w:pPr>
      <w:r>
        <w:rPr/>
        <w:t>Properties:</w:t>
      </w:r>
    </w:p>
    <w:p>
      <w:pPr>
        <w:pStyle w:val="CRMPropertyofEntity"/>
        <w:bidi w:val="0"/>
        <w:spacing w:before="0" w:after="0"/>
        <w:ind w:left="1440" w:right="0" w:hanging="0"/>
        <w:jc w:val="left"/>
        <w:rPr/>
      </w:pPr>
      <w:r>
        <w:rPr>
          <w:sz w:val="20"/>
        </w:rPr>
        <w:t>O27 split from (was split from)</w:t>
      </w:r>
      <w:r>
        <w:rPr/>
        <w:t xml:space="preserve">: </w:t>
      </w:r>
      <w:r>
        <w:rPr>
          <w:sz w:val="20"/>
        </w:rPr>
        <w:t>S13 Sample</w:t>
      </w:r>
    </w:p>
    <w:p>
      <w:pPr>
        <w:pStyle w:val="CRMPropertyofEntity"/>
        <w:bidi w:val="0"/>
        <w:spacing w:before="0" w:after="0"/>
        <w:ind w:left="1440" w:right="0" w:hanging="0"/>
        <w:jc w:val="left"/>
        <w:rPr/>
      </w:pPr>
      <w:r>
        <w:rPr/>
        <w:t xml:space="preserve">Oxx removed </w:t>
      </w:r>
      <w:r>
        <w:rPr>
          <w:sz w:val="20"/>
        </w:rPr>
        <w:t>sub-</w:t>
      </w:r>
      <w:r>
        <w:rPr/>
        <w:t xml:space="preserve">sample (was </w:t>
      </w:r>
      <w:r>
        <w:rPr>
          <w:sz w:val="20"/>
        </w:rPr>
        <w:t>sub-</w:t>
      </w:r>
      <w:r>
        <w:rPr/>
        <w:t>sample removed by): S13 Sample</w:t>
      </w:r>
    </w:p>
    <w:p>
      <w:pPr>
        <w:pStyle w:val="CRMPropertyLabel"/>
        <w:bidi w:val="0"/>
        <w:jc w:val="left"/>
        <w:rPr/>
      </w:pPr>
      <w:r>
        <w:rPr>
          <w:rFonts w:eastAsia="Noto Sans CJK SC" w:cs="Lohit Devanagari"/>
          <w:b/>
          <w:sz w:val="20"/>
          <w:szCs w:val="28"/>
        </w:rPr>
        <w:t>O27</w:t>
      </w:r>
      <w:r>
        <w:rPr/>
        <w:t xml:space="preserve"> </w:t>
      </w:r>
      <w:r>
        <w:rPr>
          <w:rFonts w:eastAsia="Noto Sans CJK SC" w:cs="Lohit Devanagari"/>
          <w:b/>
          <w:sz w:val="20"/>
          <w:szCs w:val="28"/>
        </w:rPr>
        <w:t xml:space="preserve">split (was split </w:t>
      </w:r>
      <w:r>
        <w:rPr>
          <w:rFonts w:eastAsia="Noto Sans CJK SC" w:cs="Lohit Devanagari"/>
          <w:b/>
          <w:sz w:val="20"/>
          <w:szCs w:val="28"/>
        </w:rPr>
        <w:t>by</w:t>
      </w:r>
      <w:r>
        <w:rPr>
          <w:rFonts w:eastAsia="Noto Sans CJK SC" w:cs="Lohit Devanagari"/>
          <w:b/>
          <w:sz w:val="20"/>
          <w:szCs w:val="28"/>
        </w:rPr>
        <w:t>)</w:t>
      </w:r>
    </w:p>
    <w:p>
      <w:pPr>
        <w:pStyle w:val="CRMDescriptionLabel"/>
        <w:bidi w:val="0"/>
        <w:spacing w:before="170" w:after="0"/>
        <w:jc w:val="left"/>
        <w:rPr/>
      </w:pPr>
      <w:r>
        <w:rPr/>
        <w:t>Domain:</w:t>
        <w:tab/>
      </w:r>
    </w:p>
    <w:p>
      <w:pPr>
        <w:pStyle w:val="CRMDomainRange"/>
        <w:bidi w:val="0"/>
        <w:jc w:val="left"/>
        <w:rPr>
          <w:rFonts w:ascii="Times New Roman" w:hAnsi="Times New Roman"/>
          <w:sz w:val="20"/>
        </w:rPr>
      </w:pPr>
      <w:r>
        <w:rPr>
          <w:sz w:val="20"/>
        </w:rPr>
        <w:t>Sxx Sample Splitting</w:t>
      </w:r>
    </w:p>
    <w:p>
      <w:pPr>
        <w:pStyle w:val="CRMDescriptionLabel"/>
        <w:bidi w:val="0"/>
        <w:spacing w:before="170" w:after="0"/>
        <w:jc w:val="left"/>
        <w:rPr/>
      </w:pPr>
      <w:r>
        <w:rPr/>
        <w:t>Range:</w:t>
      </w:r>
    </w:p>
    <w:p>
      <w:pPr>
        <w:pStyle w:val="CRMDomainRange"/>
        <w:bidi w:val="0"/>
        <w:jc w:val="left"/>
        <w:rPr>
          <w:rFonts w:ascii="Times New Roman" w:hAnsi="Times New Roman"/>
          <w:sz w:val="20"/>
        </w:rPr>
      </w:pPr>
      <w:r>
        <w:rPr>
          <w:sz w:val="20"/>
        </w:rPr>
        <w:t>S13 Sample</w:t>
      </w:r>
    </w:p>
    <w:p>
      <w:pPr>
        <w:pStyle w:val="CRMDescriptionLabel"/>
        <w:bidi w:val="0"/>
        <w:spacing w:before="170" w:after="0"/>
        <w:jc w:val="left"/>
        <w:rPr/>
      </w:pPr>
      <w:r>
        <w:rPr/>
        <w:t>S</w:t>
      </w:r>
      <w:r>
        <w:rPr>
          <w:sz w:val="20"/>
        </w:rPr>
        <w:t>ub</w:t>
      </w:r>
      <w:r>
        <w:rPr/>
        <w:t>property of:</w:t>
      </w:r>
    </w:p>
    <w:p>
      <w:pPr>
        <w:pStyle w:val="CRMSuperSubProperty"/>
        <w:bidi w:val="0"/>
        <w:spacing w:before="0" w:after="0"/>
        <w:ind w:left="1440" w:right="0" w:hanging="0"/>
        <w:jc w:val="left"/>
        <w:rPr/>
      </w:pPr>
      <w:r>
        <w:rPr>
          <w:sz w:val="20"/>
        </w:rPr>
        <w:t>S2 Sample Taking</w:t>
      </w:r>
      <w:r>
        <w:rPr/>
        <w:t xml:space="preserve">. </w:t>
      </w:r>
      <w:r>
        <w:rPr/>
        <w:t>O3 sampled from (was sample by): S10 Material Substantial</w:t>
      </w:r>
    </w:p>
    <w:p>
      <w:pPr>
        <w:pStyle w:val="CRMDescriptionLabel"/>
        <w:bidi w:val="0"/>
        <w:spacing w:before="170" w:after="0"/>
        <w:jc w:val="left"/>
        <w:rPr/>
      </w:pPr>
      <w:r>
        <w:rPr/>
        <w:t>Quantification:</w:t>
      </w:r>
    </w:p>
    <w:p>
      <w:pPr>
        <w:pStyle w:val="CRMQuantification"/>
        <w:bidi w:val="0"/>
        <w:ind w:left="1440" w:right="0" w:hanging="0"/>
        <w:jc w:val="left"/>
        <w:rPr/>
      </w:pPr>
      <w:r>
        <w:rPr/>
        <w:t>many to many (0,n:0,n)</w:t>
      </w:r>
    </w:p>
    <w:p>
      <w:pPr>
        <w:pStyle w:val="CRMDescriptionLabel"/>
        <w:bidi w:val="0"/>
        <w:spacing w:before="170" w:after="0"/>
        <w:jc w:val="left"/>
        <w:rPr/>
      </w:pPr>
      <w:r>
        <w:rPr/>
        <w:t>Scope note:</w:t>
      </w:r>
    </w:p>
    <w:p>
      <w:pPr>
        <w:pStyle w:val="CRMScopeNoteText"/>
        <w:bidi w:val="0"/>
        <w:jc w:val="left"/>
        <w:rPr/>
      </w:pPr>
      <w:r>
        <w:rPr/>
        <w:t>This property associates an instance of S</w:t>
      </w:r>
      <w:r>
        <w:rPr>
          <w:sz w:val="20"/>
        </w:rPr>
        <w:t>xx</w:t>
      </w:r>
      <w:r>
        <w:rPr/>
        <w:t xml:space="preserve"> Sample </w:t>
      </w:r>
      <w:r>
        <w:rPr>
          <w:sz w:val="20"/>
        </w:rPr>
        <w:t>Splitting</w:t>
      </w:r>
      <w:r>
        <w:rPr/>
        <w:t xml:space="preserve"> with </w:t>
      </w:r>
      <w:r>
        <w:rPr>
          <w:sz w:val="20"/>
        </w:rPr>
        <w:t>the</w:t>
      </w:r>
      <w:r>
        <w:rPr/>
        <w:t xml:space="preserve"> instance of S13 Sample </w:t>
      </w:r>
      <w:r>
        <w:rPr/>
        <w:t>which is the original sample being split.</w:t>
      </w:r>
    </w:p>
    <w:p>
      <w:pPr>
        <w:pStyle w:val="CRMDescriptionLabel"/>
        <w:bidi w:val="0"/>
        <w:spacing w:before="170" w:after="0"/>
        <w:jc w:val="left"/>
        <w:rPr/>
      </w:pPr>
      <w:r>
        <w:rPr/>
        <w:t>Examples:</w:t>
      </w:r>
    </w:p>
    <w:p>
      <w:pPr>
        <w:pStyle w:val="CRMExample"/>
        <w:numPr>
          <w:ilvl w:val="0"/>
          <w:numId w:val="2"/>
        </w:numPr>
        <w:bidi w:val="0"/>
        <w:ind w:left="1667" w:right="0" w:hanging="227"/>
        <w:jc w:val="left"/>
        <w:rPr/>
      </w:pPr>
      <w:r>
        <w:rPr/>
        <w:t xml:space="preserve">The </w:t>
      </w:r>
      <w:r>
        <w:rPr/>
        <w:t>subsampling</w:t>
      </w:r>
      <w:r>
        <w:rPr/>
        <w:t xml:space="preserve"> activity by Godfrey et al. in 2000 (Sxx) </w:t>
      </w:r>
      <w:r>
        <w:rPr>
          <w:rStyle w:val="CRMExampleProperty"/>
          <w:sz w:val="20"/>
        </w:rPr>
        <w:t>split</w:t>
      </w:r>
      <w:r>
        <w:rPr/>
        <w:t xml:space="preserve"> </w:t>
      </w:r>
      <w:r>
        <w:rPr/>
        <w:t xml:space="preserve">the homogenous sample </w:t>
      </w:r>
      <w:r>
        <w:rPr/>
        <w:t xml:space="preserve">(S13) </w:t>
      </w:r>
      <w:r>
        <w:rPr/>
        <w:t>[</w:t>
      </w:r>
      <w:r>
        <w:rPr>
          <w:sz w:val="20"/>
        </w:rPr>
        <w:t xml:space="preserve">which was </w:t>
      </w:r>
      <w:r>
        <w:rPr/>
        <w:t>ground to fine powder].</w:t>
      </w:r>
      <w:r>
        <w:rPr/>
        <w:t xml:space="preserve"> (Godfrey et al., 2000)</w:t>
      </w:r>
    </w:p>
    <w:p>
      <w:pPr>
        <w:pStyle w:val="CRMDescriptionLabel"/>
        <w:bidi w:val="0"/>
        <w:spacing w:before="170" w:after="0"/>
        <w:jc w:val="left"/>
        <w:rPr/>
      </w:pPr>
      <w:r>
        <w:rPr/>
        <w:t>In First Order Logic:</w:t>
      </w:r>
    </w:p>
    <w:p>
      <w:pPr>
        <w:pStyle w:val="CRMFirstOrderLogic"/>
        <w:bidi w:val="0"/>
        <w:spacing w:before="0" w:after="0"/>
        <w:ind w:left="1440" w:right="0" w:hanging="0"/>
        <w:jc w:val="left"/>
        <w:rPr/>
      </w:pPr>
      <w:r>
        <w:rPr/>
        <w:t>O</w:t>
      </w:r>
      <w:r>
        <w:rPr>
          <w:sz w:val="20"/>
        </w:rPr>
        <w:t>27</w:t>
      </w:r>
      <w:r>
        <w:rPr/>
        <w:t>(x,y) ⇒ S</w:t>
      </w:r>
      <w:r>
        <w:rPr>
          <w:sz w:val="20"/>
        </w:rPr>
        <w:t>xx</w:t>
      </w:r>
      <w:r>
        <w:rPr/>
        <w:t>(x)</w:t>
      </w:r>
    </w:p>
    <w:p>
      <w:pPr>
        <w:pStyle w:val="CRMFirstOrderLogic"/>
        <w:bidi w:val="0"/>
        <w:spacing w:before="0" w:after="0"/>
        <w:ind w:left="1440" w:right="0" w:hanging="0"/>
        <w:jc w:val="left"/>
        <w:rPr/>
      </w:pPr>
      <w:r>
        <w:rPr/>
        <w:t>O</w:t>
      </w:r>
      <w:r>
        <w:rPr>
          <w:sz w:val="20"/>
        </w:rPr>
        <w:t>27</w:t>
      </w:r>
      <w:r>
        <w:rPr/>
        <w:t>(x,y) ⇒ S</w:t>
      </w:r>
      <w:r>
        <w:rPr>
          <w:sz w:val="20"/>
        </w:rPr>
        <w:t>13</w:t>
      </w:r>
      <w:r>
        <w:rPr/>
        <w:t>(y)</w:t>
      </w:r>
    </w:p>
    <w:p>
      <w:pPr>
        <w:pStyle w:val="CRMPropertyLabel"/>
        <w:bidi w:val="0"/>
        <w:jc w:val="left"/>
        <w:rPr/>
      </w:pPr>
      <w:r>
        <w:rPr>
          <w:rFonts w:eastAsia="Noto Sans CJK SC" w:cs="Lohit Devanagari"/>
          <w:b/>
          <w:sz w:val="20"/>
          <w:szCs w:val="28"/>
        </w:rPr>
        <w:t xml:space="preserve">Oxx removed </w:t>
      </w:r>
      <w:r>
        <w:rPr>
          <w:rFonts w:eastAsia="Noto Sans CJK SC" w:cs="Lohit Devanagari"/>
          <w:b/>
          <w:sz w:val="20"/>
          <w:szCs w:val="28"/>
        </w:rPr>
        <w:t>sub-</w:t>
      </w:r>
      <w:r>
        <w:rPr>
          <w:rFonts w:eastAsia="Noto Sans CJK SC" w:cs="Lohit Devanagari"/>
          <w:b/>
          <w:sz w:val="20"/>
          <w:szCs w:val="28"/>
        </w:rPr>
        <w:t xml:space="preserve">sample (was </w:t>
      </w:r>
      <w:r>
        <w:rPr>
          <w:rFonts w:eastAsia="Noto Sans CJK SC" w:cs="Lohit Devanagari"/>
          <w:b/>
          <w:sz w:val="20"/>
          <w:szCs w:val="28"/>
        </w:rPr>
        <w:t>sub-</w:t>
      </w:r>
      <w:r>
        <w:rPr>
          <w:rFonts w:eastAsia="Noto Sans CJK SC" w:cs="Lohit Devanagari"/>
          <w:b/>
          <w:sz w:val="20"/>
          <w:szCs w:val="28"/>
        </w:rPr>
        <w:t>sample removed by)</w:t>
      </w:r>
    </w:p>
    <w:p>
      <w:pPr>
        <w:pStyle w:val="CRMDescriptionLabel"/>
        <w:bidi w:val="0"/>
        <w:spacing w:before="170" w:after="0"/>
        <w:jc w:val="left"/>
        <w:rPr/>
      </w:pPr>
      <w:r>
        <w:rPr/>
        <w:t>Domain:</w:t>
      </w:r>
    </w:p>
    <w:p>
      <w:pPr>
        <w:pStyle w:val="CRMDomainRange"/>
        <w:bidi w:val="0"/>
        <w:jc w:val="left"/>
        <w:rPr>
          <w:rFonts w:ascii="Times New Roman" w:hAnsi="Times New Roman"/>
          <w:sz w:val="20"/>
        </w:rPr>
      </w:pPr>
      <w:r>
        <w:rPr>
          <w:sz w:val="20"/>
        </w:rPr>
        <w:t>Sxx Sample Splitting</w:t>
      </w:r>
    </w:p>
    <w:p>
      <w:pPr>
        <w:pStyle w:val="CRMDescriptionLabel"/>
        <w:bidi w:val="0"/>
        <w:spacing w:before="170" w:after="0"/>
        <w:jc w:val="left"/>
        <w:rPr/>
      </w:pPr>
      <w:r>
        <w:rPr/>
        <w:t>Range:</w:t>
      </w:r>
    </w:p>
    <w:p>
      <w:pPr>
        <w:pStyle w:val="CRMDomainRange"/>
        <w:bidi w:val="0"/>
        <w:jc w:val="left"/>
        <w:rPr>
          <w:rFonts w:ascii="Times New Roman" w:hAnsi="Times New Roman"/>
          <w:sz w:val="20"/>
        </w:rPr>
      </w:pPr>
      <w:r>
        <w:rPr>
          <w:sz w:val="20"/>
        </w:rPr>
        <w:t>S13 Sample</w:t>
      </w:r>
    </w:p>
    <w:p>
      <w:pPr>
        <w:pStyle w:val="CRMDescriptionLabel"/>
        <w:bidi w:val="0"/>
        <w:spacing w:before="170" w:after="0"/>
        <w:jc w:val="left"/>
        <w:rPr/>
      </w:pPr>
      <w:r>
        <w:rPr/>
        <w:t>Su</w:t>
      </w:r>
      <w:r>
        <w:rPr>
          <w:sz w:val="20"/>
        </w:rPr>
        <w:t>b</w:t>
      </w:r>
      <w:r>
        <w:rPr/>
        <w:t>property of:</w:t>
      </w:r>
    </w:p>
    <w:p>
      <w:pPr>
        <w:pStyle w:val="CRMSuperSubProperty"/>
        <w:bidi w:val="0"/>
        <w:spacing w:before="0" w:after="0"/>
        <w:ind w:left="1440" w:right="0" w:hanging="0"/>
        <w:jc w:val="left"/>
        <w:rPr/>
      </w:pPr>
      <w:r>
        <w:rPr>
          <w:sz w:val="20"/>
        </w:rPr>
        <w:t>S2 Sample Taking</w:t>
      </w:r>
      <w:r>
        <w:rPr/>
        <w:t xml:space="preserve">. </w:t>
      </w:r>
      <w:r>
        <w:rPr/>
        <w:t>O5 removed (was removed by)</w:t>
      </w:r>
      <w:r>
        <w:rPr/>
        <w:t xml:space="preserve">: </w:t>
      </w:r>
      <w:r>
        <w:rPr>
          <w:sz w:val="20"/>
        </w:rPr>
        <w:t>S13 Sample</w:t>
      </w:r>
    </w:p>
    <w:p>
      <w:pPr>
        <w:pStyle w:val="CRMDescriptionLabel"/>
        <w:bidi w:val="0"/>
        <w:spacing w:before="170" w:after="0"/>
        <w:jc w:val="left"/>
        <w:rPr/>
      </w:pPr>
      <w:r>
        <w:rPr/>
        <w:t>Quantification:</w:t>
      </w:r>
    </w:p>
    <w:p>
      <w:pPr>
        <w:pStyle w:val="CRMQuantification"/>
        <w:bidi w:val="0"/>
        <w:ind w:left="1440" w:right="0" w:hanging="0"/>
        <w:jc w:val="left"/>
        <w:rPr/>
      </w:pPr>
      <w:r>
        <w:rPr/>
        <w:t>many to many (0,n:0,n)</w:t>
      </w:r>
    </w:p>
    <w:p>
      <w:pPr>
        <w:pStyle w:val="CRMDescriptionLabel"/>
        <w:bidi w:val="0"/>
        <w:spacing w:before="170" w:after="0"/>
        <w:jc w:val="left"/>
        <w:rPr/>
      </w:pPr>
      <w:r>
        <w:rPr/>
        <w:t>Scope note:</w:t>
      </w:r>
    </w:p>
    <w:p>
      <w:pPr>
        <w:pStyle w:val="CRMScopeNoteText"/>
        <w:bidi w:val="0"/>
        <w:jc w:val="left"/>
        <w:rPr/>
      </w:pPr>
      <w:r>
        <w:rPr/>
        <w:t>This property associates an instance of S</w:t>
      </w:r>
      <w:r>
        <w:rPr>
          <w:sz w:val="20"/>
        </w:rPr>
        <w:t>xx</w:t>
      </w:r>
      <w:r>
        <w:rPr/>
        <w:t xml:space="preserve"> Sample </w:t>
      </w:r>
      <w:r>
        <w:rPr>
          <w:sz w:val="20"/>
        </w:rPr>
        <w:t>Splitting</w:t>
      </w:r>
      <w:r>
        <w:rPr/>
        <w:t xml:space="preserve"> with </w:t>
      </w:r>
      <w:r>
        <w:rPr>
          <w:sz w:val="20"/>
        </w:rPr>
        <w:t>the</w:t>
      </w:r>
      <w:r>
        <w:rPr/>
        <w:t xml:space="preserve"> instance of S13 Sample </w:t>
      </w:r>
      <w:r>
        <w:rPr/>
        <w:t xml:space="preserve">which was removed from the original sample being split. </w:t>
      </w:r>
      <w:r>
        <w:rPr>
          <w:sz w:val="20"/>
        </w:rPr>
        <w:t>The new sample</w:t>
      </w:r>
      <w:r>
        <w:rPr/>
        <w:t xml:space="preserve"> </w:t>
      </w:r>
      <w:r>
        <w:rPr/>
        <w:t xml:space="preserve">(sub-sample) </w:t>
      </w:r>
      <w:r>
        <w:rPr/>
        <w:t>maintains the characteristic qualities of the original.</w:t>
      </w:r>
    </w:p>
    <w:p>
      <w:pPr>
        <w:pStyle w:val="CRMDescriptionLabel"/>
        <w:bidi w:val="0"/>
        <w:spacing w:before="170" w:after="0"/>
        <w:jc w:val="left"/>
        <w:rPr/>
      </w:pPr>
      <w:r>
        <w:rPr/>
        <w:t>Examples:</w:t>
      </w:r>
    </w:p>
    <w:p>
      <w:pPr>
        <w:pStyle w:val="CRMExample"/>
        <w:numPr>
          <w:ilvl w:val="0"/>
          <w:numId w:val="2"/>
        </w:numPr>
        <w:bidi w:val="0"/>
        <w:ind w:left="1667" w:right="0" w:hanging="227"/>
        <w:jc w:val="left"/>
        <w:rPr/>
      </w:pPr>
      <w:r>
        <w:rPr/>
        <w:t xml:space="preserve">The subsampling activity by Godfrey et al. in 2000 (Sxx) </w:t>
      </w:r>
      <w:r>
        <w:rPr>
          <w:rStyle w:val="CRMExampleProperty"/>
        </w:rPr>
        <w:t>removed sub-sample</w:t>
      </w:r>
      <w:r>
        <w:rPr/>
        <w:t xml:space="preserve"> the </w:t>
      </w:r>
      <w:r>
        <w:rPr/>
        <w:t xml:space="preserve">ICP-AES </w:t>
      </w:r>
      <w:r>
        <w:rPr/>
        <w:t xml:space="preserve">sub-sample </w:t>
      </w:r>
      <w:r>
        <w:rPr/>
        <w:t xml:space="preserve">(S13). [This sub-sample </w:t>
      </w:r>
      <w:r>
        <w:rPr/>
        <w:t xml:space="preserve">was used for elemental analysis using inductively coupled plasma atomic emission spectrometry (ICP-AES) </w:t>
      </w:r>
      <w:r>
        <w:rPr/>
        <w:t xml:space="preserve">to reveal the </w:t>
      </w:r>
      <w:r>
        <w:rPr/>
        <w:t xml:space="preserve">composition of the </w:t>
      </w:r>
      <w:r>
        <w:rPr/>
        <w:t>original sample</w:t>
      </w:r>
      <w:r>
        <w:rPr/>
        <w:t>.</w:t>
      </w:r>
      <w:r>
        <w:rPr/>
        <w:t>]</w:t>
      </w:r>
      <w:r>
        <w:rPr/>
        <w:t xml:space="preserve"> (Godfrey et al., 2000)</w:t>
      </w:r>
    </w:p>
    <w:p>
      <w:pPr>
        <w:pStyle w:val="CRMDescriptionLabel"/>
        <w:bidi w:val="0"/>
        <w:spacing w:before="170" w:after="0"/>
        <w:jc w:val="left"/>
        <w:rPr/>
      </w:pPr>
      <w:r>
        <w:rPr/>
        <w:t xml:space="preserve">In First Order Logic: </w:t>
      </w:r>
    </w:p>
    <w:p>
      <w:pPr>
        <w:pStyle w:val="CRMFirstOrderLogic"/>
        <w:bidi w:val="0"/>
        <w:spacing w:before="0" w:after="0"/>
        <w:ind w:left="1440" w:right="0" w:hanging="0"/>
        <w:jc w:val="left"/>
        <w:rPr/>
      </w:pPr>
      <w:r>
        <w:rPr/>
        <w:t>O</w:t>
      </w:r>
      <w:r>
        <w:rPr>
          <w:sz w:val="20"/>
        </w:rPr>
        <w:t>xx</w:t>
      </w:r>
      <w:r>
        <w:rPr/>
        <w:t>(x,y) ⇒ Sxx(x)</w:t>
      </w:r>
    </w:p>
    <w:p>
      <w:pPr>
        <w:pStyle w:val="CRMFirstOrderLogic"/>
        <w:bidi w:val="0"/>
        <w:spacing w:before="0" w:after="0"/>
        <w:ind w:left="1440" w:right="0" w:hanging="0"/>
        <w:jc w:val="left"/>
        <w:rPr/>
      </w:pPr>
      <w:r>
        <w:rPr/>
        <w:t>O</w:t>
      </w:r>
      <w:r>
        <w:rPr>
          <w:sz w:val="20"/>
        </w:rPr>
        <w:t>xx</w:t>
      </w:r>
      <w:r>
        <w:rPr/>
        <w:t>(x,y) ⇒ S13(y)</w:t>
      </w:r>
    </w:p>
    <w:p>
      <w:pPr>
        <w:pStyle w:val="CRMFirstOrderLogic"/>
        <w:bidi w:val="0"/>
        <w:spacing w:before="0" w:after="0"/>
        <w:ind w:left="1440" w:right="0" w:hanging="0"/>
        <w:jc w:val="left"/>
        <w:rPr/>
      </w:pPr>
      <w:r>
        <w:rPr/>
      </w:r>
    </w:p>
    <w:p>
      <w:pPr>
        <w:pStyle w:val="CRMFirstOrderLogic"/>
        <w:bidi w:val="0"/>
        <w:ind w:left="0" w:right="0" w:hanging="0"/>
        <w:jc w:val="left"/>
        <w:rPr>
          <w:b/>
          <w:b/>
          <w:bCs/>
        </w:rPr>
      </w:pPr>
      <w:r>
        <w:rPr>
          <w:b/>
          <w:bCs/>
        </w:rPr>
        <w:t>Works cited</w:t>
      </w:r>
    </w:p>
    <w:p>
      <w:pPr>
        <w:pStyle w:val="CRMFirstOrderLogic"/>
        <w:bidi w:val="0"/>
        <w:ind w:left="0" w:right="0" w:hanging="0"/>
        <w:jc w:val="left"/>
        <w:rPr/>
      </w:pPr>
      <w:r>
        <w:rPr/>
        <w:t>Godfrey, I. M. et al. (2002) ‘The Analysis of Ivory from a Marine Environment’, Studies in Conservation, 47(1), pp. 29–45. doi: 10.1179/sic.2002.47.1.29.</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Times New Roman">
    <w:charset w:val="01"/>
    <w:family w:val="roman"/>
    <w:pitch w:val="default"/>
  </w:font>
  <w:font w:name="Arial">
    <w:charset w:val="01"/>
    <w:family w:val="swiss"/>
    <w:pitch w:val="default"/>
  </w:font>
  <w:font w:name="Wingdings 2">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suff w:val="space"/>
      <w:lvlText w:val=""/>
      <w:lvlJc w:val="left"/>
      <w:pPr>
        <w:tabs>
          <w:tab w:val="num" w:pos="0"/>
        </w:tabs>
        <w:ind w:left="0" w:hanging="0"/>
      </w:pPr>
      <w:rPr>
        <w:rFonts w:ascii="Wingdings 2" w:hAnsi="Wingdings 2" w:cs="Wingdings 2"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en-GB"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0"/>
        <w:numId w:val="0"/>
      </w:numPr>
      <w:spacing w:before="200" w:after="120"/>
      <w:outlineLvl w:val="1"/>
    </w:pPr>
    <w:rPr>
      <w:b/>
      <w:bCs/>
      <w:sz w:val="32"/>
      <w:szCs w:val="32"/>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CRMExampleProperty">
    <w:name w:val="CRM Example Property"/>
    <w:qFormat/>
    <w:rPr>
      <w:i/>
      <w:iCs/>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2"/>
    </w:pPr>
    <w:rPr>
      <w:rFonts w:ascii="Times New Roman" w:hAnsi="Times New Roman"/>
      <w:sz w:val="20"/>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extBodyIndent">
    <w:name w:val="Body Text Indent"/>
    <w:basedOn w:val="Normal"/>
    <w:pPr/>
    <w:rPr>
      <w:szCs w:val="20"/>
    </w:rPr>
  </w:style>
  <w:style w:type="paragraph" w:styleId="CRMExample">
    <w:name w:val="CRM Example"/>
    <w:basedOn w:val="TextBody"/>
    <w:qFormat/>
    <w:pPr>
      <w:numPr>
        <w:ilvl w:val="0"/>
        <w:numId w:val="2"/>
      </w:numPr>
      <w:tabs>
        <w:tab w:val="clear" w:pos="709"/>
      </w:tabs>
      <w:spacing w:lineRule="auto" w:line="276" w:before="0" w:after="0"/>
      <w:ind w:left="1667" w:right="0" w:hanging="227"/>
    </w:pPr>
    <w:rPr/>
  </w:style>
  <w:style w:type="paragraph" w:styleId="CRMClassLabel">
    <w:name w:val="CRM Class Label"/>
    <w:basedOn w:val="Heading"/>
    <w:next w:val="CRMDescriptionLabel"/>
    <w:qFormat/>
    <w:pPr>
      <w:numPr>
        <w:ilvl w:val="0"/>
        <w:numId w:val="0"/>
      </w:numPr>
      <w:outlineLvl w:val="1"/>
    </w:pPr>
    <w:rPr>
      <w:rFonts w:ascii="Arial" w:hAnsi="Arial"/>
      <w:b/>
      <w:sz w:val="20"/>
    </w:rPr>
  </w:style>
  <w:style w:type="paragraph" w:styleId="CRMScopeNoteText">
    <w:name w:val="CRM Scope Note Text"/>
    <w:basedOn w:val="TextBody"/>
    <w:qFormat/>
    <w:pPr>
      <w:spacing w:lineRule="auto" w:line="276" w:before="0" w:after="170"/>
      <w:ind w:left="1440" w:right="0" w:hanging="0"/>
    </w:pPr>
    <w:rPr>
      <w:rFonts w:ascii="Times New Roman" w:hAnsi="Times New Roman"/>
      <w:sz w:val="20"/>
    </w:rPr>
  </w:style>
  <w:style w:type="paragraph" w:styleId="CRMDescriptionLabel">
    <w:name w:val="CRM Description Label"/>
    <w:basedOn w:val="TextBody"/>
    <w:qFormat/>
    <w:pPr>
      <w:spacing w:before="170" w:after="0"/>
    </w:pPr>
    <w:rPr/>
  </w:style>
  <w:style w:type="paragraph" w:styleId="CRMSuperSubClass">
    <w:name w:val="CRM Super Sub Class"/>
    <w:basedOn w:val="TextBody"/>
    <w:qFormat/>
    <w:pPr>
      <w:spacing w:before="0" w:after="0"/>
      <w:ind w:left="1440" w:right="0" w:hanging="0"/>
    </w:pPr>
    <w:rPr/>
  </w:style>
  <w:style w:type="paragraph" w:styleId="CRMFirstOrderLogic">
    <w:name w:val="CRM First Order Logic"/>
    <w:basedOn w:val="TextBody"/>
    <w:qFormat/>
    <w:pPr>
      <w:spacing w:before="0" w:after="0"/>
      <w:ind w:left="1440" w:right="0" w:hanging="0"/>
    </w:pPr>
    <w:rPr/>
  </w:style>
  <w:style w:type="paragraph" w:styleId="CRMPropertyofEntity">
    <w:name w:val="CRM Property of Entity"/>
    <w:basedOn w:val="TextBody"/>
    <w:qFormat/>
    <w:pPr>
      <w:spacing w:before="0" w:after="0"/>
      <w:ind w:left="1440" w:right="0" w:hanging="0"/>
    </w:pPr>
    <w:rPr/>
  </w:style>
  <w:style w:type="paragraph" w:styleId="CRMDotOneProperty">
    <w:name w:val="CRM Dot One Property"/>
    <w:basedOn w:val="TextBody"/>
    <w:qFormat/>
    <w:pPr>
      <w:spacing w:before="0" w:after="0"/>
      <w:ind w:left="2835" w:right="0" w:hanging="0"/>
    </w:pPr>
    <w:rPr/>
  </w:style>
  <w:style w:type="paragraph" w:styleId="IndexHeading">
    <w:name w:val="Index Heading"/>
    <w:basedOn w:val="Heading"/>
    <w:pPr>
      <w:suppressLineNumbers/>
      <w:ind w:left="0" w:right="0" w:hanging="0"/>
    </w:pPr>
    <w:rPr>
      <w:b/>
      <w:bCs/>
      <w:sz w:val="32"/>
      <w:szCs w:val="32"/>
    </w:rPr>
  </w:style>
  <w:style w:type="paragraph" w:styleId="ContentsHeading">
    <w:name w:val="TOA Heading"/>
    <w:basedOn w:val="Heading"/>
    <w:pPr>
      <w:suppressLineNumbers/>
      <w:ind w:left="0" w:right="0" w:hanging="0"/>
    </w:pPr>
    <w:rPr>
      <w:b/>
      <w:bCs/>
      <w:sz w:val="32"/>
      <w:szCs w:val="32"/>
    </w:rPr>
  </w:style>
  <w:style w:type="paragraph" w:styleId="Contents1">
    <w:name w:val="TOC 1"/>
    <w:basedOn w:val="Index"/>
    <w:pPr>
      <w:tabs>
        <w:tab w:val="clear" w:pos="709"/>
        <w:tab w:val="right" w:pos="9638" w:leader="dot"/>
      </w:tabs>
      <w:ind w:left="0" w:right="0" w:hanging="0"/>
    </w:pPr>
    <w:rPr/>
  </w:style>
  <w:style w:type="paragraph" w:styleId="Contents2">
    <w:name w:val="TOC 2"/>
    <w:basedOn w:val="Index"/>
    <w:pPr>
      <w:tabs>
        <w:tab w:val="clear" w:pos="709"/>
        <w:tab w:val="right" w:pos="9638" w:leader="dot"/>
      </w:tabs>
      <w:ind w:left="283" w:right="0" w:hanging="0"/>
    </w:pPr>
    <w:rPr/>
  </w:style>
  <w:style w:type="paragraph" w:styleId="CRMPropertyLabel">
    <w:name w:val="CRM Property Label"/>
    <w:basedOn w:val="Heading"/>
    <w:qFormat/>
    <w:pPr/>
    <w:rPr>
      <w:rFonts w:ascii="Arial" w:hAnsi="Arial"/>
      <w:b/>
      <w:sz w:val="20"/>
    </w:rPr>
  </w:style>
  <w:style w:type="paragraph" w:styleId="CRMSuperSubProperty">
    <w:name w:val="CRM Super Sub Property"/>
    <w:basedOn w:val="TextBody"/>
    <w:qFormat/>
    <w:pPr>
      <w:spacing w:before="0" w:after="0"/>
      <w:ind w:left="1440" w:right="0" w:hanging="0"/>
    </w:pPr>
    <w:rPr/>
  </w:style>
  <w:style w:type="paragraph" w:styleId="CRMQuantification">
    <w:name w:val="CRM Quantification"/>
    <w:basedOn w:val="TextBody"/>
    <w:qFormat/>
    <w:pPr>
      <w:ind w:left="1440" w:right="0" w:hanging="0"/>
    </w:pPr>
    <w:rPr/>
  </w:style>
  <w:style w:type="paragraph" w:styleId="CRMDomainRange">
    <w:name w:val="CRM Domain Range"/>
    <w:basedOn w:val="TextBody"/>
    <w:qFormat/>
    <w:pPr>
      <w:spacing w:before="0" w:after="0"/>
      <w:ind w:left="1440" w:right="0" w:hanging="0"/>
    </w:pPr>
    <w:rPr/>
  </w:style>
  <w:style w:type="numbering" w:styleId="Numbering123">
    <w:name w:val="Numbering 123"/>
    <w:qFormat/>
  </w:style>
  <w:style w:type="numbering" w:styleId="Bullet">
    <w:name w:val="Bullet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TotalTime>
  <Application>LibreOffice/6.4.6.2$Linux_X86_64 LibreOffice_project/40$Build-2</Application>
  <Pages>2</Pages>
  <Words>458</Words>
  <Characters>2470</Characters>
  <CharactersWithSpaces>2880</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2020-07-23T15:27:53Z</dcterms:created>
  <dc:creator>Athanasios Velios</dc:creator>
  <dc:description/>
  <dc:language>en-GB</dc:language>
  <cp:lastModifiedBy>Athanasios Velios</cp:lastModifiedBy>
  <dcterms:modified xsi:type="dcterms:W3CDTF">2021-02-22T11:37:24Z</dcterms:modified>
  <cp:revision>7</cp:revision>
  <dc:subject/>
  <dc:title/>
</cp:coreProperties>
</file>