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09C" w:rsidRDefault="00DC409C" w:rsidP="00607602">
      <w:pPr>
        <w:pStyle w:val="Heading1"/>
        <w:rPr>
          <w:lang w:val="en-US"/>
        </w:rPr>
      </w:pPr>
      <w:bookmarkStart w:id="0" w:name="_Toc83803554"/>
      <w:bookmarkStart w:id="1" w:name="_420:_Social_Transactions"/>
      <w:bookmarkEnd w:id="1"/>
      <w:r w:rsidRPr="00DB0515">
        <w:rPr>
          <w:lang w:val="en-US"/>
        </w:rPr>
        <w:t>420</w:t>
      </w:r>
      <w:r>
        <w:rPr>
          <w:lang w:val="en-US"/>
        </w:rPr>
        <w:t>: Social Transactions and Bonds</w:t>
      </w:r>
      <w:bookmarkEnd w:id="0"/>
    </w:p>
    <w:p w:rsidR="00DC409C" w:rsidRDefault="00607602" w:rsidP="00DC409C">
      <w:pPr>
        <w:rPr>
          <w:lang w:val="en-US"/>
        </w:rPr>
      </w:pPr>
      <w:r>
        <w:rPr>
          <w:lang w:val="en-US"/>
        </w:rPr>
        <w:t>E</w:t>
      </w:r>
      <w:r w:rsidR="00DC409C">
        <w:rPr>
          <w:lang w:val="en-US"/>
        </w:rPr>
        <w:t xml:space="preserve">xamples </w:t>
      </w:r>
      <w:r>
        <w:rPr>
          <w:lang w:val="en-US"/>
        </w:rPr>
        <w:t xml:space="preserve">for </w:t>
      </w:r>
      <w:r w:rsidR="00DC409C">
        <w:rPr>
          <w:lang w:val="en-US"/>
        </w:rPr>
        <w:t xml:space="preserve">classes </w:t>
      </w:r>
      <w:hyperlink w:anchor="_socExx_Provision_(examples)" w:history="1">
        <w:r w:rsidR="00DC409C" w:rsidRPr="00607602">
          <w:rPr>
            <w:rStyle w:val="Hyperlink"/>
            <w:lang w:val="en-US"/>
          </w:rPr>
          <w:t>socExx Provision</w:t>
        </w:r>
      </w:hyperlink>
      <w:r w:rsidR="00DC409C">
        <w:rPr>
          <w:lang w:val="en-US"/>
        </w:rPr>
        <w:t xml:space="preserve"> and </w:t>
      </w:r>
      <w:hyperlink w:anchor="_socExx_Business_Obligation" w:history="1">
        <w:r w:rsidR="00DC409C" w:rsidRPr="00607602">
          <w:rPr>
            <w:rStyle w:val="Hyperlink"/>
            <w:lang w:val="en-US"/>
          </w:rPr>
          <w:t>socExx Business Obligation</w:t>
        </w:r>
      </w:hyperlink>
      <w:r w:rsidR="00DC409C">
        <w:rPr>
          <w:lang w:val="en-US"/>
        </w:rPr>
        <w:t xml:space="preserve">. </w:t>
      </w:r>
    </w:p>
    <w:p w:rsidR="00E80655" w:rsidRDefault="00E80655" w:rsidP="00E80655">
      <w:pPr>
        <w:rPr>
          <w:lang w:val="en-US"/>
        </w:rPr>
      </w:pPr>
      <w:r w:rsidRPr="00EB1D46">
        <w:rPr>
          <w:b/>
          <w:lang w:val="en-US"/>
        </w:rPr>
        <w:t xml:space="preserve">Decision: </w:t>
      </w:r>
      <w:r>
        <w:rPr>
          <w:lang w:val="en-US"/>
        </w:rPr>
        <w:t xml:space="preserve">All the class </w:t>
      </w:r>
      <w:r w:rsidR="00607602">
        <w:rPr>
          <w:lang w:val="en-US"/>
        </w:rPr>
        <w:t xml:space="preserve">examples were accepted. </w:t>
      </w:r>
      <w:r>
        <w:rPr>
          <w:lang w:val="en-US"/>
        </w:rPr>
        <w:t xml:space="preserve">What remains to be seen, is which model classes (a) socExx Provision, (b) socExx Business Obligation (plus their properties), will become part of (to be discussed in a </w:t>
      </w:r>
      <w:hyperlink r:id="rId7" w:history="1">
        <w:r w:rsidRPr="009720F0">
          <w:rPr>
            <w:rStyle w:val="Hyperlink"/>
            <w:lang w:val="en-US"/>
          </w:rPr>
          <w:t>new issue</w:t>
        </w:r>
      </w:hyperlink>
      <w:r>
        <w:rPr>
          <w:lang w:val="en-US"/>
        </w:rPr>
        <w:t xml:space="preserve">). </w:t>
      </w:r>
      <w:r>
        <w:rPr>
          <w:lang w:val="en-US"/>
        </w:rPr>
        <w:br/>
        <w:t>The two classes could either become part of the new extension for Activity Plans and Business Transactions (</w:t>
      </w:r>
      <w:hyperlink w:anchor="_419:_Activity_Plans" w:history="1">
        <w:r w:rsidRPr="009720F0">
          <w:rPr>
            <w:rStyle w:val="Hyperlink"/>
            <w:lang w:val="en-US"/>
          </w:rPr>
          <w:t>419</w:t>
        </w:r>
      </w:hyperlink>
      <w:r>
        <w:rPr>
          <w:lang w:val="en-US"/>
        </w:rPr>
        <w:t xml:space="preserve">) or they could lie in the newly-defined scope of </w:t>
      </w:r>
      <w:hyperlink w:anchor="_CRMsoc_–presentation_by" w:history="1">
        <w:r w:rsidRPr="00FD7958">
          <w:rPr>
            <w:rStyle w:val="Hyperlink"/>
            <w:lang w:val="en-US"/>
          </w:rPr>
          <w:t>CRMsoc</w:t>
        </w:r>
      </w:hyperlink>
      <w:r>
        <w:rPr>
          <w:lang w:val="en-US"/>
        </w:rPr>
        <w:t>.</w:t>
      </w:r>
    </w:p>
    <w:p w:rsidR="00E80655" w:rsidRDefault="00E80655" w:rsidP="00E80655">
      <w:pPr>
        <w:rPr>
          <w:lang w:val="en-US"/>
        </w:rPr>
      </w:pPr>
      <w:r w:rsidRPr="009720F0">
        <w:rPr>
          <w:b/>
          <w:bCs/>
          <w:lang w:val="en-US"/>
        </w:rPr>
        <w:t>HW</w:t>
      </w:r>
      <w:r>
        <w:rPr>
          <w:lang w:val="en-US"/>
        </w:rPr>
        <w:t xml:space="preserve"> for AK, MD, TV, SdS, FB to work on the properties and examples. </w:t>
      </w:r>
    </w:p>
    <w:p w:rsidR="00607602" w:rsidRDefault="00607602" w:rsidP="00E80655">
      <w:pPr>
        <w:rPr>
          <w:lang w:val="en-US"/>
        </w:rPr>
      </w:pPr>
    </w:p>
    <w:p w:rsidR="00DC409C" w:rsidRPr="00DC409C" w:rsidRDefault="00DC409C" w:rsidP="00607602">
      <w:pPr>
        <w:pStyle w:val="Heading2"/>
        <w:rPr>
          <w:lang w:val="en-US"/>
        </w:rPr>
      </w:pPr>
      <w:bookmarkStart w:id="2" w:name="_socExx_Provision_(examples)"/>
      <w:bookmarkEnd w:id="2"/>
      <w:r w:rsidRPr="00DC409C">
        <w:rPr>
          <w:lang w:val="en-US"/>
        </w:rPr>
        <w:t>socExx Provision (examples)</w:t>
      </w:r>
    </w:p>
    <w:p w:rsidR="00DC409C" w:rsidRPr="00DC409C" w:rsidRDefault="00DC409C" w:rsidP="00DC409C">
      <w:pPr>
        <w:numPr>
          <w:ilvl w:val="0"/>
          <w:numId w:val="2"/>
        </w:numPr>
        <w:contextualSpacing/>
        <w:rPr>
          <w:rFonts w:ascii="Calibri" w:hAnsi="Calibri" w:cs="Calibri"/>
          <w:lang w:val="en-US"/>
        </w:rPr>
      </w:pPr>
      <w:r w:rsidRPr="00DC409C">
        <w:rPr>
          <w:rFonts w:ascii="Calibri" w:hAnsi="Calibri" w:cs="Calibri"/>
          <w:lang w:val="en-US"/>
        </w:rPr>
        <w:t xml:space="preserve">A. Syrmas paying 53 francs to A. Kourinis [Captain A. Syrmas (provider) paid A. Kourinis (receiver) 53 francs for buying 41 bars of soap. </w:t>
      </w:r>
      <w:r w:rsidRPr="00DC409C">
        <w:rPr>
          <w:rFonts w:ascii="Calibri" w:hAnsi="Calibri" w:cs="Calibri"/>
          <w:lang w:val="en-US"/>
        </w:rPr>
        <w:br/>
        <w:t xml:space="preserve">[The purchase was made on behalf of the ship-owner company.] </w:t>
      </w:r>
      <w:r w:rsidRPr="00DC409C">
        <w:rPr>
          <w:rFonts w:ascii="Calibri" w:hAnsi="Calibri" w:cs="Calibri"/>
          <w:lang w:val="en-US"/>
        </w:rPr>
        <w:br/>
        <w:t>(Account book ‘D.S.Skyliytsis’, 1896)</w:t>
      </w:r>
    </w:p>
    <w:p w:rsidR="00DC409C" w:rsidRPr="00DC409C" w:rsidRDefault="00DC409C" w:rsidP="00DC409C">
      <w:pPr>
        <w:numPr>
          <w:ilvl w:val="0"/>
          <w:numId w:val="2"/>
        </w:numPr>
        <w:contextualSpacing/>
        <w:rPr>
          <w:rFonts w:ascii="Calibri" w:hAnsi="Calibri" w:cs="Calibri"/>
          <w:lang w:val="en-US"/>
        </w:rPr>
      </w:pPr>
      <w:r w:rsidRPr="00DC409C">
        <w:rPr>
          <w:rFonts w:ascii="Calibri" w:hAnsi="Calibri" w:cs="Calibri"/>
          <w:lang w:val="en-US"/>
        </w:rPr>
        <w:t>A. Kourinis handing out 41 bars of soap to A. Syrmas. (Account book ‘D.S.Skyliytsis’, 1896)</w:t>
      </w:r>
      <w:r w:rsidRPr="00DC409C">
        <w:rPr>
          <w:rFonts w:ascii="Calibri" w:hAnsi="Calibri" w:cs="Calibri"/>
          <w:vertAlign w:val="superscript"/>
          <w:lang w:val="en-US"/>
        </w:rPr>
        <w:t xml:space="preserve"> </w:t>
      </w:r>
    </w:p>
    <w:p w:rsidR="00DC409C" w:rsidRPr="00DC409C" w:rsidRDefault="00DC409C" w:rsidP="00DC409C">
      <w:pPr>
        <w:numPr>
          <w:ilvl w:val="0"/>
          <w:numId w:val="2"/>
        </w:numPr>
        <w:contextualSpacing/>
        <w:rPr>
          <w:rFonts w:ascii="Calibri" w:hAnsi="Calibri" w:cs="Calibri"/>
          <w:lang w:val="en-US"/>
        </w:rPr>
      </w:pPr>
      <w:r w:rsidRPr="00DC409C">
        <w:rPr>
          <w:rFonts w:ascii="Calibri" w:hAnsi="Calibri" w:cs="Calibri"/>
          <w:lang w:val="en-US"/>
        </w:rPr>
        <w:t>the ship-owner company paying the forfeit of 40,000 francs to the local Port Authorities</w:t>
      </w:r>
      <w:r w:rsidRPr="00DC409C">
        <w:rPr>
          <w:rFonts w:ascii="Calibri" w:hAnsi="Calibri" w:cs="Calibri"/>
          <w:lang w:val="en-US"/>
        </w:rPr>
        <w:br/>
        <w:t>[On 12</w:t>
      </w:r>
      <w:r w:rsidRPr="00DC409C">
        <w:rPr>
          <w:rFonts w:ascii="Calibri" w:hAnsi="Calibri" w:cs="Calibri"/>
          <w:vertAlign w:val="superscript"/>
          <w:lang w:val="en-US"/>
        </w:rPr>
        <w:t>th</w:t>
      </w:r>
      <w:r w:rsidRPr="00DC409C">
        <w:rPr>
          <w:rFonts w:ascii="Calibri" w:hAnsi="Calibri" w:cs="Calibri"/>
          <w:lang w:val="en-US"/>
        </w:rPr>
        <w:t xml:space="preserve"> December 1909, the ship-owner company (Empeirikos and others (provider)) paid a forfeit of 40,000 francs to the local Port Authorities (receiver) for damages that their ship had caused to another ship. The payment is an instance of socEXX Provision without exchange.]</w:t>
      </w:r>
      <w:r w:rsidRPr="00DC409C">
        <w:rPr>
          <w:rFonts w:ascii="Calibri" w:hAnsi="Calibri" w:cs="Calibri"/>
          <w:lang w:val="en-US"/>
        </w:rPr>
        <w:br/>
        <w:t>(Account book ‘Andriana’, 1910)</w:t>
      </w:r>
    </w:p>
    <w:p w:rsidR="00DC409C" w:rsidRPr="00DC409C" w:rsidRDefault="00DC409C" w:rsidP="00DC409C">
      <w:pPr>
        <w:numPr>
          <w:ilvl w:val="0"/>
          <w:numId w:val="2"/>
        </w:numPr>
        <w:contextualSpacing/>
        <w:rPr>
          <w:rFonts w:ascii="Calibri" w:hAnsi="Calibri" w:cs="Calibri"/>
          <w:lang w:val="en-US"/>
        </w:rPr>
      </w:pPr>
      <w:r w:rsidRPr="00DC409C">
        <w:rPr>
          <w:rFonts w:ascii="Calibri" w:hAnsi="Calibri" w:cs="Calibri"/>
          <w:lang w:val="en-US"/>
        </w:rPr>
        <w:t>A. Syrmas paying 50 pounds sterling to policemen</w:t>
      </w:r>
      <w:r w:rsidRPr="00DC409C">
        <w:rPr>
          <w:rFonts w:ascii="Calibri" w:hAnsi="Calibri" w:cs="Calibri"/>
          <w:lang w:val="en-US"/>
        </w:rPr>
        <w:br/>
        <w:t>[Captain A. Syrmas (provider) paid 50 pounds sterling to policemen (receiver) to prohibit the ship’s crew from leaving the ship.]</w:t>
      </w:r>
      <w:r w:rsidRPr="00DC409C">
        <w:rPr>
          <w:rFonts w:ascii="Calibri" w:hAnsi="Calibri" w:cs="Calibri"/>
          <w:lang w:val="en-US"/>
        </w:rPr>
        <w:br/>
        <w:t>(Account book ‘D.S.Skyliytsis’, 1896)</w:t>
      </w:r>
    </w:p>
    <w:p w:rsidR="00DC409C" w:rsidRPr="00DC409C" w:rsidRDefault="00DC409C" w:rsidP="00DC409C">
      <w:pPr>
        <w:numPr>
          <w:ilvl w:val="0"/>
          <w:numId w:val="2"/>
        </w:numPr>
        <w:contextualSpacing/>
        <w:rPr>
          <w:rFonts w:ascii="Calibri" w:hAnsi="Calibri" w:cs="Calibri"/>
          <w:lang w:val="en-US"/>
        </w:rPr>
      </w:pPr>
      <w:r w:rsidRPr="00DC409C">
        <w:rPr>
          <w:rFonts w:ascii="Calibri" w:hAnsi="Calibri" w:cs="Calibri"/>
          <w:lang w:val="en-US"/>
        </w:rPr>
        <w:t xml:space="preserve">the service of policing the ship provided to A. Syrmas by policemen </w:t>
      </w:r>
      <w:r w:rsidRPr="00DC409C">
        <w:rPr>
          <w:rFonts w:ascii="Calibri" w:hAnsi="Calibri" w:cs="Calibri"/>
          <w:lang w:val="en-US"/>
        </w:rPr>
        <w:br/>
        <w:t>(Account book ‘D.S.Skyliytsis’, 1896)</w:t>
      </w:r>
    </w:p>
    <w:p w:rsidR="00DC409C" w:rsidRPr="00DC409C" w:rsidRDefault="00DC409C" w:rsidP="00DC409C">
      <w:pPr>
        <w:numPr>
          <w:ilvl w:val="0"/>
          <w:numId w:val="2"/>
        </w:numPr>
        <w:contextualSpacing/>
        <w:rPr>
          <w:rFonts w:ascii="Calibri" w:hAnsi="Calibri" w:cs="Calibri"/>
          <w:lang w:val="en-US"/>
        </w:rPr>
      </w:pPr>
      <w:r w:rsidRPr="00DC409C">
        <w:rPr>
          <w:rFonts w:ascii="Calibri" w:hAnsi="Calibri" w:cs="Calibri"/>
          <w:lang w:val="en-US"/>
        </w:rPr>
        <w:t xml:space="preserve">the ship-owner company (provider) giving a gift of 200,000 francs to the Captain A. Syrmas </w:t>
      </w:r>
      <w:r w:rsidRPr="00DC409C">
        <w:rPr>
          <w:rFonts w:ascii="Calibri" w:hAnsi="Calibri" w:cs="Calibri"/>
          <w:lang w:val="en-US"/>
        </w:rPr>
        <w:br/>
        <w:t>[The payment is an instance of socExx Provision, but it does not entail a business obligation.]</w:t>
      </w:r>
      <w:r w:rsidRPr="00DC409C">
        <w:rPr>
          <w:rFonts w:ascii="Calibri" w:hAnsi="Calibri" w:cs="Calibri"/>
          <w:lang w:val="en-US"/>
        </w:rPr>
        <w:br/>
        <w:t>(Account book ‘D.S.Skyliytsis’, 1896)</w:t>
      </w:r>
    </w:p>
    <w:p w:rsidR="00DC409C" w:rsidRDefault="00DC409C" w:rsidP="00DC409C">
      <w:pPr>
        <w:numPr>
          <w:ilvl w:val="0"/>
          <w:numId w:val="2"/>
        </w:numPr>
        <w:contextualSpacing/>
        <w:rPr>
          <w:rFonts w:ascii="Calibri" w:hAnsi="Calibri" w:cs="Calibri"/>
          <w:lang w:val="en-US"/>
        </w:rPr>
      </w:pPr>
      <w:r w:rsidRPr="00DC409C">
        <w:rPr>
          <w:rFonts w:ascii="Calibri" w:hAnsi="Calibri" w:cs="Calibri"/>
          <w:lang w:val="en-US"/>
        </w:rPr>
        <w:t xml:space="preserve">the payment of 1,000 francs by A. Syrmas to Foscolo Mango and Co. on 24/5/1899 </w:t>
      </w:r>
      <w:r w:rsidRPr="00DC409C">
        <w:rPr>
          <w:rFonts w:ascii="Calibri" w:hAnsi="Calibri" w:cs="Calibri"/>
          <w:lang w:val="en-US"/>
        </w:rPr>
        <w:br/>
        <w:t xml:space="preserve">[During the 3rd voyage of the ship “D.S.Skylitsis” from Constantinople to Genova, which lasted from 8th May 1899 until 2 June 1899, there was an instance of a transaction between the captain of the D. S. Skylitsis and A. Apostolaton, the latter acting as a mediator on behalf of Foscolo Mango and Co. The transaction took place on 24th May 1899, and A. Apostolaton received 1,000 francs on behalf of Foscolo Mango and Co..] </w:t>
      </w:r>
      <w:r w:rsidRPr="00DC409C">
        <w:rPr>
          <w:rFonts w:ascii="Calibri" w:hAnsi="Calibri" w:cs="Calibri"/>
          <w:lang w:val="en-US"/>
        </w:rPr>
        <w:br/>
        <w:t>(Account book ‘D.S.Skylitsis’, 1900)</w:t>
      </w:r>
    </w:p>
    <w:p w:rsidR="00607602" w:rsidRPr="00DC409C" w:rsidRDefault="00607602" w:rsidP="00607602">
      <w:pPr>
        <w:contextualSpacing/>
        <w:rPr>
          <w:rFonts w:ascii="Calibri" w:hAnsi="Calibri" w:cs="Calibri"/>
          <w:lang w:val="en-US"/>
        </w:rPr>
      </w:pPr>
    </w:p>
    <w:p w:rsidR="00DC409C" w:rsidRPr="00DC409C" w:rsidRDefault="00DC409C" w:rsidP="00607602">
      <w:pPr>
        <w:pStyle w:val="Heading2"/>
        <w:rPr>
          <w:lang w:val="en-US"/>
        </w:rPr>
      </w:pPr>
      <w:bookmarkStart w:id="3" w:name="_socExx_Business_Obligation"/>
      <w:bookmarkEnd w:id="3"/>
      <w:r w:rsidRPr="00DC409C">
        <w:rPr>
          <w:lang w:val="en-US"/>
        </w:rPr>
        <w:lastRenderedPageBreak/>
        <w:t>socExx Busine</w:t>
      </w:r>
      <w:bookmarkStart w:id="4" w:name="_GoBack"/>
      <w:bookmarkEnd w:id="4"/>
      <w:r w:rsidRPr="00DC409C">
        <w:rPr>
          <w:lang w:val="en-US"/>
        </w:rPr>
        <w:t>ss Obligation (examples)</w:t>
      </w:r>
    </w:p>
    <w:p w:rsidR="00DC409C" w:rsidRPr="00DC409C" w:rsidRDefault="00DC409C" w:rsidP="00DC409C">
      <w:pPr>
        <w:numPr>
          <w:ilvl w:val="0"/>
          <w:numId w:val="2"/>
        </w:numPr>
        <w:contextualSpacing/>
        <w:rPr>
          <w:rFonts w:ascii="Calibri" w:hAnsi="Calibri" w:cs="Calibri"/>
          <w:lang w:val="en-US"/>
        </w:rPr>
      </w:pPr>
      <w:r w:rsidRPr="00DC409C">
        <w:rPr>
          <w:rFonts w:ascii="Calibri" w:hAnsi="Calibri" w:cs="Calibri"/>
          <w:lang w:val="en-US"/>
        </w:rPr>
        <w:t xml:space="preserve">the obligation of A. Syrmas to pay 1,000 francs to Foscolo Mango and Co. </w:t>
      </w:r>
      <w:r w:rsidRPr="00DC409C">
        <w:rPr>
          <w:rFonts w:ascii="Calibri" w:hAnsi="Calibri" w:cs="Calibri"/>
          <w:lang w:val="en-US"/>
        </w:rPr>
        <w:br/>
        <w:t>[During the 3</w:t>
      </w:r>
      <w:r w:rsidRPr="00DC409C">
        <w:rPr>
          <w:rFonts w:ascii="Calibri" w:hAnsi="Calibri" w:cs="Calibri"/>
          <w:vertAlign w:val="superscript"/>
          <w:lang w:val="en-US"/>
        </w:rPr>
        <w:t>rd</w:t>
      </w:r>
      <w:r w:rsidRPr="00DC409C">
        <w:rPr>
          <w:rFonts w:ascii="Calibri" w:hAnsi="Calibri" w:cs="Calibri"/>
          <w:lang w:val="en-US"/>
        </w:rPr>
        <w:t xml:space="preserve"> voyage of the ship “D.S.Skylitsis” from Constantinople to Genova, which lasted from 8</w:t>
      </w:r>
      <w:r w:rsidRPr="00DC409C">
        <w:rPr>
          <w:rFonts w:ascii="Calibri" w:hAnsi="Calibri" w:cs="Calibri"/>
          <w:vertAlign w:val="superscript"/>
          <w:lang w:val="en-US"/>
        </w:rPr>
        <w:t>th</w:t>
      </w:r>
      <w:r w:rsidRPr="00DC409C">
        <w:rPr>
          <w:rFonts w:ascii="Calibri" w:hAnsi="Calibri" w:cs="Calibri"/>
          <w:lang w:val="en-US"/>
        </w:rPr>
        <w:t xml:space="preserve"> May 1899 until 2 June 1899, there was an instance of a transaction between the captain of the D.S. Skylitsis and A. Apostolaton, the latter acting as a mediator on behalf of Foscolo Mango and Co. The transaction took place on 24</w:t>
      </w:r>
      <w:r w:rsidRPr="00DC409C">
        <w:rPr>
          <w:rFonts w:ascii="Calibri" w:hAnsi="Calibri" w:cs="Calibri"/>
          <w:vertAlign w:val="superscript"/>
          <w:lang w:val="en-US"/>
        </w:rPr>
        <w:t>th</w:t>
      </w:r>
      <w:r w:rsidRPr="00DC409C">
        <w:rPr>
          <w:rFonts w:ascii="Calibri" w:hAnsi="Calibri" w:cs="Calibri"/>
          <w:lang w:val="en-US"/>
        </w:rPr>
        <w:t xml:space="preserve"> May 1899, A. Apostolaton received 1,000 francs on behalf of Foscolo Mango and Co.. A. Syrmas’s obligation was terminated by that payment.] </w:t>
      </w:r>
      <w:r w:rsidRPr="00DC409C">
        <w:rPr>
          <w:rFonts w:ascii="Calibri" w:hAnsi="Calibri" w:cs="Calibri"/>
          <w:lang w:val="en-US"/>
        </w:rPr>
        <w:br/>
        <w:t>(Account book ‘D.S.Skylitsis’, 1900)</w:t>
      </w:r>
    </w:p>
    <w:p w:rsidR="00DC409C" w:rsidRPr="00DC409C" w:rsidRDefault="00DC409C" w:rsidP="00DC409C">
      <w:pPr>
        <w:rPr>
          <w:lang w:val="en-US"/>
        </w:rPr>
      </w:pPr>
    </w:p>
    <w:p w:rsidR="00DC409C" w:rsidRPr="00DC409C" w:rsidRDefault="00DC409C" w:rsidP="00DC409C">
      <w:pPr>
        <w:rPr>
          <w:b/>
          <w:bCs/>
          <w:lang w:val="en-US"/>
        </w:rPr>
      </w:pPr>
      <w:r w:rsidRPr="00DC409C">
        <w:rPr>
          <w:b/>
          <w:bCs/>
          <w:lang w:val="en-US"/>
        </w:rPr>
        <w:t xml:space="preserve">FULL REFERENCES: </w:t>
      </w:r>
    </w:p>
    <w:p w:rsidR="00DC409C" w:rsidRPr="00DC409C" w:rsidRDefault="00DC409C" w:rsidP="00DC409C">
      <w:pPr>
        <w:numPr>
          <w:ilvl w:val="0"/>
          <w:numId w:val="2"/>
        </w:numPr>
        <w:contextualSpacing/>
        <w:rPr>
          <w:rFonts w:ascii="Calibri" w:hAnsi="Calibri" w:cs="Calibri"/>
          <w:lang w:val="en-US"/>
        </w:rPr>
      </w:pPr>
      <w:r w:rsidRPr="00DC409C">
        <w:rPr>
          <w:rFonts w:ascii="Calibri" w:hAnsi="Calibri" w:cs="Calibri"/>
          <w:lang w:val="en-US"/>
        </w:rPr>
        <w:t>Account Book of ship Andriana, 5/6/1906-5/2/1910 Captain A.Syrmas, Book no 15.</w:t>
      </w:r>
    </w:p>
    <w:p w:rsidR="00DC409C" w:rsidRPr="00DC409C" w:rsidRDefault="00DC409C" w:rsidP="00DC409C">
      <w:pPr>
        <w:numPr>
          <w:ilvl w:val="0"/>
          <w:numId w:val="2"/>
        </w:numPr>
        <w:contextualSpacing/>
        <w:rPr>
          <w:rFonts w:ascii="Calibri" w:hAnsi="Calibri" w:cs="Calibri"/>
          <w:lang w:val="en-US"/>
        </w:rPr>
      </w:pPr>
      <w:r w:rsidRPr="00DC409C">
        <w:rPr>
          <w:rFonts w:ascii="Calibri" w:hAnsi="Calibri" w:cs="Calibri"/>
          <w:lang w:val="en-US"/>
        </w:rPr>
        <w:t xml:space="preserve"> Account Book of ship D.S.Skyliytsis, 28/9/1895-19/10/1896 Captain A.Syrmas,Book no5</w:t>
      </w:r>
    </w:p>
    <w:p w:rsidR="00DC409C" w:rsidRPr="00DC409C" w:rsidRDefault="00DC409C" w:rsidP="00DC409C">
      <w:pPr>
        <w:numPr>
          <w:ilvl w:val="0"/>
          <w:numId w:val="2"/>
        </w:numPr>
        <w:contextualSpacing/>
        <w:rPr>
          <w:rFonts w:ascii="Calibri" w:hAnsi="Calibri" w:cs="Calibri"/>
          <w:lang w:val="en-US"/>
        </w:rPr>
      </w:pPr>
      <w:r w:rsidRPr="00DC409C">
        <w:rPr>
          <w:rFonts w:ascii="Calibri" w:hAnsi="Calibri" w:cs="Calibri"/>
          <w:lang w:val="en-US"/>
        </w:rPr>
        <w:t>Account Book of ship D.S.Skyliytsis, 7/19/98 1899 and 1900. Captain A.Syrmas, Book No 6</w:t>
      </w:r>
    </w:p>
    <w:p w:rsidR="00DC409C" w:rsidRPr="00DC409C" w:rsidRDefault="00DC409C">
      <w:pPr>
        <w:rPr>
          <w:lang w:val="en-US"/>
        </w:rPr>
      </w:pPr>
      <w:bookmarkStart w:id="5" w:name="_[NEW_ISSUE]:_Which"/>
      <w:bookmarkEnd w:id="5"/>
    </w:p>
    <w:sectPr w:rsidR="00DC409C" w:rsidRPr="00DC4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B79" w:rsidRDefault="003E7B79" w:rsidP="00DC409C">
      <w:pPr>
        <w:spacing w:after="0" w:line="240" w:lineRule="auto"/>
      </w:pPr>
      <w:r>
        <w:separator/>
      </w:r>
    </w:p>
  </w:endnote>
  <w:endnote w:type="continuationSeparator" w:id="0">
    <w:p w:rsidR="003E7B79" w:rsidRDefault="003E7B79" w:rsidP="00DC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B79" w:rsidRDefault="003E7B79" w:rsidP="00DC409C">
      <w:pPr>
        <w:spacing w:after="0" w:line="240" w:lineRule="auto"/>
      </w:pPr>
      <w:r>
        <w:separator/>
      </w:r>
    </w:p>
  </w:footnote>
  <w:footnote w:type="continuationSeparator" w:id="0">
    <w:p w:rsidR="003E7B79" w:rsidRDefault="003E7B79" w:rsidP="00DC4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17556"/>
    <w:multiLevelType w:val="multilevel"/>
    <w:tmpl w:val="474A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C50FFA"/>
    <w:multiLevelType w:val="hybridMultilevel"/>
    <w:tmpl w:val="A4A61FD4"/>
    <w:lvl w:ilvl="0" w:tplc="6D9C64B4">
      <w:start w:val="1"/>
      <w:numFmt w:val="lowerLetter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9C"/>
    <w:rsid w:val="00101EFF"/>
    <w:rsid w:val="001610BE"/>
    <w:rsid w:val="003E6363"/>
    <w:rsid w:val="003E7B79"/>
    <w:rsid w:val="00607602"/>
    <w:rsid w:val="00694415"/>
    <w:rsid w:val="00825A6A"/>
    <w:rsid w:val="0086270E"/>
    <w:rsid w:val="00A458C8"/>
    <w:rsid w:val="00A47BEA"/>
    <w:rsid w:val="00CF522C"/>
    <w:rsid w:val="00D90C2E"/>
    <w:rsid w:val="00DC409C"/>
    <w:rsid w:val="00E80655"/>
    <w:rsid w:val="00EB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F2DF1"/>
  <w15:chartTrackingRefBased/>
  <w15:docId w15:val="{F0A5A917-9C24-4D46-85E4-D256052B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09C"/>
    <w:pPr>
      <w:suppressAutoHyphens/>
      <w:spacing w:after="120" w:line="300" w:lineRule="atLeast"/>
    </w:pPr>
    <w:rPr>
      <w:rFonts w:cs="Verdana"/>
      <w:sz w:val="20"/>
      <w:szCs w:val="20"/>
      <w:lang w:val="el-GR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6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76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409C"/>
    <w:pPr>
      <w:keepNext/>
      <w:keepLines/>
      <w:spacing w:before="36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n">
    <w:name w:val="Fn"/>
    <w:basedOn w:val="FootnoteText"/>
    <w:link w:val="FnChar"/>
    <w:autoRedefine/>
    <w:qFormat/>
    <w:rsid w:val="00694415"/>
    <w:rPr>
      <w:sz w:val="18"/>
      <w:szCs w:val="22"/>
    </w:rPr>
  </w:style>
  <w:style w:type="character" w:customStyle="1" w:styleId="FnChar">
    <w:name w:val="Fn Char"/>
    <w:basedOn w:val="FootnoteTextChar"/>
    <w:link w:val="Fn"/>
    <w:rsid w:val="00694415"/>
    <w:rPr>
      <w:rFonts w:cs="Verdana"/>
      <w:sz w:val="18"/>
      <w:szCs w:val="20"/>
      <w:lang w:val="el-GR" w:eastAsia="ar-SA"/>
    </w:rPr>
  </w:style>
  <w:style w:type="paragraph" w:styleId="FootnoteText">
    <w:name w:val="footnote text"/>
    <w:basedOn w:val="Normal"/>
    <w:link w:val="FootnoteTextChar"/>
    <w:autoRedefine/>
    <w:qFormat/>
    <w:rsid w:val="00101EFF"/>
  </w:style>
  <w:style w:type="character" w:customStyle="1" w:styleId="FootnoteTextChar">
    <w:name w:val="Footnote Text Char"/>
    <w:basedOn w:val="DefaultParagraphFont"/>
    <w:link w:val="FootnoteText"/>
    <w:rsid w:val="00101EFF"/>
    <w:rPr>
      <w:rFonts w:cs="Verdana"/>
      <w:sz w:val="20"/>
      <w:szCs w:val="20"/>
      <w:lang w:val="el-GR" w:eastAsia="ar-SA"/>
    </w:rPr>
  </w:style>
  <w:style w:type="paragraph" w:customStyle="1" w:styleId="Footnotes">
    <w:name w:val="Footnotes"/>
    <w:basedOn w:val="FootnoteText"/>
    <w:link w:val="FootnotesChar"/>
    <w:autoRedefine/>
    <w:qFormat/>
    <w:rsid w:val="00825A6A"/>
    <w:rPr>
      <w:szCs w:val="22"/>
    </w:rPr>
  </w:style>
  <w:style w:type="character" w:customStyle="1" w:styleId="FootnotesChar">
    <w:name w:val="Footnotes Char"/>
    <w:basedOn w:val="FootnoteTextChar"/>
    <w:link w:val="Footnotes"/>
    <w:rsid w:val="00825A6A"/>
    <w:rPr>
      <w:rFonts w:ascii="Calibri" w:hAnsi="Calibri" w:cs="Verdana"/>
      <w:sz w:val="20"/>
      <w:szCs w:val="20"/>
      <w:lang w:val="el-GR"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DC409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ar-SA"/>
    </w:rPr>
  </w:style>
  <w:style w:type="character" w:styleId="Hyperlink">
    <w:name w:val="Hyperlink"/>
    <w:basedOn w:val="DefaultParagraphFont"/>
    <w:uiPriority w:val="99"/>
    <w:unhideWhenUsed/>
    <w:rsid w:val="00DC40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409C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DC409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806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02"/>
    <w:rPr>
      <w:rFonts w:ascii="Segoe UI" w:hAnsi="Segoe UI" w:cs="Segoe UI"/>
      <w:sz w:val="18"/>
      <w:szCs w:val="18"/>
      <w:lang w:val="el-GR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60760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l-GR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6076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doc-crm.org/Issue/ID-557-which-family-model-should-classes-i-provision-and-ii-business-obligation-appear-un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Tsoulouha Eleni</dc:creator>
  <cp:keywords/>
  <dc:description/>
  <cp:lastModifiedBy>Tsoulouha Eleni</cp:lastModifiedBy>
  <cp:revision>1</cp:revision>
  <dcterms:created xsi:type="dcterms:W3CDTF">2021-09-30T10:43:00Z</dcterms:created>
  <dcterms:modified xsi:type="dcterms:W3CDTF">2021-09-30T11:24:00Z</dcterms:modified>
</cp:coreProperties>
</file>