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B561" w14:textId="77777777" w:rsidR="00C128E4" w:rsidRPr="00C128E4" w:rsidRDefault="00C128E4" w:rsidP="00C128E4">
      <w:r w:rsidRPr="00C128E4">
        <w:t xml:space="preserve">TV presented the HW that he and AK had for this issue. </w:t>
      </w:r>
    </w:p>
    <w:p w14:paraId="72E128B8" w14:textId="77777777" w:rsidR="00C128E4" w:rsidRPr="00C128E4" w:rsidRDefault="00C128E4" w:rsidP="00C128E4">
      <w:pPr>
        <w:numPr>
          <w:ilvl w:val="0"/>
          <w:numId w:val="1"/>
        </w:numPr>
      </w:pPr>
      <w:r w:rsidRPr="00C128E4">
        <w:t xml:space="preserve">Provide the missing reference to the paper by Gangemi that the definition of I11 Situation was based on: </w:t>
      </w:r>
      <w:r w:rsidRPr="00C128E4">
        <w:br/>
      </w:r>
      <w:r w:rsidRPr="00C128E4">
        <w:rPr>
          <w:b/>
          <w:bCs/>
        </w:rPr>
        <w:t>A. Gangemi and P. Mika.</w:t>
      </w:r>
      <w:r w:rsidRPr="00C128E4">
        <w:t xml:space="preserve"> Understanding the semantic web through descriptions and situations. In Proceedings of DOA/</w:t>
      </w:r>
      <w:proofErr w:type="spellStart"/>
      <w:r w:rsidRPr="00C128E4">
        <w:t>CoopIS</w:t>
      </w:r>
      <w:proofErr w:type="spellEnd"/>
      <w:r w:rsidRPr="00C128E4">
        <w:t xml:space="preserve">/ODBASE 2003 Confederated International Conferences DOA, </w:t>
      </w:r>
      <w:proofErr w:type="spellStart"/>
      <w:r w:rsidRPr="00C128E4">
        <w:t>CoopIS</w:t>
      </w:r>
      <w:proofErr w:type="spellEnd"/>
      <w:r w:rsidRPr="00C128E4">
        <w:t xml:space="preserve"> and ODBASE, LNCS. </w:t>
      </w:r>
      <w:proofErr w:type="spellStart"/>
      <w:r w:rsidRPr="00C128E4">
        <w:rPr>
          <w:lang w:val="el-GR"/>
        </w:rPr>
        <w:t>Springer</w:t>
      </w:r>
      <w:proofErr w:type="spellEnd"/>
      <w:r w:rsidRPr="00C128E4">
        <w:rPr>
          <w:lang w:val="el-GR"/>
        </w:rPr>
        <w:t>, 2003.</w:t>
      </w:r>
    </w:p>
    <w:p w14:paraId="42E41CEB" w14:textId="77777777" w:rsidR="00C128E4" w:rsidRPr="00C128E4" w:rsidRDefault="00C128E4" w:rsidP="00C128E4">
      <w:pPr>
        <w:numPr>
          <w:ilvl w:val="0"/>
          <w:numId w:val="1"/>
        </w:numPr>
      </w:pPr>
      <w:r w:rsidRPr="00C128E4">
        <w:rPr>
          <w:u w:val="single"/>
        </w:rPr>
        <w:t>Draft an example to showcase the use of this class</w:t>
      </w:r>
      <w:r w:rsidRPr="00C128E4">
        <w:t xml:space="preserve">. </w:t>
      </w:r>
    </w:p>
    <w:p w14:paraId="443649CC" w14:textId="77777777" w:rsidR="00C128E4" w:rsidRPr="00C128E4" w:rsidRDefault="00C128E4" w:rsidP="00C128E4">
      <w:pPr>
        <w:numPr>
          <w:ilvl w:val="1"/>
          <w:numId w:val="1"/>
        </w:numPr>
      </w:pPr>
      <w:r w:rsidRPr="00C128E4">
        <w:t xml:space="preserve">the persistence of the value of the pH for sample XIV during the period of the pH measurement, which took place one month after the application of </w:t>
      </w:r>
      <w:proofErr w:type="gramStart"/>
      <w:r w:rsidRPr="00C128E4">
        <w:t>Ca(</w:t>
      </w:r>
      <w:proofErr w:type="gramEnd"/>
      <w:r w:rsidRPr="00C128E4">
        <w:t>OH)</w:t>
      </w:r>
      <w:r w:rsidRPr="00C128E4">
        <w:rPr>
          <w:vertAlign w:val="subscript"/>
        </w:rPr>
        <w:t>2</w:t>
      </w:r>
      <w:r w:rsidRPr="00C128E4">
        <w:t xml:space="preserve"> dispersion to the sample (</w:t>
      </w:r>
      <w:proofErr w:type="spellStart"/>
      <w:r w:rsidRPr="00C128E4">
        <w:t>Giori</w:t>
      </w:r>
      <w:proofErr w:type="spellEnd"/>
      <w:r w:rsidRPr="00C128E4">
        <w:t xml:space="preserve"> et al., 2002)</w:t>
      </w:r>
    </w:p>
    <w:p w14:paraId="71B9FC8F" w14:textId="77777777" w:rsidR="00C128E4" w:rsidRPr="00C128E4" w:rsidRDefault="00C128E4" w:rsidP="00C128E4">
      <w:pPr>
        <w:numPr>
          <w:ilvl w:val="2"/>
          <w:numId w:val="1"/>
        </w:numPr>
      </w:pPr>
      <w:r w:rsidRPr="00C128E4">
        <w:rPr>
          <w:b/>
          <w:bCs/>
        </w:rPr>
        <w:t>Reference</w:t>
      </w:r>
      <w:r w:rsidRPr="00C128E4">
        <w:t xml:space="preserve">: </w:t>
      </w:r>
      <w:r w:rsidRPr="00C128E4">
        <w:br/>
      </w:r>
      <w:proofErr w:type="spellStart"/>
      <w:r w:rsidRPr="00C128E4">
        <w:rPr>
          <w:b/>
          <w:bCs/>
        </w:rPr>
        <w:t>Rodorico</w:t>
      </w:r>
      <w:proofErr w:type="spellEnd"/>
      <w:r w:rsidRPr="00C128E4">
        <w:rPr>
          <w:b/>
          <w:bCs/>
        </w:rPr>
        <w:t xml:space="preserve"> Giorgi, Luigi Dei, Claudius Schettino &amp; Piero Baglioni</w:t>
      </w:r>
      <w:r w:rsidRPr="00C128E4">
        <w:t xml:space="preserve"> (2002) A NEW METHOD FOR PAPER DEACIDIFICATION BASED ON CALCIUM HYDROXIDE DISPERSED IN NONAQUEOUS MEDIA, Studies in Conservation, 47:sup3, 69-73, DOI: 10.1179/sic.2002.</w:t>
      </w:r>
      <w:proofErr w:type="gramStart"/>
      <w:r w:rsidRPr="00C128E4">
        <w:t>47.s</w:t>
      </w:r>
      <w:proofErr w:type="gramEnd"/>
      <w:r w:rsidRPr="00C128E4">
        <w:t>3.014</w:t>
      </w:r>
    </w:p>
    <w:p w14:paraId="071AF7E8" w14:textId="77777777" w:rsidR="00C128E4" w:rsidRPr="00C128E4" w:rsidRDefault="00C128E4" w:rsidP="00C128E4">
      <w:r w:rsidRPr="00C128E4">
        <w:rPr>
          <w:b/>
          <w:bCs/>
        </w:rPr>
        <w:t>Discussion points</w:t>
      </w:r>
      <w:r w:rsidRPr="00C128E4">
        <w:t xml:space="preserve">: </w:t>
      </w:r>
    </w:p>
    <w:p w14:paraId="30A53FCC" w14:textId="77777777" w:rsidR="00C128E4" w:rsidRPr="00C128E4" w:rsidRDefault="00C128E4" w:rsidP="00C128E4">
      <w:r w:rsidRPr="00C128E4">
        <w:rPr>
          <w:b/>
          <w:bCs/>
        </w:rPr>
        <w:t>MD</w:t>
      </w:r>
      <w:r w:rsidRPr="00C128E4">
        <w:t xml:space="preserve">: likes the example, but the definition of the class is incomplete, what is still missing is a property whereby to link I11 to the timespan for which the situation was assessed. </w:t>
      </w:r>
    </w:p>
    <w:p w14:paraId="4E8D37A5" w14:textId="77777777" w:rsidR="00C128E4" w:rsidRPr="00C128E4" w:rsidRDefault="00C128E4" w:rsidP="00C128E4">
      <w:r w:rsidRPr="00C128E4">
        <w:rPr>
          <w:b/>
          <w:bCs/>
        </w:rPr>
        <w:t>FB</w:t>
      </w:r>
      <w:r w:rsidRPr="00C128E4">
        <w:t xml:space="preserve">: The example we discussed is more relevant for CRMsci not CRMinf. It does not raise an argument, merely reports on an observation. Furthermore, the relevance of </w:t>
      </w:r>
      <w:proofErr w:type="spellStart"/>
      <w:r w:rsidRPr="00C128E4">
        <w:t>Gangemi’s</w:t>
      </w:r>
      <w:proofErr w:type="spellEnd"/>
      <w:r w:rsidRPr="00C128E4">
        <w:t xml:space="preserve"> paper is not clear to him. He thinks this construct can be directly applied to CRMbase or CRMsoc even, instead. And the example is very physics-related. Also, the last version of CRMinf dates from October 2019 and the evolution of the model is not visible to anyone not involved in maintaining it. </w:t>
      </w:r>
    </w:p>
    <w:p w14:paraId="1A9C9A2C" w14:textId="77777777" w:rsidR="00C128E4" w:rsidRPr="00C128E4" w:rsidRDefault="00C128E4" w:rsidP="00C128E4">
      <w:r w:rsidRPr="00C128E4">
        <w:rPr>
          <w:b/>
          <w:bCs/>
        </w:rPr>
        <w:t>MD</w:t>
      </w:r>
      <w:r w:rsidRPr="00C128E4">
        <w:t xml:space="preserve">: Situation was moved to CRMinf because it is an epistemic construct. Arguments heavily draw on situations (they are about situations or they are grounded on situations). As for the relevance of the paper by Gangemi: the definition of Situation follows from Gangemi &amp; Mika (2003)’s line of work. As for the discussions re. the evolution of the model, they are documented in the issue and are accessible through the website.  </w:t>
      </w:r>
    </w:p>
    <w:p w14:paraId="04D34CAD" w14:textId="50CE3CE3" w:rsidR="00C128E4" w:rsidRPr="00C128E4" w:rsidRDefault="00C128E4" w:rsidP="00C128E4">
      <w:r w:rsidRPr="00C128E4">
        <w:rPr>
          <w:b/>
          <w:bCs/>
        </w:rPr>
        <w:t>Decision</w:t>
      </w:r>
      <w:r w:rsidRPr="00C128E4">
        <w:t xml:space="preserve">: </w:t>
      </w:r>
      <w:r>
        <w:t xml:space="preserve">Accept the example. </w:t>
      </w:r>
      <w:r w:rsidRPr="00C128E4">
        <w:t xml:space="preserve"> </w:t>
      </w:r>
    </w:p>
    <w:p w14:paraId="39312F49" w14:textId="77777777" w:rsidR="00C128E4" w:rsidRPr="00C128E4" w:rsidRDefault="00C128E4" w:rsidP="00C128E4">
      <w:r w:rsidRPr="00C128E4">
        <w:rPr>
          <w:b/>
          <w:bCs/>
        </w:rPr>
        <w:t>HW</w:t>
      </w:r>
      <w:r w:rsidRPr="00C128E4">
        <w:t>: DH to provide suchlike examples from the perspective of museums and exhibitions.</w:t>
      </w:r>
    </w:p>
    <w:p w14:paraId="2EEFE454" w14:textId="77777777" w:rsidR="00C128E4" w:rsidRPr="00C128E4" w:rsidRDefault="00C128E4" w:rsidP="00C128E4">
      <w:r w:rsidRPr="00C128E4">
        <w:rPr>
          <w:b/>
          <w:bCs/>
        </w:rPr>
        <w:t>HW</w:t>
      </w:r>
      <w:r w:rsidRPr="00C128E4">
        <w:t xml:space="preserve">: ET to start a new issue re the property linking I11 to the timespan for which it held. </w:t>
      </w:r>
    </w:p>
    <w:p w14:paraId="336838DC" w14:textId="77777777" w:rsidR="00C128E4" w:rsidRDefault="00C128E4"/>
    <w:sectPr w:rsidR="00C12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4292D"/>
    <w:multiLevelType w:val="hybridMultilevel"/>
    <w:tmpl w:val="75A0FA4A"/>
    <w:lvl w:ilvl="0" w:tplc="31EA3F5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E4"/>
    <w:rsid w:val="00C1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33E8"/>
  <w15:chartTrackingRefBased/>
  <w15:docId w15:val="{5D33C532-BFFE-4520-99D1-CB286BC5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2021-09-29T08:41:00Z</dcterms:created>
  <dcterms:modified xsi:type="dcterms:W3CDTF">2021-09-29T08:42:00Z</dcterms:modified>
</cp:coreProperties>
</file>