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DF0" w:rsidRDefault="000B2DF0" w:rsidP="000B2DF0">
      <w:pPr>
        <w:pStyle w:val="Heading2"/>
      </w:pPr>
      <w:bookmarkStart w:id="0" w:name="_Toc46491392"/>
      <w:r>
        <w:t xml:space="preserve">Issue 426 –Scope note for </w:t>
      </w:r>
      <w:proofErr w:type="spellStart"/>
      <w:r>
        <w:t>Pxxx</w:t>
      </w:r>
      <w:proofErr w:type="spellEnd"/>
      <w:r>
        <w:t xml:space="preserve"> holds or supports</w:t>
      </w:r>
      <w:bookmarkEnd w:id="0"/>
      <w:r>
        <w:t xml:space="preserve"> </w:t>
      </w:r>
    </w:p>
    <w:p w:rsidR="000B2DF0" w:rsidRDefault="000B2DF0" w:rsidP="000B2DF0">
      <w:pPr>
        <w:pStyle w:val="Heading3"/>
      </w:pPr>
      <w:bookmarkStart w:id="1" w:name="_Toc46491393"/>
      <w:r w:rsidRPr="00681CB1">
        <w:t>HW</w:t>
      </w:r>
      <w:r>
        <w:t xml:space="preserve"> by RS:</w:t>
      </w:r>
      <w:bookmarkEnd w:id="1"/>
      <w:r>
        <w:t xml:space="preserve"> </w:t>
      </w:r>
    </w:p>
    <w:p w:rsidR="000B2DF0" w:rsidRPr="004A2A68" w:rsidRDefault="000B2DF0" w:rsidP="000B2DF0">
      <w:r>
        <w:t xml:space="preserve">This is </w:t>
      </w:r>
      <w:r w:rsidRPr="002B30BC">
        <w:rPr>
          <w:b/>
          <w:bCs/>
        </w:rPr>
        <w:t>NOT</w:t>
      </w:r>
      <w:r>
        <w:t xml:space="preserve"> the final version.</w:t>
      </w:r>
      <w:r w:rsidRPr="00DB5013">
        <w:t xml:space="preserve"> </w:t>
      </w:r>
      <w:r>
        <w:t xml:space="preserve">For the final version see </w:t>
      </w:r>
      <w:hyperlink w:anchor="_Issue_426_–HW_1" w:history="1">
        <w:r w:rsidRPr="004A2A68">
          <w:rPr>
            <w:rStyle w:val="Hyperlink"/>
          </w:rPr>
          <w:t>below</w:t>
        </w:r>
      </w:hyperlink>
    </w:p>
    <w:p w:rsidR="000B2DF0" w:rsidRPr="007D5EA1" w:rsidRDefault="000B2DF0" w:rsidP="000B2DF0">
      <w:pPr>
        <w:spacing w:after="0"/>
        <w:rPr>
          <w:b/>
          <w:bCs/>
          <w:sz w:val="20"/>
          <w:szCs w:val="20"/>
        </w:rPr>
      </w:pPr>
      <w:r w:rsidRPr="007D5EA1">
        <w:rPr>
          <w:b/>
          <w:bCs/>
          <w:sz w:val="20"/>
          <w:szCs w:val="20"/>
        </w:rPr>
        <w:t xml:space="preserve">P198 holds or supports </w:t>
      </w:r>
    </w:p>
    <w:p w:rsidR="000B2DF0" w:rsidRPr="007D5EA1" w:rsidRDefault="000B2DF0" w:rsidP="000B2DF0">
      <w:pPr>
        <w:spacing w:after="0"/>
        <w:rPr>
          <w:sz w:val="20"/>
          <w:szCs w:val="20"/>
        </w:rPr>
      </w:pPr>
      <w:r w:rsidRPr="007D5EA1">
        <w:rPr>
          <w:sz w:val="20"/>
          <w:szCs w:val="20"/>
        </w:rPr>
        <w:t xml:space="preserve">Domain: </w:t>
      </w:r>
      <w:r w:rsidRPr="007D5EA1">
        <w:rPr>
          <w:sz w:val="20"/>
          <w:szCs w:val="20"/>
        </w:rPr>
        <w:tab/>
      </w:r>
      <w:r w:rsidRPr="007D5EA1">
        <w:rPr>
          <w:sz w:val="20"/>
          <w:szCs w:val="20"/>
        </w:rPr>
        <w:tab/>
        <w:t>E18 Physical Thing</w:t>
      </w:r>
    </w:p>
    <w:p w:rsidR="000B2DF0" w:rsidRPr="007D5EA1" w:rsidRDefault="000B2DF0" w:rsidP="000B2DF0">
      <w:pPr>
        <w:spacing w:after="0"/>
        <w:rPr>
          <w:sz w:val="20"/>
          <w:szCs w:val="20"/>
        </w:rPr>
      </w:pPr>
      <w:r w:rsidRPr="007D5EA1">
        <w:rPr>
          <w:sz w:val="20"/>
          <w:szCs w:val="20"/>
        </w:rPr>
        <w:t xml:space="preserve">Range: </w:t>
      </w:r>
      <w:r w:rsidRPr="007D5EA1">
        <w:rPr>
          <w:sz w:val="20"/>
          <w:szCs w:val="20"/>
        </w:rPr>
        <w:tab/>
      </w:r>
      <w:r w:rsidRPr="007D5EA1">
        <w:rPr>
          <w:sz w:val="20"/>
          <w:szCs w:val="20"/>
        </w:rPr>
        <w:tab/>
      </w:r>
      <w:r w:rsidRPr="007D5EA1">
        <w:rPr>
          <w:sz w:val="20"/>
          <w:szCs w:val="20"/>
        </w:rPr>
        <w:tab/>
        <w:t>E18 Physical Thing</w:t>
      </w:r>
    </w:p>
    <w:p w:rsidR="000B2DF0" w:rsidRPr="007D5EA1" w:rsidRDefault="000B2DF0" w:rsidP="000B2DF0">
      <w:pPr>
        <w:spacing w:after="0"/>
        <w:rPr>
          <w:sz w:val="20"/>
          <w:szCs w:val="20"/>
        </w:rPr>
      </w:pPr>
      <w:proofErr w:type="spellStart"/>
      <w:r w:rsidRPr="007D5EA1">
        <w:rPr>
          <w:sz w:val="20"/>
          <w:szCs w:val="20"/>
        </w:rPr>
        <w:t>Superproperty</w:t>
      </w:r>
      <w:proofErr w:type="spellEnd"/>
      <w:r w:rsidRPr="007D5EA1">
        <w:rPr>
          <w:sz w:val="20"/>
          <w:szCs w:val="20"/>
        </w:rPr>
        <w:t xml:space="preserve"> of: </w:t>
      </w:r>
      <w:r w:rsidRPr="007D5EA1">
        <w:rPr>
          <w:sz w:val="20"/>
          <w:szCs w:val="20"/>
        </w:rPr>
        <w:tab/>
      </w:r>
    </w:p>
    <w:p w:rsidR="000B2DF0" w:rsidRPr="007D5EA1" w:rsidRDefault="000B2DF0" w:rsidP="000B2DF0">
      <w:pPr>
        <w:rPr>
          <w:sz w:val="20"/>
          <w:szCs w:val="20"/>
        </w:rPr>
      </w:pPr>
      <w:r w:rsidRPr="007D5EA1">
        <w:rPr>
          <w:sz w:val="20"/>
          <w:szCs w:val="20"/>
        </w:rPr>
        <w:t xml:space="preserve">Quantification: </w:t>
      </w:r>
      <w:r w:rsidRPr="007D5EA1">
        <w:rPr>
          <w:sz w:val="20"/>
          <w:szCs w:val="20"/>
        </w:rPr>
        <w:tab/>
      </w:r>
      <w:r w:rsidRPr="007D5EA1">
        <w:rPr>
          <w:sz w:val="20"/>
          <w:szCs w:val="20"/>
        </w:rPr>
        <w:tab/>
        <w:t>many to many</w:t>
      </w:r>
    </w:p>
    <w:p w:rsidR="000B2DF0" w:rsidRPr="007D5EA1" w:rsidRDefault="000B2DF0" w:rsidP="000B2DF0">
      <w:pPr>
        <w:ind w:left="2070" w:hanging="2070"/>
        <w:rPr>
          <w:sz w:val="20"/>
          <w:szCs w:val="20"/>
        </w:rPr>
      </w:pPr>
      <w:r w:rsidRPr="007D5EA1">
        <w:rPr>
          <w:sz w:val="20"/>
          <w:szCs w:val="20"/>
        </w:rPr>
        <w:t xml:space="preserve">Scope Note: </w:t>
      </w:r>
      <w:r w:rsidRPr="007D5EA1">
        <w:rPr>
          <w:sz w:val="20"/>
          <w:szCs w:val="20"/>
        </w:rPr>
        <w:tab/>
        <w:t xml:space="preserve">This property relates one instance of E18 Physical Thing which acts as a container or support for another instance of E18 Physical Thing. Typical examples of containers or supports include shelves, folders or boxes that provide a surface upon which is intended for other physical objects to be placed for storage, display, transport or other functions. </w:t>
      </w:r>
      <w:proofErr w:type="spellStart"/>
      <w:r w:rsidRPr="007D5EA1">
        <w:rPr>
          <w:sz w:val="20"/>
          <w:szCs w:val="20"/>
        </w:rPr>
        <w:t>Pxxx</w:t>
      </w:r>
      <w:proofErr w:type="spellEnd"/>
      <w:r w:rsidRPr="007D5EA1">
        <w:rPr>
          <w:sz w:val="20"/>
          <w:szCs w:val="20"/>
        </w:rPr>
        <w:t xml:space="preserve"> holds or supports is a shortcut of the more fully developed path from the domain E18 Physical Thing through P59 has section, E53 Place, P53i is former or current location of, to the range E18 Physical Thing.  It is not a sub-property of P46 is composed of, as the held or supported object is not a component of the container or support.</w:t>
      </w:r>
    </w:p>
    <w:p w:rsidR="000B2DF0" w:rsidRPr="007D5EA1" w:rsidRDefault="000B2DF0" w:rsidP="000B2DF0">
      <w:pPr>
        <w:ind w:left="2070"/>
        <w:rPr>
          <w:sz w:val="20"/>
          <w:szCs w:val="20"/>
        </w:rPr>
      </w:pPr>
      <w:r w:rsidRPr="007D5EA1">
        <w:rPr>
          <w:sz w:val="20"/>
          <w:szCs w:val="20"/>
        </w:rPr>
        <w:t>This property can be used to avoid explicitly instantiating the E53 Place which is defined by an instance of E18 Physical Thing, especially when the only intended use of that instance of E18 Physical Thing is to act as a container or surface for the storage of other instances of E18 Physical Thing. The place’s existence is defined by the existence of the container or surface, and will go out of existence at the same time as the Destruction of the container or surface.</w:t>
      </w:r>
    </w:p>
    <w:p w:rsidR="000B2DF0" w:rsidRPr="007D5EA1" w:rsidRDefault="000B2DF0" w:rsidP="000B2DF0">
      <w:pPr>
        <w:spacing w:after="0"/>
        <w:rPr>
          <w:sz w:val="20"/>
          <w:szCs w:val="20"/>
        </w:rPr>
      </w:pPr>
      <w:r w:rsidRPr="007D5EA1">
        <w:rPr>
          <w:sz w:val="20"/>
          <w:szCs w:val="20"/>
        </w:rPr>
        <w:t xml:space="preserve">Examples: </w:t>
      </w:r>
    </w:p>
    <w:p w:rsidR="000B2DF0" w:rsidRPr="007D5EA1" w:rsidRDefault="000B2DF0" w:rsidP="000B2DF0">
      <w:pPr>
        <w:pStyle w:val="ListParagraph"/>
        <w:numPr>
          <w:ilvl w:val="0"/>
          <w:numId w:val="1"/>
        </w:numPr>
        <w:rPr>
          <w:sz w:val="20"/>
          <w:szCs w:val="20"/>
        </w:rPr>
      </w:pPr>
      <w:r w:rsidRPr="007D5EA1">
        <w:rPr>
          <w:sz w:val="20"/>
          <w:szCs w:val="20"/>
        </w:rPr>
        <w:t xml:space="preserve">archival folder “6” (E22) </w:t>
      </w:r>
      <w:r w:rsidRPr="007D5EA1">
        <w:rPr>
          <w:i/>
          <w:iCs/>
          <w:sz w:val="20"/>
          <w:szCs w:val="20"/>
        </w:rPr>
        <w:t>holds or supports</w:t>
      </w:r>
      <w:r w:rsidRPr="007D5EA1">
        <w:rPr>
          <w:sz w:val="20"/>
          <w:szCs w:val="20"/>
        </w:rPr>
        <w:t xml:space="preserve"> the piece of paper (E22) carrying the text of a letter from </w:t>
      </w:r>
      <w:proofErr w:type="spellStart"/>
      <w:r w:rsidRPr="007D5EA1">
        <w:rPr>
          <w:sz w:val="20"/>
          <w:szCs w:val="20"/>
        </w:rPr>
        <w:t>Alloway</w:t>
      </w:r>
      <w:proofErr w:type="spellEnd"/>
      <w:r w:rsidRPr="007D5EA1">
        <w:rPr>
          <w:sz w:val="20"/>
          <w:szCs w:val="20"/>
        </w:rPr>
        <w:t xml:space="preserve"> to Sleigh</w:t>
      </w:r>
    </w:p>
    <w:p w:rsidR="000B2DF0" w:rsidRPr="007D5EA1" w:rsidRDefault="000B2DF0" w:rsidP="000B2DF0">
      <w:pPr>
        <w:pStyle w:val="ListParagraph"/>
        <w:numPr>
          <w:ilvl w:val="0"/>
          <w:numId w:val="1"/>
        </w:numPr>
        <w:rPr>
          <w:sz w:val="20"/>
          <w:szCs w:val="20"/>
        </w:rPr>
      </w:pPr>
      <w:r w:rsidRPr="007D5EA1">
        <w:rPr>
          <w:sz w:val="20"/>
          <w:szCs w:val="20"/>
        </w:rPr>
        <w:t xml:space="preserve">artist’s materials box “VG6” (E22) </w:t>
      </w:r>
      <w:r w:rsidRPr="007D5EA1">
        <w:rPr>
          <w:i/>
          <w:iCs/>
          <w:sz w:val="20"/>
          <w:szCs w:val="20"/>
        </w:rPr>
        <w:t>holds or supports</w:t>
      </w:r>
      <w:r w:rsidRPr="007D5EA1">
        <w:rPr>
          <w:sz w:val="20"/>
          <w:szCs w:val="20"/>
        </w:rPr>
        <w:t xml:space="preserve"> Van Gogh’s paintbrush 23 (E22)</w:t>
      </w:r>
    </w:p>
    <w:p w:rsidR="000B2DF0" w:rsidRPr="007D5EA1" w:rsidRDefault="000B2DF0" w:rsidP="000B2DF0">
      <w:pPr>
        <w:pStyle w:val="ListParagraph"/>
        <w:numPr>
          <w:ilvl w:val="0"/>
          <w:numId w:val="1"/>
        </w:numPr>
        <w:rPr>
          <w:sz w:val="20"/>
          <w:szCs w:val="20"/>
        </w:rPr>
      </w:pPr>
      <w:r w:rsidRPr="007D5EA1">
        <w:rPr>
          <w:sz w:val="20"/>
          <w:szCs w:val="20"/>
        </w:rPr>
        <w:t xml:space="preserve">storage box “VG” (E22) </w:t>
      </w:r>
      <w:r w:rsidRPr="007D5EA1">
        <w:rPr>
          <w:i/>
          <w:iCs/>
          <w:sz w:val="20"/>
          <w:szCs w:val="20"/>
        </w:rPr>
        <w:t>holds or supports</w:t>
      </w:r>
      <w:r w:rsidRPr="007D5EA1">
        <w:rPr>
          <w:sz w:val="20"/>
          <w:szCs w:val="20"/>
        </w:rPr>
        <w:t xml:space="preserve"> the artist’s materials box “VG6” (E22)</w:t>
      </w:r>
    </w:p>
    <w:p w:rsidR="000B2DF0" w:rsidRPr="007D5EA1" w:rsidRDefault="000B2DF0" w:rsidP="000B2DF0">
      <w:pPr>
        <w:pStyle w:val="ListParagraph"/>
        <w:numPr>
          <w:ilvl w:val="0"/>
          <w:numId w:val="1"/>
        </w:numPr>
        <w:rPr>
          <w:sz w:val="20"/>
          <w:szCs w:val="20"/>
        </w:rPr>
      </w:pPr>
      <w:r w:rsidRPr="007D5EA1">
        <w:rPr>
          <w:sz w:val="20"/>
          <w:szCs w:val="20"/>
        </w:rPr>
        <w:t>bronze coin bank “</w:t>
      </w:r>
      <w:proofErr w:type="gramStart"/>
      <w:r w:rsidRPr="007D5EA1">
        <w:rPr>
          <w:sz w:val="20"/>
          <w:szCs w:val="20"/>
        </w:rPr>
        <w:t>72.AC.</w:t>
      </w:r>
      <w:proofErr w:type="gramEnd"/>
      <w:r w:rsidRPr="007D5EA1">
        <w:rPr>
          <w:sz w:val="20"/>
          <w:szCs w:val="20"/>
        </w:rPr>
        <w:t xml:space="preserve">99” (E22) </w:t>
      </w:r>
      <w:r w:rsidRPr="007D5EA1">
        <w:rPr>
          <w:i/>
          <w:iCs/>
          <w:sz w:val="20"/>
          <w:szCs w:val="20"/>
        </w:rPr>
        <w:t>holds or supports</w:t>
      </w:r>
      <w:r w:rsidRPr="007D5EA1">
        <w:rPr>
          <w:sz w:val="20"/>
          <w:szCs w:val="20"/>
        </w:rPr>
        <w:t xml:space="preserve"> silver coin “72.AC.99-1” (E22)</w:t>
      </w:r>
    </w:p>
    <w:p w:rsidR="000B2DF0" w:rsidRPr="007D5EA1" w:rsidRDefault="000B2DF0" w:rsidP="000B2DF0">
      <w:pPr>
        <w:pStyle w:val="ListParagraph"/>
        <w:numPr>
          <w:ilvl w:val="0"/>
          <w:numId w:val="1"/>
        </w:numPr>
        <w:rPr>
          <w:sz w:val="20"/>
          <w:szCs w:val="20"/>
        </w:rPr>
      </w:pPr>
      <w:r w:rsidRPr="007D5EA1">
        <w:rPr>
          <w:sz w:val="20"/>
          <w:szCs w:val="20"/>
        </w:rPr>
        <w:t xml:space="preserve">bookshelf “GRI-708.1” (E22) </w:t>
      </w:r>
      <w:r w:rsidRPr="007D5EA1">
        <w:rPr>
          <w:i/>
          <w:iCs/>
          <w:sz w:val="20"/>
          <w:szCs w:val="20"/>
        </w:rPr>
        <w:t>holds or supports</w:t>
      </w:r>
      <w:r w:rsidRPr="007D5EA1">
        <w:rPr>
          <w:sz w:val="20"/>
          <w:szCs w:val="20"/>
        </w:rPr>
        <w:t xml:space="preserve"> the book “Catalog of Paintings in the </w:t>
      </w:r>
      <w:proofErr w:type="spellStart"/>
      <w:proofErr w:type="gramStart"/>
      <w:r w:rsidRPr="007D5EA1">
        <w:rPr>
          <w:sz w:val="20"/>
          <w:szCs w:val="20"/>
        </w:rPr>
        <w:t>J.Paul</w:t>
      </w:r>
      <w:proofErr w:type="spellEnd"/>
      <w:proofErr w:type="gramEnd"/>
      <w:r w:rsidRPr="007D5EA1">
        <w:rPr>
          <w:sz w:val="20"/>
          <w:szCs w:val="20"/>
        </w:rPr>
        <w:t xml:space="preserve"> Gerry Museum” (E22)</w:t>
      </w:r>
    </w:p>
    <w:p w:rsidR="000B2DF0" w:rsidRPr="00681CB1" w:rsidRDefault="000B2DF0" w:rsidP="000B2DF0">
      <w:pPr>
        <w:pStyle w:val="Heading3"/>
      </w:pPr>
      <w:bookmarkStart w:id="2" w:name="_The_final_version_1"/>
      <w:bookmarkStart w:id="3" w:name="_Toc46491394"/>
      <w:bookmarkEnd w:id="2"/>
      <w:r w:rsidRPr="00681CB1">
        <w:t>The final version of the property</w:t>
      </w:r>
      <w:bookmarkEnd w:id="3"/>
      <w:r w:rsidRPr="00681CB1">
        <w:t xml:space="preserve"> </w:t>
      </w:r>
    </w:p>
    <w:p w:rsidR="000B2DF0" w:rsidRPr="0029050F" w:rsidRDefault="000B2DF0" w:rsidP="000B2DF0">
      <w:pPr>
        <w:spacing w:after="0"/>
        <w:rPr>
          <w:rFonts w:ascii="Calibri" w:hAnsi="Calibri" w:cs="Calibri"/>
          <w:b/>
          <w:sz w:val="20"/>
          <w:szCs w:val="20"/>
        </w:rPr>
      </w:pPr>
      <w:r w:rsidRPr="0029050F">
        <w:rPr>
          <w:rFonts w:ascii="Calibri" w:hAnsi="Calibri" w:cs="Calibri"/>
          <w:b/>
          <w:sz w:val="20"/>
          <w:szCs w:val="20"/>
        </w:rPr>
        <w:t xml:space="preserve">P198 holds or supports </w:t>
      </w:r>
    </w:p>
    <w:p w:rsidR="000B2DF0" w:rsidRPr="0029050F" w:rsidRDefault="000B2DF0" w:rsidP="000B2DF0">
      <w:pPr>
        <w:spacing w:after="0"/>
        <w:rPr>
          <w:rFonts w:ascii="Calibri" w:hAnsi="Calibri" w:cs="Calibri"/>
          <w:sz w:val="20"/>
          <w:szCs w:val="20"/>
        </w:rPr>
      </w:pPr>
      <w:r w:rsidRPr="0029050F">
        <w:rPr>
          <w:rFonts w:ascii="Calibri" w:hAnsi="Calibri" w:cs="Calibri"/>
          <w:sz w:val="20"/>
          <w:szCs w:val="20"/>
        </w:rPr>
        <w:t xml:space="preserve">Domain: </w:t>
      </w:r>
      <w:r w:rsidRPr="0029050F">
        <w:rPr>
          <w:rFonts w:ascii="Calibri" w:hAnsi="Calibri" w:cs="Calibri"/>
          <w:sz w:val="20"/>
          <w:szCs w:val="20"/>
        </w:rPr>
        <w:tab/>
        <w:t>E18 Physical Thing</w:t>
      </w:r>
    </w:p>
    <w:p w:rsidR="000B2DF0" w:rsidRPr="0029050F" w:rsidRDefault="000B2DF0" w:rsidP="000B2DF0">
      <w:pPr>
        <w:spacing w:after="0"/>
        <w:rPr>
          <w:rFonts w:ascii="Calibri" w:hAnsi="Calibri" w:cs="Calibri"/>
          <w:sz w:val="20"/>
          <w:szCs w:val="20"/>
        </w:rPr>
      </w:pPr>
      <w:r w:rsidRPr="0029050F">
        <w:rPr>
          <w:rFonts w:ascii="Calibri" w:hAnsi="Calibri" w:cs="Calibri"/>
          <w:sz w:val="20"/>
          <w:szCs w:val="20"/>
        </w:rPr>
        <w:t xml:space="preserve">Range: </w:t>
      </w:r>
      <w:r w:rsidRPr="0029050F">
        <w:rPr>
          <w:rFonts w:ascii="Calibri" w:hAnsi="Calibri" w:cs="Calibri"/>
          <w:sz w:val="20"/>
          <w:szCs w:val="20"/>
        </w:rPr>
        <w:tab/>
      </w:r>
      <w:r w:rsidRPr="0029050F">
        <w:rPr>
          <w:rFonts w:ascii="Calibri" w:hAnsi="Calibri" w:cs="Calibri"/>
          <w:sz w:val="20"/>
          <w:szCs w:val="20"/>
        </w:rPr>
        <w:tab/>
        <w:t>E18 Physical Thing</w:t>
      </w:r>
    </w:p>
    <w:p w:rsidR="000B2DF0" w:rsidRDefault="000B2DF0" w:rsidP="000B2DF0">
      <w:pPr>
        <w:rPr>
          <w:rFonts w:ascii="Calibri" w:hAnsi="Calibri" w:cs="Calibri"/>
          <w:sz w:val="20"/>
          <w:szCs w:val="20"/>
        </w:rPr>
      </w:pPr>
      <w:r w:rsidRPr="0029050F">
        <w:rPr>
          <w:rFonts w:ascii="Calibri" w:hAnsi="Calibri" w:cs="Calibri"/>
          <w:sz w:val="20"/>
          <w:szCs w:val="20"/>
        </w:rPr>
        <w:t xml:space="preserve">Quantification: </w:t>
      </w:r>
      <w:r w:rsidRPr="0029050F">
        <w:rPr>
          <w:rFonts w:ascii="Calibri" w:hAnsi="Calibri" w:cs="Calibri"/>
          <w:sz w:val="20"/>
          <w:szCs w:val="20"/>
        </w:rPr>
        <w:tab/>
        <w:t>one to many</w:t>
      </w:r>
    </w:p>
    <w:p w:rsidR="000B2DF0" w:rsidRDefault="000B2DF0" w:rsidP="000B2DF0">
      <w:pPr>
        <w:ind w:left="1440" w:hanging="1440"/>
        <w:rPr>
          <w:rFonts w:ascii="Calibri" w:hAnsi="Calibri" w:cs="Calibri"/>
          <w:sz w:val="20"/>
          <w:szCs w:val="20"/>
        </w:rPr>
      </w:pPr>
      <w:r w:rsidRPr="0029050F">
        <w:rPr>
          <w:rFonts w:ascii="Calibri" w:hAnsi="Calibri" w:cs="Calibri"/>
          <w:sz w:val="20"/>
          <w:szCs w:val="20"/>
        </w:rPr>
        <w:t>Scope Note</w:t>
      </w:r>
      <w:r>
        <w:rPr>
          <w:rFonts w:ascii="Calibri" w:hAnsi="Calibri" w:cs="Calibri"/>
          <w:sz w:val="20"/>
          <w:szCs w:val="20"/>
        </w:rPr>
        <w:t xml:space="preserve">: </w:t>
      </w:r>
      <w:r>
        <w:rPr>
          <w:rFonts w:ascii="Calibri" w:hAnsi="Calibri" w:cs="Calibri"/>
          <w:sz w:val="20"/>
          <w:szCs w:val="20"/>
        </w:rPr>
        <w:tab/>
      </w:r>
      <w:r w:rsidRPr="0029050F">
        <w:rPr>
          <w:rFonts w:ascii="Calibri" w:hAnsi="Calibri" w:cs="Calibri"/>
          <w:sz w:val="20"/>
          <w:szCs w:val="20"/>
        </w:rPr>
        <w:t xml:space="preserve">This property relates one instance of E18 Physical Thing which acts as a container or support to a supported or contained instance of E18 Physical Thing. Typical examples of E18 Physical Things which are intended to function as a container or support include shelves, folders or boxes. These containers or supports provide a stable surface which is intended for other physical objects to be placed upon for storage, display, transport or other similar functions. </w:t>
      </w:r>
      <w:r w:rsidRPr="0002406E">
        <w:rPr>
          <w:rFonts w:ascii="Calibri" w:hAnsi="Calibri" w:cs="Calibri"/>
          <w:i/>
          <w:sz w:val="20"/>
          <w:szCs w:val="20"/>
        </w:rPr>
        <w:t>P198 holds or supports</w:t>
      </w:r>
      <w:r w:rsidRPr="0029050F">
        <w:rPr>
          <w:rFonts w:ascii="Calibri" w:hAnsi="Calibri" w:cs="Calibri"/>
          <w:sz w:val="20"/>
          <w:szCs w:val="20"/>
        </w:rPr>
        <w:t xml:space="preserve"> is a shortcut of the more fully developed path from the domain E18 Physical Thing through </w:t>
      </w:r>
      <w:r w:rsidRPr="0002406E">
        <w:rPr>
          <w:rFonts w:ascii="Calibri" w:hAnsi="Calibri" w:cs="Calibri"/>
          <w:i/>
          <w:sz w:val="20"/>
          <w:szCs w:val="20"/>
        </w:rPr>
        <w:t>P59 has section</w:t>
      </w:r>
      <w:r w:rsidRPr="0029050F">
        <w:rPr>
          <w:rFonts w:ascii="Calibri" w:hAnsi="Calibri" w:cs="Calibri"/>
          <w:sz w:val="20"/>
          <w:szCs w:val="20"/>
        </w:rPr>
        <w:t xml:space="preserve">, E53 Place, </w:t>
      </w:r>
      <w:r w:rsidRPr="0002406E">
        <w:rPr>
          <w:rFonts w:ascii="Calibri" w:hAnsi="Calibri" w:cs="Calibri"/>
          <w:i/>
          <w:sz w:val="20"/>
          <w:szCs w:val="20"/>
        </w:rPr>
        <w:t>P53i is former or current location</w:t>
      </w:r>
      <w:r w:rsidRPr="0029050F">
        <w:rPr>
          <w:rFonts w:ascii="Calibri" w:hAnsi="Calibri" w:cs="Calibri"/>
          <w:sz w:val="20"/>
          <w:szCs w:val="20"/>
        </w:rPr>
        <w:t xml:space="preserve"> of, to the range E18 Physical Thing.  It is not a sub-property of P46 is composed of, as the held or supported object is not a component of the container or support.</w:t>
      </w:r>
      <w:r>
        <w:rPr>
          <w:rFonts w:ascii="Calibri" w:hAnsi="Calibri" w:cs="Calibri"/>
          <w:sz w:val="20"/>
          <w:szCs w:val="20"/>
        </w:rPr>
        <w:tab/>
      </w:r>
    </w:p>
    <w:p w:rsidR="000B2DF0" w:rsidRPr="0029050F" w:rsidRDefault="000B2DF0" w:rsidP="000B2DF0">
      <w:pPr>
        <w:ind w:left="1440"/>
        <w:rPr>
          <w:rFonts w:ascii="Calibri" w:hAnsi="Calibri" w:cs="Calibri"/>
          <w:sz w:val="20"/>
          <w:szCs w:val="20"/>
        </w:rPr>
      </w:pPr>
      <w:r w:rsidRPr="0029050F">
        <w:rPr>
          <w:rFonts w:ascii="Calibri" w:hAnsi="Calibri" w:cs="Calibri"/>
          <w:sz w:val="20"/>
          <w:szCs w:val="20"/>
        </w:rPr>
        <w:lastRenderedPageBreak/>
        <w:t>This property can be used to avoid explicitly instantiating the E53 Place which is defined by an instance of E18 Physical Thing, especially when the only intended use of that instance of E18 Physical Thing is to act as a container or surface for the storage of other instances of E18 Physical Thing. The place’s existence is defined by the existence of the container or surface, and will go out of existence at the same time as the Destruction of the container or surface. This property is transitive.</w:t>
      </w:r>
    </w:p>
    <w:p w:rsidR="000B2DF0" w:rsidRPr="0029050F" w:rsidRDefault="000B2DF0" w:rsidP="000B2DF0">
      <w:pPr>
        <w:spacing w:after="0"/>
        <w:rPr>
          <w:rFonts w:ascii="Calibri" w:hAnsi="Calibri" w:cs="Calibri"/>
          <w:sz w:val="20"/>
          <w:szCs w:val="20"/>
        </w:rPr>
      </w:pPr>
      <w:r w:rsidRPr="0029050F">
        <w:rPr>
          <w:rFonts w:ascii="Calibri" w:hAnsi="Calibri" w:cs="Calibri"/>
          <w:sz w:val="20"/>
          <w:szCs w:val="20"/>
        </w:rPr>
        <w:t>Examples</w:t>
      </w:r>
    </w:p>
    <w:p w:rsidR="000B2DF0" w:rsidRPr="0029050F" w:rsidRDefault="000B2DF0" w:rsidP="000B2DF0">
      <w:pPr>
        <w:rPr>
          <w:rFonts w:ascii="Calibri" w:hAnsi="Calibri" w:cs="Calibri"/>
          <w:sz w:val="20"/>
          <w:szCs w:val="20"/>
        </w:rPr>
      </w:pPr>
    </w:p>
    <w:p w:rsidR="000B2DF0" w:rsidRPr="0029050F" w:rsidRDefault="000B2DF0" w:rsidP="000B2DF0">
      <w:pPr>
        <w:pStyle w:val="ListParagraph"/>
        <w:numPr>
          <w:ilvl w:val="0"/>
          <w:numId w:val="2"/>
        </w:numPr>
        <w:rPr>
          <w:rFonts w:ascii="Calibri" w:hAnsi="Calibri" w:cs="Calibri"/>
          <w:sz w:val="20"/>
          <w:szCs w:val="20"/>
        </w:rPr>
      </w:pPr>
      <w:r w:rsidRPr="0029050F">
        <w:rPr>
          <w:rFonts w:ascii="Calibri" w:hAnsi="Calibri" w:cs="Calibri"/>
          <w:sz w:val="20"/>
          <w:szCs w:val="20"/>
        </w:rPr>
        <w:t xml:space="preserve">Archival folder “1” (E22) </w:t>
      </w:r>
      <w:r w:rsidRPr="0029050F">
        <w:rPr>
          <w:rFonts w:ascii="Calibri" w:hAnsi="Calibri" w:cs="Calibri"/>
          <w:i/>
          <w:sz w:val="20"/>
          <w:szCs w:val="20"/>
        </w:rPr>
        <w:t>holds or supports</w:t>
      </w:r>
      <w:r w:rsidRPr="0029050F">
        <w:rPr>
          <w:rFonts w:ascii="Calibri" w:hAnsi="Calibri" w:cs="Calibri"/>
          <w:sz w:val="20"/>
          <w:szCs w:val="20"/>
        </w:rPr>
        <w:t xml:space="preserve"> the piece of paper (E22) carrying the text of a letter from </w:t>
      </w:r>
      <w:proofErr w:type="spellStart"/>
      <w:r w:rsidRPr="0029050F">
        <w:rPr>
          <w:rFonts w:ascii="Calibri" w:hAnsi="Calibri" w:cs="Calibri"/>
          <w:sz w:val="20"/>
          <w:szCs w:val="20"/>
        </w:rPr>
        <w:t>Alloway</w:t>
      </w:r>
      <w:proofErr w:type="spellEnd"/>
      <w:r w:rsidRPr="0029050F">
        <w:rPr>
          <w:rFonts w:ascii="Calibri" w:hAnsi="Calibri" w:cs="Calibri"/>
          <w:sz w:val="20"/>
          <w:szCs w:val="20"/>
        </w:rPr>
        <w:t xml:space="preserve"> to Sleigh written in 1953</w:t>
      </w:r>
    </w:p>
    <w:p w:rsidR="000B2DF0" w:rsidRPr="0029050F" w:rsidRDefault="000B2DF0" w:rsidP="000B2DF0">
      <w:pPr>
        <w:pStyle w:val="ListParagraph"/>
        <w:numPr>
          <w:ilvl w:val="0"/>
          <w:numId w:val="2"/>
        </w:numPr>
        <w:rPr>
          <w:rFonts w:ascii="Calibri" w:hAnsi="Calibri" w:cs="Calibri"/>
          <w:sz w:val="20"/>
          <w:szCs w:val="20"/>
        </w:rPr>
      </w:pPr>
      <w:r w:rsidRPr="0029050F">
        <w:rPr>
          <w:rFonts w:ascii="Calibri" w:hAnsi="Calibri" w:cs="Calibri"/>
          <w:sz w:val="20"/>
          <w:szCs w:val="20"/>
        </w:rPr>
        <w:t xml:space="preserve">Archival box "6" (E22) </w:t>
      </w:r>
      <w:r w:rsidRPr="0029050F">
        <w:rPr>
          <w:rFonts w:ascii="Calibri" w:hAnsi="Calibri" w:cs="Calibri"/>
          <w:i/>
          <w:sz w:val="20"/>
          <w:szCs w:val="20"/>
        </w:rPr>
        <w:t>holds or supports</w:t>
      </w:r>
      <w:r w:rsidRPr="0029050F">
        <w:rPr>
          <w:rFonts w:ascii="Calibri" w:hAnsi="Calibri" w:cs="Calibri"/>
          <w:sz w:val="20"/>
          <w:szCs w:val="20"/>
        </w:rPr>
        <w:t xml:space="preserve"> the archival folder "1" (E22)</w:t>
      </w:r>
    </w:p>
    <w:p w:rsidR="000B2DF0" w:rsidRPr="0029050F" w:rsidRDefault="000B2DF0" w:rsidP="000B2DF0">
      <w:pPr>
        <w:pStyle w:val="ListParagraph"/>
        <w:numPr>
          <w:ilvl w:val="0"/>
          <w:numId w:val="2"/>
        </w:numPr>
        <w:rPr>
          <w:rFonts w:ascii="Calibri" w:hAnsi="Calibri" w:cs="Calibri"/>
          <w:sz w:val="20"/>
          <w:szCs w:val="20"/>
        </w:rPr>
      </w:pPr>
      <w:r w:rsidRPr="0029050F">
        <w:rPr>
          <w:rFonts w:ascii="Calibri" w:hAnsi="Calibri" w:cs="Calibri"/>
          <w:sz w:val="20"/>
          <w:szCs w:val="20"/>
        </w:rPr>
        <w:t>Bookshelf “GRI.L</w:t>
      </w:r>
      <w:proofErr w:type="gramStart"/>
      <w:r w:rsidRPr="0029050F">
        <w:rPr>
          <w:rFonts w:ascii="Calibri" w:hAnsi="Calibri" w:cs="Calibri"/>
          <w:sz w:val="20"/>
          <w:szCs w:val="20"/>
        </w:rPr>
        <w:t>2.c.</w:t>
      </w:r>
      <w:proofErr w:type="gramEnd"/>
      <w:r w:rsidRPr="0029050F">
        <w:rPr>
          <w:rFonts w:ascii="Calibri" w:hAnsi="Calibri" w:cs="Calibri"/>
          <w:sz w:val="20"/>
          <w:szCs w:val="20"/>
        </w:rPr>
        <w:t>1” (E22</w:t>
      </w:r>
      <w:r w:rsidRPr="0029050F">
        <w:rPr>
          <w:rFonts w:ascii="Calibri" w:hAnsi="Calibri" w:cs="Calibri"/>
          <w:i/>
          <w:sz w:val="20"/>
          <w:szCs w:val="20"/>
        </w:rPr>
        <w:t xml:space="preserve"> holds or supports</w:t>
      </w:r>
      <w:r w:rsidRPr="0029050F">
        <w:rPr>
          <w:rFonts w:ascii="Calibri" w:hAnsi="Calibri" w:cs="Calibri"/>
          <w:sz w:val="20"/>
          <w:szCs w:val="20"/>
        </w:rPr>
        <w:t xml:space="preserve"> the copy "N582.M25 A627 2015" of the book titled “The J. Paul Getty Museum handbook of the collection” (E22)</w:t>
      </w:r>
    </w:p>
    <w:p w:rsidR="000B2DF0" w:rsidRPr="0029050F" w:rsidRDefault="000B2DF0" w:rsidP="000B2DF0">
      <w:pPr>
        <w:rPr>
          <w:rFonts w:ascii="Calibri" w:hAnsi="Calibri" w:cs="Calibri"/>
          <w:sz w:val="20"/>
          <w:szCs w:val="20"/>
        </w:rPr>
      </w:pPr>
    </w:p>
    <w:p w:rsidR="000B2DF0" w:rsidRPr="0029050F" w:rsidRDefault="000B2DF0" w:rsidP="000B2DF0">
      <w:pPr>
        <w:spacing w:after="0"/>
        <w:rPr>
          <w:rFonts w:ascii="Calibri" w:hAnsi="Calibri" w:cs="Calibri"/>
          <w:sz w:val="20"/>
          <w:szCs w:val="20"/>
        </w:rPr>
      </w:pPr>
      <w:r w:rsidRPr="0029050F">
        <w:rPr>
          <w:rFonts w:ascii="Calibri" w:hAnsi="Calibri" w:cs="Calibri"/>
          <w:sz w:val="20"/>
          <w:szCs w:val="20"/>
        </w:rPr>
        <w:t>In First Order Logic:</w:t>
      </w:r>
    </w:p>
    <w:p w:rsidR="000B2DF0" w:rsidRPr="0029050F" w:rsidRDefault="000B2DF0" w:rsidP="000B2DF0">
      <w:pPr>
        <w:spacing w:after="0"/>
        <w:ind w:left="720"/>
        <w:rPr>
          <w:rFonts w:ascii="Calibri" w:hAnsi="Calibri" w:cs="Calibri"/>
          <w:sz w:val="20"/>
          <w:szCs w:val="20"/>
        </w:rPr>
      </w:pPr>
      <w:proofErr w:type="spellStart"/>
      <w:r w:rsidRPr="0029050F">
        <w:rPr>
          <w:rFonts w:ascii="Calibri" w:hAnsi="Calibri" w:cs="Calibri"/>
          <w:sz w:val="20"/>
          <w:szCs w:val="20"/>
        </w:rPr>
        <w:t>Pxx</w:t>
      </w:r>
      <w:proofErr w:type="spellEnd"/>
      <w:r w:rsidRPr="0029050F">
        <w:rPr>
          <w:rFonts w:ascii="Calibri" w:hAnsi="Calibri" w:cs="Calibri"/>
          <w:sz w:val="20"/>
          <w:szCs w:val="20"/>
        </w:rPr>
        <w:t>(</w:t>
      </w:r>
      <w:proofErr w:type="spellStart"/>
      <w:proofErr w:type="gramStart"/>
      <w:r w:rsidRPr="0029050F">
        <w:rPr>
          <w:rFonts w:ascii="Calibri" w:hAnsi="Calibri" w:cs="Calibri"/>
          <w:sz w:val="20"/>
          <w:szCs w:val="20"/>
        </w:rPr>
        <w:t>x,y</w:t>
      </w:r>
      <w:proofErr w:type="spellEnd"/>
      <w:proofErr w:type="gramEnd"/>
      <w:r w:rsidRPr="0029050F">
        <w:rPr>
          <w:rFonts w:ascii="Calibri" w:hAnsi="Calibri" w:cs="Calibri"/>
          <w:sz w:val="20"/>
          <w:szCs w:val="20"/>
        </w:rPr>
        <w:t xml:space="preserve">) </w:t>
      </w:r>
      <w:r>
        <w:rPr>
          <w:rFonts w:ascii="Cambria Math" w:hAnsi="Cambria Math" w:cs="Cambria Math"/>
          <w:sz w:val="20"/>
          <w:szCs w:val="20"/>
        </w:rPr>
        <w:t>⇒</w:t>
      </w:r>
      <w:r w:rsidRPr="0029050F">
        <w:rPr>
          <w:rFonts w:ascii="Calibri" w:hAnsi="Calibri" w:cs="Calibri"/>
          <w:sz w:val="20"/>
          <w:szCs w:val="20"/>
        </w:rPr>
        <w:t>E18(x)</w:t>
      </w:r>
    </w:p>
    <w:p w:rsidR="000B2DF0" w:rsidRDefault="000B2DF0" w:rsidP="000B2DF0">
      <w:pPr>
        <w:spacing w:after="0"/>
        <w:ind w:left="720"/>
        <w:rPr>
          <w:rFonts w:ascii="Calibri" w:hAnsi="Calibri" w:cs="Calibri"/>
          <w:sz w:val="20"/>
          <w:szCs w:val="20"/>
        </w:rPr>
      </w:pPr>
      <w:proofErr w:type="spellStart"/>
      <w:r w:rsidRPr="0029050F">
        <w:rPr>
          <w:rFonts w:ascii="Calibri" w:hAnsi="Calibri" w:cs="Calibri"/>
          <w:sz w:val="20"/>
          <w:szCs w:val="20"/>
        </w:rPr>
        <w:t>Pxx</w:t>
      </w:r>
      <w:proofErr w:type="spellEnd"/>
      <w:r w:rsidRPr="0029050F">
        <w:rPr>
          <w:rFonts w:ascii="Calibri" w:hAnsi="Calibri" w:cs="Calibri"/>
          <w:sz w:val="20"/>
          <w:szCs w:val="20"/>
        </w:rPr>
        <w:t>(</w:t>
      </w:r>
      <w:proofErr w:type="spellStart"/>
      <w:proofErr w:type="gramStart"/>
      <w:r w:rsidRPr="0029050F">
        <w:rPr>
          <w:rFonts w:ascii="Calibri" w:hAnsi="Calibri" w:cs="Calibri"/>
          <w:sz w:val="20"/>
          <w:szCs w:val="20"/>
        </w:rPr>
        <w:t>x,y</w:t>
      </w:r>
      <w:proofErr w:type="spellEnd"/>
      <w:proofErr w:type="gramEnd"/>
      <w:r w:rsidRPr="0029050F">
        <w:rPr>
          <w:rFonts w:ascii="Calibri" w:hAnsi="Calibri" w:cs="Calibri"/>
          <w:sz w:val="20"/>
          <w:szCs w:val="20"/>
        </w:rPr>
        <w:t>)</w:t>
      </w:r>
      <w:r>
        <w:rPr>
          <w:rFonts w:ascii="Calibri" w:hAnsi="Calibri" w:cs="Calibri"/>
          <w:sz w:val="20"/>
          <w:szCs w:val="20"/>
        </w:rPr>
        <w:t xml:space="preserve"> </w:t>
      </w:r>
      <w:r>
        <w:rPr>
          <w:rFonts w:ascii="Cambria Math" w:hAnsi="Cambria Math" w:cs="Cambria Math"/>
          <w:sz w:val="20"/>
          <w:szCs w:val="20"/>
        </w:rPr>
        <w:t>⇒</w:t>
      </w:r>
      <w:r>
        <w:rPr>
          <w:rFonts w:ascii="Calibri" w:hAnsi="Calibri" w:cs="Calibri"/>
          <w:sz w:val="20"/>
          <w:szCs w:val="20"/>
        </w:rPr>
        <w:t xml:space="preserve"> E18(y)</w:t>
      </w:r>
    </w:p>
    <w:p w:rsidR="000B2DF0" w:rsidRDefault="000B2DF0" w:rsidP="000B2DF0">
      <w:pPr>
        <w:ind w:left="720"/>
        <w:rPr>
          <w:rFonts w:ascii="Calibri" w:hAnsi="Calibri" w:cs="Calibri"/>
          <w:sz w:val="20"/>
          <w:szCs w:val="20"/>
        </w:rPr>
      </w:pPr>
      <w:proofErr w:type="spellStart"/>
      <w:r w:rsidRPr="0029050F">
        <w:rPr>
          <w:rFonts w:ascii="Calibri" w:hAnsi="Calibri" w:cs="Calibri"/>
          <w:sz w:val="20"/>
          <w:szCs w:val="20"/>
        </w:rPr>
        <w:t>Pxx</w:t>
      </w:r>
      <w:proofErr w:type="spellEnd"/>
      <w:r w:rsidRPr="0029050F">
        <w:rPr>
          <w:rFonts w:ascii="Calibri" w:hAnsi="Calibri" w:cs="Calibri"/>
          <w:sz w:val="20"/>
          <w:szCs w:val="20"/>
        </w:rPr>
        <w:t>(</w:t>
      </w:r>
      <w:proofErr w:type="spellStart"/>
      <w:proofErr w:type="gramStart"/>
      <w:r w:rsidRPr="0029050F">
        <w:rPr>
          <w:rFonts w:ascii="Calibri" w:hAnsi="Calibri" w:cs="Calibri"/>
          <w:sz w:val="20"/>
          <w:szCs w:val="20"/>
        </w:rPr>
        <w:t>x,y</w:t>
      </w:r>
      <w:proofErr w:type="spellEnd"/>
      <w:proofErr w:type="gramEnd"/>
      <w:r w:rsidRPr="0029050F">
        <w:rPr>
          <w:rFonts w:ascii="Calibri" w:hAnsi="Calibri" w:cs="Calibri"/>
          <w:sz w:val="20"/>
          <w:szCs w:val="20"/>
        </w:rPr>
        <w:t xml:space="preserve">) </w:t>
      </w:r>
      <w:r>
        <w:rPr>
          <w:rFonts w:ascii="Cambria Math" w:hAnsi="Cambria Math" w:cs="Cambria Math"/>
          <w:sz w:val="20"/>
          <w:szCs w:val="20"/>
        </w:rPr>
        <w:t xml:space="preserve">⇐ </w:t>
      </w:r>
      <w:r w:rsidRPr="0029050F">
        <w:rPr>
          <w:rFonts w:ascii="Calibri" w:hAnsi="Calibri" w:cs="Calibri"/>
          <w:sz w:val="20"/>
          <w:szCs w:val="20"/>
        </w:rPr>
        <w:t>(</w:t>
      </w:r>
      <w:r w:rsidRPr="0029050F">
        <w:rPr>
          <w:rFonts w:ascii="Cambria Math" w:hAnsi="Cambria Math" w:cs="Cambria Math"/>
          <w:sz w:val="20"/>
          <w:szCs w:val="20"/>
        </w:rPr>
        <w:t>∃</w:t>
      </w:r>
      <w:r w:rsidRPr="0029050F">
        <w:rPr>
          <w:rFonts w:ascii="Calibri" w:hAnsi="Calibri" w:cs="Calibri"/>
          <w:sz w:val="20"/>
          <w:szCs w:val="20"/>
        </w:rPr>
        <w:t>z) [E53(z) ˄ P59(</w:t>
      </w:r>
      <w:proofErr w:type="spellStart"/>
      <w:r w:rsidRPr="0029050F">
        <w:rPr>
          <w:rFonts w:ascii="Calibri" w:hAnsi="Calibri" w:cs="Calibri"/>
          <w:sz w:val="20"/>
          <w:szCs w:val="20"/>
        </w:rPr>
        <w:t>x,z</w:t>
      </w:r>
      <w:proofErr w:type="spellEnd"/>
      <w:r w:rsidRPr="0029050F">
        <w:rPr>
          <w:rFonts w:ascii="Calibri" w:hAnsi="Calibri" w:cs="Calibri"/>
          <w:sz w:val="20"/>
          <w:szCs w:val="20"/>
        </w:rPr>
        <w:t>) ˄ P53i(</w:t>
      </w:r>
      <w:proofErr w:type="spellStart"/>
      <w:r w:rsidRPr="0029050F">
        <w:rPr>
          <w:rFonts w:ascii="Calibri" w:hAnsi="Calibri" w:cs="Calibri"/>
          <w:sz w:val="20"/>
          <w:szCs w:val="20"/>
        </w:rPr>
        <w:t>z,y</w:t>
      </w:r>
      <w:proofErr w:type="spellEnd"/>
      <w:r w:rsidRPr="0029050F">
        <w:rPr>
          <w:rFonts w:ascii="Calibri" w:hAnsi="Calibri" w:cs="Calibri"/>
          <w:sz w:val="20"/>
          <w:szCs w:val="20"/>
        </w:rPr>
        <w:t>)]</w:t>
      </w:r>
    </w:p>
    <w:p w:rsidR="006C16C1" w:rsidRDefault="000B2DF0">
      <w:bookmarkStart w:id="4" w:name="_GoBack"/>
      <w:bookmarkEnd w:id="4"/>
    </w:p>
    <w:sectPr w:rsidR="006C16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43B3F"/>
    <w:multiLevelType w:val="hybridMultilevel"/>
    <w:tmpl w:val="2F424DFA"/>
    <w:lvl w:ilvl="0" w:tplc="3BDA9C62">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7C53A0"/>
    <w:multiLevelType w:val="hybridMultilevel"/>
    <w:tmpl w:val="B82C04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611"/>
    <w:rsid w:val="000B2DF0"/>
    <w:rsid w:val="002C79A6"/>
    <w:rsid w:val="007C2611"/>
    <w:rsid w:val="00901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E6889E-F9E8-429D-8B92-5A27EC724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DF0"/>
  </w:style>
  <w:style w:type="paragraph" w:styleId="Heading2">
    <w:name w:val="heading 2"/>
    <w:basedOn w:val="Normal"/>
    <w:next w:val="Normal"/>
    <w:link w:val="Heading2Char"/>
    <w:uiPriority w:val="99"/>
    <w:unhideWhenUsed/>
    <w:qFormat/>
    <w:rsid w:val="000B2DF0"/>
    <w:pPr>
      <w:keepNext/>
      <w:keepLines/>
      <w:spacing w:before="40" w:after="0"/>
      <w:outlineLvl w:val="1"/>
    </w:pPr>
    <w:rPr>
      <w:rFonts w:asciiTheme="majorHAnsi" w:eastAsiaTheme="majorEastAsia" w:hAnsiTheme="majorHAnsi" w:cstheme="majorBidi"/>
      <w:b/>
      <w:color w:val="2F5496" w:themeColor="accent5" w:themeShade="BF"/>
      <w:sz w:val="28"/>
      <w:szCs w:val="26"/>
    </w:rPr>
  </w:style>
  <w:style w:type="paragraph" w:styleId="Heading3">
    <w:name w:val="heading 3"/>
    <w:aliases w:val="H3-Black"/>
    <w:basedOn w:val="Normal"/>
    <w:next w:val="Normal"/>
    <w:link w:val="Heading3Char"/>
    <w:unhideWhenUsed/>
    <w:qFormat/>
    <w:rsid w:val="000B2DF0"/>
    <w:pPr>
      <w:keepNext/>
      <w:keepLines/>
      <w:spacing w:before="40" w:after="0"/>
      <w:outlineLvl w:val="2"/>
    </w:pPr>
    <w:rPr>
      <w:rFonts w:asciiTheme="majorHAnsi" w:eastAsiaTheme="majorEastAsia" w:hAnsiTheme="majorHAnsi" w:cstheme="majorBidi"/>
      <w:b/>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0B2DF0"/>
    <w:rPr>
      <w:rFonts w:asciiTheme="majorHAnsi" w:eastAsiaTheme="majorEastAsia" w:hAnsiTheme="majorHAnsi" w:cstheme="majorBidi"/>
      <w:b/>
      <w:color w:val="2F5496" w:themeColor="accent5" w:themeShade="BF"/>
      <w:sz w:val="28"/>
      <w:szCs w:val="26"/>
    </w:rPr>
  </w:style>
  <w:style w:type="character" w:customStyle="1" w:styleId="Heading3Char">
    <w:name w:val="Heading 3 Char"/>
    <w:aliases w:val="H3-Black Char"/>
    <w:basedOn w:val="DefaultParagraphFont"/>
    <w:link w:val="Heading3"/>
    <w:rsid w:val="000B2DF0"/>
    <w:rPr>
      <w:rFonts w:asciiTheme="majorHAnsi" w:eastAsiaTheme="majorEastAsia" w:hAnsiTheme="majorHAnsi" w:cstheme="majorBidi"/>
      <w:b/>
      <w:color w:val="2E74B5" w:themeColor="accent1" w:themeShade="BF"/>
      <w:sz w:val="24"/>
      <w:szCs w:val="24"/>
    </w:rPr>
  </w:style>
  <w:style w:type="character" w:styleId="Hyperlink">
    <w:name w:val="Hyperlink"/>
    <w:basedOn w:val="DefaultParagraphFont"/>
    <w:uiPriority w:val="99"/>
    <w:unhideWhenUsed/>
    <w:rsid w:val="000B2DF0"/>
    <w:rPr>
      <w:color w:val="0000FF"/>
      <w:u w:val="single"/>
    </w:rPr>
  </w:style>
  <w:style w:type="paragraph" w:styleId="ListParagraph">
    <w:name w:val="List Paragraph"/>
    <w:basedOn w:val="Normal"/>
    <w:uiPriority w:val="34"/>
    <w:qFormat/>
    <w:rsid w:val="000B2D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583</Words>
  <Characters>3328</Characters>
  <Application>Microsoft Office Word</Application>
  <DocSecurity>0</DocSecurity>
  <Lines>27</Lines>
  <Paragraphs>7</Paragraphs>
  <ScaleCrop>false</ScaleCrop>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Bekiari Xrysoula</dc:creator>
  <cp:keywords/>
  <dc:description/>
  <cp:lastModifiedBy>Bekiari Xrysoula</cp:lastModifiedBy>
  <cp:revision>2</cp:revision>
  <dcterms:created xsi:type="dcterms:W3CDTF">2020-09-28T09:49:00Z</dcterms:created>
  <dcterms:modified xsi:type="dcterms:W3CDTF">2020-09-28T09:50:00Z</dcterms:modified>
</cp:coreProperties>
</file>