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D82" w:rsidRDefault="00736D82" w:rsidP="00A06EF1">
      <w:pPr>
        <w:pStyle w:val="Heading2"/>
      </w:pPr>
      <w:bookmarkStart w:id="0" w:name="_GoBack"/>
      <w:r>
        <w:t>549-55</w:t>
      </w:r>
      <w:r w:rsidRPr="00736D82">
        <w:rPr>
          <w:vertAlign w:val="superscript"/>
        </w:rPr>
        <w:t>th</w:t>
      </w:r>
      <w:r>
        <w:t xml:space="preserve"> SIG; minutes</w:t>
      </w:r>
    </w:p>
    <w:bookmarkEnd w:id="0"/>
    <w:p w:rsidR="00A06EF1" w:rsidRDefault="00A06EF1" w:rsidP="00A06EF1">
      <w:pPr>
        <w:rPr>
          <w:lang w:val="en-GB"/>
        </w:rPr>
      </w:pPr>
      <w:r>
        <w:rPr>
          <w:lang w:val="en-GB"/>
        </w:rPr>
        <w:t>PF presented the updated model (following decisions in the 54</w:t>
      </w:r>
      <w:r w:rsidRPr="009635BB">
        <w:rPr>
          <w:vertAlign w:val="superscript"/>
          <w:lang w:val="en-GB"/>
        </w:rPr>
        <w:t>th</w:t>
      </w:r>
      <w:r>
        <w:rPr>
          <w:lang w:val="en-GB"/>
        </w:rPr>
        <w:t xml:space="preserve"> CIDOC CRM SIG meeting in Rome and harmonization with CRMbase v7.1.2)</w:t>
      </w:r>
    </w:p>
    <w:p w:rsidR="00A06EF1" w:rsidRDefault="00A06EF1" w:rsidP="00A06EF1">
      <w:r>
        <w:t xml:space="preserve">Subtopics discussed: </w:t>
      </w:r>
    </w:p>
    <w:p w:rsidR="00A06EF1" w:rsidRDefault="00A06EF1" w:rsidP="00A06EF1">
      <w:pPr>
        <w:pStyle w:val="Heading3"/>
      </w:pPr>
      <w:r>
        <w:t>TXP16 employs script –approve scope note and examples</w:t>
      </w:r>
    </w:p>
    <w:p w:rsidR="00A06EF1" w:rsidRDefault="00A06EF1" w:rsidP="00A06EF1">
      <w:pPr>
        <w:jc w:val="both"/>
      </w:pPr>
      <w:r>
        <w:t xml:space="preserve">Details of the proposal </w:t>
      </w:r>
      <w:hyperlink w:anchor="_TXP16_employs_script" w:history="1">
        <w:r w:rsidRPr="00A06EF1">
          <w:rPr>
            <w:rStyle w:val="Hyperlink"/>
          </w:rPr>
          <w:t>below</w:t>
        </w:r>
      </w:hyperlink>
      <w:r>
        <w:t xml:space="preserve">: </w:t>
      </w:r>
    </w:p>
    <w:p w:rsidR="00A06EF1" w:rsidRDefault="00A06EF1" w:rsidP="00A06EF1">
      <w:r w:rsidRPr="00A161CE">
        <w:rPr>
          <w:b/>
        </w:rPr>
        <w:t>Discussion points</w:t>
      </w:r>
      <w:r>
        <w:t xml:space="preserve">: </w:t>
      </w:r>
    </w:p>
    <w:p w:rsidR="00A06EF1" w:rsidRDefault="00A06EF1" w:rsidP="00A06EF1">
      <w:pPr>
        <w:pStyle w:val="ListParagraph"/>
        <w:numPr>
          <w:ilvl w:val="0"/>
          <w:numId w:val="2"/>
        </w:numPr>
      </w:pPr>
      <w:r>
        <w:t>The examples were edited to temporally and semantically restrict what is meant by “the Latin script” –seeing as it has evolved over the centuries. The examples were valid despite what version of the Latin script was referred to, but the participants felt it to be clearer in this form.</w:t>
      </w:r>
    </w:p>
    <w:p w:rsidR="00A06EF1" w:rsidRDefault="00A06EF1" w:rsidP="00A06EF1">
      <w:pPr>
        <w:rPr>
          <w:lang w:val="en-GB"/>
        </w:rPr>
      </w:pPr>
      <w:r w:rsidRPr="00F23E5E">
        <w:rPr>
          <w:u w:val="single"/>
          <w:lang w:val="en-GB"/>
        </w:rPr>
        <w:t xml:space="preserve">The SIG voted to </w:t>
      </w:r>
      <w:r>
        <w:rPr>
          <w:u w:val="single"/>
          <w:lang w:val="en-GB"/>
        </w:rPr>
        <w:t>approve the definition (and examples)</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10</w:t>
      </w:r>
      <w:r w:rsidRPr="00F23E5E">
        <w:rPr>
          <w:lang w:val="en-GB"/>
        </w:rPr>
        <w:t xml:space="preserve"> (</w:t>
      </w:r>
      <w:r>
        <w:rPr>
          <w:lang w:val="en-GB"/>
        </w:rPr>
        <w:t>6</w:t>
      </w:r>
      <w:r w:rsidRPr="00F23E5E">
        <w:rPr>
          <w:lang w:val="en-GB"/>
        </w:rPr>
        <w:t xml:space="preserve"> in person, </w:t>
      </w:r>
      <w:r>
        <w:rPr>
          <w:lang w:val="en-GB"/>
        </w:rPr>
        <w:t>4</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8</w:t>
      </w:r>
      <w:r w:rsidRPr="00F23E5E">
        <w:rPr>
          <w:lang w:val="en-GB"/>
        </w:rPr>
        <w:t xml:space="preserve"> participants abstained)</w:t>
      </w:r>
    </w:p>
    <w:p w:rsidR="00A06EF1" w:rsidRDefault="00A06EF1" w:rsidP="00A06EF1">
      <w:pPr>
        <w:pStyle w:val="Heading4"/>
      </w:pPr>
      <w:bookmarkStart w:id="1" w:name="_TXP16_employs_script"/>
      <w:bookmarkEnd w:id="1"/>
      <w:r>
        <w:t>TXP16 employs script -approve scope note and examples</w:t>
      </w:r>
    </w:p>
    <w:p w:rsidR="00A06EF1" w:rsidRPr="00A161CE" w:rsidRDefault="00A06EF1" w:rsidP="00A06EF1">
      <w:pPr>
        <w:ind w:left="1260" w:hanging="1260"/>
        <w:rPr>
          <w:rFonts w:ascii="Arial" w:hAnsi="Arial" w:cs="Arial"/>
          <w:b/>
          <w:sz w:val="20"/>
          <w:szCs w:val="20"/>
        </w:rPr>
      </w:pPr>
      <w:r w:rsidRPr="00A161CE">
        <w:rPr>
          <w:rFonts w:ascii="Arial" w:hAnsi="Arial" w:cs="Arial"/>
          <w:b/>
          <w:sz w:val="20"/>
          <w:szCs w:val="20"/>
        </w:rPr>
        <w:t xml:space="preserve">TXP16 employs script (is employed in) </w:t>
      </w:r>
    </w:p>
    <w:p w:rsidR="00A06EF1" w:rsidRPr="00A161CE" w:rsidRDefault="00A06EF1" w:rsidP="00A06EF1">
      <w:pPr>
        <w:ind w:left="1260" w:hanging="1260"/>
        <w:rPr>
          <w:rFonts w:ascii="Times New Roman" w:hAnsi="Times New Roman" w:cs="Times New Roman"/>
          <w:sz w:val="20"/>
          <w:szCs w:val="20"/>
        </w:rPr>
      </w:pPr>
      <w:r w:rsidRPr="00A161CE">
        <w:rPr>
          <w:rFonts w:ascii="Times New Roman" w:hAnsi="Times New Roman" w:cs="Times New Roman"/>
          <w:sz w:val="20"/>
          <w:szCs w:val="20"/>
        </w:rPr>
        <w:t>Domain:</w:t>
      </w:r>
      <w:r w:rsidRPr="00A161CE">
        <w:rPr>
          <w:rFonts w:ascii="Times New Roman" w:hAnsi="Times New Roman" w:cs="Times New Roman"/>
          <w:sz w:val="20"/>
          <w:szCs w:val="20"/>
        </w:rPr>
        <w:tab/>
      </w:r>
      <w:r w:rsidRPr="00A161CE">
        <w:rPr>
          <w:rFonts w:ascii="Times New Roman" w:hAnsi="Times New Roman" w:cs="Times New Roman"/>
          <w:sz w:val="20"/>
          <w:szCs w:val="20"/>
        </w:rPr>
        <w:tab/>
        <w:t>TX3 Writing System</w:t>
      </w:r>
    </w:p>
    <w:p w:rsidR="00A06EF1" w:rsidRPr="00A161CE" w:rsidRDefault="00A06EF1" w:rsidP="00A06EF1">
      <w:pPr>
        <w:ind w:left="1260" w:hanging="1260"/>
        <w:rPr>
          <w:rFonts w:ascii="Times New Roman" w:hAnsi="Times New Roman" w:cs="Times New Roman"/>
          <w:sz w:val="20"/>
          <w:szCs w:val="20"/>
        </w:rPr>
      </w:pPr>
      <w:r w:rsidRPr="00A161CE">
        <w:rPr>
          <w:rFonts w:ascii="Times New Roman" w:hAnsi="Times New Roman" w:cs="Times New Roman"/>
          <w:sz w:val="20"/>
          <w:szCs w:val="20"/>
        </w:rPr>
        <w:t>Range:</w:t>
      </w:r>
      <w:r w:rsidRPr="00A161CE">
        <w:rPr>
          <w:rFonts w:ascii="Times New Roman" w:hAnsi="Times New Roman" w:cs="Times New Roman"/>
          <w:sz w:val="20"/>
          <w:szCs w:val="20"/>
        </w:rPr>
        <w:tab/>
      </w:r>
      <w:r w:rsidRPr="00A161CE">
        <w:rPr>
          <w:rFonts w:ascii="Times New Roman" w:hAnsi="Times New Roman" w:cs="Times New Roman"/>
          <w:sz w:val="20"/>
          <w:szCs w:val="20"/>
        </w:rPr>
        <w:tab/>
        <w:t xml:space="preserve">TX13 Script </w:t>
      </w:r>
    </w:p>
    <w:p w:rsidR="00A06EF1" w:rsidRPr="00A161CE" w:rsidRDefault="00A06EF1" w:rsidP="00A06EF1">
      <w:pPr>
        <w:ind w:left="1260" w:hanging="1260"/>
        <w:rPr>
          <w:rFonts w:ascii="Times New Roman" w:hAnsi="Times New Roman" w:cs="Times New Roman"/>
          <w:sz w:val="20"/>
          <w:szCs w:val="20"/>
        </w:rPr>
      </w:pPr>
      <w:proofErr w:type="spellStart"/>
      <w:r w:rsidRPr="00A161CE">
        <w:rPr>
          <w:rFonts w:ascii="Times New Roman" w:hAnsi="Times New Roman" w:cs="Times New Roman"/>
          <w:sz w:val="20"/>
          <w:szCs w:val="20"/>
        </w:rPr>
        <w:t>Subproperty</w:t>
      </w:r>
      <w:proofErr w:type="spellEnd"/>
      <w:r w:rsidRPr="00A161CE">
        <w:rPr>
          <w:rFonts w:ascii="Times New Roman" w:hAnsi="Times New Roman" w:cs="Times New Roman"/>
          <w:sz w:val="20"/>
          <w:szCs w:val="20"/>
        </w:rPr>
        <w:t xml:space="preserve"> of</w:t>
      </w:r>
      <w:r w:rsidRPr="00A161CE">
        <w:rPr>
          <w:rFonts w:ascii="Times New Roman" w:hAnsi="Times New Roman" w:cs="Times New Roman"/>
          <w:sz w:val="20"/>
          <w:szCs w:val="20"/>
        </w:rPr>
        <w:tab/>
        <w:t>E89 Propositional Object. P148 has component (is component of): E89 Propositional Object.</w:t>
      </w:r>
    </w:p>
    <w:p w:rsidR="00A06EF1" w:rsidRDefault="00A06EF1" w:rsidP="00A06EF1">
      <w:pPr>
        <w:ind w:left="1260" w:hanging="1260"/>
        <w:rPr>
          <w:rFonts w:ascii="Times New Roman" w:hAnsi="Times New Roman" w:cs="Times New Roman"/>
          <w:sz w:val="20"/>
          <w:szCs w:val="20"/>
        </w:rPr>
      </w:pPr>
      <w:r w:rsidRPr="00A161CE">
        <w:rPr>
          <w:rFonts w:ascii="Times New Roman" w:hAnsi="Times New Roman" w:cs="Times New Roman"/>
          <w:sz w:val="20"/>
          <w:szCs w:val="20"/>
        </w:rPr>
        <w:t>Quantification:</w:t>
      </w:r>
      <w:r w:rsidRPr="00A161CE">
        <w:rPr>
          <w:rFonts w:ascii="Times New Roman" w:hAnsi="Times New Roman" w:cs="Times New Roman"/>
          <w:sz w:val="20"/>
          <w:szCs w:val="20"/>
        </w:rPr>
        <w:tab/>
        <w:t>many to many (</w:t>
      </w:r>
      <w:proofErr w:type="gramStart"/>
      <w:r w:rsidRPr="00A161CE">
        <w:rPr>
          <w:rFonts w:ascii="Times New Roman" w:hAnsi="Times New Roman" w:cs="Times New Roman"/>
          <w:sz w:val="20"/>
          <w:szCs w:val="20"/>
        </w:rPr>
        <w:t>0,n</w:t>
      </w:r>
      <w:proofErr w:type="gramEnd"/>
      <w:r w:rsidRPr="00A161CE">
        <w:rPr>
          <w:rFonts w:ascii="Times New Roman" w:hAnsi="Times New Roman" w:cs="Times New Roman"/>
          <w:sz w:val="20"/>
          <w:szCs w:val="20"/>
        </w:rPr>
        <w:t>:0,n)</w:t>
      </w:r>
    </w:p>
    <w:p w:rsidR="00A06EF1" w:rsidRDefault="00A06EF1" w:rsidP="00A06EF1">
      <w:pPr>
        <w:ind w:left="1260" w:hanging="1260"/>
        <w:rPr>
          <w:rFonts w:ascii="Times New Roman" w:hAnsi="Times New Roman" w:cs="Times New Roman"/>
          <w:sz w:val="20"/>
          <w:szCs w:val="20"/>
        </w:rPr>
      </w:pPr>
      <w:r w:rsidRPr="00A161CE">
        <w:rPr>
          <w:rFonts w:ascii="Times New Roman" w:hAnsi="Times New Roman" w:cs="Times New Roman"/>
          <w:sz w:val="20"/>
        </w:rPr>
        <w:t>Scope note:</w:t>
      </w:r>
      <w:r w:rsidRPr="00A161CE">
        <w:rPr>
          <w:rFonts w:ascii="Times New Roman" w:hAnsi="Times New Roman" w:cs="Times New Roman"/>
          <w:sz w:val="20"/>
        </w:rPr>
        <w:tab/>
        <w:t>This property associates an instance of TX3 Writing system with one of the instances of the TX13 Script it employs</w:t>
      </w:r>
      <w:r w:rsidRPr="00A161CE">
        <w:rPr>
          <w:rFonts w:ascii="Times New Roman" w:hAnsi="Times New Roman" w:cs="Times New Roman"/>
          <w:sz w:val="20"/>
          <w:szCs w:val="20"/>
        </w:rPr>
        <w:t xml:space="preserve"> </w:t>
      </w:r>
    </w:p>
    <w:p w:rsidR="00A06EF1" w:rsidRPr="00A161CE" w:rsidRDefault="00A06EF1" w:rsidP="00A06EF1">
      <w:pPr>
        <w:ind w:left="1260" w:hanging="1260"/>
        <w:rPr>
          <w:rFonts w:ascii="Times New Roman" w:hAnsi="Times New Roman" w:cs="Times New Roman"/>
          <w:sz w:val="20"/>
          <w:szCs w:val="20"/>
        </w:rPr>
      </w:pPr>
      <w:r w:rsidRPr="00A161CE">
        <w:rPr>
          <w:rFonts w:ascii="Times New Roman" w:hAnsi="Times New Roman" w:cs="Times New Roman"/>
          <w:sz w:val="20"/>
          <w:szCs w:val="20"/>
        </w:rPr>
        <w:t>Examples:</w:t>
      </w:r>
      <w:r>
        <w:rPr>
          <w:rFonts w:ascii="Times New Roman" w:hAnsi="Times New Roman" w:cs="Times New Roman"/>
          <w:sz w:val="20"/>
          <w:szCs w:val="20"/>
        </w:rPr>
        <w:t xml:space="preserve"> </w:t>
      </w:r>
      <w:r w:rsidRPr="00A161CE">
        <w:t>(post editing)</w:t>
      </w:r>
      <w:r w:rsidRPr="00A161CE">
        <w:rPr>
          <w:rFonts w:ascii="Times New Roman" w:hAnsi="Times New Roman" w:cs="Times New Roman"/>
          <w:sz w:val="20"/>
          <w:szCs w:val="20"/>
        </w:rPr>
        <w:t xml:space="preserve"> </w:t>
      </w:r>
    </w:p>
    <w:p w:rsidR="00A06EF1" w:rsidRPr="00A161CE" w:rsidRDefault="00A06EF1" w:rsidP="00A06EF1">
      <w:pPr>
        <w:pStyle w:val="ListParagraph"/>
        <w:numPr>
          <w:ilvl w:val="1"/>
          <w:numId w:val="4"/>
        </w:numPr>
        <w:rPr>
          <w:rFonts w:ascii="Times New Roman" w:hAnsi="Times New Roman" w:cs="Times New Roman"/>
          <w:sz w:val="20"/>
          <w:szCs w:val="20"/>
        </w:rPr>
      </w:pPr>
      <w:r w:rsidRPr="00A161CE">
        <w:rPr>
          <w:rFonts w:ascii="Times New Roman" w:hAnsi="Times New Roman" w:cs="Times New Roman"/>
          <w:sz w:val="20"/>
          <w:szCs w:val="20"/>
        </w:rPr>
        <w:t xml:space="preserve">The Latin writing system used in the inscription of the Arch of Constantine (TX3) </w:t>
      </w:r>
      <w:r w:rsidRPr="00A161CE">
        <w:rPr>
          <w:rFonts w:ascii="Times New Roman" w:hAnsi="Times New Roman" w:cs="Times New Roman"/>
          <w:i/>
          <w:sz w:val="20"/>
          <w:szCs w:val="20"/>
        </w:rPr>
        <w:t>employs script</w:t>
      </w:r>
      <w:r w:rsidRPr="00A161CE">
        <w:rPr>
          <w:rFonts w:ascii="Times New Roman" w:hAnsi="Times New Roman" w:cs="Times New Roman"/>
          <w:sz w:val="20"/>
          <w:szCs w:val="20"/>
        </w:rPr>
        <w:t xml:space="preserve"> the Latin script (TX13)</w:t>
      </w:r>
    </w:p>
    <w:p w:rsidR="00A06EF1" w:rsidRDefault="00A06EF1" w:rsidP="00A06EF1">
      <w:pPr>
        <w:pStyle w:val="ListParagraph"/>
        <w:numPr>
          <w:ilvl w:val="1"/>
          <w:numId w:val="4"/>
        </w:numPr>
        <w:rPr>
          <w:rFonts w:ascii="Times New Roman" w:hAnsi="Times New Roman" w:cs="Times New Roman"/>
          <w:sz w:val="20"/>
          <w:szCs w:val="20"/>
        </w:rPr>
      </w:pPr>
      <w:r w:rsidRPr="00A161CE">
        <w:rPr>
          <w:rFonts w:ascii="Times New Roman" w:hAnsi="Times New Roman" w:cs="Times New Roman"/>
          <w:sz w:val="20"/>
          <w:szCs w:val="20"/>
        </w:rPr>
        <w:t xml:space="preserve">The Oscan writing system used in the inscription of the Tabula </w:t>
      </w:r>
      <w:proofErr w:type="spellStart"/>
      <w:r w:rsidRPr="00A161CE">
        <w:rPr>
          <w:rFonts w:ascii="Times New Roman" w:hAnsi="Times New Roman" w:cs="Times New Roman"/>
          <w:sz w:val="20"/>
          <w:szCs w:val="20"/>
        </w:rPr>
        <w:t>Bantina</w:t>
      </w:r>
      <w:proofErr w:type="spellEnd"/>
      <w:r w:rsidRPr="00A161CE">
        <w:rPr>
          <w:rFonts w:ascii="Times New Roman" w:hAnsi="Times New Roman" w:cs="Times New Roman"/>
          <w:sz w:val="20"/>
          <w:szCs w:val="20"/>
        </w:rPr>
        <w:t xml:space="preserve"> (TX3) </w:t>
      </w:r>
      <w:r w:rsidRPr="00A161CE">
        <w:rPr>
          <w:rFonts w:ascii="Times New Roman" w:hAnsi="Times New Roman" w:cs="Times New Roman"/>
          <w:i/>
          <w:sz w:val="20"/>
          <w:szCs w:val="20"/>
        </w:rPr>
        <w:t>employs script</w:t>
      </w:r>
      <w:r w:rsidRPr="00A161CE">
        <w:rPr>
          <w:rFonts w:ascii="Times New Roman" w:hAnsi="Times New Roman" w:cs="Times New Roman"/>
          <w:sz w:val="20"/>
          <w:szCs w:val="20"/>
        </w:rPr>
        <w:t xml:space="preserve"> the Latin script (TX13)</w:t>
      </w:r>
    </w:p>
    <w:p w:rsidR="00A06EF1" w:rsidRPr="00A161CE" w:rsidRDefault="00A06EF1" w:rsidP="00A06EF1">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 xml:space="preserve">The Oscan </w:t>
      </w:r>
      <w:r w:rsidRPr="00A161CE">
        <w:rPr>
          <w:rFonts w:ascii="Times New Roman" w:hAnsi="Times New Roman" w:cs="Times New Roman"/>
          <w:sz w:val="20"/>
          <w:szCs w:val="20"/>
        </w:rPr>
        <w:t>writing system used in the inscription of the</w:t>
      </w:r>
      <w:r>
        <w:rPr>
          <w:rFonts w:ascii="Times New Roman" w:hAnsi="Times New Roman" w:cs="Times New Roman"/>
          <w:sz w:val="20"/>
          <w:szCs w:val="20"/>
        </w:rPr>
        <w:t xml:space="preserve"> </w:t>
      </w:r>
      <w:r w:rsidRPr="00A161CE">
        <w:rPr>
          <w:rFonts w:ascii="Times New Roman" w:hAnsi="Times New Roman" w:cs="Times New Roman"/>
          <w:sz w:val="20"/>
          <w:szCs w:val="20"/>
        </w:rPr>
        <w:t xml:space="preserve">Arch of Constantine (TX3) </w:t>
      </w:r>
      <w:r w:rsidRPr="00A161CE">
        <w:rPr>
          <w:rFonts w:ascii="Times New Roman" w:hAnsi="Times New Roman" w:cs="Times New Roman"/>
          <w:i/>
          <w:sz w:val="20"/>
          <w:szCs w:val="20"/>
        </w:rPr>
        <w:t>employs script</w:t>
      </w:r>
      <w:r w:rsidRPr="00A161CE">
        <w:rPr>
          <w:rFonts w:ascii="Times New Roman" w:hAnsi="Times New Roman" w:cs="Times New Roman"/>
          <w:sz w:val="20"/>
          <w:szCs w:val="20"/>
        </w:rPr>
        <w:t xml:space="preserve"> the </w:t>
      </w:r>
      <w:r>
        <w:rPr>
          <w:rFonts w:ascii="Times New Roman" w:hAnsi="Times New Roman" w:cs="Times New Roman"/>
          <w:sz w:val="20"/>
          <w:szCs w:val="20"/>
        </w:rPr>
        <w:t>Greek</w:t>
      </w:r>
      <w:r w:rsidRPr="00A161CE">
        <w:rPr>
          <w:rFonts w:ascii="Times New Roman" w:hAnsi="Times New Roman" w:cs="Times New Roman"/>
          <w:sz w:val="20"/>
          <w:szCs w:val="20"/>
        </w:rPr>
        <w:t xml:space="preserve"> script (TX13)</w:t>
      </w:r>
    </w:p>
    <w:p w:rsidR="00A06EF1" w:rsidRDefault="00A06EF1" w:rsidP="00A06E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First Order Logic:</w:t>
      </w:r>
    </w:p>
    <w:p w:rsidR="00A06EF1" w:rsidRDefault="00A06EF1" w:rsidP="00A06EF1">
      <w:pPr>
        <w:spacing w:after="0" w:line="240" w:lineRule="auto"/>
        <w:ind w:left="720"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TX3(x)</w:t>
      </w:r>
    </w:p>
    <w:p w:rsidR="00A06EF1" w:rsidRDefault="00A06EF1" w:rsidP="00A06EF1">
      <w:pPr>
        <w:spacing w:after="0" w:line="240" w:lineRule="auto"/>
        <w:ind w:left="720"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w:t>
      </w:r>
      <w:r w:rsidRPr="00A161CE">
        <w:rPr>
          <w:rFonts w:ascii="Times New Roman" w:eastAsia="Times New Roman" w:hAnsi="Times New Roman" w:cs="Times New Roman"/>
          <w:sz w:val="20"/>
          <w:szCs w:val="20"/>
        </w:rPr>
        <w:t>TX13</w:t>
      </w:r>
      <w:r>
        <w:rPr>
          <w:rFonts w:ascii="Times New Roman" w:eastAsia="Times New Roman" w:hAnsi="Times New Roman" w:cs="Times New Roman"/>
          <w:sz w:val="20"/>
          <w:szCs w:val="20"/>
        </w:rPr>
        <w:t>(y)</w:t>
      </w:r>
    </w:p>
    <w:p w:rsidR="00A06EF1" w:rsidRPr="003504F9" w:rsidRDefault="00A06EF1" w:rsidP="00A06EF1">
      <w:pPr>
        <w:spacing w:after="0" w:line="240" w:lineRule="auto"/>
        <w:ind w:left="720"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 (</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w:t>
      </w:r>
      <w:r w:rsidRPr="00A161CE">
        <w:rPr>
          <w:rFonts w:ascii="Times New Roman" w:eastAsia="Times New Roman" w:hAnsi="Times New Roman" w:cs="Times New Roman"/>
          <w:sz w:val="20"/>
          <w:szCs w:val="20"/>
        </w:rPr>
        <w:t>P148</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x,y</w:t>
      </w:r>
      <w:proofErr w:type="spellEnd"/>
      <w:r>
        <w:rPr>
          <w:rFonts w:ascii="Times New Roman" w:eastAsia="Times New Roman" w:hAnsi="Times New Roman" w:cs="Times New Roman"/>
          <w:sz w:val="20"/>
          <w:szCs w:val="20"/>
        </w:rPr>
        <w:t>)</w:t>
      </w:r>
    </w:p>
    <w:p w:rsidR="00A06EF1" w:rsidRPr="00A06EF1" w:rsidRDefault="00A06EF1" w:rsidP="00A06EF1"/>
    <w:p w:rsidR="00A06EF1" w:rsidRDefault="00A06EF1" w:rsidP="00A06EF1">
      <w:pPr>
        <w:pStyle w:val="Heading3"/>
      </w:pPr>
      <w:r w:rsidRPr="00A161CE">
        <w:t xml:space="preserve">TXP7 has </w:t>
      </w:r>
      <w:r>
        <w:t>item</w:t>
      </w:r>
      <w:r w:rsidRPr="00A161CE">
        <w:t xml:space="preserve"> (</w:t>
      </w:r>
      <w:r>
        <w:t>is item of</w:t>
      </w:r>
      <w:r w:rsidRPr="00A161CE">
        <w:t>)</w:t>
      </w:r>
      <w:r>
        <w:t xml:space="preserve"> –proposed property definition</w:t>
      </w:r>
    </w:p>
    <w:p w:rsidR="00A06EF1" w:rsidRDefault="00A06EF1" w:rsidP="00A06EF1">
      <w:r w:rsidRPr="000C5FCC">
        <w:rPr>
          <w:b/>
        </w:rPr>
        <w:t>Proposal</w:t>
      </w:r>
      <w:r>
        <w:t xml:space="preserve">: Following the change of its domain class, the scope note needed to be amended. For details of the proposal see </w:t>
      </w:r>
      <w:hyperlink w:anchor="_TXP7_has_item" w:history="1">
        <w:r w:rsidRPr="00A06EF1">
          <w:rPr>
            <w:rStyle w:val="Hyperlink"/>
          </w:rPr>
          <w:t>below</w:t>
        </w:r>
      </w:hyperlink>
      <w:r>
        <w:t>:</w:t>
      </w:r>
      <w:r>
        <w:t xml:space="preserve">  </w:t>
      </w:r>
    </w:p>
    <w:p w:rsidR="00A06EF1" w:rsidRDefault="00A06EF1" w:rsidP="00A06EF1">
      <w:r w:rsidRPr="000C5FCC">
        <w:rPr>
          <w:b/>
        </w:rPr>
        <w:lastRenderedPageBreak/>
        <w:t>Discussion points</w:t>
      </w:r>
      <w:r>
        <w:t xml:space="preserve">: </w:t>
      </w:r>
    </w:p>
    <w:p w:rsidR="00A06EF1" w:rsidRDefault="00A06EF1" w:rsidP="00A06EF1">
      <w:pPr>
        <w:pStyle w:val="ListParagraph"/>
        <w:numPr>
          <w:ilvl w:val="0"/>
          <w:numId w:val="2"/>
        </w:numPr>
      </w:pPr>
      <w:r>
        <w:t>The scope note defines the inverse property</w:t>
      </w:r>
    </w:p>
    <w:p w:rsidR="00A06EF1" w:rsidRDefault="00A06EF1" w:rsidP="00A06EF1">
      <w:pPr>
        <w:pStyle w:val="ListParagraph"/>
        <w:numPr>
          <w:ilvl w:val="0"/>
          <w:numId w:val="2"/>
        </w:numPr>
      </w:pPr>
      <w:r>
        <w:t xml:space="preserve">The phrase “the instance of TX13 Script in which it is </w:t>
      </w:r>
      <w:r w:rsidRPr="000C5FCC">
        <w:rPr>
          <w:b/>
          <w:i/>
        </w:rPr>
        <w:t>referred</w:t>
      </w:r>
      <w:r>
        <w:t xml:space="preserve">” is cryptic and its meaning is disputed. </w:t>
      </w:r>
    </w:p>
    <w:p w:rsidR="00A06EF1" w:rsidRPr="00A161CE" w:rsidRDefault="00A06EF1" w:rsidP="00A06EF1">
      <w:r>
        <w:t xml:space="preserve">An effort was made to redraft the scope note in the right direction and using another verb but it was unsuccessful. </w:t>
      </w:r>
    </w:p>
    <w:p w:rsidR="00A06EF1" w:rsidRDefault="00A06EF1" w:rsidP="00A06EF1">
      <w:r w:rsidRPr="000C5FCC">
        <w:rPr>
          <w:b/>
        </w:rPr>
        <w:t>HW</w:t>
      </w:r>
      <w:r>
        <w:t xml:space="preserve">: AF, FM to revisit this. </w:t>
      </w:r>
    </w:p>
    <w:p w:rsidR="00A06EF1" w:rsidRDefault="00A06EF1" w:rsidP="00A06EF1">
      <w:pPr>
        <w:pStyle w:val="Heading4"/>
      </w:pPr>
      <w:bookmarkStart w:id="2" w:name="_TXP7_has_item"/>
      <w:bookmarkEnd w:id="2"/>
      <w:r>
        <w:t>TXP7 has item (is item of) -scope note redefinition</w:t>
      </w:r>
    </w:p>
    <w:p w:rsidR="00A06EF1" w:rsidRPr="000C5FCC" w:rsidRDefault="00A06EF1" w:rsidP="00A06EF1">
      <w:pPr>
        <w:rPr>
          <w:rFonts w:ascii="Arial" w:hAnsi="Arial" w:cs="Arial"/>
          <w:b/>
          <w:sz w:val="20"/>
        </w:rPr>
      </w:pPr>
      <w:r w:rsidRPr="000C5FCC">
        <w:rPr>
          <w:rFonts w:ascii="Arial" w:hAnsi="Arial" w:cs="Arial"/>
          <w:b/>
          <w:sz w:val="20"/>
        </w:rPr>
        <w:t>TXP7 has item (is item of)</w:t>
      </w:r>
    </w:p>
    <w:p w:rsidR="00A06EF1" w:rsidRPr="000C5FCC" w:rsidRDefault="00A06EF1" w:rsidP="00A06EF1">
      <w:pPr>
        <w:rPr>
          <w:rFonts w:ascii="Times New Roman" w:hAnsi="Times New Roman" w:cs="Times New Roman"/>
          <w:sz w:val="20"/>
          <w:szCs w:val="20"/>
        </w:rPr>
      </w:pPr>
      <w:r w:rsidRPr="000C5FCC">
        <w:rPr>
          <w:rFonts w:ascii="Times New Roman" w:hAnsi="Times New Roman" w:cs="Times New Roman"/>
          <w:sz w:val="20"/>
          <w:szCs w:val="20"/>
        </w:rPr>
        <w:t xml:space="preserve">Domain: </w:t>
      </w:r>
      <w:r>
        <w:rPr>
          <w:rFonts w:ascii="Times New Roman" w:hAnsi="Times New Roman" w:cs="Times New Roman"/>
          <w:sz w:val="20"/>
          <w:szCs w:val="20"/>
        </w:rPr>
        <w:tab/>
      </w:r>
      <w:r w:rsidRPr="000C5FCC">
        <w:rPr>
          <w:rFonts w:ascii="Times New Roman" w:hAnsi="Times New Roman" w:cs="Times New Roman"/>
          <w:sz w:val="20"/>
          <w:szCs w:val="20"/>
        </w:rPr>
        <w:t>TX13 Script</w:t>
      </w:r>
    </w:p>
    <w:p w:rsidR="00A06EF1" w:rsidRPr="000C5FCC" w:rsidRDefault="00A06EF1" w:rsidP="00A06EF1">
      <w:pPr>
        <w:rPr>
          <w:rFonts w:ascii="Times New Roman" w:hAnsi="Times New Roman" w:cs="Times New Roman"/>
          <w:sz w:val="20"/>
          <w:szCs w:val="20"/>
        </w:rPr>
      </w:pPr>
      <w:r w:rsidRPr="000C5FCC">
        <w:rPr>
          <w:rFonts w:ascii="Times New Roman" w:hAnsi="Times New Roman" w:cs="Times New Roman"/>
          <w:sz w:val="20"/>
          <w:szCs w:val="20"/>
        </w:rPr>
        <w:t xml:space="preserve">Range: </w:t>
      </w:r>
      <w:r>
        <w:rPr>
          <w:rFonts w:ascii="Times New Roman" w:hAnsi="Times New Roman" w:cs="Times New Roman"/>
          <w:sz w:val="20"/>
          <w:szCs w:val="20"/>
        </w:rPr>
        <w:tab/>
      </w:r>
      <w:r>
        <w:rPr>
          <w:rFonts w:ascii="Times New Roman" w:hAnsi="Times New Roman" w:cs="Times New Roman"/>
          <w:sz w:val="20"/>
          <w:szCs w:val="20"/>
        </w:rPr>
        <w:tab/>
      </w:r>
      <w:r w:rsidRPr="000C5FCC">
        <w:rPr>
          <w:rFonts w:ascii="Times New Roman" w:hAnsi="Times New Roman" w:cs="Times New Roman"/>
          <w:sz w:val="20"/>
          <w:szCs w:val="20"/>
        </w:rPr>
        <w:t>TX8 Grapheme</w:t>
      </w:r>
    </w:p>
    <w:p w:rsidR="00A06EF1" w:rsidRPr="000C5FCC" w:rsidRDefault="00A06EF1" w:rsidP="00A06EF1">
      <w:pPr>
        <w:rPr>
          <w:rFonts w:ascii="Times New Roman" w:hAnsi="Times New Roman" w:cs="Times New Roman"/>
          <w:sz w:val="20"/>
          <w:szCs w:val="20"/>
        </w:rPr>
      </w:pPr>
      <w:proofErr w:type="spellStart"/>
      <w:r w:rsidRPr="000C5FCC">
        <w:rPr>
          <w:rFonts w:ascii="Times New Roman" w:hAnsi="Times New Roman" w:cs="Times New Roman"/>
          <w:sz w:val="20"/>
          <w:szCs w:val="20"/>
        </w:rPr>
        <w:t>Subproperty</w:t>
      </w:r>
      <w:proofErr w:type="spellEnd"/>
      <w:r w:rsidRPr="000C5FCC">
        <w:rPr>
          <w:rFonts w:ascii="Times New Roman" w:hAnsi="Times New Roman" w:cs="Times New Roman"/>
          <w:sz w:val="20"/>
          <w:szCs w:val="20"/>
        </w:rPr>
        <w:t xml:space="preserve"> of:</w:t>
      </w:r>
    </w:p>
    <w:p w:rsidR="00A06EF1" w:rsidRPr="000C5FCC" w:rsidRDefault="00A06EF1" w:rsidP="00A06EF1">
      <w:pPr>
        <w:rPr>
          <w:rFonts w:ascii="Times New Roman" w:hAnsi="Times New Roman" w:cs="Times New Roman"/>
          <w:sz w:val="20"/>
          <w:szCs w:val="20"/>
        </w:rPr>
      </w:pPr>
      <w:r w:rsidRPr="000C5FCC">
        <w:rPr>
          <w:rFonts w:ascii="Times New Roman" w:hAnsi="Times New Roman" w:cs="Times New Roman"/>
          <w:sz w:val="20"/>
          <w:szCs w:val="20"/>
        </w:rPr>
        <w:t xml:space="preserve">Quantification: </w:t>
      </w:r>
      <w:r>
        <w:rPr>
          <w:rFonts w:ascii="Times New Roman" w:hAnsi="Times New Roman" w:cs="Times New Roman"/>
          <w:sz w:val="20"/>
          <w:szCs w:val="20"/>
        </w:rPr>
        <w:tab/>
      </w:r>
      <w:r w:rsidRPr="000C5FCC">
        <w:rPr>
          <w:rFonts w:ascii="Times New Roman" w:hAnsi="Times New Roman" w:cs="Times New Roman"/>
          <w:sz w:val="20"/>
          <w:szCs w:val="20"/>
        </w:rPr>
        <w:t>many to many (</w:t>
      </w:r>
      <w:proofErr w:type="gramStart"/>
      <w:r w:rsidRPr="000C5FCC">
        <w:rPr>
          <w:rFonts w:ascii="Times New Roman" w:hAnsi="Times New Roman" w:cs="Times New Roman"/>
          <w:sz w:val="20"/>
          <w:szCs w:val="20"/>
        </w:rPr>
        <w:t>0,n</w:t>
      </w:r>
      <w:proofErr w:type="gramEnd"/>
      <w:r w:rsidRPr="000C5FCC">
        <w:rPr>
          <w:rFonts w:ascii="Times New Roman" w:hAnsi="Times New Roman" w:cs="Times New Roman"/>
          <w:sz w:val="20"/>
          <w:szCs w:val="20"/>
        </w:rPr>
        <w:t>:0,n)</w:t>
      </w:r>
    </w:p>
    <w:p w:rsidR="00A06EF1" w:rsidRPr="000C5FCC" w:rsidRDefault="00A06EF1" w:rsidP="00A06EF1">
      <w:pPr>
        <w:ind w:left="1440" w:hanging="1440"/>
        <w:rPr>
          <w:rFonts w:ascii="Times New Roman" w:hAnsi="Times New Roman" w:cs="Times New Roman"/>
          <w:sz w:val="20"/>
          <w:szCs w:val="20"/>
        </w:rPr>
      </w:pPr>
      <w:r w:rsidRPr="000C5FCC">
        <w:rPr>
          <w:rFonts w:ascii="Times New Roman" w:hAnsi="Times New Roman" w:cs="Times New Roman"/>
          <w:sz w:val="20"/>
          <w:szCs w:val="20"/>
        </w:rPr>
        <w:t>Scope note:</w:t>
      </w:r>
      <w:r>
        <w:rPr>
          <w:rFonts w:ascii="Times New Roman" w:hAnsi="Times New Roman" w:cs="Times New Roman"/>
          <w:sz w:val="20"/>
          <w:szCs w:val="20"/>
        </w:rPr>
        <w:tab/>
      </w:r>
      <w:r w:rsidRPr="000C5FCC">
        <w:rPr>
          <w:rFonts w:ascii="Times New Roman" w:hAnsi="Times New Roman" w:cs="Times New Roman"/>
          <w:sz w:val="20"/>
          <w:szCs w:val="20"/>
        </w:rPr>
        <w:t>This property associates an instance of TX8 Grapheme with the instance of TX13 Script in which it is referred, distinct from other graphemes in it, for the purpose of using it conforming to the script. Different instances of TX13 Script may have some graphemes in common, but not all.</w:t>
      </w:r>
    </w:p>
    <w:p w:rsidR="00A06EF1" w:rsidRPr="000C5FCC" w:rsidRDefault="00A06EF1" w:rsidP="00A06EF1">
      <w:pPr>
        <w:rPr>
          <w:rFonts w:ascii="Times New Roman" w:hAnsi="Times New Roman" w:cs="Times New Roman"/>
          <w:sz w:val="20"/>
          <w:szCs w:val="20"/>
        </w:rPr>
      </w:pPr>
      <w:r w:rsidRPr="000C5FCC">
        <w:rPr>
          <w:rFonts w:ascii="Times New Roman" w:hAnsi="Times New Roman" w:cs="Times New Roman"/>
          <w:sz w:val="20"/>
          <w:szCs w:val="20"/>
        </w:rPr>
        <w:t xml:space="preserve">Examples: </w:t>
      </w:r>
    </w:p>
    <w:p w:rsidR="00A06EF1" w:rsidRPr="000C5FCC" w:rsidRDefault="00A06EF1" w:rsidP="00A06EF1">
      <w:pPr>
        <w:pStyle w:val="ListParagraph"/>
        <w:numPr>
          <w:ilvl w:val="1"/>
          <w:numId w:val="5"/>
        </w:numPr>
        <w:rPr>
          <w:rFonts w:ascii="Times New Roman" w:hAnsi="Times New Roman" w:cs="Times New Roman"/>
          <w:sz w:val="20"/>
          <w:szCs w:val="20"/>
        </w:rPr>
      </w:pPr>
      <w:r w:rsidRPr="000C5FCC">
        <w:rPr>
          <w:rFonts w:ascii="Times New Roman" w:hAnsi="Times New Roman" w:cs="Times New Roman"/>
          <w:sz w:val="20"/>
          <w:szCs w:val="20"/>
        </w:rPr>
        <w:t>The Latin script (TX13) has item the ideal capital letter “S”</w:t>
      </w:r>
    </w:p>
    <w:p w:rsidR="00A06EF1" w:rsidRPr="000C5FCC" w:rsidRDefault="00A06EF1" w:rsidP="00A06EF1">
      <w:pPr>
        <w:rPr>
          <w:rFonts w:ascii="Times New Roman" w:hAnsi="Times New Roman" w:cs="Times New Roman"/>
          <w:sz w:val="20"/>
          <w:szCs w:val="20"/>
        </w:rPr>
      </w:pPr>
      <w:r w:rsidRPr="000C5FCC">
        <w:rPr>
          <w:rFonts w:ascii="Times New Roman" w:hAnsi="Times New Roman" w:cs="Times New Roman"/>
          <w:sz w:val="20"/>
          <w:szCs w:val="20"/>
        </w:rPr>
        <w:t>In First Order Logic:</w:t>
      </w:r>
    </w:p>
    <w:p w:rsidR="00A06EF1" w:rsidRPr="000C5FCC" w:rsidRDefault="00A06EF1" w:rsidP="00A06EF1">
      <w:pPr>
        <w:ind w:left="1440"/>
        <w:rPr>
          <w:rFonts w:ascii="Times New Roman" w:eastAsia="Cambria Math" w:hAnsi="Times New Roman" w:cs="Times New Roman"/>
          <w:sz w:val="20"/>
          <w:szCs w:val="20"/>
        </w:rPr>
      </w:pPr>
      <w:r w:rsidRPr="000C5FCC">
        <w:rPr>
          <w:rFonts w:ascii="Times New Roman" w:hAnsi="Times New Roman" w:cs="Times New Roman"/>
          <w:sz w:val="20"/>
          <w:szCs w:val="20"/>
        </w:rPr>
        <w:t>TXP7(</w:t>
      </w:r>
      <w:proofErr w:type="spellStart"/>
      <w:proofErr w:type="gramStart"/>
      <w:r w:rsidRPr="000C5FCC">
        <w:rPr>
          <w:rFonts w:ascii="Times New Roman" w:hAnsi="Times New Roman" w:cs="Times New Roman"/>
          <w:sz w:val="20"/>
          <w:szCs w:val="20"/>
        </w:rPr>
        <w:t>x,y</w:t>
      </w:r>
      <w:proofErr w:type="spellEnd"/>
      <w:proofErr w:type="gramEnd"/>
      <w:r w:rsidRPr="000C5FCC">
        <w:rPr>
          <w:rFonts w:ascii="Times New Roman" w:hAnsi="Times New Roman" w:cs="Times New Roman"/>
          <w:sz w:val="20"/>
          <w:szCs w:val="20"/>
        </w:rPr>
        <w:t xml:space="preserve">) </w:t>
      </w:r>
      <w:r w:rsidRPr="000C5FCC">
        <w:rPr>
          <w:rFonts w:ascii="Cambria Math" w:eastAsia="Cambria Math" w:hAnsi="Cambria Math" w:cs="Cambria Math"/>
          <w:sz w:val="20"/>
          <w:szCs w:val="20"/>
        </w:rPr>
        <w:t>⇒</w:t>
      </w:r>
      <w:r w:rsidRPr="000C5FCC">
        <w:rPr>
          <w:rFonts w:ascii="Times New Roman" w:eastAsia="Cambria Math" w:hAnsi="Times New Roman" w:cs="Times New Roman"/>
          <w:sz w:val="20"/>
          <w:szCs w:val="20"/>
        </w:rPr>
        <w:t xml:space="preserve"> TX3(x)</w:t>
      </w:r>
    </w:p>
    <w:p w:rsidR="00A06EF1" w:rsidRPr="000C5FCC" w:rsidRDefault="00A06EF1" w:rsidP="00A06EF1">
      <w:pPr>
        <w:ind w:left="1440"/>
        <w:rPr>
          <w:rFonts w:ascii="Times New Roman" w:eastAsia="Cambria Math" w:hAnsi="Times New Roman" w:cs="Times New Roman"/>
          <w:sz w:val="20"/>
          <w:szCs w:val="20"/>
        </w:rPr>
      </w:pPr>
      <w:r w:rsidRPr="000C5FCC">
        <w:rPr>
          <w:rFonts w:ascii="Times New Roman" w:eastAsia="Cambria Math" w:hAnsi="Times New Roman" w:cs="Times New Roman"/>
          <w:sz w:val="20"/>
          <w:szCs w:val="20"/>
        </w:rPr>
        <w:t>TXP7(</w:t>
      </w:r>
      <w:proofErr w:type="spellStart"/>
      <w:r w:rsidRPr="000C5FCC">
        <w:rPr>
          <w:rFonts w:ascii="Times New Roman" w:eastAsia="Cambria Math" w:hAnsi="Times New Roman" w:cs="Times New Roman"/>
          <w:sz w:val="20"/>
          <w:szCs w:val="20"/>
        </w:rPr>
        <w:t>xy</w:t>
      </w:r>
      <w:proofErr w:type="spellEnd"/>
      <w:r w:rsidRPr="000C5FCC">
        <w:rPr>
          <w:rFonts w:ascii="Times New Roman" w:eastAsia="Cambria Math" w:hAnsi="Times New Roman" w:cs="Times New Roman"/>
          <w:sz w:val="20"/>
          <w:szCs w:val="20"/>
        </w:rPr>
        <w:t xml:space="preserve">,) </w:t>
      </w:r>
      <w:r w:rsidRPr="000C5FCC">
        <w:rPr>
          <w:rFonts w:ascii="Cambria Math" w:eastAsia="Cambria Math" w:hAnsi="Cambria Math" w:cs="Cambria Math"/>
          <w:sz w:val="20"/>
          <w:szCs w:val="20"/>
        </w:rPr>
        <w:t>⇒</w:t>
      </w:r>
      <w:r w:rsidRPr="000C5FCC">
        <w:rPr>
          <w:rFonts w:ascii="Times New Roman" w:eastAsia="Cambria Math" w:hAnsi="Times New Roman" w:cs="Times New Roman"/>
          <w:sz w:val="20"/>
          <w:szCs w:val="20"/>
        </w:rPr>
        <w:t xml:space="preserve"> TX8(y)</w:t>
      </w:r>
    </w:p>
    <w:p w:rsidR="00A06EF1" w:rsidRPr="00A161CE" w:rsidRDefault="00A06EF1" w:rsidP="00A06EF1"/>
    <w:p w:rsidR="00A06EF1" w:rsidRDefault="00A06EF1" w:rsidP="00A06EF1">
      <w:pPr>
        <w:pStyle w:val="Heading3"/>
      </w:pPr>
      <w:r>
        <w:t>TXP17 has part (forms part of) –</w:t>
      </w:r>
      <w:r w:rsidRPr="00E72D7E">
        <w:t xml:space="preserve"> </w:t>
      </w:r>
      <w:r>
        <w:t xml:space="preserve">proposed property definition </w:t>
      </w:r>
    </w:p>
    <w:p w:rsidR="00A06EF1" w:rsidRDefault="00A06EF1" w:rsidP="00A06EF1">
      <w:r w:rsidRPr="00DC2740">
        <w:rPr>
          <w:b/>
        </w:rPr>
        <w:t>Proposal</w:t>
      </w:r>
      <w:r>
        <w:t xml:space="preserve">: approve property definition TXP17. Details of the proposal </w:t>
      </w:r>
      <w:hyperlink w:anchor="_TXP17_has_part" w:history="1">
        <w:r w:rsidRPr="00A06EF1">
          <w:rPr>
            <w:rStyle w:val="Hyperlink"/>
          </w:rPr>
          <w:t>below</w:t>
        </w:r>
      </w:hyperlink>
      <w:r>
        <w:t>.</w:t>
      </w:r>
    </w:p>
    <w:p w:rsidR="00A06EF1" w:rsidRDefault="00A06EF1" w:rsidP="00A06EF1">
      <w:pPr>
        <w:keepNext/>
      </w:pPr>
      <w:r w:rsidRPr="00032109">
        <w:rPr>
          <w:b/>
        </w:rPr>
        <w:t>Discussion points</w:t>
      </w:r>
      <w:r>
        <w:t xml:space="preserve">: </w:t>
      </w:r>
    </w:p>
    <w:p w:rsidR="00A06EF1" w:rsidRDefault="00A06EF1" w:rsidP="00A06EF1">
      <w:r>
        <w:t>It is understood that the “Note” clause in the scope-note is intended to illustrate how the property is inherited to its subclass (namely TXP11 Grapheme Occurrence), but it needs to be stated more explicitly.</w:t>
      </w:r>
    </w:p>
    <w:p w:rsidR="00A06EF1" w:rsidRDefault="00A06EF1" w:rsidP="00A06EF1">
      <w:r>
        <w:t>I.e., the scope note should explain what it means for an instance of grapheme sequence to form part of a broader sequence, and after having determined the TX11 IsA TX12 relation, then mention the specific case of an instance of TX11 Grapheme Occurrence to form part of another instance of TX11 Grapheme Occurrence (exemplified by the composite symbol formerly used for “ü” in German).</w:t>
      </w:r>
    </w:p>
    <w:p w:rsidR="00A06EF1" w:rsidRDefault="00A06EF1" w:rsidP="00A06EF1">
      <w:r>
        <w:t>For the missing example: copy off any randomly picked subpart of an inscription example to showcase the typical use of the property (‘</w:t>
      </w:r>
      <w:proofErr w:type="spellStart"/>
      <w:r>
        <w:t>Caesari</w:t>
      </w:r>
      <w:proofErr w:type="spellEnd"/>
      <w:r>
        <w:t>’ has part ‘</w:t>
      </w:r>
      <w:proofErr w:type="spellStart"/>
      <w:r>
        <w:t>aesari</w:t>
      </w:r>
      <w:proofErr w:type="spellEnd"/>
      <w:r>
        <w:t xml:space="preserve">’ sort of thing). As it stands now, it only exemplifies the marginal case. </w:t>
      </w:r>
    </w:p>
    <w:p w:rsidR="00A06EF1" w:rsidRDefault="00A06EF1" w:rsidP="00A06EF1">
      <w:r w:rsidRPr="00032109">
        <w:rPr>
          <w:b/>
        </w:rPr>
        <w:lastRenderedPageBreak/>
        <w:t>HW</w:t>
      </w:r>
      <w:r>
        <w:t xml:space="preserve">: AF, FM to revisit this and then call for an e-vote </w:t>
      </w:r>
    </w:p>
    <w:p w:rsidR="00A06EF1" w:rsidRDefault="00A06EF1" w:rsidP="00A06EF1">
      <w:pPr>
        <w:pStyle w:val="Heading4"/>
        <w:rPr>
          <w:rFonts w:eastAsia="Cambria Math"/>
        </w:rPr>
      </w:pPr>
      <w:bookmarkStart w:id="3" w:name="_TXP17_has_part"/>
      <w:bookmarkEnd w:id="3"/>
      <w:r>
        <w:rPr>
          <w:rFonts w:eastAsia="Cambria Math"/>
        </w:rPr>
        <w:t>TXP17 has part (forms part of)</w:t>
      </w:r>
      <w:r w:rsidRPr="00DC2740">
        <w:rPr>
          <w:rFonts w:eastAsia="Cambria Math"/>
        </w:rPr>
        <w:t xml:space="preserve"> </w:t>
      </w:r>
      <w:r>
        <w:rPr>
          <w:rFonts w:eastAsia="Cambria Math"/>
        </w:rPr>
        <w:t>–proposed property definition</w:t>
      </w:r>
    </w:p>
    <w:p w:rsidR="00A06EF1" w:rsidRPr="00DC2740" w:rsidRDefault="00A06EF1" w:rsidP="00A06EF1">
      <w:pPr>
        <w:rPr>
          <w:rFonts w:ascii="Arial" w:hAnsi="Arial" w:cs="Arial"/>
          <w:b/>
          <w:sz w:val="20"/>
        </w:rPr>
      </w:pPr>
      <w:r w:rsidRPr="00DC2740">
        <w:rPr>
          <w:rFonts w:ascii="Arial" w:hAnsi="Arial" w:cs="Arial"/>
          <w:b/>
          <w:sz w:val="20"/>
        </w:rPr>
        <w:t>TXP17 has part (forms part of)</w:t>
      </w:r>
    </w:p>
    <w:p w:rsidR="00A06EF1" w:rsidRDefault="00A06EF1" w:rsidP="00A06EF1">
      <w:pPr>
        <w:spacing w:after="0" w:line="240" w:lineRule="auto"/>
        <w:rPr>
          <w:rFonts w:ascii="Times New Roman" w:eastAsia="Times New Roman" w:hAnsi="Times New Roman" w:cs="Times New Roman"/>
          <w:sz w:val="20"/>
          <w:szCs w:val="20"/>
        </w:rPr>
      </w:pPr>
    </w:p>
    <w:p w:rsidR="00A06EF1" w:rsidRDefault="00A06EF1" w:rsidP="00A06EF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Domain: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TX12 Grapheme Sequence</w:t>
      </w:r>
    </w:p>
    <w:p w:rsidR="00A06EF1" w:rsidRDefault="00A06EF1" w:rsidP="00A06EF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Range: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TX12 Grapheme Sequence</w:t>
      </w:r>
    </w:p>
    <w:p w:rsidR="00A06EF1" w:rsidRDefault="00A06EF1" w:rsidP="00A06EF1">
      <w:pPr>
        <w:spacing w:after="0" w:line="240" w:lineRule="auto"/>
        <w:jc w:val="both"/>
        <w:rPr>
          <w:rFonts w:ascii="Times New Roman" w:eastAsia="Times New Roman" w:hAnsi="Times New Roman" w:cs="Times New Roman"/>
          <w:sz w:val="20"/>
          <w:szCs w:val="20"/>
        </w:rPr>
      </w:pPr>
    </w:p>
    <w:p w:rsidR="00A06EF1" w:rsidRDefault="00A06EF1" w:rsidP="00A06EF1">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Subproperty</w:t>
      </w:r>
      <w:proofErr w:type="spellEnd"/>
      <w:r>
        <w:rPr>
          <w:rFonts w:ascii="Times New Roman" w:eastAsia="Times New Roman" w:hAnsi="Times New Roman" w:cs="Times New Roman"/>
          <w:sz w:val="20"/>
          <w:szCs w:val="20"/>
        </w:rPr>
        <w:t xml:space="preserve"> of</w:t>
      </w:r>
      <w:r>
        <w:rPr>
          <w:rFonts w:ascii="Times New Roman" w:eastAsia="Times New Roman" w:hAnsi="Times New Roman" w:cs="Times New Roman"/>
          <w:sz w:val="20"/>
          <w:szCs w:val="20"/>
        </w:rPr>
        <w:tab/>
        <w:t>P106 is composed of (forms part of)</w:t>
      </w:r>
    </w:p>
    <w:p w:rsidR="00A06EF1" w:rsidRDefault="00A06EF1" w:rsidP="00A06EF1">
      <w:pPr>
        <w:spacing w:after="0" w:line="240" w:lineRule="auto"/>
        <w:jc w:val="both"/>
        <w:rPr>
          <w:rFonts w:ascii="Times New Roman" w:eastAsia="Times New Roman" w:hAnsi="Times New Roman" w:cs="Times New Roman"/>
          <w:sz w:val="20"/>
          <w:szCs w:val="20"/>
        </w:rPr>
      </w:pPr>
    </w:p>
    <w:p w:rsidR="00A06EF1" w:rsidRDefault="00A06EF1" w:rsidP="00A06EF1">
      <w:pPr>
        <w:spacing w:after="0" w:line="240" w:lineRule="auto"/>
        <w:ind w:left="1276" w:hanging="127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Quantification:</w:t>
      </w:r>
      <w:r>
        <w:rPr>
          <w:rFonts w:ascii="Times New Roman" w:eastAsia="Times New Roman" w:hAnsi="Times New Roman" w:cs="Times New Roman"/>
          <w:sz w:val="20"/>
          <w:szCs w:val="20"/>
        </w:rPr>
        <w:tab/>
        <w:t>one to many (</w:t>
      </w:r>
      <w:proofErr w:type="gramStart"/>
      <w:r>
        <w:rPr>
          <w:rFonts w:ascii="Times New Roman" w:eastAsia="Times New Roman" w:hAnsi="Times New Roman" w:cs="Times New Roman"/>
          <w:sz w:val="20"/>
          <w:szCs w:val="20"/>
        </w:rPr>
        <w:t>0,n</w:t>
      </w:r>
      <w:proofErr w:type="gramEnd"/>
      <w:r>
        <w:rPr>
          <w:rFonts w:ascii="Times New Roman" w:eastAsia="Times New Roman" w:hAnsi="Times New Roman" w:cs="Times New Roman"/>
          <w:sz w:val="20"/>
          <w:szCs w:val="20"/>
        </w:rPr>
        <w:t>:0,1)</w:t>
      </w:r>
    </w:p>
    <w:p w:rsidR="00A06EF1" w:rsidRDefault="00A06EF1" w:rsidP="00A06EF1">
      <w:pPr>
        <w:spacing w:after="0" w:line="240" w:lineRule="auto"/>
        <w:jc w:val="both"/>
        <w:rPr>
          <w:rFonts w:ascii="Times New Roman" w:eastAsia="Times New Roman" w:hAnsi="Times New Roman" w:cs="Times New Roman"/>
          <w:sz w:val="20"/>
          <w:szCs w:val="20"/>
        </w:rPr>
      </w:pPr>
    </w:p>
    <w:p w:rsidR="00A06EF1" w:rsidRDefault="00A06EF1" w:rsidP="00A06EF1">
      <w:pPr>
        <w:spacing w:after="0" w:line="240" w:lineRule="auto"/>
        <w:ind w:left="1276" w:hanging="127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Scope note:</w:t>
      </w:r>
      <w:r>
        <w:rPr>
          <w:rFonts w:ascii="Times New Roman" w:eastAsia="Times New Roman" w:hAnsi="Times New Roman" w:cs="Times New Roman"/>
          <w:sz w:val="20"/>
          <w:szCs w:val="20"/>
        </w:rPr>
        <w:tab/>
        <w:t xml:space="preserve">This property associates an instance of TX12 Grapheme Sequence with another instance of TX12 Grapheme Sequence appearing at a particular position of the sequence. </w:t>
      </w:r>
    </w:p>
    <w:p w:rsidR="00A06EF1" w:rsidRDefault="00A06EF1" w:rsidP="00A06EF1">
      <w:pPr>
        <w:spacing w:after="0" w:line="240" w:lineRule="auto"/>
        <w:ind w:left="127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 that a grapheme occurrence may be a symbolic composite containing another grapheme occurrence, such as the minute character “e” on top of the character “u” in former German writing systems denoting the symbol for “ü”. </w:t>
      </w:r>
    </w:p>
    <w:p w:rsidR="00A06EF1" w:rsidRDefault="00A06EF1" w:rsidP="00A06EF1">
      <w:pPr>
        <w:spacing w:after="0" w:line="240" w:lineRule="auto"/>
        <w:ind w:left="1276" w:hanging="1276"/>
        <w:jc w:val="both"/>
        <w:rPr>
          <w:rFonts w:ascii="Times New Roman" w:eastAsia="Times New Roman" w:hAnsi="Times New Roman" w:cs="Times New Roman"/>
          <w:sz w:val="20"/>
          <w:szCs w:val="20"/>
        </w:rPr>
      </w:pPr>
    </w:p>
    <w:p w:rsidR="00A06EF1" w:rsidRDefault="00A06EF1" w:rsidP="00A06EF1">
      <w:pPr>
        <w:spacing w:after="0" w:line="240" w:lineRule="auto"/>
        <w:ind w:left="1440" w:hanging="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Examples:</w:t>
      </w:r>
      <w:r>
        <w:rPr>
          <w:rFonts w:ascii="Times New Roman" w:eastAsia="Times New Roman" w:hAnsi="Times New Roman" w:cs="Times New Roman"/>
          <w:sz w:val="20"/>
          <w:szCs w:val="20"/>
        </w:rPr>
        <w:tab/>
      </w:r>
    </w:p>
    <w:p w:rsidR="00A06EF1" w:rsidRDefault="00A06EF1" w:rsidP="00A06EF1">
      <w:pPr>
        <w:spacing w:after="0" w:line="240" w:lineRule="auto"/>
        <w:ind w:left="1800"/>
        <w:jc w:val="both"/>
        <w:rPr>
          <w:rFonts w:ascii="Times New Roman" w:eastAsia="Times New Roman" w:hAnsi="Times New Roman" w:cs="Times New Roman"/>
          <w:sz w:val="20"/>
          <w:szCs w:val="20"/>
        </w:rPr>
      </w:pPr>
    </w:p>
    <w:p w:rsidR="00A06EF1" w:rsidRDefault="00A06EF1" w:rsidP="00A06EF1">
      <w:pPr>
        <w:spacing w:after="0" w:line="240" w:lineRule="auto"/>
        <w:rPr>
          <w:rFonts w:ascii="Times New Roman" w:eastAsia="Times New Roman" w:hAnsi="Times New Roman" w:cs="Times New Roman"/>
          <w:sz w:val="20"/>
          <w:szCs w:val="20"/>
        </w:rPr>
      </w:pPr>
    </w:p>
    <w:p w:rsidR="00A06EF1" w:rsidRDefault="00A06EF1" w:rsidP="00A06E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First Order Logic:</w:t>
      </w:r>
    </w:p>
    <w:p w:rsidR="00A06EF1" w:rsidRDefault="00A06EF1" w:rsidP="00A06EF1">
      <w:pPr>
        <w:spacing w:after="0" w:line="240" w:lineRule="auto"/>
        <w:ind w:left="1174"/>
        <w:rPr>
          <w:rFonts w:ascii="Times New Roman" w:eastAsia="Times New Roman" w:hAnsi="Times New Roman" w:cs="Times New Roman"/>
          <w:sz w:val="20"/>
          <w:szCs w:val="20"/>
        </w:rPr>
      </w:pPr>
      <w:r>
        <w:rPr>
          <w:rFonts w:ascii="Times New Roman" w:eastAsia="Times New Roman" w:hAnsi="Times New Roman" w:cs="Times New Roman"/>
          <w:sz w:val="20"/>
          <w:szCs w:val="20"/>
        </w:rPr>
        <w:t>TXP16(</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w:t>
      </w:r>
      <w:hyperlink w:anchor="_heading=h.2pta16n">
        <w:r>
          <w:rPr>
            <w:rFonts w:ascii="Times New Roman" w:eastAsia="Times New Roman" w:hAnsi="Times New Roman" w:cs="Times New Roman"/>
            <w:sz w:val="20"/>
            <w:szCs w:val="20"/>
          </w:rPr>
          <w:t>TX</w:t>
        </w:r>
      </w:hyperlink>
      <w:r>
        <w:rPr>
          <w:rFonts w:ascii="Times New Roman" w:eastAsia="Times New Roman" w:hAnsi="Times New Roman" w:cs="Times New Roman"/>
          <w:sz w:val="20"/>
          <w:szCs w:val="20"/>
        </w:rPr>
        <w:t>12(x)</w:t>
      </w:r>
    </w:p>
    <w:p w:rsidR="00A06EF1" w:rsidRDefault="00A06EF1" w:rsidP="00A06EF1">
      <w:pPr>
        <w:spacing w:after="0" w:line="240" w:lineRule="auto"/>
        <w:ind w:left="720"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 (</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w:t>
      </w:r>
      <w:r w:rsidRPr="00DC2740">
        <w:rPr>
          <w:rFonts w:ascii="Times New Roman" w:eastAsia="Times New Roman" w:hAnsi="Times New Roman" w:cs="Times New Roman"/>
          <w:sz w:val="20"/>
          <w:szCs w:val="20"/>
        </w:rPr>
        <w:t>TX11</w:t>
      </w:r>
      <w:r>
        <w:rPr>
          <w:rFonts w:ascii="Times New Roman" w:eastAsia="Times New Roman" w:hAnsi="Times New Roman" w:cs="Times New Roman"/>
          <w:sz w:val="20"/>
          <w:szCs w:val="20"/>
        </w:rPr>
        <w:t>(y)</w:t>
      </w:r>
    </w:p>
    <w:p w:rsidR="00A06EF1" w:rsidRDefault="00A06EF1" w:rsidP="00A06EF1">
      <w:pPr>
        <w:spacing w:line="240" w:lineRule="auto"/>
        <w:ind w:left="720"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 (</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sidRPr="00DC2740">
        <w:rPr>
          <w:rFonts w:ascii="Cambria Math" w:eastAsia="Times New Roman" w:hAnsi="Cambria Math" w:cs="Cambria Math"/>
          <w:sz w:val="20"/>
          <w:szCs w:val="20"/>
        </w:rPr>
        <w:t>⇒</w:t>
      </w:r>
      <w:r>
        <w:rPr>
          <w:rFonts w:ascii="Times New Roman" w:eastAsia="Times New Roman" w:hAnsi="Times New Roman" w:cs="Times New Roman"/>
          <w:sz w:val="20"/>
          <w:szCs w:val="20"/>
        </w:rPr>
        <w:t xml:space="preserve"> </w:t>
      </w:r>
      <w:r w:rsidRPr="00DC2740">
        <w:rPr>
          <w:rFonts w:ascii="Times New Roman" w:eastAsia="Times New Roman" w:hAnsi="Times New Roman" w:cs="Times New Roman"/>
          <w:sz w:val="20"/>
          <w:szCs w:val="20"/>
        </w:rPr>
        <w:t>P148</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x,y</w:t>
      </w:r>
      <w:proofErr w:type="spellEnd"/>
      <w:r>
        <w:rPr>
          <w:rFonts w:ascii="Times New Roman" w:eastAsia="Times New Roman" w:hAnsi="Times New Roman" w:cs="Times New Roman"/>
          <w:sz w:val="20"/>
          <w:szCs w:val="20"/>
        </w:rPr>
        <w:t>)</w:t>
      </w:r>
    </w:p>
    <w:p w:rsidR="00A06EF1" w:rsidRDefault="00A06EF1" w:rsidP="00A06EF1"/>
    <w:p w:rsidR="00A06EF1" w:rsidRDefault="00A06EF1" w:rsidP="00A06EF1">
      <w:pPr>
        <w:pStyle w:val="Heading3"/>
      </w:pPr>
      <w:r>
        <w:t>TXP18 read (was read by) –proposed shortcut property definition</w:t>
      </w:r>
    </w:p>
    <w:p w:rsidR="00A06EF1" w:rsidRDefault="00A06EF1" w:rsidP="00A06EF1">
      <w:r w:rsidRPr="00032109">
        <w:rPr>
          <w:b/>
        </w:rPr>
        <w:t>Proposal</w:t>
      </w:r>
      <w:r w:rsidRPr="00032109">
        <w:t>: approve property definition TXP1</w:t>
      </w:r>
      <w:r>
        <w:t>8</w:t>
      </w:r>
      <w:r w:rsidRPr="00032109">
        <w:t>. Details of the proposal</w:t>
      </w:r>
      <w:r>
        <w:t xml:space="preserve"> </w:t>
      </w:r>
      <w:hyperlink w:anchor="_TXP18_read_(was" w:history="1">
        <w:r w:rsidRPr="00A06EF1">
          <w:rPr>
            <w:rStyle w:val="Hyperlink"/>
          </w:rPr>
          <w:t>below</w:t>
        </w:r>
      </w:hyperlink>
      <w:r>
        <w:t>:</w:t>
      </w:r>
    </w:p>
    <w:p w:rsidR="00A06EF1" w:rsidRDefault="00A06EF1" w:rsidP="00A06EF1">
      <w:r w:rsidRPr="00432B83">
        <w:rPr>
          <w:b/>
        </w:rPr>
        <w:t>Discussion points</w:t>
      </w:r>
      <w:r>
        <w:t xml:space="preserve">: </w:t>
      </w:r>
    </w:p>
    <w:p w:rsidR="00A06EF1" w:rsidRDefault="00A06EF1" w:rsidP="00A06EF1">
      <w:pPr>
        <w:pStyle w:val="ListParagraph"/>
        <w:numPr>
          <w:ilvl w:val="0"/>
          <w:numId w:val="2"/>
        </w:numPr>
      </w:pPr>
      <w:r>
        <w:t xml:space="preserve">“complete linguistic meaning” imposes a complete-world assumption. Might be the case for the </w:t>
      </w:r>
      <w:proofErr w:type="spellStart"/>
      <w:r>
        <w:t>Derveni</w:t>
      </w:r>
      <w:proofErr w:type="spellEnd"/>
      <w:r>
        <w:t xml:space="preserve"> papyrus, but needn’t always be the case. </w:t>
      </w:r>
    </w:p>
    <w:p w:rsidR="00A06EF1" w:rsidRDefault="00A06EF1" w:rsidP="00A06EF1">
      <w:pPr>
        <w:pStyle w:val="ListParagraph"/>
        <w:numPr>
          <w:ilvl w:val="0"/>
          <w:numId w:val="2"/>
        </w:numPr>
      </w:pPr>
      <w:r>
        <w:t>“read and interpreted” in the example: the name of the property is read. Not interpreted. Best add that as a comment at the end of the example.</w:t>
      </w:r>
    </w:p>
    <w:p w:rsidR="00A06EF1" w:rsidRDefault="00A06EF1" w:rsidP="00A06EF1">
      <w:pPr>
        <w:pStyle w:val="ListParagraph"/>
        <w:numPr>
          <w:ilvl w:val="0"/>
          <w:numId w:val="2"/>
        </w:numPr>
      </w:pPr>
      <w:r>
        <w:t xml:space="preserve">“interpreted” did not resonate well with participants. Why not “understood”? EC and PF to further communicate about this. </w:t>
      </w:r>
    </w:p>
    <w:p w:rsidR="00A06EF1" w:rsidRDefault="00A06EF1" w:rsidP="00A06EF1">
      <w:pPr>
        <w:pStyle w:val="ListParagraph"/>
        <w:numPr>
          <w:ilvl w:val="0"/>
          <w:numId w:val="2"/>
        </w:numPr>
      </w:pPr>
      <w:r>
        <w:t xml:space="preserve">Scope note needs editing to reflect that it is the linguistic meaning of the linguistic object that is carried by the physical thing that the TX1 Written Text (IsA E25) is. </w:t>
      </w:r>
    </w:p>
    <w:p w:rsidR="00A06EF1" w:rsidRDefault="00A06EF1" w:rsidP="00A06EF1">
      <w:r w:rsidRPr="00997A34">
        <w:rPr>
          <w:b/>
        </w:rPr>
        <w:t>HW</w:t>
      </w:r>
      <w:r>
        <w:t>: AF, FM to revise this and then send out an e-vote</w:t>
      </w:r>
    </w:p>
    <w:p w:rsidR="00A06EF1" w:rsidRDefault="00A06EF1" w:rsidP="00A06EF1">
      <w:pPr>
        <w:pStyle w:val="Heading4"/>
        <w:rPr>
          <w:rFonts w:eastAsia="Cambria Math"/>
        </w:rPr>
      </w:pPr>
      <w:bookmarkStart w:id="4" w:name="_TXP18_read_(was"/>
      <w:bookmarkEnd w:id="4"/>
      <w:r>
        <w:rPr>
          <w:rFonts w:eastAsia="Cambria Math"/>
        </w:rPr>
        <w:t>TXP18 read (was read by) –proposed shortcut property definition</w:t>
      </w:r>
    </w:p>
    <w:p w:rsidR="00A06EF1" w:rsidRDefault="00A06EF1" w:rsidP="00A06EF1">
      <w:pPr>
        <w:spacing w:line="240" w:lineRule="auto"/>
        <w:rPr>
          <w:rFonts w:ascii="Times New Roman" w:eastAsia="Times New Roman" w:hAnsi="Times New Roman" w:cs="Times New Roman"/>
          <w:sz w:val="20"/>
          <w:szCs w:val="20"/>
        </w:rPr>
      </w:pPr>
      <w:r w:rsidRPr="00032109">
        <w:rPr>
          <w:rFonts w:ascii="Arial" w:hAnsi="Arial" w:cs="Arial"/>
          <w:b/>
          <w:sz w:val="20"/>
        </w:rPr>
        <w:t>TXP18 read (was read by)</w:t>
      </w:r>
    </w:p>
    <w:p w:rsidR="00A06EF1" w:rsidRDefault="00A06EF1" w:rsidP="00A06EF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Domain: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032109">
        <w:rPr>
          <w:rFonts w:ascii="Times New Roman" w:eastAsia="Times New Roman" w:hAnsi="Times New Roman" w:cs="Times New Roman"/>
          <w:sz w:val="20"/>
          <w:szCs w:val="20"/>
        </w:rPr>
        <w:t>TX14 Reading</w:t>
      </w:r>
    </w:p>
    <w:p w:rsidR="00A06EF1" w:rsidRDefault="00A06EF1" w:rsidP="00A06EF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Range: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032109">
        <w:rPr>
          <w:rFonts w:ascii="Times New Roman" w:eastAsia="Times New Roman" w:hAnsi="Times New Roman" w:cs="Times New Roman"/>
          <w:sz w:val="20"/>
          <w:szCs w:val="20"/>
        </w:rPr>
        <w:t>TX1 Written Text</w:t>
      </w:r>
    </w:p>
    <w:p w:rsidR="00A06EF1" w:rsidRDefault="00A06EF1" w:rsidP="00A06EF1">
      <w:pPr>
        <w:spacing w:after="0" w:line="240" w:lineRule="auto"/>
        <w:jc w:val="both"/>
        <w:rPr>
          <w:rFonts w:ascii="Times New Roman" w:eastAsia="Times New Roman" w:hAnsi="Times New Roman" w:cs="Times New Roman"/>
          <w:sz w:val="20"/>
          <w:szCs w:val="20"/>
        </w:rPr>
      </w:pPr>
    </w:p>
    <w:p w:rsidR="00A06EF1" w:rsidRDefault="00A06EF1" w:rsidP="00A06EF1">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Subproperty</w:t>
      </w:r>
      <w:proofErr w:type="spellEnd"/>
      <w:r>
        <w:rPr>
          <w:rFonts w:ascii="Times New Roman" w:eastAsia="Times New Roman" w:hAnsi="Times New Roman" w:cs="Times New Roman"/>
          <w:sz w:val="20"/>
          <w:szCs w:val="20"/>
        </w:rPr>
        <w:t xml:space="preserve"> of:</w:t>
      </w:r>
      <w:r>
        <w:rPr>
          <w:rFonts w:ascii="Times New Roman" w:eastAsia="Times New Roman" w:hAnsi="Times New Roman" w:cs="Times New Roman"/>
          <w:sz w:val="20"/>
          <w:szCs w:val="20"/>
        </w:rPr>
        <w:tab/>
      </w:r>
      <w:r w:rsidRPr="00032109">
        <w:rPr>
          <w:rFonts w:ascii="Times New Roman" w:eastAsia="Times New Roman" w:hAnsi="Times New Roman" w:cs="Times New Roman"/>
          <w:sz w:val="20"/>
          <w:szCs w:val="20"/>
        </w:rPr>
        <w:t>Jxx10 interpreted meaning of (was interpreted by)</w:t>
      </w:r>
    </w:p>
    <w:p w:rsidR="00A06EF1" w:rsidRDefault="00A06EF1" w:rsidP="00A06EF1">
      <w:pPr>
        <w:spacing w:after="0" w:line="240" w:lineRule="auto"/>
        <w:jc w:val="both"/>
        <w:rPr>
          <w:rFonts w:ascii="Times New Roman" w:eastAsia="Times New Roman" w:hAnsi="Times New Roman" w:cs="Times New Roman"/>
          <w:sz w:val="20"/>
          <w:szCs w:val="20"/>
        </w:rPr>
      </w:pPr>
    </w:p>
    <w:p w:rsidR="00A06EF1" w:rsidRDefault="00A06EF1" w:rsidP="00A06EF1">
      <w:pPr>
        <w:spacing w:after="0" w:line="240" w:lineRule="auto"/>
        <w:ind w:left="1276" w:hanging="127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Quantification:</w:t>
      </w:r>
      <w:r>
        <w:rPr>
          <w:rFonts w:ascii="Times New Roman" w:eastAsia="Times New Roman" w:hAnsi="Times New Roman" w:cs="Times New Roman"/>
          <w:sz w:val="20"/>
          <w:szCs w:val="20"/>
        </w:rPr>
        <w:tab/>
        <w:t>one to many (</w:t>
      </w:r>
      <w:proofErr w:type="gramStart"/>
      <w:r>
        <w:rPr>
          <w:rFonts w:ascii="Times New Roman" w:eastAsia="Times New Roman" w:hAnsi="Times New Roman" w:cs="Times New Roman"/>
          <w:sz w:val="20"/>
          <w:szCs w:val="20"/>
        </w:rPr>
        <w:t>0,n</w:t>
      </w:r>
      <w:proofErr w:type="gramEnd"/>
      <w:r>
        <w:rPr>
          <w:rFonts w:ascii="Times New Roman" w:eastAsia="Times New Roman" w:hAnsi="Times New Roman" w:cs="Times New Roman"/>
          <w:sz w:val="20"/>
          <w:szCs w:val="20"/>
        </w:rPr>
        <w:t>:0,1)</w:t>
      </w:r>
    </w:p>
    <w:p w:rsidR="00A06EF1" w:rsidRDefault="00A06EF1" w:rsidP="00A06EF1">
      <w:pPr>
        <w:spacing w:after="0" w:line="240" w:lineRule="auto"/>
        <w:jc w:val="both"/>
        <w:rPr>
          <w:rFonts w:ascii="Times New Roman" w:eastAsia="Times New Roman" w:hAnsi="Times New Roman" w:cs="Times New Roman"/>
          <w:sz w:val="20"/>
          <w:szCs w:val="20"/>
        </w:rPr>
      </w:pPr>
    </w:p>
    <w:p w:rsidR="00A06EF1" w:rsidRDefault="00A06EF1" w:rsidP="00A06EF1">
      <w:pPr>
        <w:spacing w:after="0" w:line="240" w:lineRule="auto"/>
        <w:ind w:left="1276" w:hanging="127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Scope note:</w:t>
      </w:r>
      <w:r>
        <w:rPr>
          <w:rFonts w:ascii="Times New Roman" w:eastAsia="Times New Roman" w:hAnsi="Times New Roman" w:cs="Times New Roman"/>
          <w:sz w:val="20"/>
          <w:szCs w:val="20"/>
        </w:rPr>
        <w:tab/>
      </w:r>
      <w:r w:rsidRPr="00032109">
        <w:rPr>
          <w:rFonts w:ascii="Times New Roman" w:eastAsia="Times New Roman" w:hAnsi="Times New Roman" w:cs="Times New Roman"/>
          <w:sz w:val="20"/>
          <w:szCs w:val="20"/>
        </w:rPr>
        <w:t>This property associates an instance of TX14 Reading with an instance of TX1 Written Text, the linguistic meaning of which was interpreted through the reading process. It is a shortcut of the fully developed path P9 consists of: TX5 Text Recognition</w:t>
      </w:r>
      <w:r>
        <w:rPr>
          <w:rFonts w:ascii="Times New Roman" w:eastAsia="Times New Roman" w:hAnsi="Times New Roman" w:cs="Times New Roman"/>
          <w:sz w:val="20"/>
          <w:szCs w:val="20"/>
        </w:rPr>
        <w:t>.</w:t>
      </w:r>
      <w:r w:rsidRPr="00032109">
        <w:rPr>
          <w:rFonts w:ascii="Times New Roman" w:eastAsia="Times New Roman" w:hAnsi="Times New Roman" w:cs="Times New Roman"/>
          <w:sz w:val="20"/>
          <w:szCs w:val="20"/>
        </w:rPr>
        <w:t xml:space="preserve"> TXP10 deciphered text: TX1 Written Text</w:t>
      </w:r>
    </w:p>
    <w:p w:rsidR="00A06EF1" w:rsidRDefault="00A06EF1" w:rsidP="00A06EF1">
      <w:pPr>
        <w:spacing w:after="0" w:line="240" w:lineRule="auto"/>
        <w:ind w:left="1276" w:hanging="1276"/>
        <w:jc w:val="both"/>
        <w:rPr>
          <w:rFonts w:ascii="Times New Roman" w:eastAsia="Times New Roman" w:hAnsi="Times New Roman" w:cs="Times New Roman"/>
          <w:sz w:val="20"/>
          <w:szCs w:val="20"/>
        </w:rPr>
      </w:pPr>
    </w:p>
    <w:p w:rsidR="00A06EF1" w:rsidRDefault="00A06EF1" w:rsidP="00A06EF1">
      <w:pPr>
        <w:spacing w:after="0" w:line="240" w:lineRule="auto"/>
        <w:ind w:left="1440" w:hanging="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Examples:</w:t>
      </w:r>
      <w:r>
        <w:rPr>
          <w:rFonts w:ascii="Times New Roman" w:eastAsia="Times New Roman" w:hAnsi="Times New Roman" w:cs="Times New Roman"/>
          <w:sz w:val="20"/>
          <w:szCs w:val="20"/>
        </w:rPr>
        <w:tab/>
      </w:r>
    </w:p>
    <w:p w:rsidR="00A06EF1" w:rsidRPr="00997A34" w:rsidRDefault="00A06EF1" w:rsidP="00A06EF1">
      <w:pPr>
        <w:pStyle w:val="ListParagraph"/>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w:t>
      </w:r>
      <w:r w:rsidRPr="00997A34">
        <w:rPr>
          <w:rFonts w:ascii="Times New Roman" w:eastAsia="Times New Roman" w:hAnsi="Times New Roman" w:cs="Times New Roman"/>
          <w:sz w:val="20"/>
          <w:szCs w:val="20"/>
        </w:rPr>
        <w:t xml:space="preserve">eading </w:t>
      </w:r>
      <w:r>
        <w:rPr>
          <w:rFonts w:ascii="Times New Roman" w:eastAsia="Times New Roman" w:hAnsi="Times New Roman" w:cs="Times New Roman"/>
          <w:sz w:val="20"/>
          <w:szCs w:val="20"/>
        </w:rPr>
        <w:t xml:space="preserve">of </w:t>
      </w:r>
      <w:r w:rsidRPr="00997A34">
        <w:rPr>
          <w:rFonts w:ascii="Times New Roman" w:eastAsia="Times New Roman" w:hAnsi="Times New Roman" w:cs="Times New Roman"/>
          <w:sz w:val="20"/>
          <w:szCs w:val="20"/>
        </w:rPr>
        <w:t xml:space="preserve">the Greek text present on the </w:t>
      </w:r>
      <w:proofErr w:type="spellStart"/>
      <w:r w:rsidRPr="00997A34">
        <w:rPr>
          <w:rFonts w:ascii="Times New Roman" w:eastAsia="Times New Roman" w:hAnsi="Times New Roman" w:cs="Times New Roman"/>
          <w:sz w:val="20"/>
          <w:szCs w:val="20"/>
        </w:rPr>
        <w:t>Derveni</w:t>
      </w:r>
      <w:proofErr w:type="spellEnd"/>
      <w:r w:rsidRPr="00997A34">
        <w:rPr>
          <w:rFonts w:ascii="Times New Roman" w:eastAsia="Times New Roman" w:hAnsi="Times New Roman" w:cs="Times New Roman"/>
          <w:sz w:val="20"/>
          <w:szCs w:val="20"/>
        </w:rPr>
        <w:t xml:space="preserve"> papyrus (TX14) </w:t>
      </w:r>
      <w:r w:rsidRPr="00997A34">
        <w:rPr>
          <w:rFonts w:ascii="Times New Roman" w:eastAsia="Times New Roman" w:hAnsi="Times New Roman" w:cs="Times New Roman"/>
          <w:i/>
          <w:sz w:val="20"/>
          <w:szCs w:val="20"/>
        </w:rPr>
        <w:t>read</w:t>
      </w:r>
      <w:r w:rsidRPr="00997A34">
        <w:rPr>
          <w:rFonts w:ascii="Times New Roman" w:eastAsia="Times New Roman" w:hAnsi="Times New Roman" w:cs="Times New Roman"/>
          <w:sz w:val="20"/>
          <w:szCs w:val="20"/>
        </w:rPr>
        <w:t xml:space="preserve"> the papyrus (TX1) [interpreted the linguistic meaning that was carried by it].</w:t>
      </w:r>
    </w:p>
    <w:p w:rsidR="00A06EF1" w:rsidRDefault="00A06EF1" w:rsidP="00A06EF1">
      <w:pPr>
        <w:spacing w:after="0" w:line="240" w:lineRule="auto"/>
        <w:rPr>
          <w:rFonts w:ascii="Times New Roman" w:eastAsia="Times New Roman" w:hAnsi="Times New Roman" w:cs="Times New Roman"/>
          <w:sz w:val="20"/>
          <w:szCs w:val="20"/>
        </w:rPr>
      </w:pPr>
    </w:p>
    <w:p w:rsidR="00A06EF1" w:rsidRDefault="00A06EF1" w:rsidP="00A06E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First Order Logic:</w:t>
      </w:r>
    </w:p>
    <w:p w:rsidR="00A06EF1" w:rsidRDefault="00A06EF1" w:rsidP="00A06EF1">
      <w:pPr>
        <w:spacing w:after="0"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TXP16(</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w:t>
      </w:r>
      <w:hyperlink w:anchor="_heading=h.2pta16n">
        <w:r>
          <w:rPr>
            <w:rFonts w:ascii="Times New Roman" w:eastAsia="Times New Roman" w:hAnsi="Times New Roman" w:cs="Times New Roman"/>
            <w:sz w:val="20"/>
            <w:szCs w:val="20"/>
          </w:rPr>
          <w:t>TX</w:t>
        </w:r>
      </w:hyperlink>
      <w:r>
        <w:rPr>
          <w:rFonts w:ascii="Times New Roman" w:eastAsia="Times New Roman" w:hAnsi="Times New Roman" w:cs="Times New Roman"/>
          <w:sz w:val="20"/>
          <w:szCs w:val="20"/>
        </w:rPr>
        <w:t>12(x)</w:t>
      </w:r>
    </w:p>
    <w:p w:rsidR="00A06EF1" w:rsidRDefault="00A06EF1" w:rsidP="00A06EF1">
      <w:pPr>
        <w:spacing w:after="0" w:line="240" w:lineRule="auto"/>
        <w:ind w:left="986"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 (</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Pr>
          <w:rFonts w:ascii="Cambria Math" w:eastAsia="Cambria Math" w:hAnsi="Cambria Math" w:cs="Cambria Math"/>
          <w:sz w:val="20"/>
          <w:szCs w:val="20"/>
        </w:rPr>
        <w:t>⇒</w:t>
      </w:r>
      <w:r>
        <w:rPr>
          <w:rFonts w:ascii="Times New Roman" w:eastAsia="Times New Roman" w:hAnsi="Times New Roman" w:cs="Times New Roman"/>
          <w:sz w:val="20"/>
          <w:szCs w:val="20"/>
        </w:rPr>
        <w:t xml:space="preserve"> </w:t>
      </w:r>
      <w:r w:rsidRPr="00DC2740">
        <w:rPr>
          <w:rFonts w:ascii="Times New Roman" w:eastAsia="Times New Roman" w:hAnsi="Times New Roman" w:cs="Times New Roman"/>
          <w:sz w:val="20"/>
          <w:szCs w:val="20"/>
        </w:rPr>
        <w:t>TX11</w:t>
      </w:r>
      <w:r>
        <w:rPr>
          <w:rFonts w:ascii="Times New Roman" w:eastAsia="Times New Roman" w:hAnsi="Times New Roman" w:cs="Times New Roman"/>
          <w:sz w:val="20"/>
          <w:szCs w:val="20"/>
        </w:rPr>
        <w:t>(y)</w:t>
      </w:r>
    </w:p>
    <w:p w:rsidR="00A06EF1" w:rsidRDefault="00A06EF1" w:rsidP="00A06EF1">
      <w:pPr>
        <w:spacing w:after="0" w:line="240" w:lineRule="auto"/>
        <w:ind w:left="986" w:firstLine="454"/>
        <w:rPr>
          <w:rFonts w:ascii="Times New Roman" w:eastAsia="Times New Roman" w:hAnsi="Times New Roman" w:cs="Times New Roman"/>
          <w:sz w:val="20"/>
          <w:szCs w:val="20"/>
        </w:rPr>
      </w:pPr>
      <w:r>
        <w:rPr>
          <w:rFonts w:ascii="Times New Roman" w:eastAsia="Times New Roman" w:hAnsi="Times New Roman" w:cs="Times New Roman"/>
          <w:sz w:val="20"/>
          <w:szCs w:val="20"/>
        </w:rPr>
        <w:t>TXP16 (</w:t>
      </w:r>
      <w:proofErr w:type="spellStart"/>
      <w:proofErr w:type="gramStart"/>
      <w:r>
        <w:rPr>
          <w:rFonts w:ascii="Times New Roman" w:eastAsia="Times New Roman" w:hAnsi="Times New Roman" w:cs="Times New Roman"/>
          <w:sz w:val="20"/>
          <w:szCs w:val="20"/>
        </w:rPr>
        <w:t>x,y</w:t>
      </w:r>
      <w:proofErr w:type="spellEnd"/>
      <w:proofErr w:type="gramEnd"/>
      <w:r>
        <w:rPr>
          <w:rFonts w:ascii="Times New Roman" w:eastAsia="Times New Roman" w:hAnsi="Times New Roman" w:cs="Times New Roman"/>
          <w:sz w:val="20"/>
          <w:szCs w:val="20"/>
        </w:rPr>
        <w:t xml:space="preserve">) </w:t>
      </w:r>
      <w:r w:rsidRPr="00DC2740">
        <w:rPr>
          <w:rFonts w:ascii="Cambria Math" w:eastAsia="Times New Roman" w:hAnsi="Cambria Math" w:cs="Cambria Math"/>
          <w:sz w:val="20"/>
          <w:szCs w:val="20"/>
        </w:rPr>
        <w:t>⇒</w:t>
      </w:r>
      <w:r>
        <w:rPr>
          <w:rFonts w:ascii="Times New Roman" w:eastAsia="Times New Roman" w:hAnsi="Times New Roman" w:cs="Times New Roman"/>
          <w:sz w:val="20"/>
          <w:szCs w:val="20"/>
        </w:rPr>
        <w:t xml:space="preserve"> </w:t>
      </w:r>
      <w:r w:rsidRPr="00DC2740">
        <w:rPr>
          <w:rFonts w:ascii="Times New Roman" w:eastAsia="Times New Roman" w:hAnsi="Times New Roman" w:cs="Times New Roman"/>
          <w:sz w:val="20"/>
          <w:szCs w:val="20"/>
        </w:rPr>
        <w:t>P148</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x,y</w:t>
      </w:r>
      <w:proofErr w:type="spellEnd"/>
      <w:r>
        <w:rPr>
          <w:rFonts w:ascii="Times New Roman" w:eastAsia="Times New Roman" w:hAnsi="Times New Roman" w:cs="Times New Roman"/>
          <w:sz w:val="20"/>
          <w:szCs w:val="20"/>
        </w:rPr>
        <w:t>)</w:t>
      </w:r>
    </w:p>
    <w:p w:rsidR="00A06EF1" w:rsidRDefault="00A06EF1" w:rsidP="00A06EF1"/>
    <w:p w:rsidR="00A06EF1" w:rsidRDefault="00A06EF1" w:rsidP="00A06EF1">
      <w:pPr>
        <w:pStyle w:val="Heading3"/>
      </w:pPr>
      <w:r>
        <w:t xml:space="preserve">Deprecate TXP3 rendered </w:t>
      </w:r>
    </w:p>
    <w:p w:rsidR="00A06EF1" w:rsidRDefault="00A06EF1" w:rsidP="00A06EF1">
      <w:r>
        <w:t xml:space="preserve">The property has become obsolete, it has been substituted by the path via TX12 Grapheme Sequence </w:t>
      </w:r>
    </w:p>
    <w:p w:rsidR="00A06EF1" w:rsidRDefault="00A06EF1" w:rsidP="00A06EF1">
      <w:pPr>
        <w:rPr>
          <w:lang w:val="en-GB"/>
        </w:rPr>
      </w:pPr>
      <w:r w:rsidRPr="00F23E5E">
        <w:rPr>
          <w:u w:val="single"/>
          <w:lang w:val="en-GB"/>
        </w:rPr>
        <w:t xml:space="preserve">The SIG voted to </w:t>
      </w:r>
      <w:r>
        <w:rPr>
          <w:u w:val="single"/>
          <w:lang w:val="en-GB"/>
        </w:rPr>
        <w:t>approve the full definition and examples</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7</w:t>
      </w:r>
      <w:r w:rsidRPr="00F23E5E">
        <w:rPr>
          <w:lang w:val="en-GB"/>
        </w:rPr>
        <w:t xml:space="preserve"> (</w:t>
      </w:r>
      <w:r>
        <w:rPr>
          <w:lang w:val="en-GB"/>
        </w:rPr>
        <w:t>5</w:t>
      </w:r>
      <w:r w:rsidRPr="00F23E5E">
        <w:rPr>
          <w:lang w:val="en-GB"/>
        </w:rPr>
        <w:t xml:space="preserve"> in person, </w:t>
      </w:r>
      <w:r>
        <w:rPr>
          <w:lang w:val="en-GB"/>
        </w:rPr>
        <w:t xml:space="preserve">2 </w:t>
      </w:r>
      <w:r w:rsidRPr="00F23E5E">
        <w:rPr>
          <w:lang w:val="en-GB"/>
        </w:rPr>
        <w:t>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11</w:t>
      </w:r>
      <w:r w:rsidRPr="00F23E5E">
        <w:rPr>
          <w:lang w:val="en-GB"/>
        </w:rPr>
        <w:t xml:space="preserve"> participants abstained)</w:t>
      </w:r>
    </w:p>
    <w:p w:rsidR="00A06EF1" w:rsidRDefault="00A06EF1" w:rsidP="00A06EF1">
      <w:pPr>
        <w:pStyle w:val="Heading3"/>
        <w:rPr>
          <w:lang w:val="en-GB"/>
        </w:rPr>
      </w:pPr>
      <w:r>
        <w:rPr>
          <w:lang w:val="en-GB"/>
        </w:rPr>
        <w:t xml:space="preserve">Review proposed examples for TXP14, TXP15, TX12 </w:t>
      </w:r>
    </w:p>
    <w:p w:rsidR="00A06EF1" w:rsidRDefault="00A06EF1" w:rsidP="00A06EF1">
      <w:pPr>
        <w:pStyle w:val="Heading4"/>
        <w:rPr>
          <w:lang w:val="en-GB"/>
        </w:rPr>
      </w:pPr>
      <w:r>
        <w:rPr>
          <w:lang w:val="en-GB"/>
        </w:rPr>
        <w:t xml:space="preserve">TXP14 used copy or representation of (was deciphered via copy or representation) </w:t>
      </w:r>
    </w:p>
    <w:p w:rsidR="00A06EF1" w:rsidRDefault="00A06EF1" w:rsidP="00A06EF1">
      <w:pPr>
        <w:rPr>
          <w:rFonts w:ascii="Times New Roman" w:hAnsi="Times New Roman" w:cs="Times New Roman"/>
          <w:sz w:val="20"/>
          <w:lang w:val="en-GB"/>
        </w:rPr>
      </w:pPr>
      <w:r w:rsidRPr="00373D4E">
        <w:rPr>
          <w:rFonts w:ascii="Times New Roman" w:hAnsi="Times New Roman" w:cs="Times New Roman"/>
          <w:sz w:val="20"/>
          <w:lang w:val="en-GB"/>
        </w:rPr>
        <w:t xml:space="preserve">The non-autoptic recognition of the inscription text on the Arch of Constantine (TX5) </w:t>
      </w:r>
      <w:r w:rsidRPr="00373D4E">
        <w:rPr>
          <w:rFonts w:ascii="Times New Roman" w:hAnsi="Times New Roman" w:cs="Times New Roman"/>
          <w:i/>
          <w:sz w:val="20"/>
          <w:lang w:val="en-GB"/>
        </w:rPr>
        <w:t>used a copy or representation</w:t>
      </w:r>
      <w:r w:rsidRPr="00373D4E">
        <w:rPr>
          <w:rFonts w:ascii="Times New Roman" w:hAnsi="Times New Roman" w:cs="Times New Roman"/>
          <w:sz w:val="20"/>
          <w:lang w:val="en-GB"/>
        </w:rPr>
        <w:t xml:space="preserve"> of the written text (TX11) om the Arch of Constantine [performed using a photo of the arch].</w:t>
      </w:r>
    </w:p>
    <w:p w:rsidR="00A06EF1" w:rsidRPr="00373D4E" w:rsidRDefault="00A06EF1" w:rsidP="00A06EF1">
      <w:pPr>
        <w:rPr>
          <w:rFonts w:ascii="Times New Roman" w:hAnsi="Times New Roman" w:cs="Times New Roman"/>
          <w:lang w:val="en-GB"/>
        </w:rPr>
      </w:pPr>
      <w:r w:rsidRPr="00F23E5E">
        <w:rPr>
          <w:u w:val="single"/>
          <w:lang w:val="en-GB"/>
        </w:rPr>
        <w:t xml:space="preserve">The SIG voted to </w:t>
      </w:r>
      <w:r>
        <w:rPr>
          <w:u w:val="single"/>
          <w:lang w:val="en-GB"/>
        </w:rPr>
        <w:t>approve the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8</w:t>
      </w:r>
      <w:r w:rsidRPr="00F23E5E">
        <w:rPr>
          <w:lang w:val="en-GB"/>
        </w:rPr>
        <w:t xml:space="preserve"> (</w:t>
      </w:r>
      <w:r>
        <w:rPr>
          <w:lang w:val="en-GB"/>
        </w:rPr>
        <w:t>6</w:t>
      </w:r>
      <w:r w:rsidRPr="00F23E5E">
        <w:rPr>
          <w:lang w:val="en-GB"/>
        </w:rPr>
        <w:t xml:space="preserve"> in person, </w:t>
      </w:r>
      <w:r>
        <w:rPr>
          <w:lang w:val="en-GB"/>
        </w:rPr>
        <w:t xml:space="preserve">2 </w:t>
      </w:r>
      <w:r w:rsidRPr="00F23E5E">
        <w:rPr>
          <w:lang w:val="en-GB"/>
        </w:rPr>
        <w:t>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10</w:t>
      </w:r>
      <w:r w:rsidRPr="00F23E5E">
        <w:rPr>
          <w:lang w:val="en-GB"/>
        </w:rPr>
        <w:t xml:space="preserve"> participants abstained)</w:t>
      </w:r>
    </w:p>
    <w:p w:rsidR="00A06EF1" w:rsidRDefault="00A06EF1" w:rsidP="00A06EF1">
      <w:pPr>
        <w:pStyle w:val="Heading4"/>
        <w:rPr>
          <w:lang w:val="en-GB"/>
        </w:rPr>
      </w:pPr>
      <w:r>
        <w:rPr>
          <w:lang w:val="en-GB"/>
        </w:rPr>
        <w:t>TXP15 recorded correspondence (was recorded by)</w:t>
      </w:r>
    </w:p>
    <w:p w:rsidR="00A06EF1" w:rsidRDefault="00A06EF1" w:rsidP="00A06EF1">
      <w:pPr>
        <w:rPr>
          <w:rFonts w:ascii="Times New Roman" w:hAnsi="Times New Roman" w:cs="Times New Roman"/>
          <w:sz w:val="20"/>
          <w:lang w:val="en-GB"/>
        </w:rPr>
      </w:pPr>
      <w:r w:rsidRPr="00373D4E">
        <w:rPr>
          <w:rFonts w:ascii="Times New Roman" w:hAnsi="Times New Roman" w:cs="Times New Roman"/>
          <w:sz w:val="20"/>
          <w:lang w:val="en-GB"/>
        </w:rPr>
        <w:t>The</w:t>
      </w:r>
      <w:r>
        <w:rPr>
          <w:rFonts w:ascii="Times New Roman" w:hAnsi="Times New Roman" w:cs="Times New Roman"/>
          <w:sz w:val="20"/>
          <w:lang w:val="en-GB"/>
        </w:rPr>
        <w:t xml:space="preserve"> </w:t>
      </w:r>
      <w:r w:rsidRPr="00373D4E">
        <w:rPr>
          <w:rFonts w:ascii="Times New Roman" w:hAnsi="Times New Roman" w:cs="Times New Roman"/>
          <w:sz w:val="20"/>
          <w:lang w:val="en-GB"/>
        </w:rPr>
        <w:t xml:space="preserve">autoptic </w:t>
      </w:r>
      <w:r>
        <w:rPr>
          <w:rFonts w:ascii="Times New Roman" w:hAnsi="Times New Roman" w:cs="Times New Roman"/>
          <w:sz w:val="20"/>
          <w:lang w:val="en-GB"/>
        </w:rPr>
        <w:t>investiga</w:t>
      </w:r>
      <w:r w:rsidRPr="00373D4E">
        <w:rPr>
          <w:rFonts w:ascii="Times New Roman" w:hAnsi="Times New Roman" w:cs="Times New Roman"/>
          <w:sz w:val="20"/>
          <w:lang w:val="en-GB"/>
        </w:rPr>
        <w:t xml:space="preserve">tion </w:t>
      </w:r>
      <w:r>
        <w:rPr>
          <w:rFonts w:ascii="Times New Roman" w:hAnsi="Times New Roman" w:cs="Times New Roman"/>
          <w:sz w:val="20"/>
          <w:lang w:val="en-GB"/>
        </w:rPr>
        <w:t xml:space="preserve">carried out by Rodolfo </w:t>
      </w:r>
      <w:proofErr w:type="spellStart"/>
      <w:r>
        <w:rPr>
          <w:rFonts w:ascii="Times New Roman" w:hAnsi="Times New Roman" w:cs="Times New Roman"/>
          <w:sz w:val="20"/>
          <w:lang w:val="en-GB"/>
        </w:rPr>
        <w:t>Lanciani</w:t>
      </w:r>
      <w:proofErr w:type="spellEnd"/>
      <w:r>
        <w:rPr>
          <w:rFonts w:ascii="Times New Roman" w:hAnsi="Times New Roman" w:cs="Times New Roman"/>
          <w:sz w:val="20"/>
          <w:lang w:val="en-GB"/>
        </w:rPr>
        <w:t xml:space="preserve"> (TX5) recorded correspondence the grapheme sequence ‘INSITICTV DIVINITATIS’ on the Arch of </w:t>
      </w:r>
      <w:r w:rsidRPr="00373D4E">
        <w:rPr>
          <w:rFonts w:ascii="Times New Roman" w:hAnsi="Times New Roman" w:cs="Times New Roman"/>
          <w:sz w:val="20"/>
          <w:lang w:val="en-GB"/>
        </w:rPr>
        <w:t>Constantine</w:t>
      </w:r>
      <w:r>
        <w:rPr>
          <w:rFonts w:ascii="Times New Roman" w:hAnsi="Times New Roman" w:cs="Times New Roman"/>
          <w:sz w:val="20"/>
          <w:lang w:val="en-GB"/>
        </w:rPr>
        <w:t xml:space="preserve"> (TX12)</w:t>
      </w:r>
      <w:r w:rsidRPr="00373D4E">
        <w:rPr>
          <w:rFonts w:ascii="Times New Roman" w:hAnsi="Times New Roman" w:cs="Times New Roman"/>
          <w:sz w:val="20"/>
          <w:lang w:val="en-GB"/>
        </w:rPr>
        <w:t>.</w:t>
      </w:r>
    </w:p>
    <w:p w:rsidR="00A06EF1" w:rsidRDefault="00A06EF1" w:rsidP="00A06EF1">
      <w:pPr>
        <w:rPr>
          <w:rFonts w:ascii="Times New Roman" w:hAnsi="Times New Roman" w:cs="Times New Roman"/>
          <w:lang w:val="en-GB"/>
        </w:rPr>
      </w:pPr>
      <w:r w:rsidRPr="00F23E5E">
        <w:rPr>
          <w:u w:val="single"/>
          <w:lang w:val="en-GB"/>
        </w:rPr>
        <w:t xml:space="preserve">The SIG voted to </w:t>
      </w:r>
      <w:r>
        <w:rPr>
          <w:u w:val="single"/>
          <w:lang w:val="en-GB"/>
        </w:rPr>
        <w:t>approve the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9</w:t>
      </w:r>
      <w:r w:rsidRPr="00F23E5E">
        <w:rPr>
          <w:lang w:val="en-GB"/>
        </w:rPr>
        <w:t xml:space="preserve"> (</w:t>
      </w:r>
      <w:r>
        <w:rPr>
          <w:lang w:val="en-GB"/>
        </w:rPr>
        <w:t>7</w:t>
      </w:r>
      <w:r w:rsidRPr="00F23E5E">
        <w:rPr>
          <w:lang w:val="en-GB"/>
        </w:rPr>
        <w:t xml:space="preserve"> in person, </w:t>
      </w:r>
      <w:r>
        <w:rPr>
          <w:lang w:val="en-GB"/>
        </w:rPr>
        <w:t xml:space="preserve">2 </w:t>
      </w:r>
      <w:r w:rsidRPr="00F23E5E">
        <w:rPr>
          <w:lang w:val="en-GB"/>
        </w:rPr>
        <w:t>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9</w:t>
      </w:r>
      <w:r w:rsidRPr="00F23E5E">
        <w:rPr>
          <w:lang w:val="en-GB"/>
        </w:rPr>
        <w:t xml:space="preserve"> participants abstained)</w:t>
      </w:r>
    </w:p>
    <w:p w:rsidR="00A06EF1" w:rsidRDefault="00A06EF1" w:rsidP="00A06EF1">
      <w:pPr>
        <w:pStyle w:val="Heading4"/>
        <w:rPr>
          <w:lang w:val="en-GB"/>
        </w:rPr>
      </w:pPr>
      <w:r>
        <w:rPr>
          <w:lang w:val="en-GB"/>
        </w:rPr>
        <w:t>TX12 Grapheme Sequence</w:t>
      </w:r>
    </w:p>
    <w:p w:rsidR="00A06EF1" w:rsidRDefault="00A06EF1" w:rsidP="00A06EF1">
      <w:pPr>
        <w:rPr>
          <w:lang w:val="en-GB"/>
        </w:rPr>
      </w:pPr>
      <w:r>
        <w:rPr>
          <w:lang w:val="en-GB"/>
        </w:rPr>
        <w:t xml:space="preserve">the grapheme sequence ‘INSTINCTV DIVINITATIS’ (TX12) [as recognized by the autoptic investigation of the Arch of Constantine, carried out by Rodolfo </w:t>
      </w:r>
      <w:proofErr w:type="spellStart"/>
      <w:r>
        <w:rPr>
          <w:lang w:val="en-GB"/>
        </w:rPr>
        <w:t>Lanciani</w:t>
      </w:r>
      <w:proofErr w:type="spellEnd"/>
      <w:r>
        <w:rPr>
          <w:lang w:val="en-GB"/>
        </w:rPr>
        <w:t>]</w:t>
      </w:r>
    </w:p>
    <w:p w:rsidR="00A06EF1" w:rsidRDefault="00A06EF1" w:rsidP="00A06EF1">
      <w:pPr>
        <w:rPr>
          <w:lang w:val="en-GB"/>
        </w:rPr>
      </w:pPr>
      <w:r w:rsidRPr="00F23E5E">
        <w:rPr>
          <w:u w:val="single"/>
          <w:lang w:val="en-GB"/>
        </w:rPr>
        <w:t xml:space="preserve">The SIG voted to </w:t>
      </w:r>
      <w:r>
        <w:rPr>
          <w:u w:val="single"/>
          <w:lang w:val="en-GB"/>
        </w:rPr>
        <w:t>approve the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lastRenderedPageBreak/>
        <w:t xml:space="preserve">In </w:t>
      </w:r>
      <w:proofErr w:type="spellStart"/>
      <w:r w:rsidRPr="00F23E5E">
        <w:rPr>
          <w:u w:val="single"/>
          <w:lang w:val="en-GB"/>
        </w:rPr>
        <w:t>favor</w:t>
      </w:r>
      <w:proofErr w:type="spellEnd"/>
      <w:r w:rsidRPr="00F23E5E">
        <w:rPr>
          <w:lang w:val="en-GB"/>
        </w:rPr>
        <w:t xml:space="preserve">: </w:t>
      </w:r>
      <w:r>
        <w:rPr>
          <w:lang w:val="en-GB"/>
        </w:rPr>
        <w:t>8</w:t>
      </w:r>
      <w:r w:rsidRPr="00F23E5E">
        <w:rPr>
          <w:lang w:val="en-GB"/>
        </w:rPr>
        <w:t xml:space="preserve"> (</w:t>
      </w:r>
      <w:r>
        <w:rPr>
          <w:lang w:val="en-GB"/>
        </w:rPr>
        <w:t>6</w:t>
      </w:r>
      <w:r w:rsidRPr="00F23E5E">
        <w:rPr>
          <w:lang w:val="en-GB"/>
        </w:rPr>
        <w:t xml:space="preserve"> in person, </w:t>
      </w:r>
      <w:r>
        <w:rPr>
          <w:lang w:val="en-GB"/>
        </w:rPr>
        <w:t xml:space="preserve">2 </w:t>
      </w:r>
      <w:r w:rsidRPr="00F23E5E">
        <w:rPr>
          <w:lang w:val="en-GB"/>
        </w:rPr>
        <w:t>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10</w:t>
      </w:r>
      <w:r w:rsidRPr="00F23E5E">
        <w:rPr>
          <w:lang w:val="en-GB"/>
        </w:rPr>
        <w:t xml:space="preserve"> participants abstained)</w:t>
      </w:r>
    </w:p>
    <w:p w:rsidR="00A06EF1" w:rsidRDefault="00A06EF1" w:rsidP="00A06EF1">
      <w:pPr>
        <w:pStyle w:val="Heading3"/>
        <w:rPr>
          <w:lang w:val="en-GB"/>
        </w:rPr>
      </w:pPr>
      <w:r>
        <w:rPr>
          <w:lang w:val="en-GB"/>
        </w:rPr>
        <w:t>FOL proposals for TXP10/TXP14 and TXP13</w:t>
      </w:r>
    </w:p>
    <w:p w:rsidR="00A06EF1" w:rsidRDefault="00A06EF1" w:rsidP="00A06EF1">
      <w:pPr>
        <w:rPr>
          <w:lang w:val="en-GB"/>
        </w:rPr>
      </w:pPr>
      <w:r>
        <w:rPr>
          <w:lang w:val="en-GB"/>
        </w:rPr>
        <w:t xml:space="preserve">A proposal to add FOL statements to properties TXP10/TXP13/TXP14 restricting the conditions under which they should be deployed. </w:t>
      </w:r>
    </w:p>
    <w:p w:rsidR="00A06EF1" w:rsidRDefault="00A06EF1" w:rsidP="00A06EF1">
      <w:pPr>
        <w:pStyle w:val="ListParagraph"/>
        <w:numPr>
          <w:ilvl w:val="0"/>
          <w:numId w:val="3"/>
        </w:numPr>
        <w:rPr>
          <w:lang w:val="en-GB"/>
        </w:rPr>
      </w:pPr>
      <w:r w:rsidRPr="00E24F1F">
        <w:rPr>
          <w:u w:val="single"/>
          <w:lang w:val="en-GB"/>
        </w:rPr>
        <w:t>Proposed axiom for TXP10 deciphered text</w:t>
      </w:r>
      <w:r w:rsidRPr="00E72D7E">
        <w:rPr>
          <w:lang w:val="en-GB"/>
        </w:rPr>
        <w:t xml:space="preserve">: </w:t>
      </w:r>
      <w:r w:rsidRPr="00E72D7E">
        <w:rPr>
          <w:b/>
          <w:lang w:val="en-GB"/>
        </w:rPr>
        <w:t xml:space="preserve">TXP10(x, z1) </w:t>
      </w:r>
      <w:r w:rsidRPr="00E72D7E">
        <w:rPr>
          <w:rFonts w:ascii="Cambria Math" w:hAnsi="Cambria Math" w:cs="Cambria Math"/>
          <w:b/>
          <w:lang w:val="en-GB"/>
        </w:rPr>
        <w:t>∧</w:t>
      </w:r>
      <w:r w:rsidRPr="00E72D7E">
        <w:rPr>
          <w:b/>
          <w:lang w:val="en-GB"/>
        </w:rPr>
        <w:t xml:space="preserve"> TPX14(x, z2) </w:t>
      </w:r>
      <w:r w:rsidRPr="00E72D7E">
        <w:rPr>
          <w:rFonts w:ascii="Cambria Math" w:hAnsi="Cambria Math" w:cs="Cambria Math"/>
          <w:b/>
          <w:lang w:val="en-GB"/>
        </w:rPr>
        <w:t>⇒</w:t>
      </w:r>
      <w:r w:rsidRPr="00E72D7E">
        <w:rPr>
          <w:b/>
          <w:lang w:val="en-GB"/>
        </w:rPr>
        <w:t xml:space="preserve"> P130(z1, z2)</w:t>
      </w:r>
      <w:r>
        <w:rPr>
          <w:b/>
          <w:lang w:val="en-GB"/>
        </w:rPr>
        <w:t xml:space="preserve"> </w:t>
      </w:r>
      <w:r>
        <w:rPr>
          <w:lang w:val="en-GB"/>
        </w:rPr>
        <w:t xml:space="preserve">(and in prose: </w:t>
      </w:r>
      <w:r w:rsidRPr="00C51B48">
        <w:rPr>
          <w:lang w:val="en-GB"/>
        </w:rPr>
        <w:t>If the text recognition process deciphered a text (TXP10) making use of a copy or representation of an original written text instance (TXP14), then the copy used in the deciphering process shows features of the original written text.</w:t>
      </w:r>
      <w:r>
        <w:rPr>
          <w:lang w:val="en-GB"/>
        </w:rPr>
        <w:t>)</w:t>
      </w:r>
    </w:p>
    <w:p w:rsidR="00A06EF1" w:rsidRPr="00E72D7E" w:rsidRDefault="00A06EF1" w:rsidP="00A06EF1">
      <w:pPr>
        <w:pStyle w:val="ListParagraph"/>
        <w:numPr>
          <w:ilvl w:val="0"/>
          <w:numId w:val="3"/>
        </w:numPr>
        <w:rPr>
          <w:lang w:val="en-GB"/>
        </w:rPr>
      </w:pPr>
      <w:r w:rsidRPr="00E24F1F">
        <w:rPr>
          <w:u w:val="single"/>
          <w:lang w:val="en-GB"/>
        </w:rPr>
        <w:t>Proposed axiom for TXO14 used copy or representation of</w:t>
      </w:r>
      <w:r>
        <w:rPr>
          <w:lang w:val="en-GB"/>
        </w:rPr>
        <w:t xml:space="preserve">: </w:t>
      </w:r>
      <w:r w:rsidRPr="00C51B48">
        <w:rPr>
          <w:b/>
          <w:lang w:val="en-GB"/>
        </w:rPr>
        <w:t xml:space="preserve">TPX14(x, z2) </w:t>
      </w:r>
      <w:r w:rsidRPr="00C51B48">
        <w:rPr>
          <w:rFonts w:ascii="Cambria Math" w:hAnsi="Cambria Math" w:cs="Cambria Math"/>
          <w:b/>
          <w:lang w:val="en-GB"/>
        </w:rPr>
        <w:t>∧</w:t>
      </w:r>
      <w:r w:rsidRPr="00C51B48">
        <w:rPr>
          <w:b/>
          <w:lang w:val="en-GB"/>
        </w:rPr>
        <w:t xml:space="preserve"> TXP10(x, z1) </w:t>
      </w:r>
      <w:r w:rsidRPr="00C51B48">
        <w:rPr>
          <w:rFonts w:ascii="Cambria Math" w:hAnsi="Cambria Math" w:cs="Cambria Math"/>
          <w:b/>
          <w:lang w:val="en-GB"/>
        </w:rPr>
        <w:t>⇒</w:t>
      </w:r>
      <w:r w:rsidRPr="00C51B48">
        <w:rPr>
          <w:b/>
          <w:lang w:val="en-GB"/>
        </w:rPr>
        <w:t xml:space="preserve"> P130(z2, z1)</w:t>
      </w:r>
      <w:r>
        <w:rPr>
          <w:b/>
          <w:lang w:val="en-GB"/>
        </w:rPr>
        <w:t xml:space="preserve"> </w:t>
      </w:r>
      <w:r>
        <w:rPr>
          <w:lang w:val="en-GB"/>
        </w:rPr>
        <w:t xml:space="preserve">(and in prose: </w:t>
      </w:r>
      <w:r w:rsidRPr="00C51B48">
        <w:rPr>
          <w:lang w:val="en-GB"/>
        </w:rPr>
        <w:t>If the text recognition process deciphered a text (TXP10) making use of a copy or representation of an original written text instance (TXP14), then the copy used in the deciphering process shows features of the original written text</w:t>
      </w:r>
      <w:r>
        <w:rPr>
          <w:lang w:val="en-GB"/>
        </w:rPr>
        <w:t>).</w:t>
      </w:r>
    </w:p>
    <w:p w:rsidR="00A06EF1" w:rsidRDefault="00A06EF1" w:rsidP="00A06EF1">
      <w:pPr>
        <w:rPr>
          <w:lang w:val="en-GB"/>
        </w:rPr>
      </w:pPr>
      <w:r w:rsidRPr="00E72D7E">
        <w:rPr>
          <w:b/>
          <w:lang w:val="en-GB"/>
        </w:rPr>
        <w:t>Discussion points</w:t>
      </w:r>
      <w:r>
        <w:rPr>
          <w:lang w:val="en-GB"/>
        </w:rPr>
        <w:t xml:space="preserve">: not easy to grasp why the statement about the replica (that it bears features of the original written text) is dependent on the replica having been used in a text recognition scenario and not the other way </w:t>
      </w:r>
      <w:proofErr w:type="gramStart"/>
      <w:r>
        <w:rPr>
          <w:lang w:val="en-GB"/>
        </w:rPr>
        <w:t>round</w:t>
      </w:r>
      <w:proofErr w:type="gramEnd"/>
      <w:r>
        <w:rPr>
          <w:lang w:val="en-GB"/>
        </w:rPr>
        <w:t xml:space="preserve">. In the sense, that for a replica to show features of the original is a presupposition for it to be used for text recognition purposes. </w:t>
      </w:r>
    </w:p>
    <w:p w:rsidR="00A06EF1" w:rsidRDefault="00A06EF1" w:rsidP="00A06EF1">
      <w:pPr>
        <w:rPr>
          <w:lang w:val="en-GB"/>
        </w:rPr>
      </w:pPr>
      <w:r>
        <w:rPr>
          <w:lang w:val="en-GB"/>
        </w:rPr>
        <w:t xml:space="preserve">It is a stretch to make assumptions on the quality of a replica based on the fact that it was used, but the material implication it is valid, just complex. </w:t>
      </w:r>
    </w:p>
    <w:p w:rsidR="00A06EF1" w:rsidRDefault="00A06EF1" w:rsidP="00A06EF1">
      <w:pPr>
        <w:rPr>
          <w:lang w:val="en-GB"/>
        </w:rPr>
      </w:pPr>
      <w:r w:rsidRPr="00F23E5E">
        <w:rPr>
          <w:u w:val="single"/>
          <w:lang w:val="en-GB"/>
        </w:rPr>
        <w:t xml:space="preserve">The SIG voted to </w:t>
      </w:r>
      <w:r>
        <w:rPr>
          <w:u w:val="single"/>
          <w:lang w:val="en-GB"/>
        </w:rPr>
        <w:t>approve the FOL statement, and also introduce it in prose to make it easier to understand</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7</w:t>
      </w:r>
      <w:r w:rsidRPr="00F23E5E">
        <w:rPr>
          <w:lang w:val="en-GB"/>
        </w:rPr>
        <w:t xml:space="preserve"> (</w:t>
      </w:r>
      <w:r>
        <w:rPr>
          <w:lang w:val="en-GB"/>
        </w:rPr>
        <w:t>5</w:t>
      </w:r>
      <w:r w:rsidRPr="00F23E5E">
        <w:rPr>
          <w:lang w:val="en-GB"/>
        </w:rPr>
        <w:t xml:space="preserve"> in person, </w:t>
      </w:r>
      <w:r>
        <w:rPr>
          <w:lang w:val="en-GB"/>
        </w:rPr>
        <w:t xml:space="preserve">2 </w:t>
      </w:r>
      <w:r w:rsidRPr="00F23E5E">
        <w:rPr>
          <w:lang w:val="en-GB"/>
        </w:rPr>
        <w:t>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11</w:t>
      </w:r>
      <w:r w:rsidRPr="00F23E5E">
        <w:rPr>
          <w:lang w:val="en-GB"/>
        </w:rPr>
        <w:t xml:space="preserve"> participants abstained)</w:t>
      </w:r>
    </w:p>
    <w:p w:rsidR="00A06EF1" w:rsidRPr="00C51B48" w:rsidRDefault="00A06EF1" w:rsidP="00A06EF1">
      <w:pPr>
        <w:pStyle w:val="ListParagraph"/>
        <w:numPr>
          <w:ilvl w:val="0"/>
          <w:numId w:val="3"/>
        </w:numPr>
        <w:rPr>
          <w:lang w:val="en-GB"/>
        </w:rPr>
      </w:pPr>
      <w:r w:rsidRPr="00E24F1F">
        <w:rPr>
          <w:u w:val="single"/>
          <w:lang w:val="en-GB"/>
        </w:rPr>
        <w:t>Proposed axiom for TXP13 deciphered via representation</w:t>
      </w:r>
      <w:r w:rsidRPr="00C51B48">
        <w:rPr>
          <w:lang w:val="en-GB"/>
        </w:rPr>
        <w:t xml:space="preserve">: </w:t>
      </w:r>
      <w:r w:rsidRPr="00C51B48">
        <w:rPr>
          <w:b/>
          <w:lang w:val="en-GB"/>
        </w:rPr>
        <w:t xml:space="preserve">TXP13(x, y) </w:t>
      </w:r>
      <w:r w:rsidRPr="00C51B48">
        <w:rPr>
          <w:rFonts w:ascii="Cambria Math" w:hAnsi="Cambria Math" w:cs="Cambria Math"/>
          <w:b/>
          <w:lang w:val="en-GB"/>
        </w:rPr>
        <w:t>⇒</w:t>
      </w:r>
      <w:r w:rsidRPr="00C51B48">
        <w:rPr>
          <w:b/>
          <w:lang w:val="en-GB"/>
        </w:rPr>
        <w:t xml:space="preserve"> (</w:t>
      </w:r>
      <w:r w:rsidRPr="00C51B48">
        <w:rPr>
          <w:rFonts w:ascii="Cambria Math" w:hAnsi="Cambria Math" w:cs="Cambria Math"/>
          <w:b/>
          <w:lang w:val="en-GB"/>
        </w:rPr>
        <w:t>∃</w:t>
      </w:r>
      <w:r w:rsidRPr="00C51B48">
        <w:rPr>
          <w:b/>
          <w:lang w:val="en-GB"/>
        </w:rPr>
        <w:t xml:space="preserve">z) [TXP14(x, z) </w:t>
      </w:r>
      <w:r w:rsidRPr="00C51B48">
        <w:rPr>
          <w:rFonts w:ascii="Cambria Math" w:hAnsi="Cambria Math" w:cs="Cambria Math"/>
          <w:b/>
          <w:lang w:val="en-GB"/>
        </w:rPr>
        <w:t>∧</w:t>
      </w:r>
      <w:r w:rsidRPr="00C51B48">
        <w:rPr>
          <w:b/>
          <w:lang w:val="en-GB"/>
        </w:rPr>
        <w:t xml:space="preserve"> P138(y, z) ^ </w:t>
      </w:r>
      <w:r w:rsidRPr="00C51B48">
        <w:rPr>
          <w:rFonts w:ascii="Calibri" w:hAnsi="Calibri" w:cs="Calibri"/>
          <w:b/>
          <w:lang w:val="en-GB"/>
        </w:rPr>
        <w:t>¬</w:t>
      </w:r>
      <w:r w:rsidRPr="00C51B48">
        <w:rPr>
          <w:b/>
          <w:lang w:val="en-GB"/>
        </w:rPr>
        <w:t xml:space="preserve">TXP10(x, z)] </w:t>
      </w:r>
      <w:r w:rsidRPr="00C51B48">
        <w:rPr>
          <w:lang w:val="en-GB"/>
        </w:rPr>
        <w:t>(and in prose: If the text recognition process deciphered via a representation of the original text (a visual item), then there is a written text ‘z’ whose copy or representation was used in the text recognition process (TXP14), and the visual item represents the written text (P138), and the text recognition process did not decipher the written text through an autoptic investigation.)</w:t>
      </w:r>
    </w:p>
    <w:p w:rsidR="00A06EF1" w:rsidRDefault="00A06EF1" w:rsidP="00A06EF1">
      <w:r w:rsidRPr="00C51B48">
        <w:rPr>
          <w:b/>
          <w:lang w:val="en-GB"/>
        </w:rPr>
        <w:t>Discussion points:</w:t>
      </w:r>
      <w:r>
        <w:rPr>
          <w:lang w:val="en-GB"/>
        </w:rPr>
        <w:t xml:space="preserve"> the axiom serves to distinguish cases of autoptic vs non-autoptic investigation of an object. It is valid, and also reflects common practices: </w:t>
      </w:r>
      <w:r>
        <w:t xml:space="preserve">if one is not working using the original source for something, then it is considered good practice to declare it. It’s a well-intended closed world assumption. </w:t>
      </w:r>
    </w:p>
    <w:p w:rsidR="00A06EF1" w:rsidRDefault="00A06EF1" w:rsidP="00A06EF1">
      <w:r>
        <w:t>There are instructions against using a particular property in n CRMbase that are not combined with a similar FOL statement (</w:t>
      </w:r>
      <w:proofErr w:type="spellStart"/>
      <w:r>
        <w:t>f.i</w:t>
      </w:r>
      <w:proofErr w:type="spellEnd"/>
      <w:r>
        <w:t xml:space="preserve">., P199 vs P138, and P67 vs P128). If this is a practice we’re considering to adopt, then we risk infinitely multiplying the FOL statements across all models with instances of where to not use such and such property. </w:t>
      </w:r>
    </w:p>
    <w:p w:rsidR="00A06EF1" w:rsidRDefault="00A06EF1" w:rsidP="00A06EF1">
      <w:r>
        <w:lastRenderedPageBreak/>
        <w:t xml:space="preserve">Postpone reaching a decision. The only point of controversy is the negation part. Everything else seems fine. </w:t>
      </w:r>
    </w:p>
    <w:p w:rsidR="00A06EF1" w:rsidRPr="00C51B48" w:rsidRDefault="00A06EF1" w:rsidP="00A06EF1">
      <w:r w:rsidRPr="00432B83">
        <w:rPr>
          <w:b/>
        </w:rPr>
        <w:t>HW</w:t>
      </w:r>
      <w:r>
        <w:t xml:space="preserve">: </w:t>
      </w:r>
      <w:proofErr w:type="spellStart"/>
      <w:r>
        <w:t>CRMtex</w:t>
      </w:r>
      <w:proofErr w:type="spellEnd"/>
      <w:r>
        <w:t xml:space="preserve"> editors to revise and send out on an e-vote.</w:t>
      </w:r>
    </w:p>
    <w:p w:rsidR="00A06EF1" w:rsidRDefault="00A06EF1" w:rsidP="00A06EF1">
      <w:pPr>
        <w:pStyle w:val="Heading3"/>
        <w:rPr>
          <w:lang w:val="en-GB"/>
        </w:rPr>
      </w:pPr>
      <w:r>
        <w:rPr>
          <w:lang w:val="en-GB"/>
        </w:rPr>
        <w:t xml:space="preserve">Overall editorial comment for </w:t>
      </w:r>
      <w:proofErr w:type="spellStart"/>
      <w:r>
        <w:rPr>
          <w:lang w:val="en-GB"/>
        </w:rPr>
        <w:t>CRMtex</w:t>
      </w:r>
      <w:proofErr w:type="spellEnd"/>
      <w:r>
        <w:rPr>
          <w:lang w:val="en-GB"/>
        </w:rPr>
        <w:t xml:space="preserve"> editors</w:t>
      </w:r>
    </w:p>
    <w:p w:rsidR="00A06EF1" w:rsidRDefault="00A06EF1" w:rsidP="00A06EF1">
      <w:pPr>
        <w:rPr>
          <w:lang w:val="en-GB"/>
        </w:rPr>
      </w:pPr>
      <w:r>
        <w:rPr>
          <w:lang w:val="en-GB"/>
        </w:rPr>
        <w:t>Decide on the spelling –it can’t be both ‘autoptic’ and ‘auto-optic’. Preferably opt for the former.</w:t>
      </w:r>
    </w:p>
    <w:p w:rsidR="00A06EF1" w:rsidRPr="00736D82" w:rsidRDefault="00A06EF1" w:rsidP="00736D82"/>
    <w:sectPr w:rsidR="00A06EF1" w:rsidRPr="0073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186"/>
    <w:multiLevelType w:val="hybridMultilevel"/>
    <w:tmpl w:val="2754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4009E"/>
    <w:multiLevelType w:val="hybridMultilevel"/>
    <w:tmpl w:val="3F4CC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F5D21"/>
    <w:multiLevelType w:val="hybridMultilevel"/>
    <w:tmpl w:val="28606EBC"/>
    <w:lvl w:ilvl="0" w:tplc="8F2E8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A7553"/>
    <w:multiLevelType w:val="hybridMultilevel"/>
    <w:tmpl w:val="889EA41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D2AC3"/>
    <w:multiLevelType w:val="multilevel"/>
    <w:tmpl w:val="383E16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B2D57"/>
    <w:multiLevelType w:val="hybridMultilevel"/>
    <w:tmpl w:val="6EBCB6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82"/>
    <w:rsid w:val="00674A88"/>
    <w:rsid w:val="00736D82"/>
    <w:rsid w:val="00A0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FE48"/>
  <w15:chartTrackingRefBased/>
  <w15:docId w15:val="{3BFA8666-B254-43EA-B24B-5D091219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36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6E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6E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06E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6D8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6D82"/>
    <w:pPr>
      <w:ind w:left="720"/>
      <w:contextualSpacing/>
    </w:pPr>
  </w:style>
  <w:style w:type="character" w:customStyle="1" w:styleId="Heading4Char">
    <w:name w:val="Heading 4 Char"/>
    <w:basedOn w:val="DefaultParagraphFont"/>
    <w:link w:val="Heading4"/>
    <w:uiPriority w:val="9"/>
    <w:rsid w:val="00A06E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06EF1"/>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A06EF1"/>
    <w:rPr>
      <w:color w:val="0563C1" w:themeColor="hyperlink"/>
      <w:u w:val="single"/>
    </w:rPr>
  </w:style>
  <w:style w:type="character" w:customStyle="1" w:styleId="Heading3Char">
    <w:name w:val="Heading 3 Char"/>
    <w:basedOn w:val="DefaultParagraphFont"/>
    <w:link w:val="Heading3"/>
    <w:uiPriority w:val="9"/>
    <w:rsid w:val="00A06EF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0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2023-01-23T10:28:00Z</dcterms:created>
  <dcterms:modified xsi:type="dcterms:W3CDTF">2023-01-23T10:46:00Z</dcterms:modified>
</cp:coreProperties>
</file>