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654" w:rsidRDefault="00474E0A" w:rsidP="00474E0A">
      <w:pPr>
        <w:pStyle w:val="Heading1"/>
      </w:pPr>
      <w:bookmarkStart w:id="0" w:name="_GoBack"/>
      <w:r>
        <w:t>55</w:t>
      </w:r>
      <w:r w:rsidRPr="00474E0A">
        <w:rPr>
          <w:vertAlign w:val="superscript"/>
        </w:rPr>
        <w:t>th</w:t>
      </w:r>
      <w:r>
        <w:t xml:space="preserve"> SIG; Issue 360 –R10 vs R67</w:t>
      </w:r>
    </w:p>
    <w:bookmarkEnd w:id="0"/>
    <w:p w:rsidR="00474E0A" w:rsidRDefault="00474E0A" w:rsidP="00474E0A">
      <w:pPr>
        <w:pStyle w:val="Heading2"/>
      </w:pPr>
      <w:r>
        <w:t>Teasing apart R10 has member and R67 has part</w:t>
      </w:r>
    </w:p>
    <w:p w:rsidR="00474E0A" w:rsidRDefault="00474E0A" w:rsidP="00474E0A">
      <w:pPr>
        <w:pStyle w:val="Heading3"/>
      </w:pPr>
      <w:r>
        <w:t xml:space="preserve">Proposal for R10 has </w:t>
      </w:r>
      <w:proofErr w:type="gramStart"/>
      <w:r>
        <w:t>member  (</w:t>
      </w:r>
      <w:proofErr w:type="gramEnd"/>
      <w:r>
        <w:t>to be redrafted and put in an evote)</w:t>
      </w:r>
    </w:p>
    <w:p w:rsidR="00474E0A" w:rsidRPr="00197DF3" w:rsidRDefault="00474E0A" w:rsidP="00474E0A">
      <w:pPr>
        <w:tabs>
          <w:tab w:val="num" w:pos="0"/>
        </w:tabs>
        <w:rPr>
          <w:rFonts w:ascii="Times New Roman" w:hAnsi="Times New Roman" w:cs="Times New Roman"/>
          <w:b/>
          <w:bCs/>
          <w:sz w:val="20"/>
          <w:szCs w:val="20"/>
          <w:lang w:val="en-GB"/>
        </w:rPr>
      </w:pPr>
      <w:r w:rsidRPr="00197DF3">
        <w:rPr>
          <w:rFonts w:ascii="Times New Roman" w:hAnsi="Times New Roman" w:cs="Times New Roman"/>
          <w:b/>
          <w:bCs/>
          <w:sz w:val="20"/>
          <w:szCs w:val="20"/>
          <w:lang w:val="en-GB"/>
        </w:rPr>
        <w:t xml:space="preserve">R10 has member (is member of) </w:t>
      </w:r>
    </w:p>
    <w:p w:rsidR="00474E0A" w:rsidRPr="00197DF3" w:rsidRDefault="00474E0A" w:rsidP="00474E0A">
      <w:pPr>
        <w:rPr>
          <w:rFonts w:ascii="Times New Roman" w:hAnsi="Times New Roman" w:cs="Times New Roman"/>
          <w:sz w:val="20"/>
          <w:szCs w:val="20"/>
          <w:lang w:val="en-GB"/>
        </w:rPr>
      </w:pPr>
      <w:r w:rsidRPr="00197DF3">
        <w:rPr>
          <w:rFonts w:ascii="Times New Roman" w:hAnsi="Times New Roman" w:cs="Times New Roman"/>
          <w:sz w:val="20"/>
          <w:szCs w:val="20"/>
          <w:lang w:val="en-GB"/>
        </w:rPr>
        <w:t>Domain:</w:t>
      </w:r>
      <w:r w:rsidRPr="00197DF3">
        <w:rPr>
          <w:rFonts w:ascii="Times New Roman" w:hAnsi="Times New Roman" w:cs="Times New Roman"/>
          <w:sz w:val="20"/>
          <w:szCs w:val="20"/>
          <w:lang w:val="en-GB"/>
        </w:rPr>
        <w:tab/>
      </w:r>
      <w:r>
        <w:rPr>
          <w:rFonts w:ascii="Times New Roman" w:hAnsi="Times New Roman" w:cs="Times New Roman"/>
          <w:sz w:val="20"/>
          <w:szCs w:val="20"/>
          <w:lang w:val="en-GB"/>
        </w:rPr>
        <w:tab/>
      </w:r>
      <w:r w:rsidRPr="00197DF3">
        <w:rPr>
          <w:rFonts w:ascii="Times New Roman" w:hAnsi="Times New Roman" w:cs="Times New Roman"/>
          <w:sz w:val="20"/>
          <w:szCs w:val="20"/>
        </w:rPr>
        <w:t>F1</w:t>
      </w:r>
      <w:r w:rsidRPr="00197DF3">
        <w:rPr>
          <w:rFonts w:ascii="Times New Roman" w:hAnsi="Times New Roman" w:cs="Times New Roman"/>
          <w:sz w:val="20"/>
          <w:szCs w:val="20"/>
          <w:lang w:val="en-GB"/>
        </w:rPr>
        <w:t xml:space="preserve"> Work</w:t>
      </w:r>
    </w:p>
    <w:p w:rsidR="00474E0A" w:rsidRPr="00197DF3" w:rsidRDefault="00474E0A" w:rsidP="00474E0A">
      <w:pPr>
        <w:rPr>
          <w:rFonts w:ascii="Times New Roman" w:hAnsi="Times New Roman" w:cs="Times New Roman"/>
          <w:sz w:val="20"/>
          <w:szCs w:val="20"/>
          <w:lang w:val="en-GB"/>
        </w:rPr>
      </w:pPr>
      <w:r w:rsidRPr="00197DF3">
        <w:rPr>
          <w:rFonts w:ascii="Times New Roman" w:hAnsi="Times New Roman" w:cs="Times New Roman"/>
          <w:sz w:val="20"/>
          <w:szCs w:val="20"/>
          <w:lang w:val="en-GB"/>
        </w:rPr>
        <w:t>Range:</w:t>
      </w:r>
      <w:r w:rsidRPr="00197DF3">
        <w:rPr>
          <w:rFonts w:ascii="Times New Roman" w:hAnsi="Times New Roman" w:cs="Times New Roman"/>
          <w:sz w:val="20"/>
          <w:szCs w:val="20"/>
          <w:lang w:val="en-GB"/>
        </w:rPr>
        <w:tab/>
      </w:r>
      <w:r>
        <w:rPr>
          <w:rFonts w:ascii="Times New Roman" w:hAnsi="Times New Roman" w:cs="Times New Roman"/>
          <w:sz w:val="20"/>
          <w:szCs w:val="20"/>
          <w:lang w:val="en-GB"/>
        </w:rPr>
        <w:tab/>
      </w:r>
      <w:r w:rsidRPr="00197DF3">
        <w:rPr>
          <w:rFonts w:ascii="Times New Roman" w:hAnsi="Times New Roman" w:cs="Times New Roman"/>
          <w:sz w:val="20"/>
          <w:szCs w:val="20"/>
        </w:rPr>
        <w:t>F1</w:t>
      </w:r>
      <w:r w:rsidRPr="00197DF3">
        <w:rPr>
          <w:rFonts w:ascii="Times New Roman" w:hAnsi="Times New Roman" w:cs="Times New Roman"/>
          <w:sz w:val="20"/>
          <w:szCs w:val="20"/>
          <w:lang w:val="en-GB"/>
        </w:rPr>
        <w:t xml:space="preserve"> Work</w:t>
      </w:r>
    </w:p>
    <w:p w:rsidR="00474E0A" w:rsidRPr="00197DF3" w:rsidRDefault="00474E0A" w:rsidP="00474E0A">
      <w:pPr>
        <w:rPr>
          <w:rFonts w:ascii="Times New Roman" w:hAnsi="Times New Roman" w:cs="Times New Roman"/>
          <w:sz w:val="20"/>
          <w:szCs w:val="20"/>
          <w:lang w:val="en-GB"/>
        </w:rPr>
      </w:pPr>
      <w:proofErr w:type="spellStart"/>
      <w:r w:rsidRPr="00197DF3">
        <w:rPr>
          <w:rFonts w:ascii="Times New Roman" w:hAnsi="Times New Roman" w:cs="Times New Roman"/>
          <w:sz w:val="20"/>
          <w:szCs w:val="20"/>
          <w:lang w:val="en-GB"/>
        </w:rPr>
        <w:t>Subproperty</w:t>
      </w:r>
      <w:proofErr w:type="spellEnd"/>
      <w:r w:rsidRPr="00197DF3">
        <w:rPr>
          <w:rFonts w:ascii="Times New Roman" w:hAnsi="Times New Roman" w:cs="Times New Roman"/>
          <w:sz w:val="20"/>
          <w:szCs w:val="20"/>
          <w:lang w:val="en-GB"/>
        </w:rPr>
        <w:t xml:space="preserve"> of:</w:t>
      </w:r>
      <w:r w:rsidRPr="00197DF3">
        <w:rPr>
          <w:rFonts w:ascii="Times New Roman" w:hAnsi="Times New Roman" w:cs="Times New Roman"/>
          <w:sz w:val="20"/>
          <w:szCs w:val="20"/>
          <w:lang w:val="en-GB"/>
        </w:rPr>
        <w:tab/>
      </w:r>
      <w:r w:rsidRPr="00197DF3">
        <w:rPr>
          <w:rFonts w:ascii="Times New Roman" w:hAnsi="Times New Roman" w:cs="Times New Roman"/>
          <w:sz w:val="20"/>
          <w:szCs w:val="20"/>
        </w:rPr>
        <w:t>E89</w:t>
      </w:r>
      <w:r w:rsidRPr="00197DF3">
        <w:rPr>
          <w:rFonts w:ascii="Times New Roman" w:hAnsi="Times New Roman" w:cs="Times New Roman"/>
          <w:sz w:val="20"/>
          <w:szCs w:val="20"/>
          <w:lang w:val="en-GB"/>
        </w:rPr>
        <w:t xml:space="preserve"> Propositional Object. </w:t>
      </w:r>
      <w:r w:rsidRPr="00197DF3">
        <w:rPr>
          <w:rFonts w:ascii="Times New Roman" w:hAnsi="Times New Roman" w:cs="Times New Roman"/>
          <w:sz w:val="20"/>
          <w:szCs w:val="20"/>
        </w:rPr>
        <w:t>P148</w:t>
      </w:r>
      <w:r w:rsidRPr="00197DF3">
        <w:rPr>
          <w:rFonts w:ascii="Times New Roman" w:hAnsi="Times New Roman" w:cs="Times New Roman"/>
          <w:sz w:val="20"/>
          <w:szCs w:val="20"/>
          <w:lang w:val="en-GB"/>
        </w:rPr>
        <w:t xml:space="preserve"> has component (is component of): </w:t>
      </w:r>
      <w:r w:rsidRPr="00197DF3">
        <w:rPr>
          <w:rFonts w:ascii="Times New Roman" w:hAnsi="Times New Roman" w:cs="Times New Roman"/>
          <w:sz w:val="20"/>
          <w:szCs w:val="20"/>
        </w:rPr>
        <w:t>E89</w:t>
      </w:r>
      <w:r w:rsidRPr="00197DF3">
        <w:rPr>
          <w:rFonts w:ascii="Times New Roman" w:hAnsi="Times New Roman" w:cs="Times New Roman"/>
          <w:sz w:val="20"/>
          <w:szCs w:val="20"/>
          <w:lang w:val="en-GB"/>
        </w:rPr>
        <w:t xml:space="preserve"> Propositional Object</w:t>
      </w:r>
    </w:p>
    <w:p w:rsidR="00474E0A" w:rsidRPr="00197DF3" w:rsidRDefault="00474E0A" w:rsidP="00474E0A">
      <w:pPr>
        <w:rPr>
          <w:rFonts w:ascii="Times New Roman" w:hAnsi="Times New Roman" w:cs="Times New Roman"/>
          <w:sz w:val="20"/>
          <w:szCs w:val="20"/>
          <w:lang w:val="en-GB"/>
        </w:rPr>
      </w:pPr>
      <w:r w:rsidRPr="00197DF3">
        <w:rPr>
          <w:rFonts w:ascii="Times New Roman" w:hAnsi="Times New Roman" w:cs="Times New Roman"/>
          <w:sz w:val="20"/>
          <w:szCs w:val="20"/>
          <w:lang w:val="en-GB"/>
        </w:rPr>
        <w:t>Superproperty of:</w:t>
      </w:r>
      <w:r w:rsidRPr="00197DF3">
        <w:rPr>
          <w:rFonts w:ascii="Times New Roman" w:hAnsi="Times New Roman" w:cs="Times New Roman"/>
          <w:sz w:val="20"/>
          <w:szCs w:val="20"/>
          <w:lang w:val="en-GB"/>
        </w:rPr>
        <w:tab/>
      </w:r>
      <w:r w:rsidRPr="00197DF3">
        <w:rPr>
          <w:rFonts w:ascii="Times New Roman" w:hAnsi="Times New Roman" w:cs="Times New Roman"/>
          <w:sz w:val="20"/>
          <w:szCs w:val="20"/>
        </w:rPr>
        <w:t>F1</w:t>
      </w:r>
      <w:r w:rsidRPr="00197DF3">
        <w:rPr>
          <w:rFonts w:ascii="Times New Roman" w:hAnsi="Times New Roman" w:cs="Times New Roman"/>
          <w:sz w:val="20"/>
          <w:szCs w:val="20"/>
          <w:lang w:val="en-GB"/>
        </w:rPr>
        <w:t xml:space="preserve"> Work. R67 has part (is part of): </w:t>
      </w:r>
      <w:r w:rsidRPr="00197DF3">
        <w:rPr>
          <w:rFonts w:ascii="Times New Roman" w:hAnsi="Times New Roman" w:cs="Times New Roman"/>
          <w:sz w:val="20"/>
          <w:szCs w:val="20"/>
        </w:rPr>
        <w:t>F1</w:t>
      </w:r>
      <w:r w:rsidRPr="00197DF3">
        <w:rPr>
          <w:rFonts w:ascii="Times New Roman" w:hAnsi="Times New Roman" w:cs="Times New Roman"/>
          <w:sz w:val="20"/>
          <w:szCs w:val="20"/>
          <w:lang w:val="en-GB"/>
        </w:rPr>
        <w:t xml:space="preserve"> Work</w:t>
      </w:r>
    </w:p>
    <w:p w:rsidR="00474E0A" w:rsidRPr="00197DF3" w:rsidRDefault="00474E0A" w:rsidP="00474E0A">
      <w:pPr>
        <w:rPr>
          <w:rFonts w:ascii="Times New Roman" w:hAnsi="Times New Roman" w:cs="Times New Roman"/>
          <w:sz w:val="20"/>
          <w:szCs w:val="20"/>
          <w:lang w:val="en-GB"/>
        </w:rPr>
      </w:pPr>
      <w:r w:rsidRPr="00197DF3">
        <w:rPr>
          <w:rFonts w:ascii="Times New Roman" w:hAnsi="Times New Roman" w:cs="Times New Roman"/>
          <w:sz w:val="20"/>
          <w:szCs w:val="20"/>
          <w:lang w:val="en-GB"/>
        </w:rPr>
        <w:t>Quantification:</w:t>
      </w:r>
      <w:r w:rsidRPr="00197DF3">
        <w:rPr>
          <w:rFonts w:ascii="Times New Roman" w:hAnsi="Times New Roman" w:cs="Times New Roman"/>
          <w:sz w:val="20"/>
          <w:szCs w:val="20"/>
          <w:lang w:val="en-GB"/>
        </w:rPr>
        <w:tab/>
        <w:t>many to many (</w:t>
      </w:r>
      <w:proofErr w:type="gramStart"/>
      <w:r w:rsidRPr="00197DF3">
        <w:rPr>
          <w:rFonts w:ascii="Times New Roman" w:hAnsi="Times New Roman" w:cs="Times New Roman"/>
          <w:sz w:val="20"/>
          <w:szCs w:val="20"/>
          <w:lang w:val="en-GB"/>
        </w:rPr>
        <w:t>0,n</w:t>
      </w:r>
      <w:proofErr w:type="gramEnd"/>
      <w:r w:rsidRPr="00197DF3">
        <w:rPr>
          <w:rFonts w:ascii="Times New Roman" w:hAnsi="Times New Roman" w:cs="Times New Roman"/>
          <w:sz w:val="20"/>
          <w:szCs w:val="20"/>
          <w:lang w:val="en-GB"/>
        </w:rPr>
        <w:t>:0,n)</w:t>
      </w:r>
    </w:p>
    <w:p w:rsidR="00474E0A" w:rsidRPr="00197DF3" w:rsidRDefault="00474E0A" w:rsidP="00474E0A">
      <w:pPr>
        <w:ind w:left="1440" w:hanging="1440"/>
        <w:rPr>
          <w:rFonts w:ascii="Times New Roman" w:hAnsi="Times New Roman" w:cs="Times New Roman"/>
          <w:sz w:val="20"/>
          <w:szCs w:val="20"/>
          <w:lang w:val="en-GB"/>
        </w:rPr>
      </w:pPr>
      <w:r w:rsidRPr="00197DF3">
        <w:rPr>
          <w:rFonts w:ascii="Times New Roman" w:hAnsi="Times New Roman" w:cs="Times New Roman"/>
          <w:sz w:val="20"/>
          <w:szCs w:val="20"/>
          <w:lang w:val="en-GB"/>
        </w:rPr>
        <w:t>Scope note:</w:t>
      </w:r>
      <w:r w:rsidRPr="00197DF3">
        <w:rPr>
          <w:rFonts w:ascii="Times New Roman" w:hAnsi="Times New Roman" w:cs="Times New Roman"/>
          <w:sz w:val="20"/>
          <w:szCs w:val="20"/>
          <w:lang w:val="en-GB"/>
        </w:rPr>
        <w:tab/>
        <w:t xml:space="preserve">This property associates an instance of F1 Work with another instance of F1 Work that forms a part of it. In contrast </w:t>
      </w:r>
      <w:r w:rsidRPr="00197DF3">
        <w:rPr>
          <w:rFonts w:ascii="Times New Roman" w:hAnsi="Times New Roman" w:cs="Times New Roman"/>
          <w:sz w:val="20"/>
          <w:szCs w:val="20"/>
        </w:rPr>
        <w:t xml:space="preserve">to its </w:t>
      </w:r>
      <w:proofErr w:type="spellStart"/>
      <w:r w:rsidRPr="00197DF3">
        <w:rPr>
          <w:rFonts w:ascii="Times New Roman" w:hAnsi="Times New Roman" w:cs="Times New Roman"/>
          <w:sz w:val="20"/>
          <w:szCs w:val="20"/>
        </w:rPr>
        <w:t>subproperty</w:t>
      </w:r>
      <w:proofErr w:type="spellEnd"/>
      <w:r w:rsidRPr="00197DF3">
        <w:rPr>
          <w:rFonts w:ascii="Times New Roman" w:hAnsi="Times New Roman" w:cs="Times New Roman"/>
          <w:sz w:val="20"/>
          <w:szCs w:val="20"/>
        </w:rPr>
        <w:t xml:space="preserve"> </w:t>
      </w:r>
      <w:r w:rsidRPr="00197DF3">
        <w:rPr>
          <w:rFonts w:ascii="Times New Roman" w:hAnsi="Times New Roman" w:cs="Times New Roman"/>
          <w:i/>
          <w:iCs/>
          <w:sz w:val="20"/>
          <w:szCs w:val="20"/>
        </w:rPr>
        <w:t>R67 has part (is part of)</w:t>
      </w:r>
      <w:r w:rsidRPr="00197DF3">
        <w:rPr>
          <w:rFonts w:ascii="Times New Roman" w:hAnsi="Times New Roman" w:cs="Times New Roman"/>
          <w:sz w:val="20"/>
          <w:szCs w:val="20"/>
          <w:lang w:val="en-GB"/>
        </w:rPr>
        <w:t xml:space="preserve">, the property </w:t>
      </w:r>
      <w:r w:rsidRPr="00197DF3">
        <w:rPr>
          <w:rFonts w:ascii="Times New Roman" w:hAnsi="Times New Roman" w:cs="Times New Roman"/>
          <w:i/>
          <w:iCs/>
          <w:sz w:val="20"/>
          <w:szCs w:val="20"/>
          <w:lang w:val="en-GB"/>
        </w:rPr>
        <w:t>R10 has member (is member of)</w:t>
      </w:r>
      <w:r w:rsidRPr="00197DF3">
        <w:rPr>
          <w:rFonts w:ascii="Times New Roman" w:hAnsi="Times New Roman" w:cs="Times New Roman"/>
          <w:sz w:val="20"/>
          <w:szCs w:val="20"/>
          <w:lang w:val="en-GB"/>
        </w:rPr>
        <w:t xml:space="preserve"> may, for instance, also associate with the overall instance of F1 Work </w:t>
      </w:r>
      <w:r w:rsidRPr="00197DF3">
        <w:rPr>
          <w:rFonts w:ascii="Times New Roman" w:hAnsi="Times New Roman" w:cs="Times New Roman"/>
          <w:sz w:val="20"/>
          <w:szCs w:val="20"/>
        </w:rPr>
        <w:t>free</w:t>
      </w:r>
      <w:r>
        <w:rPr>
          <w:rFonts w:ascii="Times New Roman" w:hAnsi="Times New Roman" w:cs="Times New Roman"/>
          <w:sz w:val="20"/>
          <w:szCs w:val="20"/>
        </w:rPr>
        <w:t xml:space="preserve"> </w:t>
      </w:r>
      <w:r w:rsidRPr="00197DF3">
        <w:rPr>
          <w:rFonts w:ascii="Times New Roman" w:hAnsi="Times New Roman" w:cs="Times New Roman"/>
          <w:sz w:val="20"/>
          <w:szCs w:val="20"/>
          <w:lang w:val="en-GB"/>
        </w:rPr>
        <w:t xml:space="preserve">translations, adaptations and other derivative works that do not form a logical whole with sibling parts. This property is transitive, asymmetric and irreflexive. </w:t>
      </w:r>
    </w:p>
    <w:p w:rsidR="00474E0A" w:rsidRPr="00197DF3" w:rsidRDefault="00474E0A" w:rsidP="00474E0A">
      <w:pPr>
        <w:ind w:left="1440"/>
        <w:rPr>
          <w:rFonts w:ascii="Times New Roman" w:hAnsi="Times New Roman" w:cs="Times New Roman"/>
          <w:sz w:val="20"/>
          <w:szCs w:val="20"/>
          <w:lang w:val="en-GB"/>
        </w:rPr>
      </w:pPr>
      <w:r w:rsidRPr="00197DF3">
        <w:rPr>
          <w:rFonts w:ascii="Times New Roman" w:hAnsi="Times New Roman" w:cs="Times New Roman"/>
          <w:sz w:val="20"/>
          <w:szCs w:val="20"/>
          <w:lang w:val="en-GB"/>
        </w:rPr>
        <w:t>An instance of F1 Work may neither directly nor indirectly be a member of itself. Instances of F1 Work that are not members of one another may not share a common member.</w:t>
      </w:r>
    </w:p>
    <w:p w:rsidR="00474E0A" w:rsidRPr="00197DF3" w:rsidRDefault="00474E0A" w:rsidP="00474E0A">
      <w:pPr>
        <w:rPr>
          <w:rFonts w:ascii="Times New Roman" w:hAnsi="Times New Roman" w:cs="Times New Roman"/>
          <w:sz w:val="20"/>
          <w:szCs w:val="20"/>
          <w:lang w:val="en-GB"/>
        </w:rPr>
      </w:pPr>
      <w:r w:rsidRPr="00197DF3">
        <w:rPr>
          <w:rFonts w:ascii="Times New Roman" w:hAnsi="Times New Roman" w:cs="Times New Roman"/>
          <w:sz w:val="20"/>
          <w:szCs w:val="20"/>
          <w:lang w:val="en-GB"/>
        </w:rPr>
        <w:t>Examples:</w:t>
      </w:r>
    </w:p>
    <w:p w:rsidR="00474E0A" w:rsidRDefault="00474E0A" w:rsidP="00474E0A">
      <w:pPr>
        <w:numPr>
          <w:ilvl w:val="0"/>
          <w:numId w:val="1"/>
        </w:numPr>
        <w:rPr>
          <w:rFonts w:ascii="Times New Roman" w:hAnsi="Times New Roman" w:cs="Times New Roman"/>
          <w:sz w:val="20"/>
          <w:szCs w:val="20"/>
          <w:lang w:val="nb-NO"/>
        </w:rPr>
      </w:pPr>
      <w:r w:rsidRPr="00822EEF">
        <w:rPr>
          <w:rFonts w:ascii="Times New Roman" w:hAnsi="Times New Roman" w:cs="Times New Roman"/>
          <w:sz w:val="20"/>
          <w:szCs w:val="20"/>
          <w:lang w:val="nb-NO"/>
        </w:rPr>
        <w:t xml:space="preserve">Auguste Rodin’s ‘La Porte de l’Enfer’ (F1) </w:t>
      </w:r>
      <w:r w:rsidRPr="00822EEF">
        <w:rPr>
          <w:rFonts w:ascii="Times New Roman" w:hAnsi="Times New Roman" w:cs="Times New Roman"/>
          <w:i/>
          <w:iCs/>
          <w:sz w:val="20"/>
          <w:szCs w:val="20"/>
          <w:lang w:val="nb-NO"/>
        </w:rPr>
        <w:t>has member</w:t>
      </w:r>
      <w:r w:rsidRPr="00822EEF">
        <w:rPr>
          <w:rFonts w:ascii="Times New Roman" w:hAnsi="Times New Roman" w:cs="Times New Roman"/>
          <w:sz w:val="20"/>
          <w:szCs w:val="20"/>
          <w:lang w:val="nb-NO"/>
        </w:rPr>
        <w:t xml:space="preserve"> Auguste Rodin’s ‘Le penseur’(F1).</w:t>
      </w:r>
    </w:p>
    <w:p w:rsidR="00474E0A" w:rsidRDefault="00474E0A" w:rsidP="00474E0A">
      <w:pPr>
        <w:pStyle w:val="Heading3"/>
        <w:rPr>
          <w:lang w:val="nb-NO"/>
        </w:rPr>
      </w:pPr>
      <w:r>
        <w:rPr>
          <w:lang w:val="nb-NO"/>
        </w:rPr>
        <w:t>Proposal for R67 has part (forms part of) –was not discussed</w:t>
      </w:r>
    </w:p>
    <w:p w:rsidR="00474E0A" w:rsidRPr="00327226" w:rsidRDefault="00474E0A" w:rsidP="00474E0A">
      <w:pPr>
        <w:tabs>
          <w:tab w:val="num" w:pos="0"/>
        </w:tabs>
        <w:rPr>
          <w:rFonts w:ascii="Arial" w:hAnsi="Arial" w:cs="Arial"/>
          <w:b/>
          <w:bCs/>
          <w:szCs w:val="20"/>
          <w:lang w:val="en-GB"/>
        </w:rPr>
      </w:pPr>
      <w:r w:rsidRPr="00327226">
        <w:rPr>
          <w:rFonts w:ascii="Arial" w:hAnsi="Arial" w:cs="Arial"/>
          <w:b/>
          <w:bCs/>
          <w:szCs w:val="20"/>
          <w:lang w:val="en-GB"/>
        </w:rPr>
        <w:t xml:space="preserve">R67 has part (forms part of) </w:t>
      </w:r>
    </w:p>
    <w:p w:rsidR="00474E0A" w:rsidRPr="00327226" w:rsidRDefault="00474E0A" w:rsidP="00474E0A">
      <w:pPr>
        <w:rPr>
          <w:rFonts w:ascii="Times New Roman" w:hAnsi="Times New Roman" w:cs="Times New Roman"/>
          <w:sz w:val="20"/>
          <w:szCs w:val="20"/>
          <w:lang w:val="en-GB"/>
        </w:rPr>
      </w:pPr>
      <w:r w:rsidRPr="00327226">
        <w:rPr>
          <w:rFonts w:ascii="Times New Roman" w:hAnsi="Times New Roman" w:cs="Times New Roman"/>
          <w:sz w:val="20"/>
          <w:szCs w:val="20"/>
          <w:lang w:val="en-GB"/>
        </w:rPr>
        <w:t>Domain:</w:t>
      </w:r>
      <w:r w:rsidRPr="00327226">
        <w:rPr>
          <w:rFonts w:ascii="Times New Roman" w:hAnsi="Times New Roman" w:cs="Times New Roman"/>
          <w:sz w:val="20"/>
          <w:szCs w:val="20"/>
          <w:lang w:val="en-GB"/>
        </w:rPr>
        <w:tab/>
      </w:r>
      <w:r>
        <w:rPr>
          <w:rFonts w:ascii="Times New Roman" w:hAnsi="Times New Roman" w:cs="Times New Roman"/>
          <w:sz w:val="20"/>
          <w:szCs w:val="20"/>
          <w:lang w:val="en-GB"/>
        </w:rPr>
        <w:tab/>
      </w:r>
      <w:r w:rsidRPr="00327226">
        <w:rPr>
          <w:rFonts w:ascii="Times New Roman" w:hAnsi="Times New Roman" w:cs="Times New Roman"/>
          <w:sz w:val="20"/>
          <w:szCs w:val="20"/>
          <w:lang w:val="en-GB"/>
        </w:rPr>
        <w:t>F1 Work</w:t>
      </w:r>
    </w:p>
    <w:p w:rsidR="00474E0A" w:rsidRPr="00327226" w:rsidRDefault="00474E0A" w:rsidP="00474E0A">
      <w:pPr>
        <w:rPr>
          <w:rFonts w:ascii="Times New Roman" w:hAnsi="Times New Roman" w:cs="Times New Roman"/>
          <w:sz w:val="20"/>
          <w:szCs w:val="20"/>
          <w:lang w:val="en-GB"/>
        </w:rPr>
      </w:pPr>
      <w:r w:rsidRPr="00327226">
        <w:rPr>
          <w:rFonts w:ascii="Times New Roman" w:hAnsi="Times New Roman" w:cs="Times New Roman"/>
          <w:sz w:val="20"/>
          <w:szCs w:val="20"/>
          <w:lang w:val="en-GB"/>
        </w:rPr>
        <w:t>Range:</w:t>
      </w:r>
      <w:r w:rsidRPr="00327226">
        <w:rPr>
          <w:rFonts w:ascii="Times New Roman" w:hAnsi="Times New Roman" w:cs="Times New Roman"/>
          <w:sz w:val="20"/>
          <w:szCs w:val="20"/>
          <w:lang w:val="en-GB"/>
        </w:rPr>
        <w:tab/>
      </w:r>
      <w:r>
        <w:rPr>
          <w:rFonts w:ascii="Times New Roman" w:hAnsi="Times New Roman" w:cs="Times New Roman"/>
          <w:sz w:val="20"/>
          <w:szCs w:val="20"/>
          <w:lang w:val="en-GB"/>
        </w:rPr>
        <w:tab/>
      </w:r>
      <w:r w:rsidRPr="00327226">
        <w:rPr>
          <w:rFonts w:ascii="Times New Roman" w:hAnsi="Times New Roman" w:cs="Times New Roman"/>
          <w:sz w:val="20"/>
          <w:szCs w:val="20"/>
          <w:lang w:val="en-GB"/>
        </w:rPr>
        <w:t>F1 Work</w:t>
      </w:r>
    </w:p>
    <w:p w:rsidR="00474E0A" w:rsidRPr="00327226" w:rsidRDefault="00474E0A" w:rsidP="00474E0A">
      <w:pPr>
        <w:rPr>
          <w:rFonts w:ascii="Times New Roman" w:hAnsi="Times New Roman" w:cs="Times New Roman"/>
          <w:sz w:val="20"/>
          <w:szCs w:val="20"/>
          <w:lang w:val="en-GB"/>
        </w:rPr>
      </w:pPr>
      <w:proofErr w:type="spellStart"/>
      <w:r w:rsidRPr="00327226">
        <w:rPr>
          <w:rFonts w:ascii="Times New Roman" w:hAnsi="Times New Roman" w:cs="Times New Roman"/>
          <w:sz w:val="20"/>
          <w:szCs w:val="20"/>
          <w:lang w:val="en-GB"/>
        </w:rPr>
        <w:t>Subproperty</w:t>
      </w:r>
      <w:proofErr w:type="spellEnd"/>
      <w:r w:rsidRPr="00327226">
        <w:rPr>
          <w:rFonts w:ascii="Times New Roman" w:hAnsi="Times New Roman" w:cs="Times New Roman"/>
          <w:sz w:val="20"/>
          <w:szCs w:val="20"/>
          <w:lang w:val="en-GB"/>
        </w:rPr>
        <w:t xml:space="preserve"> of:</w:t>
      </w:r>
      <w:r w:rsidRPr="00327226">
        <w:rPr>
          <w:rFonts w:ascii="Times New Roman" w:hAnsi="Times New Roman" w:cs="Times New Roman"/>
          <w:sz w:val="20"/>
          <w:szCs w:val="20"/>
          <w:lang w:val="en-GB"/>
        </w:rPr>
        <w:tab/>
        <w:t>F1 Work. R10 has member (is member of): F1 Work</w:t>
      </w:r>
    </w:p>
    <w:p w:rsidR="00474E0A" w:rsidRPr="00327226" w:rsidRDefault="00474E0A" w:rsidP="00474E0A">
      <w:pPr>
        <w:rPr>
          <w:rFonts w:ascii="Times New Roman" w:hAnsi="Times New Roman" w:cs="Times New Roman"/>
          <w:sz w:val="20"/>
          <w:szCs w:val="20"/>
          <w:lang w:val="en-GB"/>
        </w:rPr>
      </w:pPr>
      <w:r w:rsidRPr="00327226">
        <w:rPr>
          <w:rFonts w:ascii="Times New Roman" w:hAnsi="Times New Roman" w:cs="Times New Roman"/>
          <w:sz w:val="20"/>
          <w:szCs w:val="20"/>
          <w:lang w:val="en-GB"/>
        </w:rPr>
        <w:t>Quantification:</w:t>
      </w:r>
      <w:r w:rsidRPr="00327226">
        <w:rPr>
          <w:rFonts w:ascii="Times New Roman" w:hAnsi="Times New Roman" w:cs="Times New Roman"/>
          <w:sz w:val="20"/>
          <w:szCs w:val="20"/>
          <w:lang w:val="en-GB"/>
        </w:rPr>
        <w:tab/>
        <w:t>many to many (</w:t>
      </w:r>
      <w:proofErr w:type="gramStart"/>
      <w:r w:rsidRPr="00327226">
        <w:rPr>
          <w:rFonts w:ascii="Times New Roman" w:hAnsi="Times New Roman" w:cs="Times New Roman"/>
          <w:sz w:val="20"/>
          <w:szCs w:val="20"/>
          <w:lang w:val="en-GB"/>
        </w:rPr>
        <w:t>0,n</w:t>
      </w:r>
      <w:proofErr w:type="gramEnd"/>
      <w:r w:rsidRPr="00327226">
        <w:rPr>
          <w:rFonts w:ascii="Times New Roman" w:hAnsi="Times New Roman" w:cs="Times New Roman"/>
          <w:sz w:val="20"/>
          <w:szCs w:val="20"/>
          <w:lang w:val="en-GB"/>
        </w:rPr>
        <w:t>:0,n)</w:t>
      </w:r>
    </w:p>
    <w:p w:rsidR="00474E0A" w:rsidRPr="00327226" w:rsidRDefault="00474E0A" w:rsidP="00474E0A">
      <w:pPr>
        <w:ind w:left="1440" w:hanging="1440"/>
        <w:rPr>
          <w:rFonts w:ascii="Times New Roman" w:hAnsi="Times New Roman" w:cs="Times New Roman"/>
          <w:sz w:val="20"/>
          <w:szCs w:val="20"/>
          <w:lang w:val="en-GB"/>
        </w:rPr>
      </w:pPr>
      <w:r w:rsidRPr="00327226">
        <w:rPr>
          <w:rFonts w:ascii="Times New Roman" w:hAnsi="Times New Roman" w:cs="Times New Roman"/>
          <w:sz w:val="20"/>
          <w:szCs w:val="20"/>
          <w:lang w:val="en-GB"/>
        </w:rPr>
        <w:t>Scope note:</w:t>
      </w:r>
      <w:r w:rsidRPr="00327226">
        <w:rPr>
          <w:rFonts w:ascii="Times New Roman" w:hAnsi="Times New Roman" w:cs="Times New Roman"/>
          <w:sz w:val="20"/>
          <w:szCs w:val="20"/>
          <w:lang w:val="en-GB"/>
        </w:rPr>
        <w:tab/>
        <w:t xml:space="preserve">This property associates an instance of F1 Work with another instance of F1 Work that forms part of it in a complementary role to other sibling parts, conceived at some point in time to form together a logical whole, such as the parts of a trilogy. This property is transitive, asymmetric and irreflexive. </w:t>
      </w:r>
    </w:p>
    <w:p w:rsidR="00474E0A" w:rsidRPr="00327226" w:rsidRDefault="00474E0A" w:rsidP="00474E0A">
      <w:pPr>
        <w:ind w:left="1440"/>
        <w:rPr>
          <w:rFonts w:ascii="Times New Roman" w:hAnsi="Times New Roman" w:cs="Times New Roman"/>
          <w:sz w:val="20"/>
          <w:szCs w:val="20"/>
          <w:lang w:val="en-GB"/>
        </w:rPr>
      </w:pPr>
      <w:r w:rsidRPr="00327226">
        <w:rPr>
          <w:rFonts w:ascii="Times New Roman" w:hAnsi="Times New Roman" w:cs="Times New Roman"/>
          <w:sz w:val="20"/>
          <w:szCs w:val="20"/>
          <w:lang w:val="en-GB"/>
        </w:rPr>
        <w:t xml:space="preserve">In contrast, the property </w:t>
      </w:r>
      <w:r w:rsidRPr="00327226">
        <w:rPr>
          <w:rFonts w:ascii="Times New Roman" w:hAnsi="Times New Roman" w:cs="Times New Roman"/>
          <w:i/>
          <w:iCs/>
          <w:sz w:val="20"/>
          <w:szCs w:val="20"/>
          <w:lang w:val="en-GB"/>
        </w:rPr>
        <w:t>R10 has member (is member of)</w:t>
      </w:r>
      <w:r w:rsidRPr="00327226">
        <w:rPr>
          <w:rFonts w:ascii="Times New Roman" w:hAnsi="Times New Roman" w:cs="Times New Roman"/>
          <w:sz w:val="20"/>
          <w:szCs w:val="20"/>
          <w:lang w:val="en-GB"/>
        </w:rPr>
        <w:t xml:space="preserve"> may, for instance, also associate with the overall instance of F1 Work </w:t>
      </w:r>
      <w:r w:rsidRPr="00327226">
        <w:rPr>
          <w:rFonts w:ascii="Times New Roman" w:hAnsi="Times New Roman" w:cs="Times New Roman"/>
          <w:sz w:val="20"/>
          <w:szCs w:val="20"/>
        </w:rPr>
        <w:t xml:space="preserve">free </w:t>
      </w:r>
      <w:r w:rsidRPr="00327226">
        <w:rPr>
          <w:rFonts w:ascii="Times New Roman" w:hAnsi="Times New Roman" w:cs="Times New Roman"/>
          <w:sz w:val="20"/>
          <w:szCs w:val="20"/>
          <w:lang w:val="en-GB"/>
        </w:rPr>
        <w:t>translations, adaptations and other derivative works that do not form a logical whole with sibling parts.</w:t>
      </w:r>
    </w:p>
    <w:p w:rsidR="00474E0A" w:rsidRPr="00327226" w:rsidRDefault="00474E0A" w:rsidP="00474E0A">
      <w:pPr>
        <w:rPr>
          <w:rFonts w:ascii="Times New Roman" w:hAnsi="Times New Roman" w:cs="Times New Roman"/>
          <w:sz w:val="20"/>
          <w:szCs w:val="20"/>
          <w:lang w:val="en-GB"/>
        </w:rPr>
      </w:pPr>
      <w:r w:rsidRPr="00327226">
        <w:rPr>
          <w:rFonts w:ascii="Times New Roman" w:hAnsi="Times New Roman" w:cs="Times New Roman"/>
          <w:sz w:val="20"/>
          <w:szCs w:val="20"/>
          <w:lang w:val="en-GB"/>
        </w:rPr>
        <w:t xml:space="preserve">Examples: </w:t>
      </w:r>
    </w:p>
    <w:p w:rsidR="00474E0A" w:rsidRPr="00327226" w:rsidRDefault="00474E0A" w:rsidP="00474E0A">
      <w:pPr>
        <w:numPr>
          <w:ilvl w:val="0"/>
          <w:numId w:val="2"/>
        </w:numPr>
        <w:rPr>
          <w:rFonts w:ascii="Times New Roman" w:hAnsi="Times New Roman" w:cs="Times New Roman"/>
          <w:sz w:val="20"/>
          <w:szCs w:val="20"/>
          <w:lang w:val="en-GB"/>
        </w:rPr>
      </w:pPr>
      <w:r w:rsidRPr="00327226">
        <w:rPr>
          <w:rFonts w:ascii="Times New Roman" w:hAnsi="Times New Roman" w:cs="Times New Roman"/>
          <w:sz w:val="20"/>
          <w:szCs w:val="20"/>
          <w:lang w:val="en-GB"/>
        </w:rPr>
        <w:t xml:space="preserve">Dante Alighieri’s textual work entitled ‘Divina Commedia’ (F1) </w:t>
      </w:r>
      <w:r w:rsidRPr="00327226">
        <w:rPr>
          <w:rFonts w:ascii="Times New Roman" w:hAnsi="Times New Roman" w:cs="Times New Roman"/>
          <w:i/>
          <w:iCs/>
          <w:sz w:val="20"/>
          <w:szCs w:val="20"/>
          <w:lang w:val="en-GB"/>
        </w:rPr>
        <w:t>has part</w:t>
      </w:r>
      <w:r w:rsidRPr="00327226">
        <w:rPr>
          <w:rFonts w:ascii="Times New Roman" w:hAnsi="Times New Roman" w:cs="Times New Roman"/>
          <w:sz w:val="20"/>
          <w:szCs w:val="20"/>
          <w:lang w:val="en-GB"/>
        </w:rPr>
        <w:t xml:space="preserve"> Dante Alighieri’s textual work entitled ‘Inferno’ (F1).</w:t>
      </w:r>
    </w:p>
    <w:p w:rsidR="00474E0A" w:rsidRPr="00327226" w:rsidRDefault="00474E0A" w:rsidP="00474E0A">
      <w:pPr>
        <w:numPr>
          <w:ilvl w:val="0"/>
          <w:numId w:val="2"/>
        </w:numPr>
        <w:rPr>
          <w:rFonts w:ascii="Times New Roman" w:hAnsi="Times New Roman" w:cs="Times New Roman"/>
          <w:sz w:val="20"/>
          <w:szCs w:val="20"/>
          <w:lang w:val="en-GB"/>
        </w:rPr>
      </w:pPr>
      <w:r w:rsidRPr="00327226">
        <w:rPr>
          <w:rFonts w:ascii="Times New Roman" w:hAnsi="Times New Roman" w:cs="Times New Roman"/>
          <w:sz w:val="20"/>
          <w:szCs w:val="20"/>
          <w:lang w:val="en-GB"/>
        </w:rPr>
        <w:t xml:space="preserve">Miguel de Cervantes’ textual work entitled ‘Don Quixote’ (F1) </w:t>
      </w:r>
      <w:r w:rsidRPr="00327226">
        <w:rPr>
          <w:rFonts w:ascii="Times New Roman" w:hAnsi="Times New Roman" w:cs="Times New Roman"/>
          <w:i/>
          <w:sz w:val="20"/>
          <w:szCs w:val="20"/>
          <w:lang w:val="en-GB"/>
        </w:rPr>
        <w:t>has part</w:t>
      </w:r>
      <w:r w:rsidRPr="00327226">
        <w:rPr>
          <w:rFonts w:ascii="Times New Roman" w:hAnsi="Times New Roman" w:cs="Times New Roman"/>
          <w:sz w:val="20"/>
          <w:szCs w:val="20"/>
          <w:lang w:val="en-GB"/>
        </w:rPr>
        <w:t xml:space="preserve"> Miguel de Cervantes’ textual work entitled ‘El </w:t>
      </w:r>
      <w:proofErr w:type="spellStart"/>
      <w:r w:rsidRPr="00327226">
        <w:rPr>
          <w:rFonts w:ascii="Times New Roman" w:hAnsi="Times New Roman" w:cs="Times New Roman"/>
          <w:sz w:val="20"/>
          <w:szCs w:val="20"/>
          <w:lang w:val="en-GB"/>
        </w:rPr>
        <w:t>ingenioso</w:t>
      </w:r>
      <w:proofErr w:type="spellEnd"/>
      <w:r w:rsidRPr="00327226">
        <w:rPr>
          <w:rFonts w:ascii="Times New Roman" w:hAnsi="Times New Roman" w:cs="Times New Roman"/>
          <w:sz w:val="20"/>
          <w:szCs w:val="20"/>
          <w:lang w:val="en-GB"/>
        </w:rPr>
        <w:t xml:space="preserve"> hidalgo Don Quixote de la Mancha’ (F1).</w:t>
      </w:r>
    </w:p>
    <w:p w:rsidR="00474E0A" w:rsidRPr="008172D6" w:rsidRDefault="00474E0A" w:rsidP="00474E0A">
      <w:pPr>
        <w:numPr>
          <w:ilvl w:val="0"/>
          <w:numId w:val="2"/>
        </w:numPr>
        <w:rPr>
          <w:rFonts w:ascii="Times New Roman" w:hAnsi="Times New Roman" w:cs="Times New Roman"/>
          <w:sz w:val="20"/>
          <w:szCs w:val="20"/>
          <w:lang w:val="pt-PT"/>
        </w:rPr>
      </w:pPr>
      <w:r w:rsidRPr="008172D6">
        <w:rPr>
          <w:rFonts w:ascii="Times New Roman" w:hAnsi="Times New Roman" w:cs="Times New Roman"/>
          <w:sz w:val="20"/>
          <w:szCs w:val="20"/>
          <w:lang w:val="pt-PT"/>
        </w:rPr>
        <w:lastRenderedPageBreak/>
        <w:t xml:space="preserve">Miguel de Cervantes’ textual work entitled ‘Don Quixote’ (F1) </w:t>
      </w:r>
      <w:r w:rsidRPr="008172D6">
        <w:rPr>
          <w:rFonts w:ascii="Times New Roman" w:hAnsi="Times New Roman" w:cs="Times New Roman"/>
          <w:i/>
          <w:sz w:val="20"/>
          <w:szCs w:val="20"/>
          <w:lang w:val="pt-PT"/>
        </w:rPr>
        <w:t>has part</w:t>
      </w:r>
      <w:r w:rsidRPr="008172D6">
        <w:rPr>
          <w:rFonts w:ascii="Times New Roman" w:hAnsi="Times New Roman" w:cs="Times New Roman"/>
          <w:sz w:val="20"/>
          <w:szCs w:val="20"/>
          <w:lang w:val="pt-PT"/>
        </w:rPr>
        <w:t xml:space="preserve"> Miguel de Cervantes’ textual work entitled ‘Segunda Parte del Ingenioso Cavallero Don Quixote de la Mancha’ (F1).</w:t>
      </w:r>
    </w:p>
    <w:p w:rsidR="00474E0A" w:rsidRPr="00327226" w:rsidRDefault="00474E0A" w:rsidP="00474E0A">
      <w:pPr>
        <w:numPr>
          <w:ilvl w:val="0"/>
          <w:numId w:val="2"/>
        </w:numPr>
        <w:rPr>
          <w:rFonts w:ascii="Times New Roman" w:hAnsi="Times New Roman" w:cs="Times New Roman"/>
          <w:sz w:val="20"/>
          <w:szCs w:val="20"/>
          <w:lang w:val="en-GB"/>
        </w:rPr>
      </w:pPr>
      <w:r w:rsidRPr="00327226">
        <w:rPr>
          <w:rFonts w:ascii="Times New Roman" w:hAnsi="Times New Roman" w:cs="Times New Roman"/>
          <w:sz w:val="20"/>
          <w:szCs w:val="20"/>
          <w:lang w:val="en-GB"/>
        </w:rPr>
        <w:t xml:space="preserve">J.R.R. Tolkien’s textual work ‘The Lord of the Rings’ (F1) </w:t>
      </w:r>
      <w:r w:rsidRPr="00327226">
        <w:rPr>
          <w:rFonts w:ascii="Times New Roman" w:hAnsi="Times New Roman" w:cs="Times New Roman"/>
          <w:i/>
          <w:iCs/>
          <w:sz w:val="20"/>
          <w:szCs w:val="20"/>
          <w:lang w:val="en-GB"/>
        </w:rPr>
        <w:t>has part</w:t>
      </w:r>
      <w:r w:rsidRPr="00327226">
        <w:rPr>
          <w:rFonts w:ascii="Times New Roman" w:hAnsi="Times New Roman" w:cs="Times New Roman"/>
          <w:sz w:val="20"/>
          <w:szCs w:val="20"/>
          <w:lang w:val="en-GB"/>
        </w:rPr>
        <w:t xml:space="preserve"> J.R.R. Tolkien’s textual work ‘The Two Towers’ (F1).</w:t>
      </w:r>
    </w:p>
    <w:p w:rsidR="00474E0A" w:rsidRPr="00327226" w:rsidRDefault="00474E0A" w:rsidP="00474E0A">
      <w:pPr>
        <w:numPr>
          <w:ilvl w:val="0"/>
          <w:numId w:val="2"/>
        </w:numPr>
        <w:rPr>
          <w:rFonts w:ascii="Times New Roman" w:hAnsi="Times New Roman" w:cs="Times New Roman"/>
          <w:sz w:val="20"/>
          <w:szCs w:val="20"/>
          <w:lang w:val="en-GB"/>
        </w:rPr>
      </w:pPr>
      <w:r w:rsidRPr="00327226">
        <w:rPr>
          <w:rFonts w:ascii="Times New Roman" w:hAnsi="Times New Roman" w:cs="Times New Roman"/>
          <w:sz w:val="20"/>
          <w:szCs w:val="20"/>
          <w:lang w:val="en-GB"/>
        </w:rPr>
        <w:t xml:space="preserve">Cormac McCarthy’s textual work ‘The Border Trilogy’ (F1) </w:t>
      </w:r>
      <w:r w:rsidRPr="00327226">
        <w:rPr>
          <w:rFonts w:ascii="Times New Roman" w:hAnsi="Times New Roman" w:cs="Times New Roman"/>
          <w:i/>
          <w:iCs/>
          <w:sz w:val="20"/>
          <w:szCs w:val="20"/>
          <w:lang w:val="en-GB"/>
        </w:rPr>
        <w:t>has part</w:t>
      </w:r>
      <w:r w:rsidRPr="00327226">
        <w:rPr>
          <w:rFonts w:ascii="Times New Roman" w:hAnsi="Times New Roman" w:cs="Times New Roman"/>
          <w:sz w:val="20"/>
          <w:szCs w:val="20"/>
          <w:lang w:val="en-GB"/>
        </w:rPr>
        <w:t xml:space="preserve"> Cormac McCarthy’s textual work ‘All the Pretty Horses’ (F1).</w:t>
      </w:r>
    </w:p>
    <w:p w:rsidR="00474E0A" w:rsidRPr="00327226" w:rsidRDefault="00474E0A" w:rsidP="00474E0A">
      <w:pPr>
        <w:numPr>
          <w:ilvl w:val="0"/>
          <w:numId w:val="2"/>
        </w:numPr>
        <w:rPr>
          <w:rFonts w:ascii="Times New Roman" w:hAnsi="Times New Roman" w:cs="Times New Roman"/>
          <w:sz w:val="20"/>
          <w:szCs w:val="20"/>
          <w:lang w:val="en-GB"/>
        </w:rPr>
      </w:pPr>
      <w:r w:rsidRPr="00327226">
        <w:rPr>
          <w:rFonts w:ascii="Times New Roman" w:hAnsi="Times New Roman" w:cs="Times New Roman"/>
          <w:sz w:val="20"/>
          <w:szCs w:val="20"/>
          <w:lang w:val="en-GB"/>
        </w:rPr>
        <w:t>Giovanni Battista Piranesi’s graphic work entitled ‘</w:t>
      </w:r>
      <w:proofErr w:type="spellStart"/>
      <w:r w:rsidRPr="00327226">
        <w:rPr>
          <w:rFonts w:ascii="Times New Roman" w:hAnsi="Times New Roman" w:cs="Times New Roman"/>
          <w:sz w:val="20"/>
          <w:szCs w:val="20"/>
          <w:lang w:val="en-GB"/>
        </w:rPr>
        <w:t>Carceri</w:t>
      </w:r>
      <w:proofErr w:type="spellEnd"/>
      <w:r w:rsidRPr="00327226">
        <w:rPr>
          <w:rFonts w:ascii="Times New Roman" w:hAnsi="Times New Roman" w:cs="Times New Roman"/>
          <w:sz w:val="20"/>
          <w:szCs w:val="20"/>
          <w:lang w:val="en-GB"/>
        </w:rPr>
        <w:t xml:space="preserve">’ (F1) </w:t>
      </w:r>
      <w:r w:rsidRPr="00327226">
        <w:rPr>
          <w:rFonts w:ascii="Times New Roman" w:hAnsi="Times New Roman" w:cs="Times New Roman"/>
          <w:i/>
          <w:iCs/>
          <w:sz w:val="20"/>
          <w:szCs w:val="20"/>
          <w:lang w:val="en-GB"/>
        </w:rPr>
        <w:t>has part</w:t>
      </w:r>
      <w:r w:rsidRPr="00327226">
        <w:rPr>
          <w:rFonts w:ascii="Times New Roman" w:hAnsi="Times New Roman" w:cs="Times New Roman"/>
          <w:sz w:val="20"/>
          <w:szCs w:val="20"/>
          <w:lang w:val="en-GB"/>
        </w:rPr>
        <w:t xml:space="preserve"> Giovanni Battista Piranesi’s graphic work entitled ‘</w:t>
      </w:r>
      <w:proofErr w:type="spellStart"/>
      <w:r w:rsidRPr="00327226">
        <w:rPr>
          <w:rFonts w:ascii="Times New Roman" w:hAnsi="Times New Roman" w:cs="Times New Roman"/>
          <w:sz w:val="20"/>
          <w:szCs w:val="20"/>
          <w:lang w:val="en-GB"/>
        </w:rPr>
        <w:t>Carcere</w:t>
      </w:r>
      <w:proofErr w:type="spellEnd"/>
      <w:r w:rsidRPr="00327226">
        <w:rPr>
          <w:rFonts w:ascii="Times New Roman" w:hAnsi="Times New Roman" w:cs="Times New Roman"/>
          <w:sz w:val="20"/>
          <w:szCs w:val="20"/>
          <w:lang w:val="en-GB"/>
        </w:rPr>
        <w:t xml:space="preserve"> XVI: the pier with chains’ (F1)</w:t>
      </w:r>
    </w:p>
    <w:p w:rsidR="00474E0A" w:rsidRPr="00BB6981" w:rsidRDefault="00474E0A" w:rsidP="00474E0A">
      <w:pPr>
        <w:numPr>
          <w:ilvl w:val="0"/>
          <w:numId w:val="2"/>
        </w:numPr>
        <w:rPr>
          <w:rFonts w:ascii="Times New Roman" w:hAnsi="Times New Roman" w:cs="Times New Roman"/>
          <w:sz w:val="20"/>
          <w:szCs w:val="20"/>
        </w:rPr>
      </w:pPr>
      <w:r w:rsidRPr="00327226">
        <w:rPr>
          <w:rFonts w:ascii="Times New Roman" w:hAnsi="Times New Roman" w:cs="Times New Roman"/>
          <w:sz w:val="20"/>
          <w:szCs w:val="20"/>
          <w:lang w:val="en-GB"/>
        </w:rPr>
        <w:t xml:space="preserve">Ludwig van Beethoven’s musical work entitled ‘Symphony No. 9’ (F1) </w:t>
      </w:r>
      <w:r w:rsidRPr="00327226">
        <w:rPr>
          <w:rFonts w:ascii="Times New Roman" w:hAnsi="Times New Roman" w:cs="Times New Roman"/>
          <w:i/>
          <w:iCs/>
          <w:sz w:val="20"/>
          <w:szCs w:val="20"/>
          <w:lang w:val="en-GB"/>
        </w:rPr>
        <w:t>has part</w:t>
      </w:r>
      <w:r w:rsidRPr="00327226">
        <w:rPr>
          <w:rFonts w:ascii="Times New Roman" w:hAnsi="Times New Roman" w:cs="Times New Roman"/>
          <w:sz w:val="20"/>
          <w:szCs w:val="20"/>
          <w:lang w:val="en-GB"/>
        </w:rPr>
        <w:t xml:space="preserve"> Ludwig van Beethoven’s musical work ‘Finale’ (4</w:t>
      </w:r>
      <w:r w:rsidRPr="00327226">
        <w:rPr>
          <w:rFonts w:ascii="Times New Roman" w:hAnsi="Times New Roman" w:cs="Times New Roman"/>
          <w:sz w:val="20"/>
          <w:szCs w:val="20"/>
          <w:vertAlign w:val="superscript"/>
          <w:lang w:val="en-GB"/>
        </w:rPr>
        <w:t>th</w:t>
      </w:r>
      <w:r w:rsidRPr="00327226">
        <w:rPr>
          <w:rFonts w:ascii="Times New Roman" w:hAnsi="Times New Roman" w:cs="Times New Roman"/>
          <w:sz w:val="20"/>
          <w:szCs w:val="20"/>
          <w:lang w:val="en-GB"/>
        </w:rPr>
        <w:t xml:space="preserve"> movement) (F1).</w:t>
      </w:r>
    </w:p>
    <w:p w:rsidR="00474E0A" w:rsidRDefault="00474E0A" w:rsidP="00474E0A">
      <w:pPr>
        <w:pStyle w:val="Heading2"/>
      </w:pPr>
      <w:r>
        <w:t>Discussion points</w:t>
      </w:r>
    </w:p>
    <w:p w:rsidR="00474E0A" w:rsidRDefault="00474E0A" w:rsidP="00474E0A">
      <w:pPr>
        <w:pStyle w:val="ListParagraph"/>
        <w:numPr>
          <w:ilvl w:val="0"/>
          <w:numId w:val="3"/>
        </w:numPr>
        <w:rPr>
          <w:lang w:bidi="ar-SA"/>
        </w:rPr>
      </w:pPr>
      <w:r w:rsidRPr="006744C5">
        <w:rPr>
          <w:b/>
          <w:lang w:bidi="ar-SA"/>
        </w:rPr>
        <w:t>R10</w:t>
      </w:r>
      <w:r>
        <w:rPr>
          <w:lang w:bidi="ar-SA"/>
        </w:rPr>
        <w:t xml:space="preserve"> should express a generalization over all the cases that are not covered by the more specific modeling constructs available.</w:t>
      </w:r>
    </w:p>
    <w:p w:rsidR="00474E0A" w:rsidRDefault="00474E0A" w:rsidP="00474E0A">
      <w:pPr>
        <w:pStyle w:val="ListParagraph"/>
        <w:numPr>
          <w:ilvl w:val="0"/>
          <w:numId w:val="3"/>
        </w:numPr>
        <w:rPr>
          <w:lang w:bidi="ar-SA"/>
        </w:rPr>
      </w:pPr>
      <w:r>
        <w:rPr>
          <w:lang w:bidi="ar-SA"/>
        </w:rPr>
        <w:t xml:space="preserve">The scope note of </w:t>
      </w:r>
      <w:r w:rsidRPr="006744C5">
        <w:rPr>
          <w:b/>
          <w:lang w:bidi="ar-SA"/>
        </w:rPr>
        <w:t>R10</w:t>
      </w:r>
      <w:r>
        <w:rPr>
          <w:lang w:bidi="ar-SA"/>
        </w:rPr>
        <w:t xml:space="preserve"> should explicitly refer to its usage in documenting different databases integration, to reflect difference of opinion/practices: database A can list two distinct versions of a specific musical score/libretto/whatnot as instances of F1 Work or instances of F2 Expression.  </w:t>
      </w:r>
    </w:p>
    <w:p w:rsidR="00474E0A" w:rsidRDefault="00474E0A" w:rsidP="00474E0A">
      <w:pPr>
        <w:pStyle w:val="ListParagraph"/>
        <w:numPr>
          <w:ilvl w:val="0"/>
          <w:numId w:val="3"/>
        </w:numPr>
        <w:rPr>
          <w:lang w:bidi="ar-SA"/>
        </w:rPr>
      </w:pPr>
      <w:r>
        <w:rPr>
          <w:lang w:bidi="ar-SA"/>
        </w:rPr>
        <w:t xml:space="preserve">The scope note of </w:t>
      </w:r>
      <w:r w:rsidRPr="006744C5">
        <w:rPr>
          <w:b/>
          <w:lang w:bidi="ar-SA"/>
        </w:rPr>
        <w:t>R10</w:t>
      </w:r>
      <w:r>
        <w:rPr>
          <w:lang w:bidi="ar-SA"/>
        </w:rPr>
        <w:t xml:space="preserve"> should explicitly state that it applies to a “</w:t>
      </w:r>
      <w:proofErr w:type="spellStart"/>
      <w:r>
        <w:rPr>
          <w:lang w:bidi="ar-SA"/>
        </w:rPr>
        <w:t>superwork</w:t>
      </w:r>
      <w:proofErr w:type="spellEnd"/>
      <w:r>
        <w:rPr>
          <w:lang w:bidi="ar-SA"/>
        </w:rPr>
        <w:t xml:space="preserve">” construct, i.e., one that allows statements of the sort “such-and-such instances of F1 Work form distinct versions of Symphony </w:t>
      </w:r>
      <w:proofErr w:type="spellStart"/>
      <w:proofErr w:type="gramStart"/>
      <w:r>
        <w:rPr>
          <w:lang w:bidi="ar-SA"/>
        </w:rPr>
        <w:t>No.something</w:t>
      </w:r>
      <w:proofErr w:type="spellEnd"/>
      <w:proofErr w:type="gramEnd"/>
      <w:r>
        <w:rPr>
          <w:lang w:bidi="ar-SA"/>
        </w:rPr>
        <w:t xml:space="preserve"> (F1)”</w:t>
      </w:r>
    </w:p>
    <w:p w:rsidR="00474E0A" w:rsidRDefault="00474E0A" w:rsidP="00474E0A">
      <w:pPr>
        <w:pStyle w:val="ListParagraph"/>
        <w:numPr>
          <w:ilvl w:val="1"/>
          <w:numId w:val="3"/>
        </w:numPr>
        <w:rPr>
          <w:lang w:bidi="ar-SA"/>
        </w:rPr>
      </w:pPr>
      <w:r>
        <w:rPr>
          <w:lang w:bidi="ar-SA"/>
        </w:rPr>
        <w:t>Nb. The construct is easier to grasp if one’s examples are musical scores compared to adaptations of literary works into movie scripts.</w:t>
      </w:r>
    </w:p>
    <w:p w:rsidR="00474E0A" w:rsidRDefault="00474E0A" w:rsidP="00474E0A">
      <w:pPr>
        <w:pStyle w:val="ListParagraph"/>
        <w:numPr>
          <w:ilvl w:val="1"/>
          <w:numId w:val="3"/>
        </w:numPr>
        <w:rPr>
          <w:lang w:bidi="ar-SA"/>
        </w:rPr>
      </w:pPr>
      <w:proofErr w:type="spellStart"/>
      <w:r>
        <w:rPr>
          <w:lang w:bidi="ar-SA"/>
        </w:rPr>
        <w:t>Nb</w:t>
      </w:r>
      <w:proofErr w:type="spellEnd"/>
      <w:r>
        <w:rPr>
          <w:lang w:bidi="ar-SA"/>
        </w:rPr>
        <w:t xml:space="preserve">’. It is often the case that whereas the distinct versions of a certain F1 Work have numbered IDs, the </w:t>
      </w:r>
      <w:proofErr w:type="spellStart"/>
      <w:r>
        <w:rPr>
          <w:lang w:bidi="ar-SA"/>
        </w:rPr>
        <w:t>superwork</w:t>
      </w:r>
      <w:proofErr w:type="spellEnd"/>
      <w:r>
        <w:rPr>
          <w:lang w:bidi="ar-SA"/>
        </w:rPr>
        <w:t xml:space="preserve"> lacks one. </w:t>
      </w:r>
    </w:p>
    <w:p w:rsidR="00474E0A" w:rsidRDefault="00474E0A" w:rsidP="00474E0A">
      <w:pPr>
        <w:pStyle w:val="ListParagraph"/>
        <w:numPr>
          <w:ilvl w:val="0"/>
          <w:numId w:val="3"/>
        </w:numPr>
        <w:rPr>
          <w:lang w:bidi="ar-SA"/>
        </w:rPr>
      </w:pPr>
      <w:r>
        <w:rPr>
          <w:lang w:bidi="ar-SA"/>
        </w:rPr>
        <w:t xml:space="preserve">Disambiguation can come from deprecating examples that are common to both </w:t>
      </w:r>
      <w:r w:rsidRPr="006744C5">
        <w:rPr>
          <w:b/>
          <w:lang w:bidi="ar-SA"/>
        </w:rPr>
        <w:t>R10</w:t>
      </w:r>
      <w:r>
        <w:rPr>
          <w:lang w:bidi="ar-SA"/>
        </w:rPr>
        <w:t xml:space="preserve"> and </w:t>
      </w:r>
      <w:r w:rsidRPr="006744C5">
        <w:rPr>
          <w:b/>
          <w:lang w:bidi="ar-SA"/>
        </w:rPr>
        <w:t>R67</w:t>
      </w:r>
      <w:r>
        <w:rPr>
          <w:lang w:bidi="ar-SA"/>
        </w:rPr>
        <w:t xml:space="preserve">. </w:t>
      </w:r>
    </w:p>
    <w:p w:rsidR="00474E0A" w:rsidRDefault="00474E0A" w:rsidP="00474E0A">
      <w:pPr>
        <w:pStyle w:val="ListParagraph"/>
        <w:numPr>
          <w:ilvl w:val="1"/>
          <w:numId w:val="3"/>
        </w:numPr>
        <w:rPr>
          <w:lang w:bidi="ar-SA"/>
        </w:rPr>
      </w:pPr>
      <w:r>
        <w:rPr>
          <w:lang w:bidi="ar-SA"/>
        </w:rPr>
        <w:t xml:space="preserve">Only keep the example about all the known different-sized versions of Rodin’s “Le </w:t>
      </w:r>
      <w:proofErr w:type="spellStart"/>
      <w:r>
        <w:rPr>
          <w:lang w:bidi="ar-SA"/>
        </w:rPr>
        <w:t>penseur</w:t>
      </w:r>
      <w:proofErr w:type="spellEnd"/>
      <w:r>
        <w:rPr>
          <w:lang w:bidi="ar-SA"/>
        </w:rPr>
        <w:t xml:space="preserve">” –but rephrase it to avoid making a reference to “La Porte de </w:t>
      </w:r>
      <w:proofErr w:type="spellStart"/>
      <w:r>
        <w:rPr>
          <w:lang w:bidi="ar-SA"/>
        </w:rPr>
        <w:t>l’Enfer</w:t>
      </w:r>
      <w:proofErr w:type="spellEnd"/>
      <w:r>
        <w:rPr>
          <w:lang w:bidi="ar-SA"/>
        </w:rPr>
        <w:t xml:space="preserve">” </w:t>
      </w:r>
    </w:p>
    <w:p w:rsidR="00474E0A" w:rsidRDefault="00474E0A" w:rsidP="00474E0A">
      <w:pPr>
        <w:pStyle w:val="ListParagraph"/>
        <w:numPr>
          <w:ilvl w:val="1"/>
          <w:numId w:val="3"/>
        </w:numPr>
        <w:rPr>
          <w:lang w:bidi="ar-SA"/>
        </w:rPr>
      </w:pPr>
      <w:r>
        <w:rPr>
          <w:lang w:bidi="ar-SA"/>
        </w:rPr>
        <w:t>Consider making an example out of the known versions of Fidelio/</w:t>
      </w:r>
      <w:proofErr w:type="spellStart"/>
      <w:r>
        <w:rPr>
          <w:lang w:bidi="ar-SA"/>
        </w:rPr>
        <w:t>Leonore</w:t>
      </w:r>
      <w:proofErr w:type="spellEnd"/>
      <w:r>
        <w:rPr>
          <w:lang w:bidi="ar-SA"/>
        </w:rPr>
        <w:t xml:space="preserve">, the creation of which has been carefully documented. </w:t>
      </w:r>
    </w:p>
    <w:p w:rsidR="00474E0A" w:rsidRDefault="00474E0A" w:rsidP="00474E0A">
      <w:pPr>
        <w:pStyle w:val="ListParagraph"/>
        <w:numPr>
          <w:ilvl w:val="1"/>
          <w:numId w:val="3"/>
        </w:numPr>
        <w:rPr>
          <w:lang w:bidi="ar-SA"/>
        </w:rPr>
      </w:pPr>
      <w:r>
        <w:rPr>
          <w:lang w:bidi="ar-SA"/>
        </w:rPr>
        <w:t xml:space="preserve">Consider making an example out of </w:t>
      </w:r>
      <w:hyperlink r:id="rId5" w:history="1">
        <w:proofErr w:type="spellStart"/>
        <w:r w:rsidRPr="00822EEF">
          <w:rPr>
            <w:rStyle w:val="Hyperlink"/>
            <w:lang w:bidi="ar-SA"/>
          </w:rPr>
          <w:t>Philokalia</w:t>
        </w:r>
        <w:proofErr w:type="spellEnd"/>
      </w:hyperlink>
      <w:r>
        <w:rPr>
          <w:lang w:bidi="ar-SA"/>
        </w:rPr>
        <w:t>, a collection of texts written between the 4</w:t>
      </w:r>
      <w:r w:rsidRPr="00822EEF">
        <w:rPr>
          <w:vertAlign w:val="superscript"/>
          <w:lang w:bidi="ar-SA"/>
        </w:rPr>
        <w:t>th</w:t>
      </w:r>
      <w:r>
        <w:rPr>
          <w:lang w:bidi="ar-SA"/>
        </w:rPr>
        <w:t xml:space="preserve"> and the 15</w:t>
      </w:r>
      <w:r w:rsidRPr="00822EEF">
        <w:rPr>
          <w:vertAlign w:val="superscript"/>
          <w:lang w:bidi="ar-SA"/>
        </w:rPr>
        <w:t>th</w:t>
      </w:r>
      <w:r>
        <w:rPr>
          <w:lang w:bidi="ar-SA"/>
        </w:rPr>
        <w:t xml:space="preserve"> centuries AD by spiritual masters of the mystical </w:t>
      </w:r>
      <w:proofErr w:type="spellStart"/>
      <w:r>
        <w:rPr>
          <w:lang w:bidi="ar-SA"/>
        </w:rPr>
        <w:t>heychast</w:t>
      </w:r>
      <w:proofErr w:type="spellEnd"/>
      <w:r>
        <w:rPr>
          <w:lang w:bidi="ar-SA"/>
        </w:rPr>
        <w:t xml:space="preserve"> tradition of the Eastern Orthodox Church. </w:t>
      </w:r>
    </w:p>
    <w:p w:rsidR="00474E0A" w:rsidRDefault="00474E0A" w:rsidP="00474E0A">
      <w:pPr>
        <w:pStyle w:val="ListParagraph"/>
        <w:numPr>
          <w:ilvl w:val="0"/>
          <w:numId w:val="3"/>
        </w:numPr>
        <w:rPr>
          <w:lang w:bidi="ar-SA"/>
        </w:rPr>
      </w:pPr>
      <w:r>
        <w:rPr>
          <w:lang w:bidi="ar-SA"/>
        </w:rPr>
        <w:t xml:space="preserve">Instead of making </w:t>
      </w:r>
      <w:r w:rsidRPr="006744C5">
        <w:rPr>
          <w:b/>
          <w:lang w:bidi="ar-SA"/>
        </w:rPr>
        <w:t>R10</w:t>
      </w:r>
      <w:r>
        <w:rPr>
          <w:lang w:bidi="ar-SA"/>
        </w:rPr>
        <w:t xml:space="preserve"> a relation btw instances of F1 Work, it can apply to an instance of E89 Propositional Object and an instance of F1 Work. This way its scope is broadened, and it becomes more compatible with the notion of ‘</w:t>
      </w:r>
      <w:proofErr w:type="spellStart"/>
      <w:r>
        <w:rPr>
          <w:lang w:bidi="ar-SA"/>
        </w:rPr>
        <w:t>superwork</w:t>
      </w:r>
      <w:proofErr w:type="spellEnd"/>
      <w:r>
        <w:rPr>
          <w:lang w:bidi="ar-SA"/>
        </w:rPr>
        <w:t xml:space="preserve">’ that we talked about. </w:t>
      </w:r>
    </w:p>
    <w:p w:rsidR="00474E0A" w:rsidRDefault="00474E0A" w:rsidP="00474E0A">
      <w:r w:rsidRPr="00CE275E">
        <w:rPr>
          <w:b/>
        </w:rPr>
        <w:t>HW</w:t>
      </w:r>
      <w:r>
        <w:t>: PR, TA, MZ to reconsider</w:t>
      </w:r>
      <w:r w:rsidRPr="00430936">
        <w:t xml:space="preserve"> –</w:t>
      </w:r>
      <w:r>
        <w:t xml:space="preserve">the new HW and ensuing evote to be assigned a </w:t>
      </w:r>
      <w:hyperlink w:anchor="_R10_has_member" w:history="1">
        <w:r w:rsidRPr="00CE275E">
          <w:rPr>
            <w:rStyle w:val="Hyperlink"/>
          </w:rPr>
          <w:t>new issue</w:t>
        </w:r>
      </w:hyperlink>
      <w:r>
        <w:t xml:space="preserve">. </w:t>
      </w:r>
    </w:p>
    <w:p w:rsidR="00474E0A" w:rsidRPr="00474E0A" w:rsidRDefault="00474E0A" w:rsidP="00474E0A"/>
    <w:sectPr w:rsidR="00474E0A" w:rsidRPr="00474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25"/>
    <w:lvl w:ilvl="0">
      <w:start w:val="1"/>
      <w:numFmt w:val="bullet"/>
      <w:lvlText w:val=""/>
      <w:lvlJc w:val="left"/>
      <w:pPr>
        <w:tabs>
          <w:tab w:val="num" w:pos="0"/>
        </w:tabs>
        <w:ind w:left="1440" w:hanging="360"/>
      </w:pPr>
      <w:rPr>
        <w:rFonts w:ascii="Wingdings" w:hAnsi="Wingdings" w:cs="Times New Roman"/>
        <w:lang w:val="en-GB"/>
      </w:rPr>
    </w:lvl>
  </w:abstractNum>
  <w:abstractNum w:abstractNumId="1" w15:restartNumberingAfterBreak="0">
    <w:nsid w:val="0000001F"/>
    <w:multiLevelType w:val="singleLevel"/>
    <w:tmpl w:val="0000001F"/>
    <w:name w:val="WW8Num53"/>
    <w:lvl w:ilvl="0">
      <w:start w:val="1"/>
      <w:numFmt w:val="bullet"/>
      <w:lvlText w:val=""/>
      <w:lvlJc w:val="left"/>
      <w:pPr>
        <w:tabs>
          <w:tab w:val="num" w:pos="0"/>
        </w:tabs>
        <w:ind w:left="1440" w:hanging="360"/>
      </w:pPr>
      <w:rPr>
        <w:rFonts w:ascii="Wingdings" w:hAnsi="Wingdings" w:cs="Symbol"/>
        <w:color w:val="00000A"/>
        <w:szCs w:val="20"/>
        <w:lang w:val="en-GB"/>
      </w:rPr>
    </w:lvl>
  </w:abstractNum>
  <w:abstractNum w:abstractNumId="2" w15:restartNumberingAfterBreak="0">
    <w:nsid w:val="11B03FDF"/>
    <w:multiLevelType w:val="hybridMultilevel"/>
    <w:tmpl w:val="1CB48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0A"/>
    <w:rsid w:val="00474E0A"/>
    <w:rsid w:val="00C43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26F6"/>
  <w15:chartTrackingRefBased/>
  <w15:docId w15:val="{4D0C40F5-DC72-499D-819D-D09D0930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E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4E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4E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74E0A"/>
    <w:pPr>
      <w:keepNext/>
      <w:keepLines/>
      <w:spacing w:before="40" w:after="0"/>
      <w:outlineLvl w:val="3"/>
    </w:pPr>
    <w:rPr>
      <w:rFonts w:asciiTheme="majorHAnsi" w:eastAsiaTheme="majorEastAsia" w:hAnsiTheme="majorHAnsi" w:cstheme="majorBidi"/>
      <w:i/>
      <w:iCs/>
      <w:color w:val="2F5496" w:themeColor="accent1" w:themeShade="BF"/>
      <w:kern w:val="2"/>
      <w:lang w:bidi="he-IL"/>
      <w14:ligatures w14:val="standardContextual"/>
    </w:rPr>
  </w:style>
  <w:style w:type="paragraph" w:styleId="Heading5">
    <w:name w:val="heading 5"/>
    <w:basedOn w:val="Normal"/>
    <w:next w:val="Normal"/>
    <w:link w:val="Heading5Char"/>
    <w:uiPriority w:val="9"/>
    <w:unhideWhenUsed/>
    <w:qFormat/>
    <w:rsid w:val="00474E0A"/>
    <w:pPr>
      <w:keepNext/>
      <w:keepLines/>
      <w:spacing w:before="40" w:after="0"/>
      <w:outlineLvl w:val="4"/>
    </w:pPr>
    <w:rPr>
      <w:rFonts w:asciiTheme="majorHAnsi" w:eastAsiaTheme="majorEastAsia" w:hAnsiTheme="majorHAnsi" w:cstheme="majorBidi"/>
      <w:color w:val="2F5496" w:themeColor="accent1" w:themeShade="BF"/>
      <w:kern w:val="2"/>
      <w:lang w:bidi="he-I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E0A"/>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474E0A"/>
    <w:rPr>
      <w:rFonts w:asciiTheme="majorHAnsi" w:eastAsiaTheme="majorEastAsia" w:hAnsiTheme="majorHAnsi" w:cstheme="majorBidi"/>
      <w:i/>
      <w:iCs/>
      <w:color w:val="2F5496" w:themeColor="accent1" w:themeShade="BF"/>
      <w:kern w:val="2"/>
      <w:lang w:bidi="he-IL"/>
      <w14:ligatures w14:val="standardContextual"/>
    </w:rPr>
  </w:style>
  <w:style w:type="character" w:customStyle="1" w:styleId="Heading5Char">
    <w:name w:val="Heading 5 Char"/>
    <w:basedOn w:val="DefaultParagraphFont"/>
    <w:link w:val="Heading5"/>
    <w:uiPriority w:val="9"/>
    <w:rsid w:val="00474E0A"/>
    <w:rPr>
      <w:rFonts w:asciiTheme="majorHAnsi" w:eastAsiaTheme="majorEastAsia" w:hAnsiTheme="majorHAnsi" w:cstheme="majorBidi"/>
      <w:color w:val="2F5496" w:themeColor="accent1" w:themeShade="BF"/>
      <w:kern w:val="2"/>
      <w:lang w:bidi="he-IL"/>
      <w14:ligatures w14:val="standardContextual"/>
    </w:rPr>
  </w:style>
  <w:style w:type="character" w:customStyle="1" w:styleId="Heading2Char">
    <w:name w:val="Heading 2 Char"/>
    <w:basedOn w:val="DefaultParagraphFont"/>
    <w:link w:val="Heading2"/>
    <w:uiPriority w:val="9"/>
    <w:rsid w:val="00474E0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74E0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74E0A"/>
    <w:rPr>
      <w:color w:val="0563C1" w:themeColor="hyperlink"/>
      <w:u w:val="single"/>
    </w:rPr>
  </w:style>
  <w:style w:type="paragraph" w:styleId="ListParagraph">
    <w:name w:val="List Paragraph"/>
    <w:basedOn w:val="Normal"/>
    <w:uiPriority w:val="34"/>
    <w:qFormat/>
    <w:rsid w:val="00474E0A"/>
    <w:pPr>
      <w:ind w:left="720"/>
      <w:contextualSpacing/>
    </w:pPr>
    <w:rPr>
      <w:kern w:val="2"/>
      <w:lang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Philokal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2023-08-04T13:17:00Z</dcterms:created>
  <dcterms:modified xsi:type="dcterms:W3CDTF">2023-08-04T13:19:00Z</dcterms:modified>
</cp:coreProperties>
</file>