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FB9C5" w14:textId="445F290C" w:rsidR="00EC2D6E" w:rsidRDefault="00EC2D6E" w:rsidP="00EC2D6E">
      <w:pPr>
        <w:pStyle w:val="Titre"/>
        <w:rPr>
          <w:rFonts w:asciiTheme="minorHAnsi" w:hAnsiTheme="minorHAnsi"/>
          <w:b w:val="0"/>
          <w:bCs w:val="0"/>
          <w:color w:val="2E75B5"/>
          <w:sz w:val="194"/>
          <w:szCs w:val="194"/>
        </w:rPr>
      </w:pPr>
      <w:bookmarkStart w:id="0" w:name="cidoc-crm"/>
    </w:p>
    <w:p w14:paraId="1A13FD06" w14:textId="0B11024F" w:rsidR="00065317" w:rsidRPr="00EC2D6E" w:rsidRDefault="00C8288F" w:rsidP="00EC2D6E">
      <w:pPr>
        <w:pStyle w:val="Titre"/>
        <w:rPr>
          <w:rFonts w:asciiTheme="minorHAnsi" w:hAnsiTheme="minorHAnsi"/>
          <w:b w:val="0"/>
          <w:bCs w:val="0"/>
          <w:color w:val="2E75B5"/>
          <w:sz w:val="194"/>
          <w:szCs w:val="194"/>
        </w:rPr>
      </w:pPr>
      <w:r>
        <w:rPr>
          <w:rFonts w:asciiTheme="minorHAnsi" w:hAnsiTheme="minorHAnsi"/>
          <w:b w:val="0"/>
          <w:bCs w:val="0"/>
          <w:color w:val="2E75B5"/>
          <w:sz w:val="194"/>
          <w:szCs w:val="194"/>
        </w:rPr>
        <w:t>CIDOC CRM</w:t>
      </w:r>
    </w:p>
    <w:p w14:paraId="0BDE8ECC" w14:textId="77777777" w:rsidR="00065317" w:rsidRPr="00EC2D6E" w:rsidRDefault="005C7BF7" w:rsidP="00EC2D6E">
      <w:pPr>
        <w:pStyle w:val="FirstParagraph"/>
        <w:jc w:val="center"/>
        <w:rPr>
          <w:color w:val="2E75B5"/>
          <w:sz w:val="20"/>
          <w:szCs w:val="20"/>
        </w:rPr>
      </w:pPr>
      <w:r w:rsidRPr="00EC2D6E">
        <w:rPr>
          <w:color w:val="2E75B5"/>
          <w:sz w:val="20"/>
          <w:szCs w:val="20"/>
        </w:rPr>
        <w:t>Modèle conceptuel de référence du Comité international pour la documentation du Conseil international des musées</w:t>
      </w:r>
    </w:p>
    <w:p w14:paraId="292888A0" w14:textId="77777777" w:rsidR="00EC2D6E" w:rsidRDefault="00EC2D6E">
      <w:pPr>
        <w:pStyle w:val="Corpsdetexte"/>
      </w:pPr>
    </w:p>
    <w:p w14:paraId="7418E3C0" w14:textId="030670F8" w:rsidR="00065317" w:rsidRDefault="005C7BF7" w:rsidP="00EC2D6E">
      <w:pPr>
        <w:pStyle w:val="Corpsdetexte"/>
        <w:jc w:val="center"/>
      </w:pPr>
      <w:r>
        <w:t>Version 7.1.2</w:t>
      </w:r>
    </w:p>
    <w:p w14:paraId="22F748BA" w14:textId="77777777" w:rsidR="00EC2D6E" w:rsidRDefault="00EC2D6E" w:rsidP="00EC2D6E">
      <w:pPr>
        <w:pStyle w:val="Corpsdetexte"/>
        <w:jc w:val="center"/>
      </w:pPr>
    </w:p>
    <w:p w14:paraId="3F9F16F9" w14:textId="77777777" w:rsidR="00EC2D6E" w:rsidRDefault="00EC2D6E" w:rsidP="00EC2D6E">
      <w:pPr>
        <w:pStyle w:val="Corpsdetexte"/>
        <w:jc w:val="center"/>
      </w:pPr>
    </w:p>
    <w:p w14:paraId="79E62D10" w14:textId="77777777" w:rsidR="00065317" w:rsidRDefault="005C7BF7" w:rsidP="00EC2D6E">
      <w:pPr>
        <w:pStyle w:val="Corpsdetexte"/>
        <w:jc w:val="center"/>
      </w:pPr>
      <w:r>
        <w:t>Édition du texte original (juin 2022) :</w:t>
      </w:r>
    </w:p>
    <w:p w14:paraId="0E5BC9CF" w14:textId="6FC37DD3" w:rsidR="00065317" w:rsidRPr="00EC2D6E" w:rsidRDefault="005C7BF7" w:rsidP="00EC2D6E">
      <w:pPr>
        <w:pStyle w:val="Corpsdetexte"/>
        <w:jc w:val="center"/>
        <w:rPr>
          <w:lang w:val="en-CA"/>
        </w:rPr>
      </w:pPr>
      <w:r w:rsidRPr="00EC2D6E">
        <w:rPr>
          <w:lang w:val="en-CA"/>
        </w:rPr>
        <w:t xml:space="preserve">Chryssoula Bekiari, George Bruseker, Erin Canning, Martin </w:t>
      </w:r>
      <w:r w:rsidR="003C7A4A">
        <w:rPr>
          <w:lang w:val="en-CA"/>
        </w:rPr>
        <w:t>Doe</w:t>
      </w:r>
      <w:r w:rsidRPr="00EC2D6E">
        <w:rPr>
          <w:lang w:val="en-CA"/>
        </w:rPr>
        <w:t>rr, Philippe Michon, Christian-Emil Ore, Stephen Stead, Athanasios Velios</w:t>
      </w:r>
    </w:p>
    <w:p w14:paraId="40323797" w14:textId="77777777" w:rsidR="00EC2D6E" w:rsidRPr="00861E1B" w:rsidRDefault="00EC2D6E" w:rsidP="00EC2D6E">
      <w:pPr>
        <w:pStyle w:val="Corpsdetexte"/>
        <w:jc w:val="center"/>
        <w:rPr>
          <w:lang w:val="en-CA"/>
        </w:rPr>
      </w:pPr>
    </w:p>
    <w:p w14:paraId="3FB02E02" w14:textId="77777777" w:rsidR="00EC2D6E" w:rsidRPr="00861E1B" w:rsidRDefault="00EC2D6E" w:rsidP="00EC2D6E">
      <w:pPr>
        <w:pStyle w:val="Corpsdetexte"/>
        <w:jc w:val="center"/>
        <w:rPr>
          <w:lang w:val="en-CA"/>
        </w:rPr>
      </w:pPr>
    </w:p>
    <w:p w14:paraId="7259BB93" w14:textId="618B7FBC" w:rsidR="00065317" w:rsidRDefault="005C7BF7" w:rsidP="00EC2D6E">
      <w:pPr>
        <w:pStyle w:val="Corpsdetexte"/>
        <w:jc w:val="center"/>
      </w:pPr>
      <w:r>
        <w:t>Traduction (octobre 2023) :</w:t>
      </w:r>
    </w:p>
    <w:p w14:paraId="777DEB23" w14:textId="77777777" w:rsidR="00065317" w:rsidRDefault="005C7BF7" w:rsidP="00EC2D6E">
      <w:pPr>
        <w:pStyle w:val="Corpsdetexte"/>
        <w:jc w:val="center"/>
      </w:pPr>
      <w:r>
        <w:t>Marie-Pier Blain, Frédéric Bricaud, Camille Crevier-Lalonde, Stephen Hart, Karine Léonard Brouillet, Marie-Elaine Mathieu, Philippe Michon, Marielle St-Germain</w:t>
      </w:r>
    </w:p>
    <w:p w14:paraId="4581933F" w14:textId="77777777" w:rsidR="00EC2D6E" w:rsidRDefault="00EC2D6E" w:rsidP="00EC2D6E">
      <w:pPr>
        <w:pStyle w:val="Corpsdetexte"/>
        <w:jc w:val="center"/>
      </w:pPr>
    </w:p>
    <w:p w14:paraId="2C69A842" w14:textId="77777777" w:rsidR="00EC2D6E" w:rsidRDefault="00EC2D6E" w:rsidP="00EC2D6E">
      <w:pPr>
        <w:pStyle w:val="Corpsdetexte"/>
        <w:jc w:val="center"/>
      </w:pPr>
    </w:p>
    <w:p w14:paraId="34B29DEB" w14:textId="16FABE77" w:rsidR="00065317" w:rsidRDefault="005C7BF7" w:rsidP="00EC2D6E">
      <w:pPr>
        <w:pStyle w:val="Corpsdetexte"/>
        <w:jc w:val="center"/>
      </w:pPr>
      <w:r>
        <w:t>Architecture technologique et design :</w:t>
      </w:r>
    </w:p>
    <w:p w14:paraId="4361121E" w14:textId="77777777" w:rsidR="00065317" w:rsidRDefault="005C7BF7" w:rsidP="00EC2D6E">
      <w:pPr>
        <w:pStyle w:val="Corpsdetexte"/>
        <w:jc w:val="center"/>
      </w:pPr>
      <w:r>
        <w:t>Nguyen Khanh Trang Dang</w:t>
      </w:r>
    </w:p>
    <w:p w14:paraId="08E746B5" w14:textId="77777777" w:rsidR="00EC2D6E" w:rsidRDefault="00EC2D6E">
      <w:pPr>
        <w:pStyle w:val="Corpsdetexte"/>
        <w:rPr>
          <w:i/>
          <w:iCs/>
        </w:rPr>
      </w:pPr>
    </w:p>
    <w:p w14:paraId="58514409" w14:textId="77777777" w:rsidR="00EC2D6E" w:rsidRDefault="00EC2D6E">
      <w:pPr>
        <w:pStyle w:val="Corpsdetexte"/>
      </w:pPr>
    </w:p>
    <w:p w14:paraId="150D24B1" w14:textId="77777777" w:rsidR="00861E1B" w:rsidRPr="00861E1B" w:rsidRDefault="00861E1B">
      <w:pPr>
        <w:pStyle w:val="Corpsdetexte"/>
      </w:pPr>
    </w:p>
    <w:p w14:paraId="7E00E941" w14:textId="5761E095" w:rsidR="00065317" w:rsidRPr="00861E1B" w:rsidRDefault="00C8288F">
      <w:pPr>
        <w:pStyle w:val="Corpsdetexte"/>
        <w:rPr>
          <w:sz w:val="20"/>
          <w:szCs w:val="20"/>
        </w:rPr>
      </w:pPr>
      <w:r>
        <w:rPr>
          <w:i/>
          <w:iCs/>
          <w:sz w:val="20"/>
          <w:szCs w:val="20"/>
        </w:rPr>
        <w:lastRenderedPageBreak/>
        <w:t>CIDOC CRM</w:t>
      </w:r>
      <w:r w:rsidR="005C7BF7" w:rsidRPr="00861E1B">
        <w:rPr>
          <w:i/>
          <w:iCs/>
          <w:sz w:val="20"/>
          <w:szCs w:val="20"/>
        </w:rPr>
        <w:t xml:space="preserve"> : Modèle conceptuel de référence du Comité international pour la documentation du Conseil international des musées</w:t>
      </w:r>
    </w:p>
    <w:tbl>
      <w:tblPr>
        <w:tblStyle w:val="Table"/>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109"/>
        <w:gridCol w:w="7671"/>
      </w:tblGrid>
      <w:tr w:rsidR="00065317" w:rsidRPr="008B5EE5" w14:paraId="5A0E72CD" w14:textId="77777777" w:rsidTr="00EC2D6E">
        <w:tc>
          <w:tcPr>
            <w:tcW w:w="3109" w:type="dxa"/>
          </w:tcPr>
          <w:p w14:paraId="04015316" w14:textId="77777777" w:rsidR="00065317" w:rsidRPr="00861E1B" w:rsidRDefault="005C7BF7">
            <w:pPr>
              <w:rPr>
                <w:sz w:val="20"/>
                <w:szCs w:val="20"/>
              </w:rPr>
            </w:pPr>
            <w:r w:rsidRPr="00861E1B">
              <w:rPr>
                <w:sz w:val="20"/>
                <w:szCs w:val="20"/>
              </w:rPr>
              <w:t>Application des mises à jour et corrections du texte original :</w:t>
            </w:r>
          </w:p>
        </w:tc>
        <w:tc>
          <w:tcPr>
            <w:tcW w:w="7671" w:type="dxa"/>
          </w:tcPr>
          <w:p w14:paraId="41DD18D5" w14:textId="51A8F0A7" w:rsidR="00065317" w:rsidRPr="00861E1B" w:rsidRDefault="005C7BF7">
            <w:pPr>
              <w:rPr>
                <w:sz w:val="20"/>
                <w:szCs w:val="20"/>
                <w:lang w:val="en-CA"/>
              </w:rPr>
            </w:pPr>
            <w:r w:rsidRPr="00861E1B">
              <w:rPr>
                <w:sz w:val="20"/>
                <w:szCs w:val="20"/>
                <w:lang w:val="en-CA"/>
              </w:rPr>
              <w:t>Chryssoula Bekiari, George Bruseker, Erin Canning, Martin D</w:t>
            </w:r>
            <w:r w:rsidR="003C7A4A">
              <w:rPr>
                <w:sz w:val="20"/>
                <w:szCs w:val="20"/>
                <w:lang w:val="en-CA"/>
              </w:rPr>
              <w:t>oe</w:t>
            </w:r>
            <w:r w:rsidRPr="00861E1B">
              <w:rPr>
                <w:sz w:val="20"/>
                <w:szCs w:val="20"/>
                <w:lang w:val="en-CA"/>
              </w:rPr>
              <w:t>rr, Philippe Michon, Christian-Emil Ore, Stephen Stead, Athanasios Velios</w:t>
            </w:r>
          </w:p>
        </w:tc>
      </w:tr>
      <w:tr w:rsidR="00065317" w:rsidRPr="00861E1B" w14:paraId="7501E1A8" w14:textId="77777777" w:rsidTr="00EC2D6E">
        <w:tc>
          <w:tcPr>
            <w:tcW w:w="3109" w:type="dxa"/>
          </w:tcPr>
          <w:p w14:paraId="775710FD" w14:textId="77777777" w:rsidR="00065317" w:rsidRPr="00861E1B" w:rsidRDefault="005C7BF7">
            <w:pPr>
              <w:rPr>
                <w:sz w:val="20"/>
                <w:szCs w:val="20"/>
              </w:rPr>
            </w:pPr>
            <w:r w:rsidRPr="00861E1B">
              <w:rPr>
                <w:sz w:val="20"/>
                <w:szCs w:val="20"/>
              </w:rPr>
              <w:t>Traduction :</w:t>
            </w:r>
          </w:p>
        </w:tc>
        <w:tc>
          <w:tcPr>
            <w:tcW w:w="7671" w:type="dxa"/>
          </w:tcPr>
          <w:p w14:paraId="6233B70A" w14:textId="77777777" w:rsidR="00065317" w:rsidRPr="00861E1B" w:rsidRDefault="005C7BF7">
            <w:pPr>
              <w:rPr>
                <w:sz w:val="20"/>
                <w:szCs w:val="20"/>
              </w:rPr>
            </w:pPr>
            <w:r w:rsidRPr="00861E1B">
              <w:rPr>
                <w:sz w:val="20"/>
                <w:szCs w:val="20"/>
              </w:rPr>
              <w:t>Marie-Pier Blain, Frédéric Bricaud, Camille Crevier-Lalonde, Stephen Hart, Karine Léonard Brouillet, Marie-Elaine Mathieu, Philippe Michon, Marielle St-Germain</w:t>
            </w:r>
          </w:p>
        </w:tc>
      </w:tr>
      <w:tr w:rsidR="00065317" w:rsidRPr="00861E1B" w14:paraId="1D6CCD65" w14:textId="77777777" w:rsidTr="00EC2D6E">
        <w:tc>
          <w:tcPr>
            <w:tcW w:w="3109" w:type="dxa"/>
          </w:tcPr>
          <w:p w14:paraId="643AE0DE" w14:textId="77777777" w:rsidR="00065317" w:rsidRPr="00861E1B" w:rsidRDefault="005C7BF7">
            <w:pPr>
              <w:rPr>
                <w:sz w:val="20"/>
                <w:szCs w:val="20"/>
              </w:rPr>
            </w:pPr>
            <w:r w:rsidRPr="00861E1B">
              <w:rPr>
                <w:sz w:val="20"/>
                <w:szCs w:val="20"/>
              </w:rPr>
              <w:t>Graphisme :</w:t>
            </w:r>
          </w:p>
        </w:tc>
        <w:tc>
          <w:tcPr>
            <w:tcW w:w="7671" w:type="dxa"/>
          </w:tcPr>
          <w:p w14:paraId="41D181C9" w14:textId="77777777" w:rsidR="00065317" w:rsidRPr="00861E1B" w:rsidRDefault="005C7BF7">
            <w:pPr>
              <w:rPr>
                <w:sz w:val="20"/>
                <w:szCs w:val="20"/>
              </w:rPr>
            </w:pPr>
            <w:r w:rsidRPr="00861E1B">
              <w:rPr>
                <w:sz w:val="20"/>
                <w:szCs w:val="20"/>
              </w:rPr>
              <w:t>Nguyen Khanh Trang Dang, Stephen Hart, Karine Léonard Brouillet, Philippe Michon</w:t>
            </w:r>
          </w:p>
        </w:tc>
      </w:tr>
      <w:tr w:rsidR="00065317" w:rsidRPr="00861E1B" w14:paraId="1005E1FD" w14:textId="77777777" w:rsidTr="00EC2D6E">
        <w:tc>
          <w:tcPr>
            <w:tcW w:w="3109" w:type="dxa"/>
          </w:tcPr>
          <w:p w14:paraId="72105934" w14:textId="77777777" w:rsidR="00065317" w:rsidRPr="00861E1B" w:rsidRDefault="005C7BF7">
            <w:pPr>
              <w:rPr>
                <w:sz w:val="20"/>
                <w:szCs w:val="20"/>
              </w:rPr>
            </w:pPr>
            <w:r w:rsidRPr="00861E1B">
              <w:rPr>
                <w:sz w:val="20"/>
                <w:szCs w:val="20"/>
              </w:rPr>
              <w:t>Architecture technologique et conception :</w:t>
            </w:r>
          </w:p>
        </w:tc>
        <w:tc>
          <w:tcPr>
            <w:tcW w:w="7671" w:type="dxa"/>
          </w:tcPr>
          <w:p w14:paraId="783B24F6" w14:textId="77777777" w:rsidR="00065317" w:rsidRPr="00861E1B" w:rsidRDefault="005C7BF7">
            <w:pPr>
              <w:rPr>
                <w:sz w:val="20"/>
                <w:szCs w:val="20"/>
              </w:rPr>
            </w:pPr>
            <w:r w:rsidRPr="00861E1B">
              <w:rPr>
                <w:sz w:val="20"/>
                <w:szCs w:val="20"/>
              </w:rPr>
              <w:t>Nguyen Khanh Trang Dang</w:t>
            </w:r>
          </w:p>
        </w:tc>
      </w:tr>
    </w:tbl>
    <w:p w14:paraId="4CBB5AAF" w14:textId="3110900A" w:rsidR="00065317" w:rsidRPr="00861E1B" w:rsidRDefault="005C7BF7">
      <w:pPr>
        <w:pStyle w:val="Corpsdetexte"/>
        <w:rPr>
          <w:sz w:val="20"/>
          <w:szCs w:val="20"/>
        </w:rPr>
      </w:pPr>
      <w:r w:rsidRPr="00861E1B">
        <w:rPr>
          <w:sz w:val="20"/>
          <w:szCs w:val="20"/>
        </w:rPr>
        <w:t xml:space="preserve">La présente version est la traduction de la version originale anglaise 7.1.2 de </w:t>
      </w:r>
      <w:r w:rsidRPr="00861E1B">
        <w:rPr>
          <w:i/>
          <w:iCs/>
          <w:sz w:val="20"/>
          <w:szCs w:val="20"/>
        </w:rPr>
        <w:t>Volume A: Definition of the CIDOC Conceptual Reference Model</w:t>
      </w:r>
      <w:r w:rsidRPr="00861E1B">
        <w:rPr>
          <w:sz w:val="20"/>
          <w:szCs w:val="20"/>
        </w:rPr>
        <w:t>, publiée en</w:t>
      </w:r>
      <w:r w:rsidR="00056DCD">
        <w:rPr>
          <w:sz w:val="20"/>
          <w:szCs w:val="20"/>
        </w:rPr>
        <w:t> juin </w:t>
      </w:r>
      <w:r w:rsidRPr="00861E1B">
        <w:rPr>
          <w:sz w:val="20"/>
          <w:szCs w:val="20"/>
        </w:rPr>
        <w:t xml:space="preserve">2022 (© Contributeurs individuels au </w:t>
      </w:r>
      <w:r w:rsidR="00C8288F">
        <w:rPr>
          <w:sz w:val="20"/>
          <w:szCs w:val="20"/>
        </w:rPr>
        <w:t>CIDOC CRM</w:t>
      </w:r>
      <w:r w:rsidRPr="00861E1B">
        <w:rPr>
          <w:sz w:val="20"/>
          <w:szCs w:val="20"/>
        </w:rPr>
        <w:t>, 2022). Les modifications apportées au document anglais après la publication de cette traduction ne sont pas reflétées dans la traduction.</w:t>
      </w:r>
    </w:p>
    <w:p w14:paraId="4A92D91E" w14:textId="51078E15" w:rsidR="00065317" w:rsidRPr="00861E1B" w:rsidRDefault="005C7BF7">
      <w:pPr>
        <w:pStyle w:val="Corpsdetexte"/>
        <w:rPr>
          <w:sz w:val="20"/>
          <w:szCs w:val="20"/>
        </w:rPr>
      </w:pPr>
      <w:r w:rsidRPr="00861E1B">
        <w:rPr>
          <w:sz w:val="20"/>
          <w:szCs w:val="20"/>
        </w:rPr>
        <w:t>Cette traduction est accessible en vertu d</w:t>
      </w:r>
      <w:r w:rsidR="00E84B0E">
        <w:rPr>
          <w:sz w:val="20"/>
          <w:szCs w:val="20"/>
        </w:rPr>
        <w:t>’</w:t>
      </w:r>
      <w:r w:rsidRPr="00861E1B">
        <w:rPr>
          <w:sz w:val="20"/>
          <w:szCs w:val="20"/>
        </w:rPr>
        <w:t>une licence CC BY 4.0, ce qui signifie que les utilisateur·trice·s sont autorisé·e·s à distribuer, remixer, transformer et créer à partir du contenu original de cette documentation, dans quelque format que ce soit, du moment que les attributions nécessaires sont effectuées.</w:t>
      </w:r>
    </w:p>
    <w:tbl>
      <w:tblPr>
        <w:tblStyle w:val="Table"/>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3115"/>
        <w:gridCol w:w="7685"/>
      </w:tblGrid>
      <w:tr w:rsidR="00065317" w:rsidRPr="00861E1B" w14:paraId="070A4C00" w14:textId="77777777" w:rsidTr="00EC2D6E">
        <w:tc>
          <w:tcPr>
            <w:tcW w:w="1442" w:type="pct"/>
          </w:tcPr>
          <w:p w14:paraId="7EA0432A" w14:textId="77777777" w:rsidR="00065317" w:rsidRPr="00861E1B" w:rsidRDefault="005C7BF7">
            <w:pPr>
              <w:rPr>
                <w:sz w:val="20"/>
                <w:szCs w:val="20"/>
              </w:rPr>
            </w:pPr>
            <w:r w:rsidRPr="00861E1B">
              <w:rPr>
                <w:sz w:val="20"/>
                <w:szCs w:val="20"/>
              </w:rPr>
              <w:t>Publié par :</w:t>
            </w:r>
          </w:p>
        </w:tc>
        <w:tc>
          <w:tcPr>
            <w:tcW w:w="3558" w:type="pct"/>
          </w:tcPr>
          <w:p w14:paraId="653D9858" w14:textId="3DDFBB08" w:rsidR="00065317" w:rsidRPr="00861E1B" w:rsidRDefault="005C7BF7">
            <w:pPr>
              <w:rPr>
                <w:sz w:val="20"/>
                <w:szCs w:val="20"/>
              </w:rPr>
            </w:pPr>
            <w:r w:rsidRPr="00861E1B">
              <w:rPr>
                <w:sz w:val="20"/>
                <w:szCs w:val="20"/>
              </w:rPr>
              <w:t xml:space="preserve">Traduction en français du </w:t>
            </w:r>
            <w:r w:rsidR="00C8288F">
              <w:rPr>
                <w:sz w:val="20"/>
                <w:szCs w:val="20"/>
              </w:rPr>
              <w:t>CIDOC CRM</w:t>
            </w:r>
            <w:r w:rsidRPr="00861E1B">
              <w:rPr>
                <w:sz w:val="20"/>
                <w:szCs w:val="20"/>
              </w:rPr>
              <w:br/>
            </w:r>
            <w:r w:rsidRPr="00861E1B">
              <w:rPr>
                <w:sz w:val="20"/>
                <w:szCs w:val="20"/>
              </w:rPr>
              <w:br/>
            </w:r>
            <w:r w:rsidR="00EC2D6E" w:rsidRPr="00861E1B">
              <w:rPr>
                <w:sz w:val="20"/>
                <w:szCs w:val="20"/>
              </w:rPr>
              <w:t xml:space="preserve">                           </w:t>
            </w:r>
            <w:r w:rsidRPr="00861E1B">
              <w:rPr>
                <w:sz w:val="20"/>
                <w:szCs w:val="20"/>
              </w:rPr>
              <w:t>et</w:t>
            </w:r>
            <w:r w:rsidRPr="00861E1B">
              <w:rPr>
                <w:sz w:val="20"/>
                <w:szCs w:val="20"/>
              </w:rPr>
              <w:br/>
            </w:r>
            <w:r w:rsidRPr="00861E1B">
              <w:rPr>
                <w:sz w:val="20"/>
                <w:szCs w:val="20"/>
              </w:rPr>
              <w:br/>
              <w:t>Réseau canadien d</w:t>
            </w:r>
            <w:r w:rsidR="00E84B0E">
              <w:rPr>
                <w:sz w:val="20"/>
                <w:szCs w:val="20"/>
              </w:rPr>
              <w:t>’</w:t>
            </w:r>
            <w:r w:rsidRPr="00861E1B">
              <w:rPr>
                <w:sz w:val="20"/>
                <w:szCs w:val="20"/>
              </w:rPr>
              <w:t>information sur le patrimoine</w:t>
            </w:r>
            <w:r w:rsidRPr="00861E1B">
              <w:rPr>
                <w:sz w:val="20"/>
                <w:szCs w:val="20"/>
              </w:rPr>
              <w:br/>
              <w:t>1030 rue Innes</w:t>
            </w:r>
            <w:r w:rsidRPr="00861E1B">
              <w:rPr>
                <w:sz w:val="20"/>
                <w:szCs w:val="20"/>
              </w:rPr>
              <w:br/>
              <w:t>Ottawa (ON) Canada, K1B 4S7</w:t>
            </w:r>
          </w:p>
        </w:tc>
      </w:tr>
    </w:tbl>
    <w:p w14:paraId="29514C88" w14:textId="4940BD07" w:rsidR="00065317" w:rsidRPr="00861E1B" w:rsidRDefault="005C7BF7">
      <w:pPr>
        <w:pStyle w:val="Corpsdetexte"/>
        <w:rPr>
          <w:sz w:val="20"/>
          <w:szCs w:val="20"/>
        </w:rPr>
      </w:pPr>
      <w:r w:rsidRPr="00CA5F1E">
        <w:rPr>
          <w:sz w:val="20"/>
          <w:szCs w:val="20"/>
        </w:rPr>
        <w:t xml:space="preserve">© Traduction en français du </w:t>
      </w:r>
      <w:r w:rsidR="00C8288F">
        <w:rPr>
          <w:sz w:val="20"/>
          <w:szCs w:val="20"/>
        </w:rPr>
        <w:t>CIDOC CRM</w:t>
      </w:r>
      <w:r w:rsidR="001155E9" w:rsidRPr="00CA5F1E">
        <w:rPr>
          <w:sz w:val="20"/>
          <w:szCs w:val="20"/>
        </w:rPr>
        <w:t xml:space="preserve"> et g</w:t>
      </w:r>
      <w:r w:rsidRPr="00CA5F1E">
        <w:rPr>
          <w:sz w:val="20"/>
          <w:szCs w:val="20"/>
        </w:rPr>
        <w:t>ouvernement du Canada, Réseau canadien d</w:t>
      </w:r>
      <w:r w:rsidR="00E84B0E">
        <w:rPr>
          <w:sz w:val="20"/>
          <w:szCs w:val="20"/>
        </w:rPr>
        <w:t>’</w:t>
      </w:r>
      <w:r w:rsidRPr="00CA5F1E">
        <w:rPr>
          <w:sz w:val="20"/>
          <w:szCs w:val="20"/>
        </w:rPr>
        <w:t>information sur le patrimoine, 2023</w:t>
      </w:r>
    </w:p>
    <w:p w14:paraId="6D6E90F3" w14:textId="77777777" w:rsidR="00861E1B" w:rsidRPr="00861E1B" w:rsidRDefault="00861E1B">
      <w:pPr>
        <w:pStyle w:val="Corpsdetexte"/>
        <w:rPr>
          <w:sz w:val="20"/>
          <w:szCs w:val="20"/>
        </w:rPr>
      </w:pPr>
    </w:p>
    <w:p w14:paraId="2EF1D839" w14:textId="73AA759A" w:rsidR="00065317" w:rsidRPr="00861E1B" w:rsidRDefault="005C7BF7">
      <w:pPr>
        <w:pStyle w:val="Corpsdetexte"/>
        <w:rPr>
          <w:sz w:val="20"/>
          <w:szCs w:val="20"/>
        </w:rPr>
      </w:pPr>
      <w:r w:rsidRPr="00861E1B">
        <w:rPr>
          <w:sz w:val="20"/>
          <w:szCs w:val="20"/>
        </w:rPr>
        <w:t>Cette publication est également offerte aux formats PDF et EPUB.</w:t>
      </w:r>
    </w:p>
    <w:p w14:paraId="2A3470EB" w14:textId="444F4A45" w:rsidR="00065317" w:rsidRPr="00ED5D84" w:rsidRDefault="005C7BF7">
      <w:pPr>
        <w:pStyle w:val="Corpsdetexte"/>
        <w:rPr>
          <w:sz w:val="20"/>
          <w:szCs w:val="20"/>
          <w:lang w:val="fr-CA"/>
        </w:rPr>
      </w:pPr>
      <w:r w:rsidRPr="00CA5F1E">
        <w:rPr>
          <w:sz w:val="20"/>
          <w:szCs w:val="20"/>
        </w:rPr>
        <w:t>N</w:t>
      </w:r>
      <w:r w:rsidRPr="00CA5F1E">
        <w:rPr>
          <w:sz w:val="20"/>
          <w:szCs w:val="20"/>
          <w:vertAlign w:val="superscript"/>
        </w:rPr>
        <w:t>o</w:t>
      </w:r>
      <w:r w:rsidRPr="00CA5F1E">
        <w:rPr>
          <w:sz w:val="20"/>
          <w:szCs w:val="20"/>
        </w:rPr>
        <w:t xml:space="preserve"> de catalogue (PDF) : CH44-185/2023F-PDF</w:t>
      </w:r>
      <w:r w:rsidR="00861E1B" w:rsidRPr="00ED5D84">
        <w:rPr>
          <w:sz w:val="20"/>
          <w:szCs w:val="20"/>
          <w:lang w:val="fr-CA"/>
        </w:rPr>
        <w:br/>
      </w:r>
      <w:r w:rsidRPr="00ED5D84">
        <w:rPr>
          <w:sz w:val="20"/>
          <w:szCs w:val="20"/>
          <w:lang w:val="fr-CA"/>
        </w:rPr>
        <w:t>ISBN (PDF) 978-0-660-69166-4</w:t>
      </w:r>
    </w:p>
    <w:p w14:paraId="19A2699C" w14:textId="67BBB3C0" w:rsidR="00861E1B" w:rsidRPr="00ED5D84" w:rsidRDefault="005C7BF7" w:rsidP="00861E1B">
      <w:pPr>
        <w:pStyle w:val="Corpsdetexte"/>
        <w:rPr>
          <w:sz w:val="20"/>
          <w:szCs w:val="20"/>
          <w:lang w:val="fr-CA"/>
        </w:rPr>
      </w:pPr>
      <w:r w:rsidRPr="00ED5D84">
        <w:rPr>
          <w:sz w:val="20"/>
          <w:szCs w:val="20"/>
          <w:lang w:val="fr-CA"/>
        </w:rPr>
        <w:t>N</w:t>
      </w:r>
      <w:r w:rsidRPr="00ED5D84">
        <w:rPr>
          <w:sz w:val="20"/>
          <w:szCs w:val="20"/>
          <w:vertAlign w:val="superscript"/>
          <w:lang w:val="fr-CA"/>
        </w:rPr>
        <w:t>o</w:t>
      </w:r>
      <w:r w:rsidRPr="00ED5D84">
        <w:rPr>
          <w:sz w:val="20"/>
          <w:szCs w:val="20"/>
          <w:lang w:val="fr-CA"/>
        </w:rPr>
        <w:t xml:space="preserve"> de catalogue (EPUB) : CH44-185/2023F-EPUB</w:t>
      </w:r>
      <w:r w:rsidR="00861E1B" w:rsidRPr="00ED5D84">
        <w:rPr>
          <w:sz w:val="20"/>
          <w:szCs w:val="20"/>
          <w:lang w:val="fr-CA"/>
        </w:rPr>
        <w:br/>
      </w:r>
      <w:r w:rsidRPr="00ED5D84">
        <w:rPr>
          <w:sz w:val="20"/>
          <w:szCs w:val="20"/>
          <w:lang w:val="fr-CA"/>
        </w:rPr>
        <w:t>ISBN (EPUB) 978-0-660-69167-1</w:t>
      </w:r>
      <w:bookmarkStart w:id="1" w:name="preface-des-traducteurtrices"/>
      <w:bookmarkEnd w:id="0"/>
    </w:p>
    <w:p w14:paraId="7DD4CCA4" w14:textId="3BC4251C" w:rsidR="00861E1B" w:rsidRPr="00ED5D84" w:rsidRDefault="00861E1B" w:rsidP="00861E1B">
      <w:pPr>
        <w:spacing w:after="0"/>
        <w:rPr>
          <w:sz w:val="20"/>
          <w:szCs w:val="20"/>
          <w:lang w:val="fr-CA"/>
        </w:rPr>
      </w:pPr>
      <w:r w:rsidRPr="00ED5D84">
        <w:rPr>
          <w:sz w:val="20"/>
          <w:szCs w:val="20"/>
          <w:lang w:val="fr-CA"/>
        </w:rPr>
        <w:br w:type="page"/>
      </w:r>
    </w:p>
    <w:p w14:paraId="42C93581" w14:textId="676F625F" w:rsidR="007A45AC" w:rsidRPr="007A45AC" w:rsidRDefault="007A45AC" w:rsidP="007A45AC">
      <w:pPr>
        <w:pStyle w:val="Titre2"/>
      </w:pPr>
      <w:bookmarkStart w:id="2" w:name="_Toc154048701"/>
      <w:r w:rsidRPr="007A45AC">
        <w:lastRenderedPageBreak/>
        <w:t>Table des</w:t>
      </w:r>
      <w:r>
        <w:t xml:space="preserve"> matières</w:t>
      </w:r>
      <w:bookmarkEnd w:id="2"/>
    </w:p>
    <w:p w14:paraId="0154A5F7" w14:textId="12097AB8" w:rsidR="00DD1219" w:rsidRDefault="007A45AC" w:rsidP="00DD1219">
      <w:pPr>
        <w:pStyle w:val="TM2"/>
        <w:rPr>
          <w:rFonts w:eastAsiaTheme="minorEastAsia"/>
          <w:noProof/>
          <w:kern w:val="2"/>
          <w:sz w:val="22"/>
          <w:szCs w:val="22"/>
          <w:lang w:val="fr-CA" w:eastAsia="fr-CA"/>
          <w14:ligatures w14:val="standardContextual"/>
        </w:rPr>
      </w:pPr>
      <w:r w:rsidRPr="007A45AC">
        <w:rPr>
          <w:rFonts w:ascii="Calibri" w:hAnsi="Calibri" w:cs="Calibri"/>
          <w:lang w:val="en-CA"/>
        </w:rPr>
        <w:fldChar w:fldCharType="begin"/>
      </w:r>
      <w:r w:rsidRPr="007A45AC">
        <w:rPr>
          <w:rFonts w:ascii="Calibri" w:hAnsi="Calibri" w:cs="Calibri"/>
          <w:lang w:val="en-CA"/>
        </w:rPr>
        <w:instrText xml:space="preserve"> TOC \o "1-4" \h \z \u </w:instrText>
      </w:r>
      <w:r w:rsidRPr="007A45AC">
        <w:rPr>
          <w:rFonts w:ascii="Calibri" w:hAnsi="Calibri" w:cs="Calibri"/>
          <w:lang w:val="en-CA"/>
        </w:rPr>
        <w:fldChar w:fldCharType="separate"/>
      </w:r>
      <w:hyperlink w:anchor="_Toc154048702" w:history="1">
        <w:r w:rsidR="00DD1219" w:rsidRPr="0002721E">
          <w:rPr>
            <w:rStyle w:val="Lienhypertexte"/>
            <w:noProof/>
          </w:rPr>
          <w:t>Préface des traducteur·trice·s</w:t>
        </w:r>
        <w:r w:rsidR="00DD1219">
          <w:rPr>
            <w:noProof/>
            <w:webHidden/>
          </w:rPr>
          <w:tab/>
        </w:r>
        <w:r w:rsidR="00DD1219">
          <w:rPr>
            <w:noProof/>
            <w:webHidden/>
          </w:rPr>
          <w:fldChar w:fldCharType="begin"/>
        </w:r>
        <w:r w:rsidR="00DD1219">
          <w:rPr>
            <w:noProof/>
            <w:webHidden/>
          </w:rPr>
          <w:instrText xml:space="preserve"> PAGEREF _Toc154048702 \h </w:instrText>
        </w:r>
        <w:r w:rsidR="00DD1219">
          <w:rPr>
            <w:noProof/>
            <w:webHidden/>
          </w:rPr>
        </w:r>
        <w:r w:rsidR="00DD1219">
          <w:rPr>
            <w:noProof/>
            <w:webHidden/>
          </w:rPr>
          <w:fldChar w:fldCharType="separate"/>
        </w:r>
        <w:r w:rsidR="00C738AA">
          <w:rPr>
            <w:noProof/>
            <w:webHidden/>
          </w:rPr>
          <w:t>xi</w:t>
        </w:r>
        <w:r w:rsidR="00DD1219">
          <w:rPr>
            <w:noProof/>
            <w:webHidden/>
          </w:rPr>
          <w:fldChar w:fldCharType="end"/>
        </w:r>
      </w:hyperlink>
    </w:p>
    <w:p w14:paraId="276FA031" w14:textId="1B1BDFF3" w:rsidR="00DD1219" w:rsidRDefault="00C738AA">
      <w:pPr>
        <w:pStyle w:val="TM2"/>
        <w:rPr>
          <w:rFonts w:eastAsiaTheme="minorEastAsia"/>
          <w:noProof/>
          <w:kern w:val="2"/>
          <w:sz w:val="22"/>
          <w:szCs w:val="22"/>
          <w:lang w:val="fr-CA" w:eastAsia="fr-CA"/>
          <w14:ligatures w14:val="standardContextual"/>
        </w:rPr>
      </w:pPr>
      <w:hyperlink w:anchor="_Toc154048703" w:history="1">
        <w:r w:rsidR="00DD1219" w:rsidRPr="0002721E">
          <w:rPr>
            <w:rStyle w:val="Lienhypertexte"/>
            <w:noProof/>
          </w:rPr>
          <w:t>Comment interpréter les tableaux et les interventions des traducteur·trice·s</w:t>
        </w:r>
        <w:r w:rsidR="00DD1219">
          <w:rPr>
            <w:noProof/>
            <w:webHidden/>
          </w:rPr>
          <w:tab/>
        </w:r>
        <w:r w:rsidR="00DD1219">
          <w:rPr>
            <w:noProof/>
            <w:webHidden/>
          </w:rPr>
          <w:fldChar w:fldCharType="begin"/>
        </w:r>
        <w:r w:rsidR="00DD1219">
          <w:rPr>
            <w:noProof/>
            <w:webHidden/>
          </w:rPr>
          <w:instrText xml:space="preserve"> PAGEREF _Toc154048703 \h </w:instrText>
        </w:r>
        <w:r w:rsidR="00DD1219">
          <w:rPr>
            <w:noProof/>
            <w:webHidden/>
          </w:rPr>
        </w:r>
        <w:r w:rsidR="00DD1219">
          <w:rPr>
            <w:noProof/>
            <w:webHidden/>
          </w:rPr>
          <w:fldChar w:fldCharType="separate"/>
        </w:r>
        <w:r>
          <w:rPr>
            <w:noProof/>
            <w:webHidden/>
          </w:rPr>
          <w:t>xiii</w:t>
        </w:r>
        <w:r w:rsidR="00DD1219">
          <w:rPr>
            <w:noProof/>
            <w:webHidden/>
          </w:rPr>
          <w:fldChar w:fldCharType="end"/>
        </w:r>
      </w:hyperlink>
    </w:p>
    <w:p w14:paraId="006138C5" w14:textId="1815C70F" w:rsidR="00DD1219" w:rsidRDefault="00C738AA">
      <w:pPr>
        <w:pStyle w:val="TM2"/>
        <w:rPr>
          <w:rFonts w:eastAsiaTheme="minorEastAsia"/>
          <w:noProof/>
          <w:kern w:val="2"/>
          <w:sz w:val="22"/>
          <w:szCs w:val="22"/>
          <w:lang w:val="fr-CA" w:eastAsia="fr-CA"/>
          <w14:ligatures w14:val="standardContextual"/>
        </w:rPr>
      </w:pPr>
      <w:hyperlink w:anchor="_Toc154048704" w:history="1">
        <w:r w:rsidR="00DD1219" w:rsidRPr="0002721E">
          <w:rPr>
            <w:rStyle w:val="Lienhypertexte"/>
            <w:noProof/>
          </w:rPr>
          <w:t>Contenus traduits</w:t>
        </w:r>
        <w:r w:rsidR="00DD1219">
          <w:rPr>
            <w:noProof/>
            <w:webHidden/>
          </w:rPr>
          <w:tab/>
        </w:r>
        <w:r w:rsidR="00DD1219">
          <w:rPr>
            <w:noProof/>
            <w:webHidden/>
          </w:rPr>
          <w:fldChar w:fldCharType="begin"/>
        </w:r>
        <w:r w:rsidR="00DD1219">
          <w:rPr>
            <w:noProof/>
            <w:webHidden/>
          </w:rPr>
          <w:instrText xml:space="preserve"> PAGEREF _Toc154048704 \h </w:instrText>
        </w:r>
        <w:r w:rsidR="00DD1219">
          <w:rPr>
            <w:noProof/>
            <w:webHidden/>
          </w:rPr>
        </w:r>
        <w:r w:rsidR="00DD1219">
          <w:rPr>
            <w:noProof/>
            <w:webHidden/>
          </w:rPr>
          <w:fldChar w:fldCharType="separate"/>
        </w:r>
        <w:r>
          <w:rPr>
            <w:noProof/>
            <w:webHidden/>
          </w:rPr>
          <w:t>1</w:t>
        </w:r>
        <w:r w:rsidR="00DD1219">
          <w:rPr>
            <w:noProof/>
            <w:webHidden/>
          </w:rPr>
          <w:fldChar w:fldCharType="end"/>
        </w:r>
      </w:hyperlink>
    </w:p>
    <w:p w14:paraId="2CCB88B0" w14:textId="5965E304" w:rsidR="00DD1219" w:rsidRDefault="00C738AA">
      <w:pPr>
        <w:pStyle w:val="TM2"/>
        <w:rPr>
          <w:rFonts w:eastAsiaTheme="minorEastAsia"/>
          <w:noProof/>
          <w:kern w:val="2"/>
          <w:sz w:val="22"/>
          <w:szCs w:val="22"/>
          <w:lang w:val="fr-CA" w:eastAsia="fr-CA"/>
          <w14:ligatures w14:val="standardContextual"/>
        </w:rPr>
      </w:pPr>
      <w:hyperlink w:anchor="_Toc154048705" w:history="1">
        <w:r w:rsidR="00DD1219" w:rsidRPr="0002721E">
          <w:rPr>
            <w:rStyle w:val="Lienhypertexte"/>
            <w:noProof/>
          </w:rPr>
          <w:t>Introduction</w:t>
        </w:r>
        <w:r w:rsidR="00DD1219">
          <w:rPr>
            <w:noProof/>
            <w:webHidden/>
          </w:rPr>
          <w:tab/>
        </w:r>
        <w:r w:rsidR="00DD1219">
          <w:rPr>
            <w:noProof/>
            <w:webHidden/>
          </w:rPr>
          <w:fldChar w:fldCharType="begin"/>
        </w:r>
        <w:r w:rsidR="00DD1219">
          <w:rPr>
            <w:noProof/>
            <w:webHidden/>
          </w:rPr>
          <w:instrText xml:space="preserve"> PAGEREF _Toc154048705 \h </w:instrText>
        </w:r>
        <w:r w:rsidR="00DD1219">
          <w:rPr>
            <w:noProof/>
            <w:webHidden/>
          </w:rPr>
        </w:r>
        <w:r w:rsidR="00DD1219">
          <w:rPr>
            <w:noProof/>
            <w:webHidden/>
          </w:rPr>
          <w:fldChar w:fldCharType="separate"/>
        </w:r>
        <w:r>
          <w:rPr>
            <w:noProof/>
            <w:webHidden/>
          </w:rPr>
          <w:t>1</w:t>
        </w:r>
        <w:r w:rsidR="00DD1219">
          <w:rPr>
            <w:noProof/>
            <w:webHidden/>
          </w:rPr>
          <w:fldChar w:fldCharType="end"/>
        </w:r>
      </w:hyperlink>
    </w:p>
    <w:p w14:paraId="1747A318" w14:textId="5FAEE7EE" w:rsidR="00DD1219" w:rsidRDefault="00C738AA">
      <w:pPr>
        <w:pStyle w:val="TM3"/>
        <w:rPr>
          <w:rFonts w:eastAsiaTheme="minorEastAsia"/>
          <w:noProof/>
          <w:kern w:val="2"/>
          <w:sz w:val="22"/>
          <w:szCs w:val="22"/>
          <w:lang w:val="fr-CA" w:eastAsia="fr-CA"/>
          <w14:ligatures w14:val="standardContextual"/>
        </w:rPr>
      </w:pPr>
      <w:hyperlink w:anchor="_Toc154048706" w:history="1">
        <w:r w:rsidR="00DD1219" w:rsidRPr="0002721E">
          <w:rPr>
            <w:rStyle w:val="Lienhypertexte"/>
            <w:noProof/>
          </w:rPr>
          <w:t>Objectifs du CIDOC CRM</w:t>
        </w:r>
        <w:r w:rsidR="00DD1219">
          <w:rPr>
            <w:noProof/>
            <w:webHidden/>
          </w:rPr>
          <w:tab/>
        </w:r>
        <w:r w:rsidR="00DD1219">
          <w:rPr>
            <w:noProof/>
            <w:webHidden/>
          </w:rPr>
          <w:fldChar w:fldCharType="begin"/>
        </w:r>
        <w:r w:rsidR="00DD1219">
          <w:rPr>
            <w:noProof/>
            <w:webHidden/>
          </w:rPr>
          <w:instrText xml:space="preserve"> PAGEREF _Toc154048706 \h </w:instrText>
        </w:r>
        <w:r w:rsidR="00DD1219">
          <w:rPr>
            <w:noProof/>
            <w:webHidden/>
          </w:rPr>
        </w:r>
        <w:r w:rsidR="00DD1219">
          <w:rPr>
            <w:noProof/>
            <w:webHidden/>
          </w:rPr>
          <w:fldChar w:fldCharType="separate"/>
        </w:r>
        <w:r>
          <w:rPr>
            <w:noProof/>
            <w:webHidden/>
          </w:rPr>
          <w:t>1</w:t>
        </w:r>
        <w:r w:rsidR="00DD1219">
          <w:rPr>
            <w:noProof/>
            <w:webHidden/>
          </w:rPr>
          <w:fldChar w:fldCharType="end"/>
        </w:r>
      </w:hyperlink>
    </w:p>
    <w:p w14:paraId="32487D17" w14:textId="267C5507" w:rsidR="00DD1219" w:rsidRDefault="00C738AA">
      <w:pPr>
        <w:pStyle w:val="TM3"/>
        <w:rPr>
          <w:rFonts w:eastAsiaTheme="minorEastAsia"/>
          <w:noProof/>
          <w:kern w:val="2"/>
          <w:sz w:val="22"/>
          <w:szCs w:val="22"/>
          <w:lang w:val="fr-CA" w:eastAsia="fr-CA"/>
          <w14:ligatures w14:val="standardContextual"/>
        </w:rPr>
      </w:pPr>
      <w:hyperlink w:anchor="_Toc154048707" w:history="1">
        <w:r w:rsidR="00DD1219" w:rsidRPr="0002721E">
          <w:rPr>
            <w:rStyle w:val="Lienhypertexte"/>
            <w:noProof/>
          </w:rPr>
          <w:t>Portée du CIDOC CRM</w:t>
        </w:r>
        <w:r w:rsidR="00DD1219">
          <w:rPr>
            <w:noProof/>
            <w:webHidden/>
          </w:rPr>
          <w:tab/>
        </w:r>
        <w:r w:rsidR="00DD1219">
          <w:rPr>
            <w:noProof/>
            <w:webHidden/>
          </w:rPr>
          <w:fldChar w:fldCharType="begin"/>
        </w:r>
        <w:r w:rsidR="00DD1219">
          <w:rPr>
            <w:noProof/>
            <w:webHidden/>
          </w:rPr>
          <w:instrText xml:space="preserve"> PAGEREF _Toc154048707 \h </w:instrText>
        </w:r>
        <w:r w:rsidR="00DD1219">
          <w:rPr>
            <w:noProof/>
            <w:webHidden/>
          </w:rPr>
        </w:r>
        <w:r w:rsidR="00DD1219">
          <w:rPr>
            <w:noProof/>
            <w:webHidden/>
          </w:rPr>
          <w:fldChar w:fldCharType="separate"/>
        </w:r>
        <w:r>
          <w:rPr>
            <w:noProof/>
            <w:webHidden/>
          </w:rPr>
          <w:t>3</w:t>
        </w:r>
        <w:r w:rsidR="00DD1219">
          <w:rPr>
            <w:noProof/>
            <w:webHidden/>
          </w:rPr>
          <w:fldChar w:fldCharType="end"/>
        </w:r>
      </w:hyperlink>
    </w:p>
    <w:p w14:paraId="21F3A161" w14:textId="1F215ECE" w:rsidR="00DD1219" w:rsidRDefault="00C738AA">
      <w:pPr>
        <w:pStyle w:val="TM3"/>
        <w:rPr>
          <w:rFonts w:eastAsiaTheme="minorEastAsia"/>
          <w:noProof/>
          <w:kern w:val="2"/>
          <w:sz w:val="22"/>
          <w:szCs w:val="22"/>
          <w:lang w:val="fr-CA" w:eastAsia="fr-CA"/>
          <w14:ligatures w14:val="standardContextual"/>
        </w:rPr>
      </w:pPr>
      <w:hyperlink w:anchor="_Toc154048708" w:history="1">
        <w:r w:rsidR="00DD1219" w:rsidRPr="0002721E">
          <w:rPr>
            <w:rStyle w:val="Lienhypertexte"/>
            <w:noProof/>
          </w:rPr>
          <w:t>Compatibilité avec le CIDOC CRM</w:t>
        </w:r>
        <w:r w:rsidR="00DD1219">
          <w:rPr>
            <w:noProof/>
            <w:webHidden/>
          </w:rPr>
          <w:tab/>
        </w:r>
        <w:r w:rsidR="00DD1219">
          <w:rPr>
            <w:noProof/>
            <w:webHidden/>
          </w:rPr>
          <w:fldChar w:fldCharType="begin"/>
        </w:r>
        <w:r w:rsidR="00DD1219">
          <w:rPr>
            <w:noProof/>
            <w:webHidden/>
          </w:rPr>
          <w:instrText xml:space="preserve"> PAGEREF _Toc154048708 \h </w:instrText>
        </w:r>
        <w:r w:rsidR="00DD1219">
          <w:rPr>
            <w:noProof/>
            <w:webHidden/>
          </w:rPr>
        </w:r>
        <w:r w:rsidR="00DD1219">
          <w:rPr>
            <w:noProof/>
            <w:webHidden/>
          </w:rPr>
          <w:fldChar w:fldCharType="separate"/>
        </w:r>
        <w:r>
          <w:rPr>
            <w:noProof/>
            <w:webHidden/>
          </w:rPr>
          <w:t>4</w:t>
        </w:r>
        <w:r w:rsidR="00DD1219">
          <w:rPr>
            <w:noProof/>
            <w:webHidden/>
          </w:rPr>
          <w:fldChar w:fldCharType="end"/>
        </w:r>
      </w:hyperlink>
    </w:p>
    <w:p w14:paraId="1A82C30C" w14:textId="7E1DA705" w:rsidR="00DD1219" w:rsidRDefault="00C738AA">
      <w:pPr>
        <w:pStyle w:val="TM3"/>
        <w:rPr>
          <w:rFonts w:eastAsiaTheme="minorEastAsia"/>
          <w:noProof/>
          <w:kern w:val="2"/>
          <w:sz w:val="22"/>
          <w:szCs w:val="22"/>
          <w:lang w:val="fr-CA" w:eastAsia="fr-CA"/>
          <w14:ligatures w14:val="standardContextual"/>
        </w:rPr>
      </w:pPr>
      <w:hyperlink w:anchor="_Toc154048709" w:history="1">
        <w:r w:rsidR="00DD1219" w:rsidRPr="0002721E">
          <w:rPr>
            <w:rStyle w:val="Lienhypertexte"/>
            <w:noProof/>
          </w:rPr>
          <w:t>Terminologie</w:t>
        </w:r>
        <w:r w:rsidR="00DD1219">
          <w:rPr>
            <w:noProof/>
            <w:webHidden/>
          </w:rPr>
          <w:tab/>
        </w:r>
        <w:r w:rsidR="00DD1219">
          <w:rPr>
            <w:noProof/>
            <w:webHidden/>
          </w:rPr>
          <w:fldChar w:fldCharType="begin"/>
        </w:r>
        <w:r w:rsidR="00DD1219">
          <w:rPr>
            <w:noProof/>
            <w:webHidden/>
          </w:rPr>
          <w:instrText xml:space="preserve"> PAGEREF _Toc154048709 \h </w:instrText>
        </w:r>
        <w:r w:rsidR="00DD1219">
          <w:rPr>
            <w:noProof/>
            <w:webHidden/>
          </w:rPr>
        </w:r>
        <w:r w:rsidR="00DD1219">
          <w:rPr>
            <w:noProof/>
            <w:webHidden/>
          </w:rPr>
          <w:fldChar w:fldCharType="separate"/>
        </w:r>
        <w:r>
          <w:rPr>
            <w:noProof/>
            <w:webHidden/>
          </w:rPr>
          <w:t>5</w:t>
        </w:r>
        <w:r w:rsidR="00DD1219">
          <w:rPr>
            <w:noProof/>
            <w:webHidden/>
          </w:rPr>
          <w:fldChar w:fldCharType="end"/>
        </w:r>
      </w:hyperlink>
    </w:p>
    <w:p w14:paraId="2581530E" w14:textId="3BBC9E0F" w:rsidR="00DD1219" w:rsidRDefault="00C738AA">
      <w:pPr>
        <w:pStyle w:val="TM3"/>
        <w:rPr>
          <w:rFonts w:eastAsiaTheme="minorEastAsia"/>
          <w:noProof/>
          <w:kern w:val="2"/>
          <w:sz w:val="22"/>
          <w:szCs w:val="22"/>
          <w:lang w:val="fr-CA" w:eastAsia="fr-CA"/>
          <w14:ligatures w14:val="standardContextual"/>
        </w:rPr>
      </w:pPr>
      <w:hyperlink w:anchor="_Toc154048710" w:history="1">
        <w:r w:rsidR="00DD1219" w:rsidRPr="0002721E">
          <w:rPr>
            <w:rStyle w:val="Lienhypertexte"/>
            <w:noProof/>
          </w:rPr>
          <w:t>Application formelle</w:t>
        </w:r>
        <w:r w:rsidR="00DD1219">
          <w:rPr>
            <w:noProof/>
            <w:webHidden/>
          </w:rPr>
          <w:tab/>
        </w:r>
        <w:r w:rsidR="00DD1219">
          <w:rPr>
            <w:noProof/>
            <w:webHidden/>
          </w:rPr>
          <w:fldChar w:fldCharType="begin"/>
        </w:r>
        <w:r w:rsidR="00DD1219">
          <w:rPr>
            <w:noProof/>
            <w:webHidden/>
          </w:rPr>
          <w:instrText xml:space="preserve"> PAGEREF _Toc154048710 \h </w:instrText>
        </w:r>
        <w:r w:rsidR="00DD1219">
          <w:rPr>
            <w:noProof/>
            <w:webHidden/>
          </w:rPr>
        </w:r>
        <w:r w:rsidR="00DD1219">
          <w:rPr>
            <w:noProof/>
            <w:webHidden/>
          </w:rPr>
          <w:fldChar w:fldCharType="separate"/>
        </w:r>
        <w:r>
          <w:rPr>
            <w:noProof/>
            <w:webHidden/>
          </w:rPr>
          <w:t>20</w:t>
        </w:r>
        <w:r w:rsidR="00DD1219">
          <w:rPr>
            <w:noProof/>
            <w:webHidden/>
          </w:rPr>
          <w:fldChar w:fldCharType="end"/>
        </w:r>
      </w:hyperlink>
    </w:p>
    <w:p w14:paraId="6D5BF7F1" w14:textId="7A4961F1" w:rsidR="00DD1219" w:rsidRDefault="00C738AA">
      <w:pPr>
        <w:pStyle w:val="TM4"/>
        <w:tabs>
          <w:tab w:val="right" w:leader="dot" w:pos="10790"/>
        </w:tabs>
        <w:rPr>
          <w:noProof/>
          <w:lang w:val="fr-CA" w:eastAsia="fr-CA"/>
        </w:rPr>
      </w:pPr>
      <w:hyperlink w:anchor="_Toc154048711" w:history="1">
        <w:r w:rsidR="00DD1219" w:rsidRPr="0002721E">
          <w:rPr>
            <w:rStyle w:val="Lienhypertexte"/>
            <w:noProof/>
          </w:rPr>
          <w:t>Convention d’appellation</w:t>
        </w:r>
        <w:r w:rsidR="00DD1219">
          <w:rPr>
            <w:noProof/>
            <w:webHidden/>
          </w:rPr>
          <w:tab/>
        </w:r>
        <w:r w:rsidR="00DD1219">
          <w:rPr>
            <w:noProof/>
            <w:webHidden/>
          </w:rPr>
          <w:fldChar w:fldCharType="begin"/>
        </w:r>
        <w:r w:rsidR="00DD1219">
          <w:rPr>
            <w:noProof/>
            <w:webHidden/>
          </w:rPr>
          <w:instrText xml:space="preserve"> PAGEREF _Toc154048711 \h </w:instrText>
        </w:r>
        <w:r w:rsidR="00DD1219">
          <w:rPr>
            <w:noProof/>
            <w:webHidden/>
          </w:rPr>
        </w:r>
        <w:r w:rsidR="00DD1219">
          <w:rPr>
            <w:noProof/>
            <w:webHidden/>
          </w:rPr>
          <w:fldChar w:fldCharType="separate"/>
        </w:r>
        <w:r>
          <w:rPr>
            <w:noProof/>
            <w:webHidden/>
          </w:rPr>
          <w:t>21</w:t>
        </w:r>
        <w:r w:rsidR="00DD1219">
          <w:rPr>
            <w:noProof/>
            <w:webHidden/>
          </w:rPr>
          <w:fldChar w:fldCharType="end"/>
        </w:r>
      </w:hyperlink>
    </w:p>
    <w:p w14:paraId="7C43D56A" w14:textId="45CD8783" w:rsidR="00DD1219" w:rsidRDefault="00C738AA">
      <w:pPr>
        <w:pStyle w:val="TM4"/>
        <w:tabs>
          <w:tab w:val="right" w:leader="dot" w:pos="10790"/>
        </w:tabs>
        <w:rPr>
          <w:noProof/>
          <w:lang w:val="fr-CA" w:eastAsia="fr-CA"/>
        </w:rPr>
      </w:pPr>
      <w:hyperlink w:anchor="_Toc154048712" w:history="1">
        <w:r w:rsidR="00DD1219" w:rsidRPr="0002721E">
          <w:rPr>
            <w:rStyle w:val="Lienhypertexte"/>
            <w:noProof/>
          </w:rPr>
          <w:t>De l’héritage et de la transitivité</w:t>
        </w:r>
        <w:r w:rsidR="00DD1219">
          <w:rPr>
            <w:noProof/>
            <w:webHidden/>
          </w:rPr>
          <w:tab/>
        </w:r>
        <w:r w:rsidR="00DD1219">
          <w:rPr>
            <w:noProof/>
            <w:webHidden/>
          </w:rPr>
          <w:fldChar w:fldCharType="begin"/>
        </w:r>
        <w:r w:rsidR="00DD1219">
          <w:rPr>
            <w:noProof/>
            <w:webHidden/>
          </w:rPr>
          <w:instrText xml:space="preserve"> PAGEREF _Toc154048712 \h </w:instrText>
        </w:r>
        <w:r w:rsidR="00DD1219">
          <w:rPr>
            <w:noProof/>
            <w:webHidden/>
          </w:rPr>
        </w:r>
        <w:r w:rsidR="00DD1219">
          <w:rPr>
            <w:noProof/>
            <w:webHidden/>
          </w:rPr>
          <w:fldChar w:fldCharType="separate"/>
        </w:r>
        <w:r>
          <w:rPr>
            <w:noProof/>
            <w:webHidden/>
          </w:rPr>
          <w:t>22</w:t>
        </w:r>
        <w:r w:rsidR="00DD1219">
          <w:rPr>
            <w:noProof/>
            <w:webHidden/>
          </w:rPr>
          <w:fldChar w:fldCharType="end"/>
        </w:r>
      </w:hyperlink>
    </w:p>
    <w:p w14:paraId="515F4BA7" w14:textId="11DFFAAF" w:rsidR="00DD1219" w:rsidRDefault="00C738AA">
      <w:pPr>
        <w:pStyle w:val="TM4"/>
        <w:tabs>
          <w:tab w:val="right" w:leader="dot" w:pos="10790"/>
        </w:tabs>
        <w:rPr>
          <w:noProof/>
          <w:lang w:val="fr-CA" w:eastAsia="fr-CA"/>
        </w:rPr>
      </w:pPr>
      <w:hyperlink w:anchor="_Toc154048713" w:history="1">
        <w:r w:rsidR="00DD1219" w:rsidRPr="0002721E">
          <w:rPr>
            <w:rStyle w:val="Lienhypertexte"/>
            <w:noProof/>
          </w:rPr>
          <w:t>Des raccourcis</w:t>
        </w:r>
        <w:r w:rsidR="00DD1219">
          <w:rPr>
            <w:noProof/>
            <w:webHidden/>
          </w:rPr>
          <w:tab/>
        </w:r>
        <w:r w:rsidR="00DD1219">
          <w:rPr>
            <w:noProof/>
            <w:webHidden/>
          </w:rPr>
          <w:fldChar w:fldCharType="begin"/>
        </w:r>
        <w:r w:rsidR="00DD1219">
          <w:rPr>
            <w:noProof/>
            <w:webHidden/>
          </w:rPr>
          <w:instrText xml:space="preserve"> PAGEREF _Toc154048713 \h </w:instrText>
        </w:r>
        <w:r w:rsidR="00DD1219">
          <w:rPr>
            <w:noProof/>
            <w:webHidden/>
          </w:rPr>
        </w:r>
        <w:r w:rsidR="00DD1219">
          <w:rPr>
            <w:noProof/>
            <w:webHidden/>
          </w:rPr>
          <w:fldChar w:fldCharType="separate"/>
        </w:r>
        <w:r>
          <w:rPr>
            <w:noProof/>
            <w:webHidden/>
          </w:rPr>
          <w:t>23</w:t>
        </w:r>
        <w:r w:rsidR="00DD1219">
          <w:rPr>
            <w:noProof/>
            <w:webHidden/>
          </w:rPr>
          <w:fldChar w:fldCharType="end"/>
        </w:r>
      </w:hyperlink>
    </w:p>
    <w:p w14:paraId="4FE62128" w14:textId="3909AF0A" w:rsidR="00DD1219" w:rsidRDefault="00C738AA">
      <w:pPr>
        <w:pStyle w:val="TM4"/>
        <w:tabs>
          <w:tab w:val="right" w:leader="dot" w:pos="10790"/>
        </w:tabs>
        <w:rPr>
          <w:noProof/>
          <w:lang w:val="fr-CA" w:eastAsia="fr-CA"/>
        </w:rPr>
      </w:pPr>
      <w:hyperlink w:anchor="_Toc154048714" w:history="1">
        <w:r w:rsidR="00DD1219" w:rsidRPr="0002721E">
          <w:rPr>
            <w:rStyle w:val="Lienhypertexte"/>
            <w:noProof/>
          </w:rPr>
          <w:t>Des expressions logiques utilisées dans le CIDOC CRM</w:t>
        </w:r>
        <w:r w:rsidR="00DD1219">
          <w:rPr>
            <w:noProof/>
            <w:webHidden/>
          </w:rPr>
          <w:tab/>
        </w:r>
        <w:r w:rsidR="00DD1219">
          <w:rPr>
            <w:noProof/>
            <w:webHidden/>
          </w:rPr>
          <w:fldChar w:fldCharType="begin"/>
        </w:r>
        <w:r w:rsidR="00DD1219">
          <w:rPr>
            <w:noProof/>
            <w:webHidden/>
          </w:rPr>
          <w:instrText xml:space="preserve"> PAGEREF _Toc154048714 \h </w:instrText>
        </w:r>
        <w:r w:rsidR="00DD1219">
          <w:rPr>
            <w:noProof/>
            <w:webHidden/>
          </w:rPr>
        </w:r>
        <w:r w:rsidR="00DD1219">
          <w:rPr>
            <w:noProof/>
            <w:webHidden/>
          </w:rPr>
          <w:fldChar w:fldCharType="separate"/>
        </w:r>
        <w:r>
          <w:rPr>
            <w:noProof/>
            <w:webHidden/>
          </w:rPr>
          <w:t>23</w:t>
        </w:r>
        <w:r w:rsidR="00DD1219">
          <w:rPr>
            <w:noProof/>
            <w:webHidden/>
          </w:rPr>
          <w:fldChar w:fldCharType="end"/>
        </w:r>
      </w:hyperlink>
    </w:p>
    <w:p w14:paraId="4A92CD0E" w14:textId="76CE2C78" w:rsidR="00DD1219" w:rsidRDefault="00C738AA">
      <w:pPr>
        <w:pStyle w:val="TM4"/>
        <w:tabs>
          <w:tab w:val="right" w:leader="dot" w:pos="10790"/>
        </w:tabs>
        <w:rPr>
          <w:noProof/>
          <w:lang w:val="fr-CA" w:eastAsia="fr-CA"/>
        </w:rPr>
      </w:pPr>
      <w:hyperlink w:anchor="_Toc154048715" w:history="1">
        <w:r w:rsidR="00DD1219" w:rsidRPr="0002721E">
          <w:rPr>
            <w:rStyle w:val="Lienhypertexte"/>
            <w:noProof/>
          </w:rPr>
          <w:t>Quantificateurs de propriétés</w:t>
        </w:r>
        <w:r w:rsidR="00DD1219">
          <w:rPr>
            <w:noProof/>
            <w:webHidden/>
          </w:rPr>
          <w:tab/>
        </w:r>
        <w:r w:rsidR="00DD1219">
          <w:rPr>
            <w:noProof/>
            <w:webHidden/>
          </w:rPr>
          <w:fldChar w:fldCharType="begin"/>
        </w:r>
        <w:r w:rsidR="00DD1219">
          <w:rPr>
            <w:noProof/>
            <w:webHidden/>
          </w:rPr>
          <w:instrText xml:space="preserve"> PAGEREF _Toc154048715 \h </w:instrText>
        </w:r>
        <w:r w:rsidR="00DD1219">
          <w:rPr>
            <w:noProof/>
            <w:webHidden/>
          </w:rPr>
        </w:r>
        <w:r w:rsidR="00DD1219">
          <w:rPr>
            <w:noProof/>
            <w:webHidden/>
          </w:rPr>
          <w:fldChar w:fldCharType="separate"/>
        </w:r>
        <w:r>
          <w:rPr>
            <w:noProof/>
            <w:webHidden/>
          </w:rPr>
          <w:t>26</w:t>
        </w:r>
        <w:r w:rsidR="00DD1219">
          <w:rPr>
            <w:noProof/>
            <w:webHidden/>
          </w:rPr>
          <w:fldChar w:fldCharType="end"/>
        </w:r>
      </w:hyperlink>
    </w:p>
    <w:p w14:paraId="7CD15D89" w14:textId="58C1BA5F" w:rsidR="00DD1219" w:rsidRDefault="00C738AA">
      <w:pPr>
        <w:pStyle w:val="TM2"/>
        <w:rPr>
          <w:rFonts w:eastAsiaTheme="minorEastAsia"/>
          <w:noProof/>
          <w:kern w:val="2"/>
          <w:sz w:val="22"/>
          <w:szCs w:val="22"/>
          <w:lang w:val="fr-CA" w:eastAsia="fr-CA"/>
          <w14:ligatures w14:val="standardContextual"/>
        </w:rPr>
      </w:pPr>
      <w:hyperlink w:anchor="_Toc154048716" w:history="1">
        <w:r w:rsidR="00DD1219" w:rsidRPr="0002721E">
          <w:rPr>
            <w:rStyle w:val="Lienhypertexte"/>
            <w:noProof/>
          </w:rPr>
          <w:t>Principes de modélisation</w:t>
        </w:r>
        <w:r w:rsidR="00DD1219">
          <w:rPr>
            <w:noProof/>
            <w:webHidden/>
          </w:rPr>
          <w:tab/>
        </w:r>
        <w:r w:rsidR="00DD1219">
          <w:rPr>
            <w:noProof/>
            <w:webHidden/>
          </w:rPr>
          <w:fldChar w:fldCharType="begin"/>
        </w:r>
        <w:r w:rsidR="00DD1219">
          <w:rPr>
            <w:noProof/>
            <w:webHidden/>
          </w:rPr>
          <w:instrText xml:space="preserve"> PAGEREF _Toc154048716 \h </w:instrText>
        </w:r>
        <w:r w:rsidR="00DD1219">
          <w:rPr>
            <w:noProof/>
            <w:webHidden/>
          </w:rPr>
        </w:r>
        <w:r w:rsidR="00DD1219">
          <w:rPr>
            <w:noProof/>
            <w:webHidden/>
          </w:rPr>
          <w:fldChar w:fldCharType="separate"/>
        </w:r>
        <w:r>
          <w:rPr>
            <w:noProof/>
            <w:webHidden/>
          </w:rPr>
          <w:t>31</w:t>
        </w:r>
        <w:r w:rsidR="00DD1219">
          <w:rPr>
            <w:noProof/>
            <w:webHidden/>
          </w:rPr>
          <w:fldChar w:fldCharType="end"/>
        </w:r>
      </w:hyperlink>
    </w:p>
    <w:p w14:paraId="06FE4D9B" w14:textId="1317005E" w:rsidR="00DD1219" w:rsidRDefault="00C738AA">
      <w:pPr>
        <w:pStyle w:val="TM3"/>
        <w:rPr>
          <w:rFonts w:eastAsiaTheme="minorEastAsia"/>
          <w:noProof/>
          <w:kern w:val="2"/>
          <w:sz w:val="22"/>
          <w:szCs w:val="22"/>
          <w:lang w:val="fr-CA" w:eastAsia="fr-CA"/>
          <w14:ligatures w14:val="standardContextual"/>
        </w:rPr>
      </w:pPr>
      <w:hyperlink w:anchor="_Toc154048717" w:history="1">
        <w:r w:rsidR="00DD1219" w:rsidRPr="0002721E">
          <w:rPr>
            <w:rStyle w:val="Lienhypertexte"/>
            <w:noProof/>
          </w:rPr>
          <w:t>De la réalité, des bases de connaissance et du CIDOC CRM</w:t>
        </w:r>
        <w:r w:rsidR="00DD1219">
          <w:rPr>
            <w:noProof/>
            <w:webHidden/>
          </w:rPr>
          <w:tab/>
        </w:r>
        <w:r w:rsidR="00DD1219">
          <w:rPr>
            <w:noProof/>
            <w:webHidden/>
          </w:rPr>
          <w:fldChar w:fldCharType="begin"/>
        </w:r>
        <w:r w:rsidR="00DD1219">
          <w:rPr>
            <w:noProof/>
            <w:webHidden/>
          </w:rPr>
          <w:instrText xml:space="preserve"> PAGEREF _Toc154048717 \h </w:instrText>
        </w:r>
        <w:r w:rsidR="00DD1219">
          <w:rPr>
            <w:noProof/>
            <w:webHidden/>
          </w:rPr>
        </w:r>
        <w:r w:rsidR="00DD1219">
          <w:rPr>
            <w:noProof/>
            <w:webHidden/>
          </w:rPr>
          <w:fldChar w:fldCharType="separate"/>
        </w:r>
        <w:r>
          <w:rPr>
            <w:noProof/>
            <w:webHidden/>
          </w:rPr>
          <w:t>32</w:t>
        </w:r>
        <w:r w:rsidR="00DD1219">
          <w:rPr>
            <w:noProof/>
            <w:webHidden/>
          </w:rPr>
          <w:fldChar w:fldCharType="end"/>
        </w:r>
      </w:hyperlink>
    </w:p>
    <w:p w14:paraId="64F3D819" w14:textId="49A93348" w:rsidR="00DD1219" w:rsidRDefault="00C738AA">
      <w:pPr>
        <w:pStyle w:val="TM3"/>
        <w:rPr>
          <w:rFonts w:eastAsiaTheme="minorEastAsia"/>
          <w:noProof/>
          <w:kern w:val="2"/>
          <w:sz w:val="22"/>
          <w:szCs w:val="22"/>
          <w:lang w:val="fr-CA" w:eastAsia="fr-CA"/>
          <w14:ligatures w14:val="standardContextual"/>
        </w:rPr>
      </w:pPr>
      <w:hyperlink w:anchor="_Toc154048718" w:history="1">
        <w:r w:rsidR="00DD1219" w:rsidRPr="0002721E">
          <w:rPr>
            <w:rStyle w:val="Lienhypertexte"/>
            <w:noProof/>
          </w:rPr>
          <w:t>De l’auctorialité des contenus d’une base de connaissances</w:t>
        </w:r>
        <w:r w:rsidR="00DD1219">
          <w:rPr>
            <w:noProof/>
            <w:webHidden/>
          </w:rPr>
          <w:tab/>
        </w:r>
        <w:r w:rsidR="00DD1219">
          <w:rPr>
            <w:noProof/>
            <w:webHidden/>
          </w:rPr>
          <w:fldChar w:fldCharType="begin"/>
        </w:r>
        <w:r w:rsidR="00DD1219">
          <w:rPr>
            <w:noProof/>
            <w:webHidden/>
          </w:rPr>
          <w:instrText xml:space="preserve"> PAGEREF _Toc154048718 \h </w:instrText>
        </w:r>
        <w:r w:rsidR="00DD1219">
          <w:rPr>
            <w:noProof/>
            <w:webHidden/>
          </w:rPr>
        </w:r>
        <w:r w:rsidR="00DD1219">
          <w:rPr>
            <w:noProof/>
            <w:webHidden/>
          </w:rPr>
          <w:fldChar w:fldCharType="separate"/>
        </w:r>
        <w:r>
          <w:rPr>
            <w:noProof/>
            <w:webHidden/>
          </w:rPr>
          <w:t>33</w:t>
        </w:r>
        <w:r w:rsidR="00DD1219">
          <w:rPr>
            <w:noProof/>
            <w:webHidden/>
          </w:rPr>
          <w:fldChar w:fldCharType="end"/>
        </w:r>
      </w:hyperlink>
    </w:p>
    <w:p w14:paraId="79B61809" w14:textId="73BB6854" w:rsidR="00DD1219" w:rsidRDefault="00C738AA">
      <w:pPr>
        <w:pStyle w:val="TM3"/>
        <w:rPr>
          <w:rFonts w:eastAsiaTheme="minorEastAsia"/>
          <w:noProof/>
          <w:kern w:val="2"/>
          <w:sz w:val="22"/>
          <w:szCs w:val="22"/>
          <w:lang w:val="fr-CA" w:eastAsia="fr-CA"/>
          <w14:ligatures w14:val="standardContextual"/>
        </w:rPr>
      </w:pPr>
      <w:hyperlink w:anchor="_Toc154048719" w:history="1">
        <w:r w:rsidR="00DD1219" w:rsidRPr="0002721E">
          <w:rPr>
            <w:rStyle w:val="Lienhypertexte"/>
            <w:noProof/>
          </w:rPr>
          <w:t>Des extensions de CIDOC CRM</w:t>
        </w:r>
        <w:r w:rsidR="00DD1219">
          <w:rPr>
            <w:noProof/>
            <w:webHidden/>
          </w:rPr>
          <w:tab/>
        </w:r>
        <w:r w:rsidR="00DD1219">
          <w:rPr>
            <w:noProof/>
            <w:webHidden/>
          </w:rPr>
          <w:fldChar w:fldCharType="begin"/>
        </w:r>
        <w:r w:rsidR="00DD1219">
          <w:rPr>
            <w:noProof/>
            <w:webHidden/>
          </w:rPr>
          <w:instrText xml:space="preserve"> PAGEREF _Toc154048719 \h </w:instrText>
        </w:r>
        <w:r w:rsidR="00DD1219">
          <w:rPr>
            <w:noProof/>
            <w:webHidden/>
          </w:rPr>
        </w:r>
        <w:r w:rsidR="00DD1219">
          <w:rPr>
            <w:noProof/>
            <w:webHidden/>
          </w:rPr>
          <w:fldChar w:fldCharType="separate"/>
        </w:r>
        <w:r>
          <w:rPr>
            <w:noProof/>
            <w:webHidden/>
          </w:rPr>
          <w:t>34</w:t>
        </w:r>
        <w:r w:rsidR="00DD1219">
          <w:rPr>
            <w:noProof/>
            <w:webHidden/>
          </w:rPr>
          <w:fldChar w:fldCharType="end"/>
        </w:r>
      </w:hyperlink>
    </w:p>
    <w:p w14:paraId="59C5131E" w14:textId="6A932D84" w:rsidR="00DD1219" w:rsidRDefault="00C738AA">
      <w:pPr>
        <w:pStyle w:val="TM3"/>
        <w:rPr>
          <w:rFonts w:eastAsiaTheme="minorEastAsia"/>
          <w:noProof/>
          <w:kern w:val="2"/>
          <w:sz w:val="22"/>
          <w:szCs w:val="22"/>
          <w:lang w:val="fr-CA" w:eastAsia="fr-CA"/>
          <w14:ligatures w14:val="standardContextual"/>
        </w:rPr>
      </w:pPr>
      <w:hyperlink w:anchor="_Toc154048720" w:history="1">
        <w:r w:rsidR="00DD1219" w:rsidRPr="0002721E">
          <w:rPr>
            <w:rStyle w:val="Lienhypertexte"/>
            <w:noProof/>
          </w:rPr>
          <w:t>De la minimalité</w:t>
        </w:r>
        <w:r w:rsidR="00DD1219">
          <w:rPr>
            <w:noProof/>
            <w:webHidden/>
          </w:rPr>
          <w:tab/>
        </w:r>
        <w:r w:rsidR="00DD1219">
          <w:rPr>
            <w:noProof/>
            <w:webHidden/>
          </w:rPr>
          <w:fldChar w:fldCharType="begin"/>
        </w:r>
        <w:r w:rsidR="00DD1219">
          <w:rPr>
            <w:noProof/>
            <w:webHidden/>
          </w:rPr>
          <w:instrText xml:space="preserve"> PAGEREF _Toc154048720 \h </w:instrText>
        </w:r>
        <w:r w:rsidR="00DD1219">
          <w:rPr>
            <w:noProof/>
            <w:webHidden/>
          </w:rPr>
        </w:r>
        <w:r w:rsidR="00DD1219">
          <w:rPr>
            <w:noProof/>
            <w:webHidden/>
          </w:rPr>
          <w:fldChar w:fldCharType="separate"/>
        </w:r>
        <w:r>
          <w:rPr>
            <w:noProof/>
            <w:webHidden/>
          </w:rPr>
          <w:t>37</w:t>
        </w:r>
        <w:r w:rsidR="00DD1219">
          <w:rPr>
            <w:noProof/>
            <w:webHidden/>
          </w:rPr>
          <w:fldChar w:fldCharType="end"/>
        </w:r>
      </w:hyperlink>
    </w:p>
    <w:p w14:paraId="787B5DDB" w14:textId="695FA62C" w:rsidR="00DD1219" w:rsidRDefault="00C738AA">
      <w:pPr>
        <w:pStyle w:val="TM3"/>
        <w:rPr>
          <w:rFonts w:eastAsiaTheme="minorEastAsia"/>
          <w:noProof/>
          <w:kern w:val="2"/>
          <w:sz w:val="22"/>
          <w:szCs w:val="22"/>
          <w:lang w:val="fr-CA" w:eastAsia="fr-CA"/>
          <w14:ligatures w14:val="standardContextual"/>
        </w:rPr>
      </w:pPr>
      <w:hyperlink w:anchor="_Toc154048721" w:history="1">
        <w:r w:rsidR="00DD1219" w:rsidRPr="0002721E">
          <w:rPr>
            <w:rStyle w:val="Lienhypertexte"/>
            <w:noProof/>
          </w:rPr>
          <w:t>De la monotonicité</w:t>
        </w:r>
        <w:r w:rsidR="00DD1219">
          <w:rPr>
            <w:noProof/>
            <w:webHidden/>
          </w:rPr>
          <w:tab/>
        </w:r>
        <w:r w:rsidR="00DD1219">
          <w:rPr>
            <w:noProof/>
            <w:webHidden/>
          </w:rPr>
          <w:fldChar w:fldCharType="begin"/>
        </w:r>
        <w:r w:rsidR="00DD1219">
          <w:rPr>
            <w:noProof/>
            <w:webHidden/>
          </w:rPr>
          <w:instrText xml:space="preserve"> PAGEREF _Toc154048721 \h </w:instrText>
        </w:r>
        <w:r w:rsidR="00DD1219">
          <w:rPr>
            <w:noProof/>
            <w:webHidden/>
          </w:rPr>
        </w:r>
        <w:r w:rsidR="00DD1219">
          <w:rPr>
            <w:noProof/>
            <w:webHidden/>
          </w:rPr>
          <w:fldChar w:fldCharType="separate"/>
        </w:r>
        <w:r>
          <w:rPr>
            <w:noProof/>
            <w:webHidden/>
          </w:rPr>
          <w:t>38</w:t>
        </w:r>
        <w:r w:rsidR="00DD1219">
          <w:rPr>
            <w:noProof/>
            <w:webHidden/>
          </w:rPr>
          <w:fldChar w:fldCharType="end"/>
        </w:r>
      </w:hyperlink>
    </w:p>
    <w:p w14:paraId="2FCC9358" w14:textId="690B0024" w:rsidR="00DD1219" w:rsidRDefault="00C738AA">
      <w:pPr>
        <w:pStyle w:val="TM3"/>
        <w:rPr>
          <w:rFonts w:eastAsiaTheme="minorEastAsia"/>
          <w:noProof/>
          <w:kern w:val="2"/>
          <w:sz w:val="22"/>
          <w:szCs w:val="22"/>
          <w:lang w:val="fr-CA" w:eastAsia="fr-CA"/>
          <w14:ligatures w14:val="standardContextual"/>
        </w:rPr>
      </w:pPr>
      <w:hyperlink w:anchor="_Toc154048722" w:history="1">
        <w:r w:rsidR="00DD1219" w:rsidRPr="0002721E">
          <w:rPr>
            <w:rStyle w:val="Lienhypertexte"/>
            <w:noProof/>
          </w:rPr>
          <w:t>De la disjonction</w:t>
        </w:r>
        <w:r w:rsidR="00DD1219">
          <w:rPr>
            <w:noProof/>
            <w:webHidden/>
          </w:rPr>
          <w:tab/>
        </w:r>
        <w:r w:rsidR="00DD1219">
          <w:rPr>
            <w:noProof/>
            <w:webHidden/>
          </w:rPr>
          <w:fldChar w:fldCharType="begin"/>
        </w:r>
        <w:r w:rsidR="00DD1219">
          <w:rPr>
            <w:noProof/>
            <w:webHidden/>
          </w:rPr>
          <w:instrText xml:space="preserve"> PAGEREF _Toc154048722 \h </w:instrText>
        </w:r>
        <w:r w:rsidR="00DD1219">
          <w:rPr>
            <w:noProof/>
            <w:webHidden/>
          </w:rPr>
        </w:r>
        <w:r w:rsidR="00DD1219">
          <w:rPr>
            <w:noProof/>
            <w:webHidden/>
          </w:rPr>
          <w:fldChar w:fldCharType="separate"/>
        </w:r>
        <w:r>
          <w:rPr>
            <w:noProof/>
            <w:webHidden/>
          </w:rPr>
          <w:t>41</w:t>
        </w:r>
        <w:r w:rsidR="00DD1219">
          <w:rPr>
            <w:noProof/>
            <w:webHidden/>
          </w:rPr>
          <w:fldChar w:fldCharType="end"/>
        </w:r>
      </w:hyperlink>
    </w:p>
    <w:p w14:paraId="563D6950" w14:textId="2417557E" w:rsidR="00DD1219" w:rsidRDefault="00C738AA">
      <w:pPr>
        <w:pStyle w:val="TM2"/>
        <w:rPr>
          <w:rFonts w:eastAsiaTheme="minorEastAsia"/>
          <w:noProof/>
          <w:kern w:val="2"/>
          <w:sz w:val="22"/>
          <w:szCs w:val="22"/>
          <w:lang w:val="fr-CA" w:eastAsia="fr-CA"/>
          <w14:ligatures w14:val="standardContextual"/>
        </w:rPr>
      </w:pPr>
      <w:hyperlink w:anchor="_Toc154048723" w:history="1">
        <w:r w:rsidR="00DD1219" w:rsidRPr="0002721E">
          <w:rPr>
            <w:rStyle w:val="Lienhypertexte"/>
            <w:noProof/>
          </w:rPr>
          <w:t>Introduction aux concepts fondamentaux</w:t>
        </w:r>
        <w:r w:rsidR="00DD1219">
          <w:rPr>
            <w:noProof/>
            <w:webHidden/>
          </w:rPr>
          <w:tab/>
        </w:r>
        <w:r w:rsidR="00DD1219">
          <w:rPr>
            <w:noProof/>
            <w:webHidden/>
          </w:rPr>
          <w:fldChar w:fldCharType="begin"/>
        </w:r>
        <w:r w:rsidR="00DD1219">
          <w:rPr>
            <w:noProof/>
            <w:webHidden/>
          </w:rPr>
          <w:instrText xml:space="preserve"> PAGEREF _Toc154048723 \h </w:instrText>
        </w:r>
        <w:r w:rsidR="00DD1219">
          <w:rPr>
            <w:noProof/>
            <w:webHidden/>
          </w:rPr>
        </w:r>
        <w:r w:rsidR="00DD1219">
          <w:rPr>
            <w:noProof/>
            <w:webHidden/>
          </w:rPr>
          <w:fldChar w:fldCharType="separate"/>
        </w:r>
        <w:r>
          <w:rPr>
            <w:noProof/>
            <w:webHidden/>
          </w:rPr>
          <w:t>42</w:t>
        </w:r>
        <w:r w:rsidR="00DD1219">
          <w:rPr>
            <w:noProof/>
            <w:webHidden/>
          </w:rPr>
          <w:fldChar w:fldCharType="end"/>
        </w:r>
      </w:hyperlink>
    </w:p>
    <w:p w14:paraId="0CFE13CF" w14:textId="32792CEB" w:rsidR="00DD1219" w:rsidRDefault="00C738AA">
      <w:pPr>
        <w:pStyle w:val="TM3"/>
        <w:rPr>
          <w:rFonts w:eastAsiaTheme="minorEastAsia"/>
          <w:noProof/>
          <w:kern w:val="2"/>
          <w:sz w:val="22"/>
          <w:szCs w:val="22"/>
          <w:lang w:val="fr-CA" w:eastAsia="fr-CA"/>
          <w14:ligatures w14:val="standardContextual"/>
        </w:rPr>
      </w:pPr>
      <w:hyperlink w:anchor="_Toc154048724" w:history="1">
        <w:r w:rsidR="00DD1219" w:rsidRPr="0002721E">
          <w:rPr>
            <w:rStyle w:val="Lienhypertexte"/>
            <w:noProof/>
          </w:rPr>
          <w:t>Des relations évènementielles</w:t>
        </w:r>
        <w:r w:rsidR="00DD1219">
          <w:rPr>
            <w:noProof/>
            <w:webHidden/>
          </w:rPr>
          <w:tab/>
        </w:r>
        <w:r w:rsidR="00DD1219">
          <w:rPr>
            <w:noProof/>
            <w:webHidden/>
          </w:rPr>
          <w:fldChar w:fldCharType="begin"/>
        </w:r>
        <w:r w:rsidR="00DD1219">
          <w:rPr>
            <w:noProof/>
            <w:webHidden/>
          </w:rPr>
          <w:instrText xml:space="preserve"> PAGEREF _Toc154048724 \h </w:instrText>
        </w:r>
        <w:r w:rsidR="00DD1219">
          <w:rPr>
            <w:noProof/>
            <w:webHidden/>
          </w:rPr>
        </w:r>
        <w:r w:rsidR="00DD1219">
          <w:rPr>
            <w:noProof/>
            <w:webHidden/>
          </w:rPr>
          <w:fldChar w:fldCharType="separate"/>
        </w:r>
        <w:r>
          <w:rPr>
            <w:noProof/>
            <w:webHidden/>
          </w:rPr>
          <w:t>44</w:t>
        </w:r>
        <w:r w:rsidR="00DD1219">
          <w:rPr>
            <w:noProof/>
            <w:webHidden/>
          </w:rPr>
          <w:fldChar w:fldCharType="end"/>
        </w:r>
      </w:hyperlink>
    </w:p>
    <w:p w14:paraId="0A4A9557" w14:textId="6449DB7A" w:rsidR="00DD1219" w:rsidRDefault="00C738AA">
      <w:pPr>
        <w:pStyle w:val="TM4"/>
        <w:tabs>
          <w:tab w:val="right" w:leader="dot" w:pos="10790"/>
        </w:tabs>
        <w:rPr>
          <w:noProof/>
          <w:lang w:val="fr-CA" w:eastAsia="fr-CA"/>
        </w:rPr>
      </w:pPr>
      <w:hyperlink w:anchor="_Toc154048725" w:history="1">
        <w:r w:rsidR="00DD1219" w:rsidRPr="0002721E">
          <w:rPr>
            <w:rStyle w:val="Lienhypertexte"/>
            <w:noProof/>
          </w:rPr>
          <w:t>Des relations spatiales</w:t>
        </w:r>
        <w:r w:rsidR="00DD1219">
          <w:rPr>
            <w:noProof/>
            <w:webHidden/>
          </w:rPr>
          <w:tab/>
        </w:r>
        <w:r w:rsidR="00DD1219">
          <w:rPr>
            <w:noProof/>
            <w:webHidden/>
          </w:rPr>
          <w:fldChar w:fldCharType="begin"/>
        </w:r>
        <w:r w:rsidR="00DD1219">
          <w:rPr>
            <w:noProof/>
            <w:webHidden/>
          </w:rPr>
          <w:instrText xml:space="preserve"> PAGEREF _Toc154048725 \h </w:instrText>
        </w:r>
        <w:r w:rsidR="00DD1219">
          <w:rPr>
            <w:noProof/>
            <w:webHidden/>
          </w:rPr>
        </w:r>
        <w:r w:rsidR="00DD1219">
          <w:rPr>
            <w:noProof/>
            <w:webHidden/>
          </w:rPr>
          <w:fldChar w:fldCharType="separate"/>
        </w:r>
        <w:r>
          <w:rPr>
            <w:noProof/>
            <w:webHidden/>
          </w:rPr>
          <w:t>50</w:t>
        </w:r>
        <w:r w:rsidR="00DD1219">
          <w:rPr>
            <w:noProof/>
            <w:webHidden/>
          </w:rPr>
          <w:fldChar w:fldCharType="end"/>
        </w:r>
      </w:hyperlink>
    </w:p>
    <w:p w14:paraId="6A4FD35D" w14:textId="152E3996" w:rsidR="00DD1219" w:rsidRDefault="00C738AA">
      <w:pPr>
        <w:pStyle w:val="TM4"/>
        <w:tabs>
          <w:tab w:val="right" w:leader="dot" w:pos="10790"/>
        </w:tabs>
        <w:rPr>
          <w:noProof/>
          <w:lang w:val="fr-CA" w:eastAsia="fr-CA"/>
        </w:rPr>
      </w:pPr>
      <w:hyperlink w:anchor="_Toc154048726" w:history="1">
        <w:r w:rsidR="00DD1219" w:rsidRPr="0002721E">
          <w:rPr>
            <w:rStyle w:val="Lienhypertexte"/>
            <w:noProof/>
          </w:rPr>
          <w:t>Des relations temporelles</w:t>
        </w:r>
        <w:r w:rsidR="00DD1219">
          <w:rPr>
            <w:noProof/>
            <w:webHidden/>
          </w:rPr>
          <w:tab/>
        </w:r>
        <w:r w:rsidR="00DD1219">
          <w:rPr>
            <w:noProof/>
            <w:webHidden/>
          </w:rPr>
          <w:fldChar w:fldCharType="begin"/>
        </w:r>
        <w:r w:rsidR="00DD1219">
          <w:rPr>
            <w:noProof/>
            <w:webHidden/>
          </w:rPr>
          <w:instrText xml:space="preserve"> PAGEREF _Toc154048726 \h </w:instrText>
        </w:r>
        <w:r w:rsidR="00DD1219">
          <w:rPr>
            <w:noProof/>
            <w:webHidden/>
          </w:rPr>
        </w:r>
        <w:r w:rsidR="00DD1219">
          <w:rPr>
            <w:noProof/>
            <w:webHidden/>
          </w:rPr>
          <w:fldChar w:fldCharType="separate"/>
        </w:r>
        <w:r>
          <w:rPr>
            <w:noProof/>
            <w:webHidden/>
          </w:rPr>
          <w:t>53</w:t>
        </w:r>
        <w:r w:rsidR="00DD1219">
          <w:rPr>
            <w:noProof/>
            <w:webHidden/>
          </w:rPr>
          <w:fldChar w:fldCharType="end"/>
        </w:r>
      </w:hyperlink>
    </w:p>
    <w:p w14:paraId="136C8FCC" w14:textId="0CCFB463" w:rsidR="00DD1219" w:rsidRDefault="00C738AA">
      <w:pPr>
        <w:pStyle w:val="TM4"/>
        <w:tabs>
          <w:tab w:val="right" w:leader="dot" w:pos="10790"/>
        </w:tabs>
        <w:rPr>
          <w:noProof/>
          <w:lang w:val="fr-CA" w:eastAsia="fr-CA"/>
        </w:rPr>
      </w:pPr>
      <w:hyperlink w:anchor="_Toc154048727" w:history="1">
        <w:r w:rsidR="00DD1219" w:rsidRPr="0002721E">
          <w:rPr>
            <w:rStyle w:val="Lienhypertexte"/>
            <w:noProof/>
          </w:rPr>
          <w:t>Des relations spatio-temporelles</w:t>
        </w:r>
        <w:r w:rsidR="00DD1219">
          <w:rPr>
            <w:noProof/>
            <w:webHidden/>
          </w:rPr>
          <w:tab/>
        </w:r>
        <w:r w:rsidR="00DD1219">
          <w:rPr>
            <w:noProof/>
            <w:webHidden/>
          </w:rPr>
          <w:fldChar w:fldCharType="begin"/>
        </w:r>
        <w:r w:rsidR="00DD1219">
          <w:rPr>
            <w:noProof/>
            <w:webHidden/>
          </w:rPr>
          <w:instrText xml:space="preserve"> PAGEREF _Toc154048727 \h </w:instrText>
        </w:r>
        <w:r w:rsidR="00DD1219">
          <w:rPr>
            <w:noProof/>
            <w:webHidden/>
          </w:rPr>
        </w:r>
        <w:r w:rsidR="00DD1219">
          <w:rPr>
            <w:noProof/>
            <w:webHidden/>
          </w:rPr>
          <w:fldChar w:fldCharType="separate"/>
        </w:r>
        <w:r>
          <w:rPr>
            <w:noProof/>
            <w:webHidden/>
          </w:rPr>
          <w:t>55</w:t>
        </w:r>
        <w:r w:rsidR="00DD1219">
          <w:rPr>
            <w:noProof/>
            <w:webHidden/>
          </w:rPr>
          <w:fldChar w:fldCharType="end"/>
        </w:r>
      </w:hyperlink>
    </w:p>
    <w:p w14:paraId="46D545FF" w14:textId="63E18592" w:rsidR="00DD1219" w:rsidRDefault="00C738AA">
      <w:pPr>
        <w:pStyle w:val="TM3"/>
        <w:rPr>
          <w:rFonts w:eastAsiaTheme="minorEastAsia"/>
          <w:noProof/>
          <w:kern w:val="2"/>
          <w:sz w:val="22"/>
          <w:szCs w:val="22"/>
          <w:lang w:val="fr-CA" w:eastAsia="fr-CA"/>
          <w14:ligatures w14:val="standardContextual"/>
        </w:rPr>
      </w:pPr>
      <w:hyperlink w:anchor="_Toc154048728" w:history="1">
        <w:r w:rsidR="00DD1219" w:rsidRPr="0002721E">
          <w:rPr>
            <w:rStyle w:val="Lienhypertexte"/>
            <w:noProof/>
          </w:rPr>
          <w:t>Construits spécifiques de modélisation</w:t>
        </w:r>
        <w:r w:rsidR="00DD1219">
          <w:rPr>
            <w:noProof/>
            <w:webHidden/>
          </w:rPr>
          <w:tab/>
        </w:r>
        <w:r w:rsidR="00DD1219">
          <w:rPr>
            <w:noProof/>
            <w:webHidden/>
          </w:rPr>
          <w:fldChar w:fldCharType="begin"/>
        </w:r>
        <w:r w:rsidR="00DD1219">
          <w:rPr>
            <w:noProof/>
            <w:webHidden/>
          </w:rPr>
          <w:instrText xml:space="preserve"> PAGEREF _Toc154048728 \h </w:instrText>
        </w:r>
        <w:r w:rsidR="00DD1219">
          <w:rPr>
            <w:noProof/>
            <w:webHidden/>
          </w:rPr>
        </w:r>
        <w:r w:rsidR="00DD1219">
          <w:rPr>
            <w:noProof/>
            <w:webHidden/>
          </w:rPr>
          <w:fldChar w:fldCharType="separate"/>
        </w:r>
        <w:r>
          <w:rPr>
            <w:noProof/>
            <w:webHidden/>
          </w:rPr>
          <w:t>58</w:t>
        </w:r>
        <w:r w:rsidR="00DD1219">
          <w:rPr>
            <w:noProof/>
            <w:webHidden/>
          </w:rPr>
          <w:fldChar w:fldCharType="end"/>
        </w:r>
      </w:hyperlink>
    </w:p>
    <w:p w14:paraId="7EEB2D03" w14:textId="5DB46C6A" w:rsidR="00DD1219" w:rsidRDefault="00C738AA">
      <w:pPr>
        <w:pStyle w:val="TM4"/>
        <w:tabs>
          <w:tab w:val="right" w:leader="dot" w:pos="10790"/>
        </w:tabs>
        <w:rPr>
          <w:noProof/>
          <w:lang w:val="fr-CA" w:eastAsia="fr-CA"/>
        </w:rPr>
      </w:pPr>
      <w:hyperlink w:anchor="_Toc154048729" w:history="1">
        <w:r w:rsidR="00DD1219" w:rsidRPr="0002721E">
          <w:rPr>
            <w:rStyle w:val="Lienhypertexte"/>
            <w:noProof/>
          </w:rPr>
          <w:t>Des types</w:t>
        </w:r>
        <w:r w:rsidR="00DD1219">
          <w:rPr>
            <w:noProof/>
            <w:webHidden/>
          </w:rPr>
          <w:tab/>
        </w:r>
        <w:r w:rsidR="00DD1219">
          <w:rPr>
            <w:noProof/>
            <w:webHidden/>
          </w:rPr>
          <w:fldChar w:fldCharType="begin"/>
        </w:r>
        <w:r w:rsidR="00DD1219">
          <w:rPr>
            <w:noProof/>
            <w:webHidden/>
          </w:rPr>
          <w:instrText xml:space="preserve"> PAGEREF _Toc154048729 \h </w:instrText>
        </w:r>
        <w:r w:rsidR="00DD1219">
          <w:rPr>
            <w:noProof/>
            <w:webHidden/>
          </w:rPr>
        </w:r>
        <w:r w:rsidR="00DD1219">
          <w:rPr>
            <w:noProof/>
            <w:webHidden/>
          </w:rPr>
          <w:fldChar w:fldCharType="separate"/>
        </w:r>
        <w:r>
          <w:rPr>
            <w:noProof/>
            <w:webHidden/>
          </w:rPr>
          <w:t>58</w:t>
        </w:r>
        <w:r w:rsidR="00DD1219">
          <w:rPr>
            <w:noProof/>
            <w:webHidden/>
          </w:rPr>
          <w:fldChar w:fldCharType="end"/>
        </w:r>
      </w:hyperlink>
    </w:p>
    <w:p w14:paraId="1F2AC314" w14:textId="48BEA461" w:rsidR="00DD1219" w:rsidRDefault="00C738AA">
      <w:pPr>
        <w:pStyle w:val="TM4"/>
        <w:tabs>
          <w:tab w:val="right" w:leader="dot" w:pos="10790"/>
        </w:tabs>
        <w:rPr>
          <w:noProof/>
          <w:lang w:val="fr-CA" w:eastAsia="fr-CA"/>
        </w:rPr>
      </w:pPr>
      <w:hyperlink w:anchor="_Toc154048730" w:history="1">
        <w:r w:rsidR="00DD1219" w:rsidRPr="0002721E">
          <w:rPr>
            <w:rStyle w:val="Lienhypertexte"/>
            <w:noProof/>
          </w:rPr>
          <w:t>Des relations temporelles primitives fondées sur des frontières floues</w:t>
        </w:r>
        <w:r w:rsidR="00DD1219">
          <w:rPr>
            <w:noProof/>
            <w:webHidden/>
          </w:rPr>
          <w:tab/>
        </w:r>
        <w:r w:rsidR="00DD1219">
          <w:rPr>
            <w:noProof/>
            <w:webHidden/>
          </w:rPr>
          <w:fldChar w:fldCharType="begin"/>
        </w:r>
        <w:r w:rsidR="00DD1219">
          <w:rPr>
            <w:noProof/>
            <w:webHidden/>
          </w:rPr>
          <w:instrText xml:space="preserve"> PAGEREF _Toc154048730 \h </w:instrText>
        </w:r>
        <w:r w:rsidR="00DD1219">
          <w:rPr>
            <w:noProof/>
            <w:webHidden/>
          </w:rPr>
        </w:r>
        <w:r w:rsidR="00DD1219">
          <w:rPr>
            <w:noProof/>
            <w:webHidden/>
          </w:rPr>
          <w:fldChar w:fldCharType="separate"/>
        </w:r>
        <w:r>
          <w:rPr>
            <w:noProof/>
            <w:webHidden/>
          </w:rPr>
          <w:t>60</w:t>
        </w:r>
        <w:r w:rsidR="00DD1219">
          <w:rPr>
            <w:noProof/>
            <w:webHidden/>
          </w:rPr>
          <w:fldChar w:fldCharType="end"/>
        </w:r>
      </w:hyperlink>
    </w:p>
    <w:p w14:paraId="468A9AD3" w14:textId="3383DAC1" w:rsidR="00DD1219" w:rsidRDefault="00C738AA">
      <w:pPr>
        <w:pStyle w:val="TM4"/>
        <w:tabs>
          <w:tab w:val="right" w:leader="dot" w:pos="10790"/>
        </w:tabs>
        <w:rPr>
          <w:noProof/>
          <w:lang w:val="fr-CA" w:eastAsia="fr-CA"/>
        </w:rPr>
      </w:pPr>
      <w:hyperlink w:anchor="_Toc154048731" w:history="1">
        <w:r w:rsidR="00DD1219" w:rsidRPr="0002721E">
          <w:rPr>
            <w:rStyle w:val="Lienhypertexte"/>
            <w:noProof/>
          </w:rPr>
          <w:t>Notation</w:t>
        </w:r>
        <w:r w:rsidR="00DD1219">
          <w:rPr>
            <w:noProof/>
            <w:webHidden/>
          </w:rPr>
          <w:tab/>
        </w:r>
        <w:r w:rsidR="00DD1219">
          <w:rPr>
            <w:noProof/>
            <w:webHidden/>
          </w:rPr>
          <w:fldChar w:fldCharType="begin"/>
        </w:r>
        <w:r w:rsidR="00DD1219">
          <w:rPr>
            <w:noProof/>
            <w:webHidden/>
          </w:rPr>
          <w:instrText xml:space="preserve"> PAGEREF _Toc154048731 \h </w:instrText>
        </w:r>
        <w:r w:rsidR="00DD1219">
          <w:rPr>
            <w:noProof/>
            <w:webHidden/>
          </w:rPr>
        </w:r>
        <w:r w:rsidR="00DD1219">
          <w:rPr>
            <w:noProof/>
            <w:webHidden/>
          </w:rPr>
          <w:fldChar w:fldCharType="separate"/>
        </w:r>
        <w:r>
          <w:rPr>
            <w:noProof/>
            <w:webHidden/>
          </w:rPr>
          <w:t>62</w:t>
        </w:r>
        <w:r w:rsidR="00DD1219">
          <w:rPr>
            <w:noProof/>
            <w:webHidden/>
          </w:rPr>
          <w:fldChar w:fldCharType="end"/>
        </w:r>
      </w:hyperlink>
    </w:p>
    <w:p w14:paraId="4E627235" w14:textId="6494CB96" w:rsidR="00DD1219" w:rsidRDefault="00C738AA">
      <w:pPr>
        <w:pStyle w:val="TM4"/>
        <w:tabs>
          <w:tab w:val="right" w:leader="dot" w:pos="10790"/>
        </w:tabs>
        <w:rPr>
          <w:noProof/>
          <w:lang w:val="fr-CA" w:eastAsia="fr-CA"/>
        </w:rPr>
      </w:pPr>
      <w:hyperlink w:anchor="_Toc154048732" w:history="1">
        <w:r w:rsidR="00DD1219" w:rsidRPr="0002721E">
          <w:rPr>
            <w:rStyle w:val="Lienhypertexte"/>
            <w:noProof/>
          </w:rPr>
          <w:t>Aperçu des relations temporelles primitives</w:t>
        </w:r>
        <w:r w:rsidR="00DD1219">
          <w:rPr>
            <w:noProof/>
            <w:webHidden/>
          </w:rPr>
          <w:tab/>
        </w:r>
        <w:r w:rsidR="00DD1219">
          <w:rPr>
            <w:noProof/>
            <w:webHidden/>
          </w:rPr>
          <w:fldChar w:fldCharType="begin"/>
        </w:r>
        <w:r w:rsidR="00DD1219">
          <w:rPr>
            <w:noProof/>
            <w:webHidden/>
          </w:rPr>
          <w:instrText xml:space="preserve"> PAGEREF _Toc154048732 \h </w:instrText>
        </w:r>
        <w:r w:rsidR="00DD1219">
          <w:rPr>
            <w:noProof/>
            <w:webHidden/>
          </w:rPr>
        </w:r>
        <w:r w:rsidR="00DD1219">
          <w:rPr>
            <w:noProof/>
            <w:webHidden/>
          </w:rPr>
          <w:fldChar w:fldCharType="separate"/>
        </w:r>
        <w:r>
          <w:rPr>
            <w:noProof/>
            <w:webHidden/>
          </w:rPr>
          <w:t>63</w:t>
        </w:r>
        <w:r w:rsidR="00DD1219">
          <w:rPr>
            <w:noProof/>
            <w:webHidden/>
          </w:rPr>
          <w:fldChar w:fldCharType="end"/>
        </w:r>
      </w:hyperlink>
    </w:p>
    <w:p w14:paraId="31C44820" w14:textId="2AA2B1B8" w:rsidR="00DD1219" w:rsidRDefault="00C738AA">
      <w:pPr>
        <w:pStyle w:val="TM2"/>
        <w:rPr>
          <w:rFonts w:eastAsiaTheme="minorEastAsia"/>
          <w:noProof/>
          <w:kern w:val="2"/>
          <w:sz w:val="22"/>
          <w:szCs w:val="22"/>
          <w:lang w:val="fr-CA" w:eastAsia="fr-CA"/>
          <w14:ligatures w14:val="standardContextual"/>
        </w:rPr>
      </w:pPr>
      <w:hyperlink w:anchor="_Toc154048733" w:history="1">
        <w:r w:rsidR="00DD1219" w:rsidRPr="0002721E">
          <w:rPr>
            <w:rStyle w:val="Lienhypertexte"/>
            <w:noProof/>
          </w:rPr>
          <w:t>Hiérarchies de classes et de propriétés</w:t>
        </w:r>
        <w:r w:rsidR="00DD1219">
          <w:rPr>
            <w:noProof/>
            <w:webHidden/>
          </w:rPr>
          <w:tab/>
        </w:r>
        <w:r w:rsidR="00DD1219">
          <w:rPr>
            <w:noProof/>
            <w:webHidden/>
          </w:rPr>
          <w:fldChar w:fldCharType="begin"/>
        </w:r>
        <w:r w:rsidR="00DD1219">
          <w:rPr>
            <w:noProof/>
            <w:webHidden/>
          </w:rPr>
          <w:instrText xml:space="preserve"> PAGEREF _Toc154048733 \h </w:instrText>
        </w:r>
        <w:r w:rsidR="00DD1219">
          <w:rPr>
            <w:noProof/>
            <w:webHidden/>
          </w:rPr>
        </w:r>
        <w:r w:rsidR="00DD1219">
          <w:rPr>
            <w:noProof/>
            <w:webHidden/>
          </w:rPr>
          <w:fldChar w:fldCharType="separate"/>
        </w:r>
        <w:r>
          <w:rPr>
            <w:noProof/>
            <w:webHidden/>
          </w:rPr>
          <w:t>64</w:t>
        </w:r>
        <w:r w:rsidR="00DD1219">
          <w:rPr>
            <w:noProof/>
            <w:webHidden/>
          </w:rPr>
          <w:fldChar w:fldCharType="end"/>
        </w:r>
      </w:hyperlink>
    </w:p>
    <w:p w14:paraId="520FCA8B" w14:textId="02E36AAD" w:rsidR="00DD1219" w:rsidRDefault="00C738AA">
      <w:pPr>
        <w:pStyle w:val="TM3"/>
        <w:rPr>
          <w:rFonts w:eastAsiaTheme="minorEastAsia"/>
          <w:noProof/>
          <w:kern w:val="2"/>
          <w:sz w:val="22"/>
          <w:szCs w:val="22"/>
          <w:lang w:val="fr-CA" w:eastAsia="fr-CA"/>
          <w14:ligatures w14:val="standardContextual"/>
        </w:rPr>
      </w:pPr>
      <w:hyperlink w:anchor="_Toc154048734" w:history="1">
        <w:r w:rsidR="00DD1219" w:rsidRPr="0002721E">
          <w:rPr>
            <w:rStyle w:val="Lienhypertexte"/>
            <w:noProof/>
          </w:rPr>
          <w:t>Liste hiérarchisée des classes du CIDOC CRM</w:t>
        </w:r>
        <w:r w:rsidR="00DD1219">
          <w:rPr>
            <w:noProof/>
            <w:webHidden/>
          </w:rPr>
          <w:tab/>
        </w:r>
        <w:r w:rsidR="00DD1219">
          <w:rPr>
            <w:noProof/>
            <w:webHidden/>
          </w:rPr>
          <w:fldChar w:fldCharType="begin"/>
        </w:r>
        <w:r w:rsidR="00DD1219">
          <w:rPr>
            <w:noProof/>
            <w:webHidden/>
          </w:rPr>
          <w:instrText xml:space="preserve"> PAGEREF _Toc154048734 \h </w:instrText>
        </w:r>
        <w:r w:rsidR="00DD1219">
          <w:rPr>
            <w:noProof/>
            <w:webHidden/>
          </w:rPr>
        </w:r>
        <w:r w:rsidR="00DD1219">
          <w:rPr>
            <w:noProof/>
            <w:webHidden/>
          </w:rPr>
          <w:fldChar w:fldCharType="separate"/>
        </w:r>
        <w:r>
          <w:rPr>
            <w:noProof/>
            <w:webHidden/>
          </w:rPr>
          <w:t>65</w:t>
        </w:r>
        <w:r w:rsidR="00DD1219">
          <w:rPr>
            <w:noProof/>
            <w:webHidden/>
          </w:rPr>
          <w:fldChar w:fldCharType="end"/>
        </w:r>
      </w:hyperlink>
    </w:p>
    <w:p w14:paraId="42DA04F2" w14:textId="6B0BC2DF" w:rsidR="00DD1219" w:rsidRDefault="00C738AA">
      <w:pPr>
        <w:pStyle w:val="TM3"/>
        <w:rPr>
          <w:rFonts w:eastAsiaTheme="minorEastAsia"/>
          <w:noProof/>
          <w:kern w:val="2"/>
          <w:sz w:val="22"/>
          <w:szCs w:val="22"/>
          <w:lang w:val="fr-CA" w:eastAsia="fr-CA"/>
          <w14:ligatures w14:val="standardContextual"/>
        </w:rPr>
      </w:pPr>
      <w:hyperlink w:anchor="_Toc154048735" w:history="1">
        <w:r w:rsidR="00DD1219" w:rsidRPr="0002721E">
          <w:rPr>
            <w:rStyle w:val="Lienhypertexte"/>
            <w:noProof/>
          </w:rPr>
          <w:t>Liste hiérarchisée des propriétés du CIDOC CRM</w:t>
        </w:r>
        <w:r w:rsidR="00DD1219">
          <w:rPr>
            <w:noProof/>
            <w:webHidden/>
          </w:rPr>
          <w:tab/>
        </w:r>
        <w:r w:rsidR="00DD1219">
          <w:rPr>
            <w:noProof/>
            <w:webHidden/>
          </w:rPr>
          <w:fldChar w:fldCharType="begin"/>
        </w:r>
        <w:r w:rsidR="00DD1219">
          <w:rPr>
            <w:noProof/>
            <w:webHidden/>
          </w:rPr>
          <w:instrText xml:space="preserve"> PAGEREF _Toc154048735 \h </w:instrText>
        </w:r>
        <w:r w:rsidR="00DD1219">
          <w:rPr>
            <w:noProof/>
            <w:webHidden/>
          </w:rPr>
        </w:r>
        <w:r w:rsidR="00DD1219">
          <w:rPr>
            <w:noProof/>
            <w:webHidden/>
          </w:rPr>
          <w:fldChar w:fldCharType="separate"/>
        </w:r>
        <w:r>
          <w:rPr>
            <w:noProof/>
            <w:webHidden/>
          </w:rPr>
          <w:t>72</w:t>
        </w:r>
        <w:r w:rsidR="00DD1219">
          <w:rPr>
            <w:noProof/>
            <w:webHidden/>
          </w:rPr>
          <w:fldChar w:fldCharType="end"/>
        </w:r>
      </w:hyperlink>
    </w:p>
    <w:p w14:paraId="40FC9892" w14:textId="1B277EF8" w:rsidR="00DD1219" w:rsidRDefault="00C738AA">
      <w:pPr>
        <w:pStyle w:val="TM4"/>
        <w:tabs>
          <w:tab w:val="right" w:leader="dot" w:pos="10790"/>
        </w:tabs>
        <w:rPr>
          <w:noProof/>
          <w:lang w:val="fr-CA" w:eastAsia="fr-CA"/>
        </w:rPr>
      </w:pPr>
      <w:hyperlink w:anchor="_Toc154048736" w:history="1">
        <w:r w:rsidR="00DD1219" w:rsidRPr="0002721E">
          <w:rPr>
            <w:rStyle w:val="Lienhypertexte"/>
            <w:noProof/>
          </w:rPr>
          <w:t>Propriétés de propriétés du CIDOC CRM (propriétés .1)</w:t>
        </w:r>
        <w:r w:rsidR="00DD1219">
          <w:rPr>
            <w:noProof/>
            <w:webHidden/>
          </w:rPr>
          <w:tab/>
        </w:r>
        <w:r w:rsidR="00DD1219">
          <w:rPr>
            <w:noProof/>
            <w:webHidden/>
          </w:rPr>
          <w:fldChar w:fldCharType="begin"/>
        </w:r>
        <w:r w:rsidR="00DD1219">
          <w:rPr>
            <w:noProof/>
            <w:webHidden/>
          </w:rPr>
          <w:instrText xml:space="preserve"> PAGEREF _Toc154048736 \h </w:instrText>
        </w:r>
        <w:r w:rsidR="00DD1219">
          <w:rPr>
            <w:noProof/>
            <w:webHidden/>
          </w:rPr>
        </w:r>
        <w:r w:rsidR="00DD1219">
          <w:rPr>
            <w:noProof/>
            <w:webHidden/>
          </w:rPr>
          <w:fldChar w:fldCharType="separate"/>
        </w:r>
        <w:r>
          <w:rPr>
            <w:noProof/>
            <w:webHidden/>
          </w:rPr>
          <w:t>84</w:t>
        </w:r>
        <w:r w:rsidR="00DD1219">
          <w:rPr>
            <w:noProof/>
            <w:webHidden/>
          </w:rPr>
          <w:fldChar w:fldCharType="end"/>
        </w:r>
      </w:hyperlink>
    </w:p>
    <w:p w14:paraId="3575FF04" w14:textId="79A09293" w:rsidR="00DD1219" w:rsidRDefault="00C738AA">
      <w:pPr>
        <w:pStyle w:val="TM2"/>
        <w:rPr>
          <w:rFonts w:eastAsiaTheme="minorEastAsia"/>
          <w:noProof/>
          <w:kern w:val="2"/>
          <w:sz w:val="22"/>
          <w:szCs w:val="22"/>
          <w:lang w:val="fr-CA" w:eastAsia="fr-CA"/>
          <w14:ligatures w14:val="standardContextual"/>
        </w:rPr>
      </w:pPr>
      <w:hyperlink w:anchor="_Toc154048737" w:history="1">
        <w:r w:rsidR="00DD1219" w:rsidRPr="0002721E">
          <w:rPr>
            <w:rStyle w:val="Lienhypertexte"/>
            <w:noProof/>
          </w:rPr>
          <w:t>Déclaration des classes du CIDOC CRM</w:t>
        </w:r>
        <w:r w:rsidR="00DD1219">
          <w:rPr>
            <w:noProof/>
            <w:webHidden/>
          </w:rPr>
          <w:tab/>
        </w:r>
        <w:r w:rsidR="00DD1219">
          <w:rPr>
            <w:noProof/>
            <w:webHidden/>
          </w:rPr>
          <w:fldChar w:fldCharType="begin"/>
        </w:r>
        <w:r w:rsidR="00DD1219">
          <w:rPr>
            <w:noProof/>
            <w:webHidden/>
          </w:rPr>
          <w:instrText xml:space="preserve"> PAGEREF _Toc154048737 \h </w:instrText>
        </w:r>
        <w:r w:rsidR="00DD1219">
          <w:rPr>
            <w:noProof/>
            <w:webHidden/>
          </w:rPr>
        </w:r>
        <w:r w:rsidR="00DD1219">
          <w:rPr>
            <w:noProof/>
            <w:webHidden/>
          </w:rPr>
          <w:fldChar w:fldCharType="separate"/>
        </w:r>
        <w:r>
          <w:rPr>
            <w:noProof/>
            <w:webHidden/>
          </w:rPr>
          <w:t>86</w:t>
        </w:r>
        <w:r w:rsidR="00DD1219">
          <w:rPr>
            <w:noProof/>
            <w:webHidden/>
          </w:rPr>
          <w:fldChar w:fldCharType="end"/>
        </w:r>
      </w:hyperlink>
    </w:p>
    <w:p w14:paraId="0AC51E77" w14:textId="17DF0A21" w:rsidR="00DD1219" w:rsidRDefault="00C738AA">
      <w:pPr>
        <w:pStyle w:val="TM3"/>
        <w:rPr>
          <w:rFonts w:eastAsiaTheme="minorEastAsia"/>
          <w:noProof/>
          <w:kern w:val="2"/>
          <w:sz w:val="22"/>
          <w:szCs w:val="22"/>
          <w:lang w:val="fr-CA" w:eastAsia="fr-CA"/>
          <w14:ligatures w14:val="standardContextual"/>
        </w:rPr>
      </w:pPr>
      <w:hyperlink w:anchor="_Toc154048738" w:history="1">
        <w:r w:rsidR="00DD1219" w:rsidRPr="0002721E">
          <w:rPr>
            <w:rStyle w:val="Lienhypertexte"/>
            <w:noProof/>
          </w:rPr>
          <w:t>E1 Entité CRM</w:t>
        </w:r>
        <w:r w:rsidR="00DD1219">
          <w:rPr>
            <w:noProof/>
            <w:webHidden/>
          </w:rPr>
          <w:tab/>
        </w:r>
        <w:r w:rsidR="00DD1219">
          <w:rPr>
            <w:noProof/>
            <w:webHidden/>
          </w:rPr>
          <w:fldChar w:fldCharType="begin"/>
        </w:r>
        <w:r w:rsidR="00DD1219">
          <w:rPr>
            <w:noProof/>
            <w:webHidden/>
          </w:rPr>
          <w:instrText xml:space="preserve"> PAGEREF _Toc154048738 \h </w:instrText>
        </w:r>
        <w:r w:rsidR="00DD1219">
          <w:rPr>
            <w:noProof/>
            <w:webHidden/>
          </w:rPr>
        </w:r>
        <w:r w:rsidR="00DD1219">
          <w:rPr>
            <w:noProof/>
            <w:webHidden/>
          </w:rPr>
          <w:fldChar w:fldCharType="separate"/>
        </w:r>
        <w:r>
          <w:rPr>
            <w:noProof/>
            <w:webHidden/>
          </w:rPr>
          <w:t>87</w:t>
        </w:r>
        <w:r w:rsidR="00DD1219">
          <w:rPr>
            <w:noProof/>
            <w:webHidden/>
          </w:rPr>
          <w:fldChar w:fldCharType="end"/>
        </w:r>
      </w:hyperlink>
    </w:p>
    <w:p w14:paraId="472E5ED2" w14:textId="7ACEA6BA" w:rsidR="00DD1219" w:rsidRDefault="00C738AA">
      <w:pPr>
        <w:pStyle w:val="TM3"/>
        <w:rPr>
          <w:rFonts w:eastAsiaTheme="minorEastAsia"/>
          <w:noProof/>
          <w:kern w:val="2"/>
          <w:sz w:val="22"/>
          <w:szCs w:val="22"/>
          <w:lang w:val="fr-CA" w:eastAsia="fr-CA"/>
          <w14:ligatures w14:val="standardContextual"/>
        </w:rPr>
      </w:pPr>
      <w:hyperlink w:anchor="_Toc154048739" w:history="1">
        <w:r w:rsidR="00DD1219" w:rsidRPr="0002721E">
          <w:rPr>
            <w:rStyle w:val="Lienhypertexte"/>
            <w:noProof/>
          </w:rPr>
          <w:t>E2 Entité temporelle</w:t>
        </w:r>
        <w:r w:rsidR="00DD1219">
          <w:rPr>
            <w:noProof/>
            <w:webHidden/>
          </w:rPr>
          <w:tab/>
        </w:r>
        <w:r w:rsidR="00DD1219">
          <w:rPr>
            <w:noProof/>
            <w:webHidden/>
          </w:rPr>
          <w:fldChar w:fldCharType="begin"/>
        </w:r>
        <w:r w:rsidR="00DD1219">
          <w:rPr>
            <w:noProof/>
            <w:webHidden/>
          </w:rPr>
          <w:instrText xml:space="preserve"> PAGEREF _Toc154048739 \h </w:instrText>
        </w:r>
        <w:r w:rsidR="00DD1219">
          <w:rPr>
            <w:noProof/>
            <w:webHidden/>
          </w:rPr>
        </w:r>
        <w:r w:rsidR="00DD1219">
          <w:rPr>
            <w:noProof/>
            <w:webHidden/>
          </w:rPr>
          <w:fldChar w:fldCharType="separate"/>
        </w:r>
        <w:r>
          <w:rPr>
            <w:noProof/>
            <w:webHidden/>
          </w:rPr>
          <w:t>88</w:t>
        </w:r>
        <w:r w:rsidR="00DD1219">
          <w:rPr>
            <w:noProof/>
            <w:webHidden/>
          </w:rPr>
          <w:fldChar w:fldCharType="end"/>
        </w:r>
      </w:hyperlink>
    </w:p>
    <w:p w14:paraId="58F882D7" w14:textId="7334E2A4" w:rsidR="00DD1219" w:rsidRDefault="00C738AA">
      <w:pPr>
        <w:pStyle w:val="TM3"/>
        <w:rPr>
          <w:rFonts w:eastAsiaTheme="minorEastAsia"/>
          <w:noProof/>
          <w:kern w:val="2"/>
          <w:sz w:val="22"/>
          <w:szCs w:val="22"/>
          <w:lang w:val="fr-CA" w:eastAsia="fr-CA"/>
          <w14:ligatures w14:val="standardContextual"/>
        </w:rPr>
      </w:pPr>
      <w:hyperlink w:anchor="_Toc154048740" w:history="1">
        <w:r w:rsidR="00DD1219" w:rsidRPr="0002721E">
          <w:rPr>
            <w:rStyle w:val="Lienhypertexte"/>
            <w:noProof/>
          </w:rPr>
          <w:t>E3 État matériel</w:t>
        </w:r>
        <w:r w:rsidR="00DD1219">
          <w:rPr>
            <w:noProof/>
            <w:webHidden/>
          </w:rPr>
          <w:tab/>
        </w:r>
        <w:r w:rsidR="00DD1219">
          <w:rPr>
            <w:noProof/>
            <w:webHidden/>
          </w:rPr>
          <w:fldChar w:fldCharType="begin"/>
        </w:r>
        <w:r w:rsidR="00DD1219">
          <w:rPr>
            <w:noProof/>
            <w:webHidden/>
          </w:rPr>
          <w:instrText xml:space="preserve"> PAGEREF _Toc154048740 \h </w:instrText>
        </w:r>
        <w:r w:rsidR="00DD1219">
          <w:rPr>
            <w:noProof/>
            <w:webHidden/>
          </w:rPr>
        </w:r>
        <w:r w:rsidR="00DD1219">
          <w:rPr>
            <w:noProof/>
            <w:webHidden/>
          </w:rPr>
          <w:fldChar w:fldCharType="separate"/>
        </w:r>
        <w:r>
          <w:rPr>
            <w:noProof/>
            <w:webHidden/>
          </w:rPr>
          <w:t>89</w:t>
        </w:r>
        <w:r w:rsidR="00DD1219">
          <w:rPr>
            <w:noProof/>
            <w:webHidden/>
          </w:rPr>
          <w:fldChar w:fldCharType="end"/>
        </w:r>
      </w:hyperlink>
    </w:p>
    <w:p w14:paraId="50C0692A" w14:textId="5FE17E7F" w:rsidR="00DD1219" w:rsidRDefault="00C738AA">
      <w:pPr>
        <w:pStyle w:val="TM3"/>
        <w:rPr>
          <w:rFonts w:eastAsiaTheme="minorEastAsia"/>
          <w:noProof/>
          <w:kern w:val="2"/>
          <w:sz w:val="22"/>
          <w:szCs w:val="22"/>
          <w:lang w:val="fr-CA" w:eastAsia="fr-CA"/>
          <w14:ligatures w14:val="standardContextual"/>
        </w:rPr>
      </w:pPr>
      <w:hyperlink w:anchor="_Toc154048741" w:history="1">
        <w:r w:rsidR="00DD1219" w:rsidRPr="0002721E">
          <w:rPr>
            <w:rStyle w:val="Lienhypertexte"/>
            <w:noProof/>
          </w:rPr>
          <w:t>E4 Période</w:t>
        </w:r>
        <w:r w:rsidR="00DD1219">
          <w:rPr>
            <w:noProof/>
            <w:webHidden/>
          </w:rPr>
          <w:tab/>
        </w:r>
        <w:r w:rsidR="00DD1219">
          <w:rPr>
            <w:noProof/>
            <w:webHidden/>
          </w:rPr>
          <w:fldChar w:fldCharType="begin"/>
        </w:r>
        <w:r w:rsidR="00DD1219">
          <w:rPr>
            <w:noProof/>
            <w:webHidden/>
          </w:rPr>
          <w:instrText xml:space="preserve"> PAGEREF _Toc154048741 \h </w:instrText>
        </w:r>
        <w:r w:rsidR="00DD1219">
          <w:rPr>
            <w:noProof/>
            <w:webHidden/>
          </w:rPr>
        </w:r>
        <w:r w:rsidR="00DD1219">
          <w:rPr>
            <w:noProof/>
            <w:webHidden/>
          </w:rPr>
          <w:fldChar w:fldCharType="separate"/>
        </w:r>
        <w:r>
          <w:rPr>
            <w:noProof/>
            <w:webHidden/>
          </w:rPr>
          <w:t>90</w:t>
        </w:r>
        <w:r w:rsidR="00DD1219">
          <w:rPr>
            <w:noProof/>
            <w:webHidden/>
          </w:rPr>
          <w:fldChar w:fldCharType="end"/>
        </w:r>
      </w:hyperlink>
    </w:p>
    <w:p w14:paraId="008F6227" w14:textId="78CBC2A7" w:rsidR="00DD1219" w:rsidRDefault="00C738AA">
      <w:pPr>
        <w:pStyle w:val="TM3"/>
        <w:rPr>
          <w:rFonts w:eastAsiaTheme="minorEastAsia"/>
          <w:noProof/>
          <w:kern w:val="2"/>
          <w:sz w:val="22"/>
          <w:szCs w:val="22"/>
          <w:lang w:val="fr-CA" w:eastAsia="fr-CA"/>
          <w14:ligatures w14:val="standardContextual"/>
        </w:rPr>
      </w:pPr>
      <w:hyperlink w:anchor="_Toc154048742" w:history="1">
        <w:r w:rsidR="00DD1219" w:rsidRPr="0002721E">
          <w:rPr>
            <w:rStyle w:val="Lienhypertexte"/>
            <w:noProof/>
          </w:rPr>
          <w:t>E5 Évènement</w:t>
        </w:r>
        <w:r w:rsidR="00DD1219">
          <w:rPr>
            <w:noProof/>
            <w:webHidden/>
          </w:rPr>
          <w:tab/>
        </w:r>
        <w:r w:rsidR="00DD1219">
          <w:rPr>
            <w:noProof/>
            <w:webHidden/>
          </w:rPr>
          <w:fldChar w:fldCharType="begin"/>
        </w:r>
        <w:r w:rsidR="00DD1219">
          <w:rPr>
            <w:noProof/>
            <w:webHidden/>
          </w:rPr>
          <w:instrText xml:space="preserve"> PAGEREF _Toc154048742 \h </w:instrText>
        </w:r>
        <w:r w:rsidR="00DD1219">
          <w:rPr>
            <w:noProof/>
            <w:webHidden/>
          </w:rPr>
        </w:r>
        <w:r w:rsidR="00DD1219">
          <w:rPr>
            <w:noProof/>
            <w:webHidden/>
          </w:rPr>
          <w:fldChar w:fldCharType="separate"/>
        </w:r>
        <w:r>
          <w:rPr>
            <w:noProof/>
            <w:webHidden/>
          </w:rPr>
          <w:t>94</w:t>
        </w:r>
        <w:r w:rsidR="00DD1219">
          <w:rPr>
            <w:noProof/>
            <w:webHidden/>
          </w:rPr>
          <w:fldChar w:fldCharType="end"/>
        </w:r>
      </w:hyperlink>
    </w:p>
    <w:p w14:paraId="17B5293E" w14:textId="299CDCFB" w:rsidR="00DD1219" w:rsidRDefault="00C738AA">
      <w:pPr>
        <w:pStyle w:val="TM3"/>
        <w:rPr>
          <w:rFonts w:eastAsiaTheme="minorEastAsia"/>
          <w:noProof/>
          <w:kern w:val="2"/>
          <w:sz w:val="22"/>
          <w:szCs w:val="22"/>
          <w:lang w:val="fr-CA" w:eastAsia="fr-CA"/>
          <w14:ligatures w14:val="standardContextual"/>
        </w:rPr>
      </w:pPr>
      <w:hyperlink w:anchor="_Toc154048743" w:history="1">
        <w:r w:rsidR="00DD1219" w:rsidRPr="0002721E">
          <w:rPr>
            <w:rStyle w:val="Lienhypertexte"/>
            <w:noProof/>
          </w:rPr>
          <w:t>E6 Destruction</w:t>
        </w:r>
        <w:r w:rsidR="00DD1219">
          <w:rPr>
            <w:noProof/>
            <w:webHidden/>
          </w:rPr>
          <w:tab/>
        </w:r>
        <w:r w:rsidR="00DD1219">
          <w:rPr>
            <w:noProof/>
            <w:webHidden/>
          </w:rPr>
          <w:fldChar w:fldCharType="begin"/>
        </w:r>
        <w:r w:rsidR="00DD1219">
          <w:rPr>
            <w:noProof/>
            <w:webHidden/>
          </w:rPr>
          <w:instrText xml:space="preserve"> PAGEREF _Toc154048743 \h </w:instrText>
        </w:r>
        <w:r w:rsidR="00DD1219">
          <w:rPr>
            <w:noProof/>
            <w:webHidden/>
          </w:rPr>
        </w:r>
        <w:r w:rsidR="00DD1219">
          <w:rPr>
            <w:noProof/>
            <w:webHidden/>
          </w:rPr>
          <w:fldChar w:fldCharType="separate"/>
        </w:r>
        <w:r>
          <w:rPr>
            <w:noProof/>
            <w:webHidden/>
          </w:rPr>
          <w:t>95</w:t>
        </w:r>
        <w:r w:rsidR="00DD1219">
          <w:rPr>
            <w:noProof/>
            <w:webHidden/>
          </w:rPr>
          <w:fldChar w:fldCharType="end"/>
        </w:r>
      </w:hyperlink>
    </w:p>
    <w:p w14:paraId="1BFBF669" w14:textId="3E1F31B4" w:rsidR="00DD1219" w:rsidRDefault="00C738AA">
      <w:pPr>
        <w:pStyle w:val="TM3"/>
        <w:rPr>
          <w:rFonts w:eastAsiaTheme="minorEastAsia"/>
          <w:noProof/>
          <w:kern w:val="2"/>
          <w:sz w:val="22"/>
          <w:szCs w:val="22"/>
          <w:lang w:val="fr-CA" w:eastAsia="fr-CA"/>
          <w14:ligatures w14:val="standardContextual"/>
        </w:rPr>
      </w:pPr>
      <w:hyperlink w:anchor="_Toc154048744" w:history="1">
        <w:r w:rsidR="00DD1219" w:rsidRPr="0002721E">
          <w:rPr>
            <w:rStyle w:val="Lienhypertexte"/>
            <w:noProof/>
          </w:rPr>
          <w:t>E7 Activité</w:t>
        </w:r>
        <w:r w:rsidR="00DD1219">
          <w:rPr>
            <w:noProof/>
            <w:webHidden/>
          </w:rPr>
          <w:tab/>
        </w:r>
        <w:r w:rsidR="00DD1219">
          <w:rPr>
            <w:noProof/>
            <w:webHidden/>
          </w:rPr>
          <w:fldChar w:fldCharType="begin"/>
        </w:r>
        <w:r w:rsidR="00DD1219">
          <w:rPr>
            <w:noProof/>
            <w:webHidden/>
          </w:rPr>
          <w:instrText xml:space="preserve"> PAGEREF _Toc154048744 \h </w:instrText>
        </w:r>
        <w:r w:rsidR="00DD1219">
          <w:rPr>
            <w:noProof/>
            <w:webHidden/>
          </w:rPr>
        </w:r>
        <w:r w:rsidR="00DD1219">
          <w:rPr>
            <w:noProof/>
            <w:webHidden/>
          </w:rPr>
          <w:fldChar w:fldCharType="separate"/>
        </w:r>
        <w:r>
          <w:rPr>
            <w:noProof/>
            <w:webHidden/>
          </w:rPr>
          <w:t>96</w:t>
        </w:r>
        <w:r w:rsidR="00DD1219">
          <w:rPr>
            <w:noProof/>
            <w:webHidden/>
          </w:rPr>
          <w:fldChar w:fldCharType="end"/>
        </w:r>
      </w:hyperlink>
    </w:p>
    <w:p w14:paraId="2C28D2AE" w14:textId="6B211041" w:rsidR="00DD1219" w:rsidRDefault="00C738AA">
      <w:pPr>
        <w:pStyle w:val="TM3"/>
        <w:rPr>
          <w:rFonts w:eastAsiaTheme="minorEastAsia"/>
          <w:noProof/>
          <w:kern w:val="2"/>
          <w:sz w:val="22"/>
          <w:szCs w:val="22"/>
          <w:lang w:val="fr-CA" w:eastAsia="fr-CA"/>
          <w14:ligatures w14:val="standardContextual"/>
        </w:rPr>
      </w:pPr>
      <w:hyperlink w:anchor="_Toc154048745" w:history="1">
        <w:r w:rsidR="00DD1219" w:rsidRPr="0002721E">
          <w:rPr>
            <w:rStyle w:val="Lienhypertexte"/>
            <w:noProof/>
          </w:rPr>
          <w:t>E8 Acquisition</w:t>
        </w:r>
        <w:r w:rsidR="00DD1219">
          <w:rPr>
            <w:noProof/>
            <w:webHidden/>
          </w:rPr>
          <w:tab/>
        </w:r>
        <w:r w:rsidR="00DD1219">
          <w:rPr>
            <w:noProof/>
            <w:webHidden/>
          </w:rPr>
          <w:fldChar w:fldCharType="begin"/>
        </w:r>
        <w:r w:rsidR="00DD1219">
          <w:rPr>
            <w:noProof/>
            <w:webHidden/>
          </w:rPr>
          <w:instrText xml:space="preserve"> PAGEREF _Toc154048745 \h </w:instrText>
        </w:r>
        <w:r w:rsidR="00DD1219">
          <w:rPr>
            <w:noProof/>
            <w:webHidden/>
          </w:rPr>
        </w:r>
        <w:r w:rsidR="00DD1219">
          <w:rPr>
            <w:noProof/>
            <w:webHidden/>
          </w:rPr>
          <w:fldChar w:fldCharType="separate"/>
        </w:r>
        <w:r>
          <w:rPr>
            <w:noProof/>
            <w:webHidden/>
          </w:rPr>
          <w:t>98</w:t>
        </w:r>
        <w:r w:rsidR="00DD1219">
          <w:rPr>
            <w:noProof/>
            <w:webHidden/>
          </w:rPr>
          <w:fldChar w:fldCharType="end"/>
        </w:r>
      </w:hyperlink>
    </w:p>
    <w:p w14:paraId="352725B4" w14:textId="021D3ADA" w:rsidR="00DD1219" w:rsidRDefault="00C738AA">
      <w:pPr>
        <w:pStyle w:val="TM3"/>
        <w:rPr>
          <w:rFonts w:eastAsiaTheme="minorEastAsia"/>
          <w:noProof/>
          <w:kern w:val="2"/>
          <w:sz w:val="22"/>
          <w:szCs w:val="22"/>
          <w:lang w:val="fr-CA" w:eastAsia="fr-CA"/>
          <w14:ligatures w14:val="standardContextual"/>
        </w:rPr>
      </w:pPr>
      <w:hyperlink w:anchor="_Toc154048746" w:history="1">
        <w:r w:rsidR="00DD1219" w:rsidRPr="0002721E">
          <w:rPr>
            <w:rStyle w:val="Lienhypertexte"/>
            <w:noProof/>
          </w:rPr>
          <w:t>E9 Déplacement</w:t>
        </w:r>
        <w:r w:rsidR="00DD1219">
          <w:rPr>
            <w:noProof/>
            <w:webHidden/>
          </w:rPr>
          <w:tab/>
        </w:r>
        <w:r w:rsidR="00DD1219">
          <w:rPr>
            <w:noProof/>
            <w:webHidden/>
          </w:rPr>
          <w:fldChar w:fldCharType="begin"/>
        </w:r>
        <w:r w:rsidR="00DD1219">
          <w:rPr>
            <w:noProof/>
            <w:webHidden/>
          </w:rPr>
          <w:instrText xml:space="preserve"> PAGEREF _Toc154048746 \h </w:instrText>
        </w:r>
        <w:r w:rsidR="00DD1219">
          <w:rPr>
            <w:noProof/>
            <w:webHidden/>
          </w:rPr>
        </w:r>
        <w:r w:rsidR="00DD1219">
          <w:rPr>
            <w:noProof/>
            <w:webHidden/>
          </w:rPr>
          <w:fldChar w:fldCharType="separate"/>
        </w:r>
        <w:r>
          <w:rPr>
            <w:noProof/>
            <w:webHidden/>
          </w:rPr>
          <w:t>99</w:t>
        </w:r>
        <w:r w:rsidR="00DD1219">
          <w:rPr>
            <w:noProof/>
            <w:webHidden/>
          </w:rPr>
          <w:fldChar w:fldCharType="end"/>
        </w:r>
      </w:hyperlink>
    </w:p>
    <w:p w14:paraId="39DE4D56" w14:textId="6AA5FB20" w:rsidR="00DD1219" w:rsidRDefault="00C738AA">
      <w:pPr>
        <w:pStyle w:val="TM3"/>
        <w:rPr>
          <w:rFonts w:eastAsiaTheme="minorEastAsia"/>
          <w:noProof/>
          <w:kern w:val="2"/>
          <w:sz w:val="22"/>
          <w:szCs w:val="22"/>
          <w:lang w:val="fr-CA" w:eastAsia="fr-CA"/>
          <w14:ligatures w14:val="standardContextual"/>
        </w:rPr>
      </w:pPr>
      <w:hyperlink w:anchor="_Toc154048747" w:history="1">
        <w:r w:rsidR="00DD1219" w:rsidRPr="0002721E">
          <w:rPr>
            <w:rStyle w:val="Lienhypertexte"/>
            <w:noProof/>
          </w:rPr>
          <w:t>E10 Transfert de la garde</w:t>
        </w:r>
        <w:r w:rsidR="00DD1219">
          <w:rPr>
            <w:noProof/>
            <w:webHidden/>
          </w:rPr>
          <w:tab/>
        </w:r>
        <w:r w:rsidR="00DD1219">
          <w:rPr>
            <w:noProof/>
            <w:webHidden/>
          </w:rPr>
          <w:fldChar w:fldCharType="begin"/>
        </w:r>
        <w:r w:rsidR="00DD1219">
          <w:rPr>
            <w:noProof/>
            <w:webHidden/>
          </w:rPr>
          <w:instrText xml:space="preserve"> PAGEREF _Toc154048747 \h </w:instrText>
        </w:r>
        <w:r w:rsidR="00DD1219">
          <w:rPr>
            <w:noProof/>
            <w:webHidden/>
          </w:rPr>
        </w:r>
        <w:r w:rsidR="00DD1219">
          <w:rPr>
            <w:noProof/>
            <w:webHidden/>
          </w:rPr>
          <w:fldChar w:fldCharType="separate"/>
        </w:r>
        <w:r>
          <w:rPr>
            <w:noProof/>
            <w:webHidden/>
          </w:rPr>
          <w:t>100</w:t>
        </w:r>
        <w:r w:rsidR="00DD1219">
          <w:rPr>
            <w:noProof/>
            <w:webHidden/>
          </w:rPr>
          <w:fldChar w:fldCharType="end"/>
        </w:r>
      </w:hyperlink>
    </w:p>
    <w:p w14:paraId="20499D65" w14:textId="2CD6CE21" w:rsidR="00DD1219" w:rsidRDefault="00C738AA">
      <w:pPr>
        <w:pStyle w:val="TM3"/>
        <w:rPr>
          <w:rFonts w:eastAsiaTheme="minorEastAsia"/>
          <w:noProof/>
          <w:kern w:val="2"/>
          <w:sz w:val="22"/>
          <w:szCs w:val="22"/>
          <w:lang w:val="fr-CA" w:eastAsia="fr-CA"/>
          <w14:ligatures w14:val="standardContextual"/>
        </w:rPr>
      </w:pPr>
      <w:hyperlink w:anchor="_Toc154048748" w:history="1">
        <w:r w:rsidR="00DD1219" w:rsidRPr="0002721E">
          <w:rPr>
            <w:rStyle w:val="Lienhypertexte"/>
            <w:noProof/>
          </w:rPr>
          <w:t>E11 Modification</w:t>
        </w:r>
        <w:r w:rsidR="00DD1219">
          <w:rPr>
            <w:noProof/>
            <w:webHidden/>
          </w:rPr>
          <w:tab/>
        </w:r>
        <w:r w:rsidR="00DD1219">
          <w:rPr>
            <w:noProof/>
            <w:webHidden/>
          </w:rPr>
          <w:fldChar w:fldCharType="begin"/>
        </w:r>
        <w:r w:rsidR="00DD1219">
          <w:rPr>
            <w:noProof/>
            <w:webHidden/>
          </w:rPr>
          <w:instrText xml:space="preserve"> PAGEREF _Toc154048748 \h </w:instrText>
        </w:r>
        <w:r w:rsidR="00DD1219">
          <w:rPr>
            <w:noProof/>
            <w:webHidden/>
          </w:rPr>
        </w:r>
        <w:r w:rsidR="00DD1219">
          <w:rPr>
            <w:noProof/>
            <w:webHidden/>
          </w:rPr>
          <w:fldChar w:fldCharType="separate"/>
        </w:r>
        <w:r>
          <w:rPr>
            <w:noProof/>
            <w:webHidden/>
          </w:rPr>
          <w:t>101</w:t>
        </w:r>
        <w:r w:rsidR="00DD1219">
          <w:rPr>
            <w:noProof/>
            <w:webHidden/>
          </w:rPr>
          <w:fldChar w:fldCharType="end"/>
        </w:r>
      </w:hyperlink>
    </w:p>
    <w:p w14:paraId="4327EFE0" w14:textId="48263A29" w:rsidR="00DD1219" w:rsidRDefault="00C738AA">
      <w:pPr>
        <w:pStyle w:val="TM3"/>
        <w:rPr>
          <w:rFonts w:eastAsiaTheme="minorEastAsia"/>
          <w:noProof/>
          <w:kern w:val="2"/>
          <w:sz w:val="22"/>
          <w:szCs w:val="22"/>
          <w:lang w:val="fr-CA" w:eastAsia="fr-CA"/>
          <w14:ligatures w14:val="standardContextual"/>
        </w:rPr>
      </w:pPr>
      <w:hyperlink w:anchor="_Toc154048749" w:history="1">
        <w:r w:rsidR="00DD1219" w:rsidRPr="0002721E">
          <w:rPr>
            <w:rStyle w:val="Lienhypertexte"/>
            <w:noProof/>
          </w:rPr>
          <w:t>E12 Production</w:t>
        </w:r>
        <w:r w:rsidR="00DD1219">
          <w:rPr>
            <w:noProof/>
            <w:webHidden/>
          </w:rPr>
          <w:tab/>
        </w:r>
        <w:r w:rsidR="00DD1219">
          <w:rPr>
            <w:noProof/>
            <w:webHidden/>
          </w:rPr>
          <w:fldChar w:fldCharType="begin"/>
        </w:r>
        <w:r w:rsidR="00DD1219">
          <w:rPr>
            <w:noProof/>
            <w:webHidden/>
          </w:rPr>
          <w:instrText xml:space="preserve"> PAGEREF _Toc154048749 \h </w:instrText>
        </w:r>
        <w:r w:rsidR="00DD1219">
          <w:rPr>
            <w:noProof/>
            <w:webHidden/>
          </w:rPr>
        </w:r>
        <w:r w:rsidR="00DD1219">
          <w:rPr>
            <w:noProof/>
            <w:webHidden/>
          </w:rPr>
          <w:fldChar w:fldCharType="separate"/>
        </w:r>
        <w:r>
          <w:rPr>
            <w:noProof/>
            <w:webHidden/>
          </w:rPr>
          <w:t>102</w:t>
        </w:r>
        <w:r w:rsidR="00DD1219">
          <w:rPr>
            <w:noProof/>
            <w:webHidden/>
          </w:rPr>
          <w:fldChar w:fldCharType="end"/>
        </w:r>
      </w:hyperlink>
    </w:p>
    <w:p w14:paraId="6E2A4973" w14:textId="70F66617" w:rsidR="00DD1219" w:rsidRDefault="00C738AA">
      <w:pPr>
        <w:pStyle w:val="TM3"/>
        <w:rPr>
          <w:rFonts w:eastAsiaTheme="minorEastAsia"/>
          <w:noProof/>
          <w:kern w:val="2"/>
          <w:sz w:val="22"/>
          <w:szCs w:val="22"/>
          <w:lang w:val="fr-CA" w:eastAsia="fr-CA"/>
          <w14:ligatures w14:val="standardContextual"/>
        </w:rPr>
      </w:pPr>
      <w:hyperlink w:anchor="_Toc154048750" w:history="1">
        <w:r w:rsidR="00DD1219" w:rsidRPr="0002721E">
          <w:rPr>
            <w:rStyle w:val="Lienhypertexte"/>
            <w:noProof/>
          </w:rPr>
          <w:t>E13 Assignation d’attribut</w:t>
        </w:r>
        <w:r w:rsidR="00DD1219">
          <w:rPr>
            <w:noProof/>
            <w:webHidden/>
          </w:rPr>
          <w:tab/>
        </w:r>
        <w:r w:rsidR="00DD1219">
          <w:rPr>
            <w:noProof/>
            <w:webHidden/>
          </w:rPr>
          <w:fldChar w:fldCharType="begin"/>
        </w:r>
        <w:r w:rsidR="00DD1219">
          <w:rPr>
            <w:noProof/>
            <w:webHidden/>
          </w:rPr>
          <w:instrText xml:space="preserve"> PAGEREF _Toc154048750 \h </w:instrText>
        </w:r>
        <w:r w:rsidR="00DD1219">
          <w:rPr>
            <w:noProof/>
            <w:webHidden/>
          </w:rPr>
        </w:r>
        <w:r w:rsidR="00DD1219">
          <w:rPr>
            <w:noProof/>
            <w:webHidden/>
          </w:rPr>
          <w:fldChar w:fldCharType="separate"/>
        </w:r>
        <w:r>
          <w:rPr>
            <w:noProof/>
            <w:webHidden/>
          </w:rPr>
          <w:t>104</w:t>
        </w:r>
        <w:r w:rsidR="00DD1219">
          <w:rPr>
            <w:noProof/>
            <w:webHidden/>
          </w:rPr>
          <w:fldChar w:fldCharType="end"/>
        </w:r>
      </w:hyperlink>
    </w:p>
    <w:p w14:paraId="6750C240" w14:textId="530F6852" w:rsidR="00DD1219" w:rsidRDefault="00C738AA">
      <w:pPr>
        <w:pStyle w:val="TM3"/>
        <w:rPr>
          <w:rFonts w:eastAsiaTheme="minorEastAsia"/>
          <w:noProof/>
          <w:kern w:val="2"/>
          <w:sz w:val="22"/>
          <w:szCs w:val="22"/>
          <w:lang w:val="fr-CA" w:eastAsia="fr-CA"/>
          <w14:ligatures w14:val="standardContextual"/>
        </w:rPr>
      </w:pPr>
      <w:hyperlink w:anchor="_Toc154048751" w:history="1">
        <w:r w:rsidR="00DD1219" w:rsidRPr="0002721E">
          <w:rPr>
            <w:rStyle w:val="Lienhypertexte"/>
            <w:noProof/>
          </w:rPr>
          <w:t>E14 Évaluation d’état matériel</w:t>
        </w:r>
        <w:r w:rsidR="00DD1219">
          <w:rPr>
            <w:noProof/>
            <w:webHidden/>
          </w:rPr>
          <w:tab/>
        </w:r>
        <w:r w:rsidR="00DD1219">
          <w:rPr>
            <w:noProof/>
            <w:webHidden/>
          </w:rPr>
          <w:fldChar w:fldCharType="begin"/>
        </w:r>
        <w:r w:rsidR="00DD1219">
          <w:rPr>
            <w:noProof/>
            <w:webHidden/>
          </w:rPr>
          <w:instrText xml:space="preserve"> PAGEREF _Toc154048751 \h </w:instrText>
        </w:r>
        <w:r w:rsidR="00DD1219">
          <w:rPr>
            <w:noProof/>
            <w:webHidden/>
          </w:rPr>
        </w:r>
        <w:r w:rsidR="00DD1219">
          <w:rPr>
            <w:noProof/>
            <w:webHidden/>
          </w:rPr>
          <w:fldChar w:fldCharType="separate"/>
        </w:r>
        <w:r>
          <w:rPr>
            <w:noProof/>
            <w:webHidden/>
          </w:rPr>
          <w:t>105</w:t>
        </w:r>
        <w:r w:rsidR="00DD1219">
          <w:rPr>
            <w:noProof/>
            <w:webHidden/>
          </w:rPr>
          <w:fldChar w:fldCharType="end"/>
        </w:r>
      </w:hyperlink>
    </w:p>
    <w:p w14:paraId="20390CA9" w14:textId="49582B84" w:rsidR="00DD1219" w:rsidRDefault="00C738AA">
      <w:pPr>
        <w:pStyle w:val="TM3"/>
        <w:rPr>
          <w:rFonts w:eastAsiaTheme="minorEastAsia"/>
          <w:noProof/>
          <w:kern w:val="2"/>
          <w:sz w:val="22"/>
          <w:szCs w:val="22"/>
          <w:lang w:val="fr-CA" w:eastAsia="fr-CA"/>
          <w14:ligatures w14:val="standardContextual"/>
        </w:rPr>
      </w:pPr>
      <w:hyperlink w:anchor="_Toc154048752" w:history="1">
        <w:r w:rsidR="00DD1219" w:rsidRPr="0002721E">
          <w:rPr>
            <w:rStyle w:val="Lienhypertexte"/>
            <w:noProof/>
          </w:rPr>
          <w:t>E15 Assignation d’identifiant</w:t>
        </w:r>
        <w:r w:rsidR="00DD1219">
          <w:rPr>
            <w:noProof/>
            <w:webHidden/>
          </w:rPr>
          <w:tab/>
        </w:r>
        <w:r w:rsidR="00DD1219">
          <w:rPr>
            <w:noProof/>
            <w:webHidden/>
          </w:rPr>
          <w:fldChar w:fldCharType="begin"/>
        </w:r>
        <w:r w:rsidR="00DD1219">
          <w:rPr>
            <w:noProof/>
            <w:webHidden/>
          </w:rPr>
          <w:instrText xml:space="preserve"> PAGEREF _Toc154048752 \h </w:instrText>
        </w:r>
        <w:r w:rsidR="00DD1219">
          <w:rPr>
            <w:noProof/>
            <w:webHidden/>
          </w:rPr>
        </w:r>
        <w:r w:rsidR="00DD1219">
          <w:rPr>
            <w:noProof/>
            <w:webHidden/>
          </w:rPr>
          <w:fldChar w:fldCharType="separate"/>
        </w:r>
        <w:r>
          <w:rPr>
            <w:noProof/>
            <w:webHidden/>
          </w:rPr>
          <w:t>106</w:t>
        </w:r>
        <w:r w:rsidR="00DD1219">
          <w:rPr>
            <w:noProof/>
            <w:webHidden/>
          </w:rPr>
          <w:fldChar w:fldCharType="end"/>
        </w:r>
      </w:hyperlink>
    </w:p>
    <w:p w14:paraId="47A76917" w14:textId="1942C276" w:rsidR="00DD1219" w:rsidRDefault="00C738AA">
      <w:pPr>
        <w:pStyle w:val="TM3"/>
        <w:rPr>
          <w:rFonts w:eastAsiaTheme="minorEastAsia"/>
          <w:noProof/>
          <w:kern w:val="2"/>
          <w:sz w:val="22"/>
          <w:szCs w:val="22"/>
          <w:lang w:val="fr-CA" w:eastAsia="fr-CA"/>
          <w14:ligatures w14:val="standardContextual"/>
        </w:rPr>
      </w:pPr>
      <w:hyperlink w:anchor="_Toc154048753" w:history="1">
        <w:r w:rsidR="00DD1219" w:rsidRPr="0002721E">
          <w:rPr>
            <w:rStyle w:val="Lienhypertexte"/>
            <w:noProof/>
          </w:rPr>
          <w:t>E16 Mesurage</w:t>
        </w:r>
        <w:r w:rsidR="00DD1219">
          <w:rPr>
            <w:noProof/>
            <w:webHidden/>
          </w:rPr>
          <w:tab/>
        </w:r>
        <w:r w:rsidR="00DD1219">
          <w:rPr>
            <w:noProof/>
            <w:webHidden/>
          </w:rPr>
          <w:fldChar w:fldCharType="begin"/>
        </w:r>
        <w:r w:rsidR="00DD1219">
          <w:rPr>
            <w:noProof/>
            <w:webHidden/>
          </w:rPr>
          <w:instrText xml:space="preserve"> PAGEREF _Toc154048753 \h </w:instrText>
        </w:r>
        <w:r w:rsidR="00DD1219">
          <w:rPr>
            <w:noProof/>
            <w:webHidden/>
          </w:rPr>
        </w:r>
        <w:r w:rsidR="00DD1219">
          <w:rPr>
            <w:noProof/>
            <w:webHidden/>
          </w:rPr>
          <w:fldChar w:fldCharType="separate"/>
        </w:r>
        <w:r>
          <w:rPr>
            <w:noProof/>
            <w:webHidden/>
          </w:rPr>
          <w:t>107</w:t>
        </w:r>
        <w:r w:rsidR="00DD1219">
          <w:rPr>
            <w:noProof/>
            <w:webHidden/>
          </w:rPr>
          <w:fldChar w:fldCharType="end"/>
        </w:r>
      </w:hyperlink>
    </w:p>
    <w:p w14:paraId="7C776BF2" w14:textId="5D918621" w:rsidR="00DD1219" w:rsidRDefault="00C738AA">
      <w:pPr>
        <w:pStyle w:val="TM3"/>
        <w:rPr>
          <w:rFonts w:eastAsiaTheme="minorEastAsia"/>
          <w:noProof/>
          <w:kern w:val="2"/>
          <w:sz w:val="22"/>
          <w:szCs w:val="22"/>
          <w:lang w:val="fr-CA" w:eastAsia="fr-CA"/>
          <w14:ligatures w14:val="standardContextual"/>
        </w:rPr>
      </w:pPr>
      <w:hyperlink w:anchor="_Toc154048754" w:history="1">
        <w:r w:rsidR="00DD1219" w:rsidRPr="0002721E">
          <w:rPr>
            <w:rStyle w:val="Lienhypertexte"/>
            <w:noProof/>
          </w:rPr>
          <w:t>E17 Assignation de type</w:t>
        </w:r>
        <w:r w:rsidR="00DD1219">
          <w:rPr>
            <w:noProof/>
            <w:webHidden/>
          </w:rPr>
          <w:tab/>
        </w:r>
        <w:r w:rsidR="00DD1219">
          <w:rPr>
            <w:noProof/>
            <w:webHidden/>
          </w:rPr>
          <w:fldChar w:fldCharType="begin"/>
        </w:r>
        <w:r w:rsidR="00DD1219">
          <w:rPr>
            <w:noProof/>
            <w:webHidden/>
          </w:rPr>
          <w:instrText xml:space="preserve"> PAGEREF _Toc154048754 \h </w:instrText>
        </w:r>
        <w:r w:rsidR="00DD1219">
          <w:rPr>
            <w:noProof/>
            <w:webHidden/>
          </w:rPr>
        </w:r>
        <w:r w:rsidR="00DD1219">
          <w:rPr>
            <w:noProof/>
            <w:webHidden/>
          </w:rPr>
          <w:fldChar w:fldCharType="separate"/>
        </w:r>
        <w:r>
          <w:rPr>
            <w:noProof/>
            <w:webHidden/>
          </w:rPr>
          <w:t>108</w:t>
        </w:r>
        <w:r w:rsidR="00DD1219">
          <w:rPr>
            <w:noProof/>
            <w:webHidden/>
          </w:rPr>
          <w:fldChar w:fldCharType="end"/>
        </w:r>
      </w:hyperlink>
    </w:p>
    <w:p w14:paraId="0C7525E4" w14:textId="2CFBB0C8" w:rsidR="00DD1219" w:rsidRDefault="00C738AA">
      <w:pPr>
        <w:pStyle w:val="TM3"/>
        <w:rPr>
          <w:rFonts w:eastAsiaTheme="minorEastAsia"/>
          <w:noProof/>
          <w:kern w:val="2"/>
          <w:sz w:val="22"/>
          <w:szCs w:val="22"/>
          <w:lang w:val="fr-CA" w:eastAsia="fr-CA"/>
          <w14:ligatures w14:val="standardContextual"/>
        </w:rPr>
      </w:pPr>
      <w:hyperlink w:anchor="_Toc154048755" w:history="1">
        <w:r w:rsidR="00DD1219" w:rsidRPr="0002721E">
          <w:rPr>
            <w:rStyle w:val="Lienhypertexte"/>
            <w:noProof/>
          </w:rPr>
          <w:t>E18 Chose matérielle</w:t>
        </w:r>
        <w:r w:rsidR="00DD1219">
          <w:rPr>
            <w:noProof/>
            <w:webHidden/>
          </w:rPr>
          <w:tab/>
        </w:r>
        <w:r w:rsidR="00DD1219">
          <w:rPr>
            <w:noProof/>
            <w:webHidden/>
          </w:rPr>
          <w:fldChar w:fldCharType="begin"/>
        </w:r>
        <w:r w:rsidR="00DD1219">
          <w:rPr>
            <w:noProof/>
            <w:webHidden/>
          </w:rPr>
          <w:instrText xml:space="preserve"> PAGEREF _Toc154048755 \h </w:instrText>
        </w:r>
        <w:r w:rsidR="00DD1219">
          <w:rPr>
            <w:noProof/>
            <w:webHidden/>
          </w:rPr>
        </w:r>
        <w:r w:rsidR="00DD1219">
          <w:rPr>
            <w:noProof/>
            <w:webHidden/>
          </w:rPr>
          <w:fldChar w:fldCharType="separate"/>
        </w:r>
        <w:r>
          <w:rPr>
            <w:noProof/>
            <w:webHidden/>
          </w:rPr>
          <w:t>109</w:t>
        </w:r>
        <w:r w:rsidR="00DD1219">
          <w:rPr>
            <w:noProof/>
            <w:webHidden/>
          </w:rPr>
          <w:fldChar w:fldCharType="end"/>
        </w:r>
      </w:hyperlink>
    </w:p>
    <w:p w14:paraId="053B62CA" w14:textId="18F9D5ED" w:rsidR="00DD1219" w:rsidRDefault="00C738AA">
      <w:pPr>
        <w:pStyle w:val="TM3"/>
        <w:rPr>
          <w:rFonts w:eastAsiaTheme="minorEastAsia"/>
          <w:noProof/>
          <w:kern w:val="2"/>
          <w:sz w:val="22"/>
          <w:szCs w:val="22"/>
          <w:lang w:val="fr-CA" w:eastAsia="fr-CA"/>
          <w14:ligatures w14:val="standardContextual"/>
        </w:rPr>
      </w:pPr>
      <w:hyperlink w:anchor="_Toc154048756" w:history="1">
        <w:r w:rsidR="00DD1219" w:rsidRPr="0002721E">
          <w:rPr>
            <w:rStyle w:val="Lienhypertexte"/>
            <w:noProof/>
          </w:rPr>
          <w:t>E19 Objet matériel</w:t>
        </w:r>
        <w:r w:rsidR="00DD1219">
          <w:rPr>
            <w:noProof/>
            <w:webHidden/>
          </w:rPr>
          <w:tab/>
        </w:r>
        <w:r w:rsidR="00DD1219">
          <w:rPr>
            <w:noProof/>
            <w:webHidden/>
          </w:rPr>
          <w:fldChar w:fldCharType="begin"/>
        </w:r>
        <w:r w:rsidR="00DD1219">
          <w:rPr>
            <w:noProof/>
            <w:webHidden/>
          </w:rPr>
          <w:instrText xml:space="preserve"> PAGEREF _Toc154048756 \h </w:instrText>
        </w:r>
        <w:r w:rsidR="00DD1219">
          <w:rPr>
            <w:noProof/>
            <w:webHidden/>
          </w:rPr>
        </w:r>
        <w:r w:rsidR="00DD1219">
          <w:rPr>
            <w:noProof/>
            <w:webHidden/>
          </w:rPr>
          <w:fldChar w:fldCharType="separate"/>
        </w:r>
        <w:r>
          <w:rPr>
            <w:noProof/>
            <w:webHidden/>
          </w:rPr>
          <w:t>111</w:t>
        </w:r>
        <w:r w:rsidR="00DD1219">
          <w:rPr>
            <w:noProof/>
            <w:webHidden/>
          </w:rPr>
          <w:fldChar w:fldCharType="end"/>
        </w:r>
      </w:hyperlink>
    </w:p>
    <w:p w14:paraId="52499362" w14:textId="65CC2FBE" w:rsidR="00DD1219" w:rsidRDefault="00C738AA">
      <w:pPr>
        <w:pStyle w:val="TM3"/>
        <w:rPr>
          <w:rFonts w:eastAsiaTheme="minorEastAsia"/>
          <w:noProof/>
          <w:kern w:val="2"/>
          <w:sz w:val="22"/>
          <w:szCs w:val="22"/>
          <w:lang w:val="fr-CA" w:eastAsia="fr-CA"/>
          <w14:ligatures w14:val="standardContextual"/>
        </w:rPr>
      </w:pPr>
      <w:hyperlink w:anchor="_Toc154048757" w:history="1">
        <w:r w:rsidR="00DD1219" w:rsidRPr="0002721E">
          <w:rPr>
            <w:rStyle w:val="Lienhypertexte"/>
            <w:noProof/>
          </w:rPr>
          <w:t>E20 Objet biologique</w:t>
        </w:r>
        <w:r w:rsidR="00DD1219">
          <w:rPr>
            <w:noProof/>
            <w:webHidden/>
          </w:rPr>
          <w:tab/>
        </w:r>
        <w:r w:rsidR="00DD1219">
          <w:rPr>
            <w:noProof/>
            <w:webHidden/>
          </w:rPr>
          <w:fldChar w:fldCharType="begin"/>
        </w:r>
        <w:r w:rsidR="00DD1219">
          <w:rPr>
            <w:noProof/>
            <w:webHidden/>
          </w:rPr>
          <w:instrText xml:space="preserve"> PAGEREF _Toc154048757 \h </w:instrText>
        </w:r>
        <w:r w:rsidR="00DD1219">
          <w:rPr>
            <w:noProof/>
            <w:webHidden/>
          </w:rPr>
        </w:r>
        <w:r w:rsidR="00DD1219">
          <w:rPr>
            <w:noProof/>
            <w:webHidden/>
          </w:rPr>
          <w:fldChar w:fldCharType="separate"/>
        </w:r>
        <w:r>
          <w:rPr>
            <w:noProof/>
            <w:webHidden/>
          </w:rPr>
          <w:t>112</w:t>
        </w:r>
        <w:r w:rsidR="00DD1219">
          <w:rPr>
            <w:noProof/>
            <w:webHidden/>
          </w:rPr>
          <w:fldChar w:fldCharType="end"/>
        </w:r>
      </w:hyperlink>
    </w:p>
    <w:p w14:paraId="6BA7F2B0" w14:textId="184332C8" w:rsidR="00DD1219" w:rsidRDefault="00C738AA">
      <w:pPr>
        <w:pStyle w:val="TM3"/>
        <w:rPr>
          <w:rFonts w:eastAsiaTheme="minorEastAsia"/>
          <w:noProof/>
          <w:kern w:val="2"/>
          <w:sz w:val="22"/>
          <w:szCs w:val="22"/>
          <w:lang w:val="fr-CA" w:eastAsia="fr-CA"/>
          <w14:ligatures w14:val="standardContextual"/>
        </w:rPr>
      </w:pPr>
      <w:hyperlink w:anchor="_Toc154048758" w:history="1">
        <w:r w:rsidR="00DD1219" w:rsidRPr="0002721E">
          <w:rPr>
            <w:rStyle w:val="Lienhypertexte"/>
            <w:noProof/>
          </w:rPr>
          <w:t>E21 Personne</w:t>
        </w:r>
        <w:r w:rsidR="00DD1219">
          <w:rPr>
            <w:noProof/>
            <w:webHidden/>
          </w:rPr>
          <w:tab/>
        </w:r>
        <w:r w:rsidR="00DD1219">
          <w:rPr>
            <w:noProof/>
            <w:webHidden/>
          </w:rPr>
          <w:fldChar w:fldCharType="begin"/>
        </w:r>
        <w:r w:rsidR="00DD1219">
          <w:rPr>
            <w:noProof/>
            <w:webHidden/>
          </w:rPr>
          <w:instrText xml:space="preserve"> PAGEREF _Toc154048758 \h </w:instrText>
        </w:r>
        <w:r w:rsidR="00DD1219">
          <w:rPr>
            <w:noProof/>
            <w:webHidden/>
          </w:rPr>
        </w:r>
        <w:r w:rsidR="00DD1219">
          <w:rPr>
            <w:noProof/>
            <w:webHidden/>
          </w:rPr>
          <w:fldChar w:fldCharType="separate"/>
        </w:r>
        <w:r>
          <w:rPr>
            <w:noProof/>
            <w:webHidden/>
          </w:rPr>
          <w:t>112</w:t>
        </w:r>
        <w:r w:rsidR="00DD1219">
          <w:rPr>
            <w:noProof/>
            <w:webHidden/>
          </w:rPr>
          <w:fldChar w:fldCharType="end"/>
        </w:r>
      </w:hyperlink>
    </w:p>
    <w:p w14:paraId="25162CD8" w14:textId="46FDD9E5" w:rsidR="00DD1219" w:rsidRDefault="00C738AA">
      <w:pPr>
        <w:pStyle w:val="TM3"/>
        <w:rPr>
          <w:rFonts w:eastAsiaTheme="minorEastAsia"/>
          <w:noProof/>
          <w:kern w:val="2"/>
          <w:sz w:val="22"/>
          <w:szCs w:val="22"/>
          <w:lang w:val="fr-CA" w:eastAsia="fr-CA"/>
          <w14:ligatures w14:val="standardContextual"/>
        </w:rPr>
      </w:pPr>
      <w:hyperlink w:anchor="_Toc154048759" w:history="1">
        <w:r w:rsidR="00DD1219" w:rsidRPr="0002721E">
          <w:rPr>
            <w:rStyle w:val="Lienhypertexte"/>
            <w:noProof/>
          </w:rPr>
          <w:t>E22 Objet élaboré par l’humain</w:t>
        </w:r>
        <w:r w:rsidR="00DD1219">
          <w:rPr>
            <w:noProof/>
            <w:webHidden/>
          </w:rPr>
          <w:tab/>
        </w:r>
        <w:r w:rsidR="00DD1219">
          <w:rPr>
            <w:noProof/>
            <w:webHidden/>
          </w:rPr>
          <w:fldChar w:fldCharType="begin"/>
        </w:r>
        <w:r w:rsidR="00DD1219">
          <w:rPr>
            <w:noProof/>
            <w:webHidden/>
          </w:rPr>
          <w:instrText xml:space="preserve"> PAGEREF _Toc154048759 \h </w:instrText>
        </w:r>
        <w:r w:rsidR="00DD1219">
          <w:rPr>
            <w:noProof/>
            <w:webHidden/>
          </w:rPr>
        </w:r>
        <w:r w:rsidR="00DD1219">
          <w:rPr>
            <w:noProof/>
            <w:webHidden/>
          </w:rPr>
          <w:fldChar w:fldCharType="separate"/>
        </w:r>
        <w:r>
          <w:rPr>
            <w:noProof/>
            <w:webHidden/>
          </w:rPr>
          <w:t>113</w:t>
        </w:r>
        <w:r w:rsidR="00DD1219">
          <w:rPr>
            <w:noProof/>
            <w:webHidden/>
          </w:rPr>
          <w:fldChar w:fldCharType="end"/>
        </w:r>
      </w:hyperlink>
    </w:p>
    <w:p w14:paraId="5EC32B51" w14:textId="568E9C33" w:rsidR="00DD1219" w:rsidRDefault="00C738AA">
      <w:pPr>
        <w:pStyle w:val="TM3"/>
        <w:rPr>
          <w:rFonts w:eastAsiaTheme="minorEastAsia"/>
          <w:noProof/>
          <w:kern w:val="2"/>
          <w:sz w:val="22"/>
          <w:szCs w:val="22"/>
          <w:lang w:val="fr-CA" w:eastAsia="fr-CA"/>
          <w14:ligatures w14:val="standardContextual"/>
        </w:rPr>
      </w:pPr>
      <w:hyperlink w:anchor="_Toc154048760" w:history="1">
        <w:r w:rsidR="00DD1219" w:rsidRPr="0002721E">
          <w:rPr>
            <w:rStyle w:val="Lienhypertexte"/>
            <w:noProof/>
          </w:rPr>
          <w:t>E24 Chose matérielle élaborée par l’humain</w:t>
        </w:r>
        <w:r w:rsidR="00DD1219">
          <w:rPr>
            <w:noProof/>
            <w:webHidden/>
          </w:rPr>
          <w:tab/>
        </w:r>
        <w:r w:rsidR="00DD1219">
          <w:rPr>
            <w:noProof/>
            <w:webHidden/>
          </w:rPr>
          <w:fldChar w:fldCharType="begin"/>
        </w:r>
        <w:r w:rsidR="00DD1219">
          <w:rPr>
            <w:noProof/>
            <w:webHidden/>
          </w:rPr>
          <w:instrText xml:space="preserve"> PAGEREF _Toc154048760 \h </w:instrText>
        </w:r>
        <w:r w:rsidR="00DD1219">
          <w:rPr>
            <w:noProof/>
            <w:webHidden/>
          </w:rPr>
        </w:r>
        <w:r w:rsidR="00DD1219">
          <w:rPr>
            <w:noProof/>
            <w:webHidden/>
          </w:rPr>
          <w:fldChar w:fldCharType="separate"/>
        </w:r>
        <w:r>
          <w:rPr>
            <w:noProof/>
            <w:webHidden/>
          </w:rPr>
          <w:t>114</w:t>
        </w:r>
        <w:r w:rsidR="00DD1219">
          <w:rPr>
            <w:noProof/>
            <w:webHidden/>
          </w:rPr>
          <w:fldChar w:fldCharType="end"/>
        </w:r>
      </w:hyperlink>
    </w:p>
    <w:p w14:paraId="00619BE5" w14:textId="1E9FB9C3" w:rsidR="00DD1219" w:rsidRDefault="00C738AA">
      <w:pPr>
        <w:pStyle w:val="TM3"/>
        <w:rPr>
          <w:rFonts w:eastAsiaTheme="minorEastAsia"/>
          <w:noProof/>
          <w:kern w:val="2"/>
          <w:sz w:val="22"/>
          <w:szCs w:val="22"/>
          <w:lang w:val="fr-CA" w:eastAsia="fr-CA"/>
          <w14:ligatures w14:val="standardContextual"/>
        </w:rPr>
      </w:pPr>
      <w:hyperlink w:anchor="_Toc154048761" w:history="1">
        <w:r w:rsidR="00DD1219" w:rsidRPr="0002721E">
          <w:rPr>
            <w:rStyle w:val="Lienhypertexte"/>
            <w:noProof/>
          </w:rPr>
          <w:t>E25 Caractéristique élaborée par l’humain</w:t>
        </w:r>
        <w:r w:rsidR="00DD1219">
          <w:rPr>
            <w:noProof/>
            <w:webHidden/>
          </w:rPr>
          <w:tab/>
        </w:r>
        <w:r w:rsidR="00DD1219">
          <w:rPr>
            <w:noProof/>
            <w:webHidden/>
          </w:rPr>
          <w:fldChar w:fldCharType="begin"/>
        </w:r>
        <w:r w:rsidR="00DD1219">
          <w:rPr>
            <w:noProof/>
            <w:webHidden/>
          </w:rPr>
          <w:instrText xml:space="preserve"> PAGEREF _Toc154048761 \h </w:instrText>
        </w:r>
        <w:r w:rsidR="00DD1219">
          <w:rPr>
            <w:noProof/>
            <w:webHidden/>
          </w:rPr>
        </w:r>
        <w:r w:rsidR="00DD1219">
          <w:rPr>
            <w:noProof/>
            <w:webHidden/>
          </w:rPr>
          <w:fldChar w:fldCharType="separate"/>
        </w:r>
        <w:r>
          <w:rPr>
            <w:noProof/>
            <w:webHidden/>
          </w:rPr>
          <w:t>115</w:t>
        </w:r>
        <w:r w:rsidR="00DD1219">
          <w:rPr>
            <w:noProof/>
            <w:webHidden/>
          </w:rPr>
          <w:fldChar w:fldCharType="end"/>
        </w:r>
      </w:hyperlink>
    </w:p>
    <w:p w14:paraId="3BA64F06" w14:textId="6C3C7F02" w:rsidR="00DD1219" w:rsidRDefault="00C738AA">
      <w:pPr>
        <w:pStyle w:val="TM3"/>
        <w:rPr>
          <w:rFonts w:eastAsiaTheme="minorEastAsia"/>
          <w:noProof/>
          <w:kern w:val="2"/>
          <w:sz w:val="22"/>
          <w:szCs w:val="22"/>
          <w:lang w:val="fr-CA" w:eastAsia="fr-CA"/>
          <w14:ligatures w14:val="standardContextual"/>
        </w:rPr>
      </w:pPr>
      <w:hyperlink w:anchor="_Toc154048762" w:history="1">
        <w:r w:rsidR="00DD1219" w:rsidRPr="0002721E">
          <w:rPr>
            <w:rStyle w:val="Lienhypertexte"/>
            <w:noProof/>
          </w:rPr>
          <w:t>E26 Caractéristique physique</w:t>
        </w:r>
        <w:r w:rsidR="00DD1219">
          <w:rPr>
            <w:noProof/>
            <w:webHidden/>
          </w:rPr>
          <w:tab/>
        </w:r>
        <w:r w:rsidR="00DD1219">
          <w:rPr>
            <w:noProof/>
            <w:webHidden/>
          </w:rPr>
          <w:fldChar w:fldCharType="begin"/>
        </w:r>
        <w:r w:rsidR="00DD1219">
          <w:rPr>
            <w:noProof/>
            <w:webHidden/>
          </w:rPr>
          <w:instrText xml:space="preserve"> PAGEREF _Toc154048762 \h </w:instrText>
        </w:r>
        <w:r w:rsidR="00DD1219">
          <w:rPr>
            <w:noProof/>
            <w:webHidden/>
          </w:rPr>
        </w:r>
        <w:r w:rsidR="00DD1219">
          <w:rPr>
            <w:noProof/>
            <w:webHidden/>
          </w:rPr>
          <w:fldChar w:fldCharType="separate"/>
        </w:r>
        <w:r>
          <w:rPr>
            <w:noProof/>
            <w:webHidden/>
          </w:rPr>
          <w:t>116</w:t>
        </w:r>
        <w:r w:rsidR="00DD1219">
          <w:rPr>
            <w:noProof/>
            <w:webHidden/>
          </w:rPr>
          <w:fldChar w:fldCharType="end"/>
        </w:r>
      </w:hyperlink>
    </w:p>
    <w:p w14:paraId="763260CF" w14:textId="7ACA17C1" w:rsidR="00DD1219" w:rsidRDefault="00C738AA">
      <w:pPr>
        <w:pStyle w:val="TM3"/>
        <w:rPr>
          <w:rFonts w:eastAsiaTheme="minorEastAsia"/>
          <w:noProof/>
          <w:kern w:val="2"/>
          <w:sz w:val="22"/>
          <w:szCs w:val="22"/>
          <w:lang w:val="fr-CA" w:eastAsia="fr-CA"/>
          <w14:ligatures w14:val="standardContextual"/>
        </w:rPr>
      </w:pPr>
      <w:hyperlink w:anchor="_Toc154048763" w:history="1">
        <w:r w:rsidR="00DD1219" w:rsidRPr="0002721E">
          <w:rPr>
            <w:rStyle w:val="Lienhypertexte"/>
            <w:noProof/>
          </w:rPr>
          <w:t>E27 Site</w:t>
        </w:r>
        <w:r w:rsidR="00DD1219">
          <w:rPr>
            <w:noProof/>
            <w:webHidden/>
          </w:rPr>
          <w:tab/>
        </w:r>
        <w:r w:rsidR="00DD1219">
          <w:rPr>
            <w:noProof/>
            <w:webHidden/>
          </w:rPr>
          <w:fldChar w:fldCharType="begin"/>
        </w:r>
        <w:r w:rsidR="00DD1219">
          <w:rPr>
            <w:noProof/>
            <w:webHidden/>
          </w:rPr>
          <w:instrText xml:space="preserve"> PAGEREF _Toc154048763 \h </w:instrText>
        </w:r>
        <w:r w:rsidR="00DD1219">
          <w:rPr>
            <w:noProof/>
            <w:webHidden/>
          </w:rPr>
        </w:r>
        <w:r w:rsidR="00DD1219">
          <w:rPr>
            <w:noProof/>
            <w:webHidden/>
          </w:rPr>
          <w:fldChar w:fldCharType="separate"/>
        </w:r>
        <w:r>
          <w:rPr>
            <w:noProof/>
            <w:webHidden/>
          </w:rPr>
          <w:t>117</w:t>
        </w:r>
        <w:r w:rsidR="00DD1219">
          <w:rPr>
            <w:noProof/>
            <w:webHidden/>
          </w:rPr>
          <w:fldChar w:fldCharType="end"/>
        </w:r>
      </w:hyperlink>
    </w:p>
    <w:p w14:paraId="05B8E64E" w14:textId="038FCD18" w:rsidR="00DD1219" w:rsidRDefault="00C738AA">
      <w:pPr>
        <w:pStyle w:val="TM3"/>
        <w:rPr>
          <w:rFonts w:eastAsiaTheme="minorEastAsia"/>
          <w:noProof/>
          <w:kern w:val="2"/>
          <w:sz w:val="22"/>
          <w:szCs w:val="22"/>
          <w:lang w:val="fr-CA" w:eastAsia="fr-CA"/>
          <w14:ligatures w14:val="standardContextual"/>
        </w:rPr>
      </w:pPr>
      <w:hyperlink w:anchor="_Toc154048764" w:history="1">
        <w:r w:rsidR="00DD1219" w:rsidRPr="0002721E">
          <w:rPr>
            <w:rStyle w:val="Lienhypertexte"/>
            <w:noProof/>
          </w:rPr>
          <w:t>E28 Objet conceptuel</w:t>
        </w:r>
        <w:r w:rsidR="00DD1219">
          <w:rPr>
            <w:noProof/>
            <w:webHidden/>
          </w:rPr>
          <w:tab/>
        </w:r>
        <w:r w:rsidR="00DD1219">
          <w:rPr>
            <w:noProof/>
            <w:webHidden/>
          </w:rPr>
          <w:fldChar w:fldCharType="begin"/>
        </w:r>
        <w:r w:rsidR="00DD1219">
          <w:rPr>
            <w:noProof/>
            <w:webHidden/>
          </w:rPr>
          <w:instrText xml:space="preserve"> PAGEREF _Toc154048764 \h </w:instrText>
        </w:r>
        <w:r w:rsidR="00DD1219">
          <w:rPr>
            <w:noProof/>
            <w:webHidden/>
          </w:rPr>
        </w:r>
        <w:r w:rsidR="00DD1219">
          <w:rPr>
            <w:noProof/>
            <w:webHidden/>
          </w:rPr>
          <w:fldChar w:fldCharType="separate"/>
        </w:r>
        <w:r>
          <w:rPr>
            <w:noProof/>
            <w:webHidden/>
          </w:rPr>
          <w:t>118</w:t>
        </w:r>
        <w:r w:rsidR="00DD1219">
          <w:rPr>
            <w:noProof/>
            <w:webHidden/>
          </w:rPr>
          <w:fldChar w:fldCharType="end"/>
        </w:r>
      </w:hyperlink>
    </w:p>
    <w:p w14:paraId="2167F09D" w14:textId="085ADBDE" w:rsidR="00DD1219" w:rsidRDefault="00C738AA">
      <w:pPr>
        <w:pStyle w:val="TM3"/>
        <w:rPr>
          <w:rFonts w:eastAsiaTheme="minorEastAsia"/>
          <w:noProof/>
          <w:kern w:val="2"/>
          <w:sz w:val="22"/>
          <w:szCs w:val="22"/>
          <w:lang w:val="fr-CA" w:eastAsia="fr-CA"/>
          <w14:ligatures w14:val="standardContextual"/>
        </w:rPr>
      </w:pPr>
      <w:hyperlink w:anchor="_Toc154048765" w:history="1">
        <w:r w:rsidR="00DD1219" w:rsidRPr="0002721E">
          <w:rPr>
            <w:rStyle w:val="Lienhypertexte"/>
            <w:noProof/>
          </w:rPr>
          <w:t>E29 Conceptualisation ou procédure</w:t>
        </w:r>
        <w:r w:rsidR="00DD1219">
          <w:rPr>
            <w:noProof/>
            <w:webHidden/>
          </w:rPr>
          <w:tab/>
        </w:r>
        <w:r w:rsidR="00DD1219">
          <w:rPr>
            <w:noProof/>
            <w:webHidden/>
          </w:rPr>
          <w:fldChar w:fldCharType="begin"/>
        </w:r>
        <w:r w:rsidR="00DD1219">
          <w:rPr>
            <w:noProof/>
            <w:webHidden/>
          </w:rPr>
          <w:instrText xml:space="preserve"> PAGEREF _Toc154048765 \h </w:instrText>
        </w:r>
        <w:r w:rsidR="00DD1219">
          <w:rPr>
            <w:noProof/>
            <w:webHidden/>
          </w:rPr>
        </w:r>
        <w:r w:rsidR="00DD1219">
          <w:rPr>
            <w:noProof/>
            <w:webHidden/>
          </w:rPr>
          <w:fldChar w:fldCharType="separate"/>
        </w:r>
        <w:r>
          <w:rPr>
            <w:noProof/>
            <w:webHidden/>
          </w:rPr>
          <w:t>119</w:t>
        </w:r>
        <w:r w:rsidR="00DD1219">
          <w:rPr>
            <w:noProof/>
            <w:webHidden/>
          </w:rPr>
          <w:fldChar w:fldCharType="end"/>
        </w:r>
      </w:hyperlink>
    </w:p>
    <w:p w14:paraId="2B868C4E" w14:textId="2317B920" w:rsidR="00DD1219" w:rsidRDefault="00C738AA">
      <w:pPr>
        <w:pStyle w:val="TM3"/>
        <w:rPr>
          <w:rFonts w:eastAsiaTheme="minorEastAsia"/>
          <w:noProof/>
          <w:kern w:val="2"/>
          <w:sz w:val="22"/>
          <w:szCs w:val="22"/>
          <w:lang w:val="fr-CA" w:eastAsia="fr-CA"/>
          <w14:ligatures w14:val="standardContextual"/>
        </w:rPr>
      </w:pPr>
      <w:hyperlink w:anchor="_Toc154048766" w:history="1">
        <w:r w:rsidR="00DD1219" w:rsidRPr="0002721E">
          <w:rPr>
            <w:rStyle w:val="Lienhypertexte"/>
            <w:noProof/>
          </w:rPr>
          <w:t>E30 Droit</w:t>
        </w:r>
        <w:r w:rsidR="00DD1219">
          <w:rPr>
            <w:noProof/>
            <w:webHidden/>
          </w:rPr>
          <w:tab/>
        </w:r>
        <w:r w:rsidR="00DD1219">
          <w:rPr>
            <w:noProof/>
            <w:webHidden/>
          </w:rPr>
          <w:fldChar w:fldCharType="begin"/>
        </w:r>
        <w:r w:rsidR="00DD1219">
          <w:rPr>
            <w:noProof/>
            <w:webHidden/>
          </w:rPr>
          <w:instrText xml:space="preserve"> PAGEREF _Toc154048766 \h </w:instrText>
        </w:r>
        <w:r w:rsidR="00DD1219">
          <w:rPr>
            <w:noProof/>
            <w:webHidden/>
          </w:rPr>
        </w:r>
        <w:r w:rsidR="00DD1219">
          <w:rPr>
            <w:noProof/>
            <w:webHidden/>
          </w:rPr>
          <w:fldChar w:fldCharType="separate"/>
        </w:r>
        <w:r>
          <w:rPr>
            <w:noProof/>
            <w:webHidden/>
          </w:rPr>
          <w:t>120</w:t>
        </w:r>
        <w:r w:rsidR="00DD1219">
          <w:rPr>
            <w:noProof/>
            <w:webHidden/>
          </w:rPr>
          <w:fldChar w:fldCharType="end"/>
        </w:r>
      </w:hyperlink>
    </w:p>
    <w:p w14:paraId="63C15AEF" w14:textId="0B86826B" w:rsidR="00DD1219" w:rsidRDefault="00C738AA">
      <w:pPr>
        <w:pStyle w:val="TM3"/>
        <w:rPr>
          <w:rFonts w:eastAsiaTheme="minorEastAsia"/>
          <w:noProof/>
          <w:kern w:val="2"/>
          <w:sz w:val="22"/>
          <w:szCs w:val="22"/>
          <w:lang w:val="fr-CA" w:eastAsia="fr-CA"/>
          <w14:ligatures w14:val="standardContextual"/>
        </w:rPr>
      </w:pPr>
      <w:hyperlink w:anchor="_Toc154048767" w:history="1">
        <w:r w:rsidR="00DD1219" w:rsidRPr="0002721E">
          <w:rPr>
            <w:rStyle w:val="Lienhypertexte"/>
            <w:noProof/>
          </w:rPr>
          <w:t>E31 Document</w:t>
        </w:r>
        <w:r w:rsidR="00DD1219">
          <w:rPr>
            <w:noProof/>
            <w:webHidden/>
          </w:rPr>
          <w:tab/>
        </w:r>
        <w:r w:rsidR="00DD1219">
          <w:rPr>
            <w:noProof/>
            <w:webHidden/>
          </w:rPr>
          <w:fldChar w:fldCharType="begin"/>
        </w:r>
        <w:r w:rsidR="00DD1219">
          <w:rPr>
            <w:noProof/>
            <w:webHidden/>
          </w:rPr>
          <w:instrText xml:space="preserve"> PAGEREF _Toc154048767 \h </w:instrText>
        </w:r>
        <w:r w:rsidR="00DD1219">
          <w:rPr>
            <w:noProof/>
            <w:webHidden/>
          </w:rPr>
        </w:r>
        <w:r w:rsidR="00DD1219">
          <w:rPr>
            <w:noProof/>
            <w:webHidden/>
          </w:rPr>
          <w:fldChar w:fldCharType="separate"/>
        </w:r>
        <w:r>
          <w:rPr>
            <w:noProof/>
            <w:webHidden/>
          </w:rPr>
          <w:t>121</w:t>
        </w:r>
        <w:r w:rsidR="00DD1219">
          <w:rPr>
            <w:noProof/>
            <w:webHidden/>
          </w:rPr>
          <w:fldChar w:fldCharType="end"/>
        </w:r>
      </w:hyperlink>
    </w:p>
    <w:p w14:paraId="0BCA716C" w14:textId="77A1DB64" w:rsidR="00DD1219" w:rsidRDefault="00C738AA">
      <w:pPr>
        <w:pStyle w:val="TM3"/>
        <w:rPr>
          <w:rFonts w:eastAsiaTheme="minorEastAsia"/>
          <w:noProof/>
          <w:kern w:val="2"/>
          <w:sz w:val="22"/>
          <w:szCs w:val="22"/>
          <w:lang w:val="fr-CA" w:eastAsia="fr-CA"/>
          <w14:ligatures w14:val="standardContextual"/>
        </w:rPr>
      </w:pPr>
      <w:hyperlink w:anchor="_Toc154048768" w:history="1">
        <w:r w:rsidR="00DD1219" w:rsidRPr="0002721E">
          <w:rPr>
            <w:rStyle w:val="Lienhypertexte"/>
            <w:noProof/>
          </w:rPr>
          <w:t>E32 Document de référence</w:t>
        </w:r>
        <w:r w:rsidR="00DD1219">
          <w:rPr>
            <w:noProof/>
            <w:webHidden/>
          </w:rPr>
          <w:tab/>
        </w:r>
        <w:r w:rsidR="00DD1219">
          <w:rPr>
            <w:noProof/>
            <w:webHidden/>
          </w:rPr>
          <w:fldChar w:fldCharType="begin"/>
        </w:r>
        <w:r w:rsidR="00DD1219">
          <w:rPr>
            <w:noProof/>
            <w:webHidden/>
          </w:rPr>
          <w:instrText xml:space="preserve"> PAGEREF _Toc154048768 \h </w:instrText>
        </w:r>
        <w:r w:rsidR="00DD1219">
          <w:rPr>
            <w:noProof/>
            <w:webHidden/>
          </w:rPr>
        </w:r>
        <w:r w:rsidR="00DD1219">
          <w:rPr>
            <w:noProof/>
            <w:webHidden/>
          </w:rPr>
          <w:fldChar w:fldCharType="separate"/>
        </w:r>
        <w:r>
          <w:rPr>
            <w:noProof/>
            <w:webHidden/>
          </w:rPr>
          <w:t>122</w:t>
        </w:r>
        <w:r w:rsidR="00DD1219">
          <w:rPr>
            <w:noProof/>
            <w:webHidden/>
          </w:rPr>
          <w:fldChar w:fldCharType="end"/>
        </w:r>
      </w:hyperlink>
    </w:p>
    <w:p w14:paraId="706DF39B" w14:textId="67AF9BC9" w:rsidR="00DD1219" w:rsidRDefault="00C738AA">
      <w:pPr>
        <w:pStyle w:val="TM3"/>
        <w:rPr>
          <w:rFonts w:eastAsiaTheme="minorEastAsia"/>
          <w:noProof/>
          <w:kern w:val="2"/>
          <w:sz w:val="22"/>
          <w:szCs w:val="22"/>
          <w:lang w:val="fr-CA" w:eastAsia="fr-CA"/>
          <w14:ligatures w14:val="standardContextual"/>
        </w:rPr>
      </w:pPr>
      <w:hyperlink w:anchor="_Toc154048769" w:history="1">
        <w:r w:rsidR="00DD1219" w:rsidRPr="0002721E">
          <w:rPr>
            <w:rStyle w:val="Lienhypertexte"/>
            <w:noProof/>
          </w:rPr>
          <w:t>E33 Objet linguistique</w:t>
        </w:r>
        <w:r w:rsidR="00DD1219">
          <w:rPr>
            <w:noProof/>
            <w:webHidden/>
          </w:rPr>
          <w:tab/>
        </w:r>
        <w:r w:rsidR="00DD1219">
          <w:rPr>
            <w:noProof/>
            <w:webHidden/>
          </w:rPr>
          <w:fldChar w:fldCharType="begin"/>
        </w:r>
        <w:r w:rsidR="00DD1219">
          <w:rPr>
            <w:noProof/>
            <w:webHidden/>
          </w:rPr>
          <w:instrText xml:space="preserve"> PAGEREF _Toc154048769 \h </w:instrText>
        </w:r>
        <w:r w:rsidR="00DD1219">
          <w:rPr>
            <w:noProof/>
            <w:webHidden/>
          </w:rPr>
        </w:r>
        <w:r w:rsidR="00DD1219">
          <w:rPr>
            <w:noProof/>
            <w:webHidden/>
          </w:rPr>
          <w:fldChar w:fldCharType="separate"/>
        </w:r>
        <w:r>
          <w:rPr>
            <w:noProof/>
            <w:webHidden/>
          </w:rPr>
          <w:t>122</w:t>
        </w:r>
        <w:r w:rsidR="00DD1219">
          <w:rPr>
            <w:noProof/>
            <w:webHidden/>
          </w:rPr>
          <w:fldChar w:fldCharType="end"/>
        </w:r>
      </w:hyperlink>
    </w:p>
    <w:p w14:paraId="45276410" w14:textId="3246D4C3" w:rsidR="00DD1219" w:rsidRDefault="00C738AA">
      <w:pPr>
        <w:pStyle w:val="TM3"/>
        <w:rPr>
          <w:rFonts w:eastAsiaTheme="minorEastAsia"/>
          <w:noProof/>
          <w:kern w:val="2"/>
          <w:sz w:val="22"/>
          <w:szCs w:val="22"/>
          <w:lang w:val="fr-CA" w:eastAsia="fr-CA"/>
          <w14:ligatures w14:val="standardContextual"/>
        </w:rPr>
      </w:pPr>
      <w:hyperlink w:anchor="_Toc154048770" w:history="1">
        <w:r w:rsidR="00DD1219" w:rsidRPr="0002721E">
          <w:rPr>
            <w:rStyle w:val="Lienhypertexte"/>
            <w:noProof/>
          </w:rPr>
          <w:t>E34 Inscription</w:t>
        </w:r>
        <w:r w:rsidR="00DD1219">
          <w:rPr>
            <w:noProof/>
            <w:webHidden/>
          </w:rPr>
          <w:tab/>
        </w:r>
        <w:r w:rsidR="00DD1219">
          <w:rPr>
            <w:noProof/>
            <w:webHidden/>
          </w:rPr>
          <w:fldChar w:fldCharType="begin"/>
        </w:r>
        <w:r w:rsidR="00DD1219">
          <w:rPr>
            <w:noProof/>
            <w:webHidden/>
          </w:rPr>
          <w:instrText xml:space="preserve"> PAGEREF _Toc154048770 \h </w:instrText>
        </w:r>
        <w:r w:rsidR="00DD1219">
          <w:rPr>
            <w:noProof/>
            <w:webHidden/>
          </w:rPr>
        </w:r>
        <w:r w:rsidR="00DD1219">
          <w:rPr>
            <w:noProof/>
            <w:webHidden/>
          </w:rPr>
          <w:fldChar w:fldCharType="separate"/>
        </w:r>
        <w:r>
          <w:rPr>
            <w:noProof/>
            <w:webHidden/>
          </w:rPr>
          <w:t>123</w:t>
        </w:r>
        <w:r w:rsidR="00DD1219">
          <w:rPr>
            <w:noProof/>
            <w:webHidden/>
          </w:rPr>
          <w:fldChar w:fldCharType="end"/>
        </w:r>
      </w:hyperlink>
    </w:p>
    <w:p w14:paraId="1336A33D" w14:textId="3BB4C49D" w:rsidR="00DD1219" w:rsidRDefault="00C738AA">
      <w:pPr>
        <w:pStyle w:val="TM3"/>
        <w:rPr>
          <w:rFonts w:eastAsiaTheme="minorEastAsia"/>
          <w:noProof/>
          <w:kern w:val="2"/>
          <w:sz w:val="22"/>
          <w:szCs w:val="22"/>
          <w:lang w:val="fr-CA" w:eastAsia="fr-CA"/>
          <w14:ligatures w14:val="standardContextual"/>
        </w:rPr>
      </w:pPr>
      <w:hyperlink w:anchor="_Toc154048771" w:history="1">
        <w:r w:rsidR="00DD1219" w:rsidRPr="0002721E">
          <w:rPr>
            <w:rStyle w:val="Lienhypertexte"/>
            <w:noProof/>
          </w:rPr>
          <w:t>E35 Titre</w:t>
        </w:r>
        <w:r w:rsidR="00DD1219">
          <w:rPr>
            <w:noProof/>
            <w:webHidden/>
          </w:rPr>
          <w:tab/>
        </w:r>
        <w:r w:rsidR="00DD1219">
          <w:rPr>
            <w:noProof/>
            <w:webHidden/>
          </w:rPr>
          <w:fldChar w:fldCharType="begin"/>
        </w:r>
        <w:r w:rsidR="00DD1219">
          <w:rPr>
            <w:noProof/>
            <w:webHidden/>
          </w:rPr>
          <w:instrText xml:space="preserve"> PAGEREF _Toc154048771 \h </w:instrText>
        </w:r>
        <w:r w:rsidR="00DD1219">
          <w:rPr>
            <w:noProof/>
            <w:webHidden/>
          </w:rPr>
        </w:r>
        <w:r w:rsidR="00DD1219">
          <w:rPr>
            <w:noProof/>
            <w:webHidden/>
          </w:rPr>
          <w:fldChar w:fldCharType="separate"/>
        </w:r>
        <w:r>
          <w:rPr>
            <w:noProof/>
            <w:webHidden/>
          </w:rPr>
          <w:t>124</w:t>
        </w:r>
        <w:r w:rsidR="00DD1219">
          <w:rPr>
            <w:noProof/>
            <w:webHidden/>
          </w:rPr>
          <w:fldChar w:fldCharType="end"/>
        </w:r>
      </w:hyperlink>
    </w:p>
    <w:p w14:paraId="32212471" w14:textId="2DB69622" w:rsidR="00DD1219" w:rsidRDefault="00C738AA">
      <w:pPr>
        <w:pStyle w:val="TM3"/>
        <w:rPr>
          <w:rFonts w:eastAsiaTheme="minorEastAsia"/>
          <w:noProof/>
          <w:kern w:val="2"/>
          <w:sz w:val="22"/>
          <w:szCs w:val="22"/>
          <w:lang w:val="fr-CA" w:eastAsia="fr-CA"/>
          <w14:ligatures w14:val="standardContextual"/>
        </w:rPr>
      </w:pPr>
      <w:hyperlink w:anchor="_Toc154048772" w:history="1">
        <w:r w:rsidR="00DD1219" w:rsidRPr="0002721E">
          <w:rPr>
            <w:rStyle w:val="Lienhypertexte"/>
            <w:noProof/>
          </w:rPr>
          <w:t>E36 Entité visuelle</w:t>
        </w:r>
        <w:r w:rsidR="00DD1219">
          <w:rPr>
            <w:noProof/>
            <w:webHidden/>
          </w:rPr>
          <w:tab/>
        </w:r>
        <w:r w:rsidR="00DD1219">
          <w:rPr>
            <w:noProof/>
            <w:webHidden/>
          </w:rPr>
          <w:fldChar w:fldCharType="begin"/>
        </w:r>
        <w:r w:rsidR="00DD1219">
          <w:rPr>
            <w:noProof/>
            <w:webHidden/>
          </w:rPr>
          <w:instrText xml:space="preserve"> PAGEREF _Toc154048772 \h </w:instrText>
        </w:r>
        <w:r w:rsidR="00DD1219">
          <w:rPr>
            <w:noProof/>
            <w:webHidden/>
          </w:rPr>
        </w:r>
        <w:r w:rsidR="00DD1219">
          <w:rPr>
            <w:noProof/>
            <w:webHidden/>
          </w:rPr>
          <w:fldChar w:fldCharType="separate"/>
        </w:r>
        <w:r>
          <w:rPr>
            <w:noProof/>
            <w:webHidden/>
          </w:rPr>
          <w:t>125</w:t>
        </w:r>
        <w:r w:rsidR="00DD1219">
          <w:rPr>
            <w:noProof/>
            <w:webHidden/>
          </w:rPr>
          <w:fldChar w:fldCharType="end"/>
        </w:r>
      </w:hyperlink>
    </w:p>
    <w:p w14:paraId="3C7FCF41" w14:textId="66337E3B" w:rsidR="00DD1219" w:rsidRDefault="00C738AA">
      <w:pPr>
        <w:pStyle w:val="TM3"/>
        <w:rPr>
          <w:rFonts w:eastAsiaTheme="minorEastAsia"/>
          <w:noProof/>
          <w:kern w:val="2"/>
          <w:sz w:val="22"/>
          <w:szCs w:val="22"/>
          <w:lang w:val="fr-CA" w:eastAsia="fr-CA"/>
          <w14:ligatures w14:val="standardContextual"/>
        </w:rPr>
      </w:pPr>
      <w:hyperlink w:anchor="_Toc154048773" w:history="1">
        <w:r w:rsidR="00DD1219" w:rsidRPr="0002721E">
          <w:rPr>
            <w:rStyle w:val="Lienhypertexte"/>
            <w:noProof/>
          </w:rPr>
          <w:t>E37 Marque</w:t>
        </w:r>
        <w:r w:rsidR="00DD1219">
          <w:rPr>
            <w:noProof/>
            <w:webHidden/>
          </w:rPr>
          <w:tab/>
        </w:r>
        <w:r w:rsidR="00DD1219">
          <w:rPr>
            <w:noProof/>
            <w:webHidden/>
          </w:rPr>
          <w:fldChar w:fldCharType="begin"/>
        </w:r>
        <w:r w:rsidR="00DD1219">
          <w:rPr>
            <w:noProof/>
            <w:webHidden/>
          </w:rPr>
          <w:instrText xml:space="preserve"> PAGEREF _Toc154048773 \h </w:instrText>
        </w:r>
        <w:r w:rsidR="00DD1219">
          <w:rPr>
            <w:noProof/>
            <w:webHidden/>
          </w:rPr>
        </w:r>
        <w:r w:rsidR="00DD1219">
          <w:rPr>
            <w:noProof/>
            <w:webHidden/>
          </w:rPr>
          <w:fldChar w:fldCharType="separate"/>
        </w:r>
        <w:r>
          <w:rPr>
            <w:noProof/>
            <w:webHidden/>
          </w:rPr>
          <w:t>126</w:t>
        </w:r>
        <w:r w:rsidR="00DD1219">
          <w:rPr>
            <w:noProof/>
            <w:webHidden/>
          </w:rPr>
          <w:fldChar w:fldCharType="end"/>
        </w:r>
      </w:hyperlink>
    </w:p>
    <w:p w14:paraId="0E3EC00A" w14:textId="1777D5F6" w:rsidR="00DD1219" w:rsidRDefault="00C738AA">
      <w:pPr>
        <w:pStyle w:val="TM3"/>
        <w:rPr>
          <w:rFonts w:eastAsiaTheme="minorEastAsia"/>
          <w:noProof/>
          <w:kern w:val="2"/>
          <w:sz w:val="22"/>
          <w:szCs w:val="22"/>
          <w:lang w:val="fr-CA" w:eastAsia="fr-CA"/>
          <w14:ligatures w14:val="standardContextual"/>
        </w:rPr>
      </w:pPr>
      <w:hyperlink w:anchor="_Toc154048774" w:history="1">
        <w:r w:rsidR="00DD1219" w:rsidRPr="0002721E">
          <w:rPr>
            <w:rStyle w:val="Lienhypertexte"/>
            <w:noProof/>
          </w:rPr>
          <w:t>E39 Actant</w:t>
        </w:r>
        <w:r w:rsidR="00DD1219">
          <w:rPr>
            <w:noProof/>
            <w:webHidden/>
          </w:rPr>
          <w:tab/>
        </w:r>
        <w:r w:rsidR="00DD1219">
          <w:rPr>
            <w:noProof/>
            <w:webHidden/>
          </w:rPr>
          <w:fldChar w:fldCharType="begin"/>
        </w:r>
        <w:r w:rsidR="00DD1219">
          <w:rPr>
            <w:noProof/>
            <w:webHidden/>
          </w:rPr>
          <w:instrText xml:space="preserve"> PAGEREF _Toc154048774 \h </w:instrText>
        </w:r>
        <w:r w:rsidR="00DD1219">
          <w:rPr>
            <w:noProof/>
            <w:webHidden/>
          </w:rPr>
        </w:r>
        <w:r w:rsidR="00DD1219">
          <w:rPr>
            <w:noProof/>
            <w:webHidden/>
          </w:rPr>
          <w:fldChar w:fldCharType="separate"/>
        </w:r>
        <w:r>
          <w:rPr>
            <w:noProof/>
            <w:webHidden/>
          </w:rPr>
          <w:t>127</w:t>
        </w:r>
        <w:r w:rsidR="00DD1219">
          <w:rPr>
            <w:noProof/>
            <w:webHidden/>
          </w:rPr>
          <w:fldChar w:fldCharType="end"/>
        </w:r>
      </w:hyperlink>
    </w:p>
    <w:p w14:paraId="185A07CB" w14:textId="233D646A" w:rsidR="00DD1219" w:rsidRDefault="00C738AA">
      <w:pPr>
        <w:pStyle w:val="TM3"/>
        <w:rPr>
          <w:rFonts w:eastAsiaTheme="minorEastAsia"/>
          <w:noProof/>
          <w:kern w:val="2"/>
          <w:sz w:val="22"/>
          <w:szCs w:val="22"/>
          <w:lang w:val="fr-CA" w:eastAsia="fr-CA"/>
          <w14:ligatures w14:val="standardContextual"/>
        </w:rPr>
      </w:pPr>
      <w:hyperlink w:anchor="_Toc154048775" w:history="1">
        <w:r w:rsidR="00DD1219" w:rsidRPr="0002721E">
          <w:rPr>
            <w:rStyle w:val="Lienhypertexte"/>
            <w:noProof/>
          </w:rPr>
          <w:t>E41 Appellation</w:t>
        </w:r>
        <w:r w:rsidR="00DD1219">
          <w:rPr>
            <w:noProof/>
            <w:webHidden/>
          </w:rPr>
          <w:tab/>
        </w:r>
        <w:r w:rsidR="00DD1219">
          <w:rPr>
            <w:noProof/>
            <w:webHidden/>
          </w:rPr>
          <w:fldChar w:fldCharType="begin"/>
        </w:r>
        <w:r w:rsidR="00DD1219">
          <w:rPr>
            <w:noProof/>
            <w:webHidden/>
          </w:rPr>
          <w:instrText xml:space="preserve"> PAGEREF _Toc154048775 \h </w:instrText>
        </w:r>
        <w:r w:rsidR="00DD1219">
          <w:rPr>
            <w:noProof/>
            <w:webHidden/>
          </w:rPr>
        </w:r>
        <w:r w:rsidR="00DD1219">
          <w:rPr>
            <w:noProof/>
            <w:webHidden/>
          </w:rPr>
          <w:fldChar w:fldCharType="separate"/>
        </w:r>
        <w:r>
          <w:rPr>
            <w:noProof/>
            <w:webHidden/>
          </w:rPr>
          <w:t>128</w:t>
        </w:r>
        <w:r w:rsidR="00DD1219">
          <w:rPr>
            <w:noProof/>
            <w:webHidden/>
          </w:rPr>
          <w:fldChar w:fldCharType="end"/>
        </w:r>
      </w:hyperlink>
    </w:p>
    <w:p w14:paraId="50E9A726" w14:textId="13089BCB" w:rsidR="00DD1219" w:rsidRDefault="00C738AA">
      <w:pPr>
        <w:pStyle w:val="TM3"/>
        <w:rPr>
          <w:rFonts w:eastAsiaTheme="minorEastAsia"/>
          <w:noProof/>
          <w:kern w:val="2"/>
          <w:sz w:val="22"/>
          <w:szCs w:val="22"/>
          <w:lang w:val="fr-CA" w:eastAsia="fr-CA"/>
          <w14:ligatures w14:val="standardContextual"/>
        </w:rPr>
      </w:pPr>
      <w:hyperlink w:anchor="_Toc154048776" w:history="1">
        <w:r w:rsidR="00DD1219" w:rsidRPr="0002721E">
          <w:rPr>
            <w:rStyle w:val="Lienhypertexte"/>
            <w:noProof/>
          </w:rPr>
          <w:t>E42 Identifiant</w:t>
        </w:r>
        <w:r w:rsidR="00DD1219">
          <w:rPr>
            <w:noProof/>
            <w:webHidden/>
          </w:rPr>
          <w:tab/>
        </w:r>
        <w:r w:rsidR="00DD1219">
          <w:rPr>
            <w:noProof/>
            <w:webHidden/>
          </w:rPr>
          <w:fldChar w:fldCharType="begin"/>
        </w:r>
        <w:r w:rsidR="00DD1219">
          <w:rPr>
            <w:noProof/>
            <w:webHidden/>
          </w:rPr>
          <w:instrText xml:space="preserve"> PAGEREF _Toc154048776 \h </w:instrText>
        </w:r>
        <w:r w:rsidR="00DD1219">
          <w:rPr>
            <w:noProof/>
            <w:webHidden/>
          </w:rPr>
        </w:r>
        <w:r w:rsidR="00DD1219">
          <w:rPr>
            <w:noProof/>
            <w:webHidden/>
          </w:rPr>
          <w:fldChar w:fldCharType="separate"/>
        </w:r>
        <w:r>
          <w:rPr>
            <w:noProof/>
            <w:webHidden/>
          </w:rPr>
          <w:t>130</w:t>
        </w:r>
        <w:r w:rsidR="00DD1219">
          <w:rPr>
            <w:noProof/>
            <w:webHidden/>
          </w:rPr>
          <w:fldChar w:fldCharType="end"/>
        </w:r>
      </w:hyperlink>
    </w:p>
    <w:p w14:paraId="2EBE43AF" w14:textId="272FDF66" w:rsidR="00DD1219" w:rsidRDefault="00C738AA">
      <w:pPr>
        <w:pStyle w:val="TM3"/>
        <w:rPr>
          <w:rFonts w:eastAsiaTheme="minorEastAsia"/>
          <w:noProof/>
          <w:kern w:val="2"/>
          <w:sz w:val="22"/>
          <w:szCs w:val="22"/>
          <w:lang w:val="fr-CA" w:eastAsia="fr-CA"/>
          <w14:ligatures w14:val="standardContextual"/>
        </w:rPr>
      </w:pPr>
      <w:hyperlink w:anchor="_Toc154048777" w:history="1">
        <w:r w:rsidR="00DD1219" w:rsidRPr="0002721E">
          <w:rPr>
            <w:rStyle w:val="Lienhypertexte"/>
            <w:noProof/>
          </w:rPr>
          <w:t>E52 Intervalle temporel</w:t>
        </w:r>
        <w:r w:rsidR="00DD1219">
          <w:rPr>
            <w:noProof/>
            <w:webHidden/>
          </w:rPr>
          <w:tab/>
        </w:r>
        <w:r w:rsidR="00DD1219">
          <w:rPr>
            <w:noProof/>
            <w:webHidden/>
          </w:rPr>
          <w:fldChar w:fldCharType="begin"/>
        </w:r>
        <w:r w:rsidR="00DD1219">
          <w:rPr>
            <w:noProof/>
            <w:webHidden/>
          </w:rPr>
          <w:instrText xml:space="preserve"> PAGEREF _Toc154048777 \h </w:instrText>
        </w:r>
        <w:r w:rsidR="00DD1219">
          <w:rPr>
            <w:noProof/>
            <w:webHidden/>
          </w:rPr>
        </w:r>
        <w:r w:rsidR="00DD1219">
          <w:rPr>
            <w:noProof/>
            <w:webHidden/>
          </w:rPr>
          <w:fldChar w:fldCharType="separate"/>
        </w:r>
        <w:r>
          <w:rPr>
            <w:noProof/>
            <w:webHidden/>
          </w:rPr>
          <w:t>131</w:t>
        </w:r>
        <w:r w:rsidR="00DD1219">
          <w:rPr>
            <w:noProof/>
            <w:webHidden/>
          </w:rPr>
          <w:fldChar w:fldCharType="end"/>
        </w:r>
      </w:hyperlink>
    </w:p>
    <w:p w14:paraId="5437531C" w14:textId="270CB53D" w:rsidR="00DD1219" w:rsidRDefault="00C738AA">
      <w:pPr>
        <w:pStyle w:val="TM3"/>
        <w:rPr>
          <w:rFonts w:eastAsiaTheme="minorEastAsia"/>
          <w:noProof/>
          <w:kern w:val="2"/>
          <w:sz w:val="22"/>
          <w:szCs w:val="22"/>
          <w:lang w:val="fr-CA" w:eastAsia="fr-CA"/>
          <w14:ligatures w14:val="standardContextual"/>
        </w:rPr>
      </w:pPr>
      <w:hyperlink w:anchor="_Toc154048778" w:history="1">
        <w:r w:rsidR="00DD1219" w:rsidRPr="0002721E">
          <w:rPr>
            <w:rStyle w:val="Lienhypertexte"/>
            <w:noProof/>
          </w:rPr>
          <w:t>E53 Lieu</w:t>
        </w:r>
        <w:r w:rsidR="00DD1219">
          <w:rPr>
            <w:noProof/>
            <w:webHidden/>
          </w:rPr>
          <w:tab/>
        </w:r>
        <w:r w:rsidR="00DD1219">
          <w:rPr>
            <w:noProof/>
            <w:webHidden/>
          </w:rPr>
          <w:fldChar w:fldCharType="begin"/>
        </w:r>
        <w:r w:rsidR="00DD1219">
          <w:rPr>
            <w:noProof/>
            <w:webHidden/>
          </w:rPr>
          <w:instrText xml:space="preserve"> PAGEREF _Toc154048778 \h </w:instrText>
        </w:r>
        <w:r w:rsidR="00DD1219">
          <w:rPr>
            <w:noProof/>
            <w:webHidden/>
          </w:rPr>
        </w:r>
        <w:r w:rsidR="00DD1219">
          <w:rPr>
            <w:noProof/>
            <w:webHidden/>
          </w:rPr>
          <w:fldChar w:fldCharType="separate"/>
        </w:r>
        <w:r>
          <w:rPr>
            <w:noProof/>
            <w:webHidden/>
          </w:rPr>
          <w:t>132</w:t>
        </w:r>
        <w:r w:rsidR="00DD1219">
          <w:rPr>
            <w:noProof/>
            <w:webHidden/>
          </w:rPr>
          <w:fldChar w:fldCharType="end"/>
        </w:r>
      </w:hyperlink>
    </w:p>
    <w:p w14:paraId="697C3E66" w14:textId="48E052F3" w:rsidR="00DD1219" w:rsidRDefault="00C738AA">
      <w:pPr>
        <w:pStyle w:val="TM3"/>
        <w:rPr>
          <w:rFonts w:eastAsiaTheme="minorEastAsia"/>
          <w:noProof/>
          <w:kern w:val="2"/>
          <w:sz w:val="22"/>
          <w:szCs w:val="22"/>
          <w:lang w:val="fr-CA" w:eastAsia="fr-CA"/>
          <w14:ligatures w14:val="standardContextual"/>
        </w:rPr>
      </w:pPr>
      <w:hyperlink w:anchor="_Toc154048779" w:history="1">
        <w:r w:rsidR="00DD1219" w:rsidRPr="0002721E">
          <w:rPr>
            <w:rStyle w:val="Lienhypertexte"/>
            <w:noProof/>
          </w:rPr>
          <w:t>E54 Dimension</w:t>
        </w:r>
        <w:r w:rsidR="00DD1219">
          <w:rPr>
            <w:noProof/>
            <w:webHidden/>
          </w:rPr>
          <w:tab/>
        </w:r>
        <w:r w:rsidR="00DD1219">
          <w:rPr>
            <w:noProof/>
            <w:webHidden/>
          </w:rPr>
          <w:fldChar w:fldCharType="begin"/>
        </w:r>
        <w:r w:rsidR="00DD1219">
          <w:rPr>
            <w:noProof/>
            <w:webHidden/>
          </w:rPr>
          <w:instrText xml:space="preserve"> PAGEREF _Toc154048779 \h </w:instrText>
        </w:r>
        <w:r w:rsidR="00DD1219">
          <w:rPr>
            <w:noProof/>
            <w:webHidden/>
          </w:rPr>
        </w:r>
        <w:r w:rsidR="00DD1219">
          <w:rPr>
            <w:noProof/>
            <w:webHidden/>
          </w:rPr>
          <w:fldChar w:fldCharType="separate"/>
        </w:r>
        <w:r>
          <w:rPr>
            <w:noProof/>
            <w:webHidden/>
          </w:rPr>
          <w:t>134</w:t>
        </w:r>
        <w:r w:rsidR="00DD1219">
          <w:rPr>
            <w:noProof/>
            <w:webHidden/>
          </w:rPr>
          <w:fldChar w:fldCharType="end"/>
        </w:r>
      </w:hyperlink>
    </w:p>
    <w:p w14:paraId="5E72B81A" w14:textId="50545032" w:rsidR="00DD1219" w:rsidRDefault="00C738AA">
      <w:pPr>
        <w:pStyle w:val="TM3"/>
        <w:rPr>
          <w:rFonts w:eastAsiaTheme="minorEastAsia"/>
          <w:noProof/>
          <w:kern w:val="2"/>
          <w:sz w:val="22"/>
          <w:szCs w:val="22"/>
          <w:lang w:val="fr-CA" w:eastAsia="fr-CA"/>
          <w14:ligatures w14:val="standardContextual"/>
        </w:rPr>
      </w:pPr>
      <w:hyperlink w:anchor="_Toc154048780" w:history="1">
        <w:r w:rsidR="00DD1219" w:rsidRPr="0002721E">
          <w:rPr>
            <w:rStyle w:val="Lienhypertexte"/>
            <w:noProof/>
          </w:rPr>
          <w:t>E55 Type</w:t>
        </w:r>
        <w:r w:rsidR="00DD1219">
          <w:rPr>
            <w:noProof/>
            <w:webHidden/>
          </w:rPr>
          <w:tab/>
        </w:r>
        <w:r w:rsidR="00DD1219">
          <w:rPr>
            <w:noProof/>
            <w:webHidden/>
          </w:rPr>
          <w:fldChar w:fldCharType="begin"/>
        </w:r>
        <w:r w:rsidR="00DD1219">
          <w:rPr>
            <w:noProof/>
            <w:webHidden/>
          </w:rPr>
          <w:instrText xml:space="preserve"> PAGEREF _Toc154048780 \h </w:instrText>
        </w:r>
        <w:r w:rsidR="00DD1219">
          <w:rPr>
            <w:noProof/>
            <w:webHidden/>
          </w:rPr>
        </w:r>
        <w:r w:rsidR="00DD1219">
          <w:rPr>
            <w:noProof/>
            <w:webHidden/>
          </w:rPr>
          <w:fldChar w:fldCharType="separate"/>
        </w:r>
        <w:r>
          <w:rPr>
            <w:noProof/>
            <w:webHidden/>
          </w:rPr>
          <w:t>135</w:t>
        </w:r>
        <w:r w:rsidR="00DD1219">
          <w:rPr>
            <w:noProof/>
            <w:webHidden/>
          </w:rPr>
          <w:fldChar w:fldCharType="end"/>
        </w:r>
      </w:hyperlink>
    </w:p>
    <w:p w14:paraId="720DB09B" w14:textId="27539090" w:rsidR="00DD1219" w:rsidRDefault="00C738AA">
      <w:pPr>
        <w:pStyle w:val="TM3"/>
        <w:rPr>
          <w:rFonts w:eastAsiaTheme="minorEastAsia"/>
          <w:noProof/>
          <w:kern w:val="2"/>
          <w:sz w:val="22"/>
          <w:szCs w:val="22"/>
          <w:lang w:val="fr-CA" w:eastAsia="fr-CA"/>
          <w14:ligatures w14:val="standardContextual"/>
        </w:rPr>
      </w:pPr>
      <w:hyperlink w:anchor="_Toc154048781" w:history="1">
        <w:r w:rsidR="00DD1219" w:rsidRPr="0002721E">
          <w:rPr>
            <w:rStyle w:val="Lienhypertexte"/>
            <w:noProof/>
          </w:rPr>
          <w:t>E56 Langue</w:t>
        </w:r>
        <w:r w:rsidR="00DD1219">
          <w:rPr>
            <w:noProof/>
            <w:webHidden/>
          </w:rPr>
          <w:tab/>
        </w:r>
        <w:r w:rsidR="00DD1219">
          <w:rPr>
            <w:noProof/>
            <w:webHidden/>
          </w:rPr>
          <w:fldChar w:fldCharType="begin"/>
        </w:r>
        <w:r w:rsidR="00DD1219">
          <w:rPr>
            <w:noProof/>
            <w:webHidden/>
          </w:rPr>
          <w:instrText xml:space="preserve"> PAGEREF _Toc154048781 \h </w:instrText>
        </w:r>
        <w:r w:rsidR="00DD1219">
          <w:rPr>
            <w:noProof/>
            <w:webHidden/>
          </w:rPr>
        </w:r>
        <w:r w:rsidR="00DD1219">
          <w:rPr>
            <w:noProof/>
            <w:webHidden/>
          </w:rPr>
          <w:fldChar w:fldCharType="separate"/>
        </w:r>
        <w:r>
          <w:rPr>
            <w:noProof/>
            <w:webHidden/>
          </w:rPr>
          <w:t>136</w:t>
        </w:r>
        <w:r w:rsidR="00DD1219">
          <w:rPr>
            <w:noProof/>
            <w:webHidden/>
          </w:rPr>
          <w:fldChar w:fldCharType="end"/>
        </w:r>
      </w:hyperlink>
    </w:p>
    <w:p w14:paraId="123D317B" w14:textId="4A540E72" w:rsidR="00DD1219" w:rsidRDefault="00C738AA">
      <w:pPr>
        <w:pStyle w:val="TM3"/>
        <w:rPr>
          <w:rFonts w:eastAsiaTheme="minorEastAsia"/>
          <w:noProof/>
          <w:kern w:val="2"/>
          <w:sz w:val="22"/>
          <w:szCs w:val="22"/>
          <w:lang w:val="fr-CA" w:eastAsia="fr-CA"/>
          <w14:ligatures w14:val="standardContextual"/>
        </w:rPr>
      </w:pPr>
      <w:hyperlink w:anchor="_Toc154048782" w:history="1">
        <w:r w:rsidR="00DD1219" w:rsidRPr="0002721E">
          <w:rPr>
            <w:rStyle w:val="Lienhypertexte"/>
            <w:noProof/>
          </w:rPr>
          <w:t>E57 Matériau</w:t>
        </w:r>
        <w:r w:rsidR="00DD1219">
          <w:rPr>
            <w:noProof/>
            <w:webHidden/>
          </w:rPr>
          <w:tab/>
        </w:r>
        <w:r w:rsidR="00DD1219">
          <w:rPr>
            <w:noProof/>
            <w:webHidden/>
          </w:rPr>
          <w:fldChar w:fldCharType="begin"/>
        </w:r>
        <w:r w:rsidR="00DD1219">
          <w:rPr>
            <w:noProof/>
            <w:webHidden/>
          </w:rPr>
          <w:instrText xml:space="preserve"> PAGEREF _Toc154048782 \h </w:instrText>
        </w:r>
        <w:r w:rsidR="00DD1219">
          <w:rPr>
            <w:noProof/>
            <w:webHidden/>
          </w:rPr>
        </w:r>
        <w:r w:rsidR="00DD1219">
          <w:rPr>
            <w:noProof/>
            <w:webHidden/>
          </w:rPr>
          <w:fldChar w:fldCharType="separate"/>
        </w:r>
        <w:r>
          <w:rPr>
            <w:noProof/>
            <w:webHidden/>
          </w:rPr>
          <w:t>137</w:t>
        </w:r>
        <w:r w:rsidR="00DD1219">
          <w:rPr>
            <w:noProof/>
            <w:webHidden/>
          </w:rPr>
          <w:fldChar w:fldCharType="end"/>
        </w:r>
      </w:hyperlink>
    </w:p>
    <w:p w14:paraId="50A0093C" w14:textId="1401D354" w:rsidR="00DD1219" w:rsidRDefault="00C738AA">
      <w:pPr>
        <w:pStyle w:val="TM3"/>
        <w:rPr>
          <w:rFonts w:eastAsiaTheme="minorEastAsia"/>
          <w:noProof/>
          <w:kern w:val="2"/>
          <w:sz w:val="22"/>
          <w:szCs w:val="22"/>
          <w:lang w:val="fr-CA" w:eastAsia="fr-CA"/>
          <w14:ligatures w14:val="standardContextual"/>
        </w:rPr>
      </w:pPr>
      <w:hyperlink w:anchor="_Toc154048783" w:history="1">
        <w:r w:rsidR="00DD1219" w:rsidRPr="0002721E">
          <w:rPr>
            <w:rStyle w:val="Lienhypertexte"/>
            <w:noProof/>
          </w:rPr>
          <w:t>E58 Unité de mesure</w:t>
        </w:r>
        <w:r w:rsidR="00DD1219">
          <w:rPr>
            <w:noProof/>
            <w:webHidden/>
          </w:rPr>
          <w:tab/>
        </w:r>
        <w:r w:rsidR="00DD1219">
          <w:rPr>
            <w:noProof/>
            <w:webHidden/>
          </w:rPr>
          <w:fldChar w:fldCharType="begin"/>
        </w:r>
        <w:r w:rsidR="00DD1219">
          <w:rPr>
            <w:noProof/>
            <w:webHidden/>
          </w:rPr>
          <w:instrText xml:space="preserve"> PAGEREF _Toc154048783 \h </w:instrText>
        </w:r>
        <w:r w:rsidR="00DD1219">
          <w:rPr>
            <w:noProof/>
            <w:webHidden/>
          </w:rPr>
        </w:r>
        <w:r w:rsidR="00DD1219">
          <w:rPr>
            <w:noProof/>
            <w:webHidden/>
          </w:rPr>
          <w:fldChar w:fldCharType="separate"/>
        </w:r>
        <w:r>
          <w:rPr>
            <w:noProof/>
            <w:webHidden/>
          </w:rPr>
          <w:t>138</w:t>
        </w:r>
        <w:r w:rsidR="00DD1219">
          <w:rPr>
            <w:noProof/>
            <w:webHidden/>
          </w:rPr>
          <w:fldChar w:fldCharType="end"/>
        </w:r>
      </w:hyperlink>
    </w:p>
    <w:p w14:paraId="268F1C90" w14:textId="23378ABD" w:rsidR="00DD1219" w:rsidRDefault="00C738AA">
      <w:pPr>
        <w:pStyle w:val="TM3"/>
        <w:rPr>
          <w:rFonts w:eastAsiaTheme="minorEastAsia"/>
          <w:noProof/>
          <w:kern w:val="2"/>
          <w:sz w:val="22"/>
          <w:szCs w:val="22"/>
          <w:lang w:val="fr-CA" w:eastAsia="fr-CA"/>
          <w14:ligatures w14:val="standardContextual"/>
        </w:rPr>
      </w:pPr>
      <w:hyperlink w:anchor="_Toc154048784" w:history="1">
        <w:r w:rsidR="00DD1219" w:rsidRPr="0002721E">
          <w:rPr>
            <w:rStyle w:val="Lienhypertexte"/>
            <w:noProof/>
          </w:rPr>
          <w:t>E59 Valeur primitive</w:t>
        </w:r>
        <w:r w:rsidR="00DD1219">
          <w:rPr>
            <w:noProof/>
            <w:webHidden/>
          </w:rPr>
          <w:tab/>
        </w:r>
        <w:r w:rsidR="00DD1219">
          <w:rPr>
            <w:noProof/>
            <w:webHidden/>
          </w:rPr>
          <w:fldChar w:fldCharType="begin"/>
        </w:r>
        <w:r w:rsidR="00DD1219">
          <w:rPr>
            <w:noProof/>
            <w:webHidden/>
          </w:rPr>
          <w:instrText xml:space="preserve"> PAGEREF _Toc154048784 \h </w:instrText>
        </w:r>
        <w:r w:rsidR="00DD1219">
          <w:rPr>
            <w:noProof/>
            <w:webHidden/>
          </w:rPr>
        </w:r>
        <w:r w:rsidR="00DD1219">
          <w:rPr>
            <w:noProof/>
            <w:webHidden/>
          </w:rPr>
          <w:fldChar w:fldCharType="separate"/>
        </w:r>
        <w:r>
          <w:rPr>
            <w:noProof/>
            <w:webHidden/>
          </w:rPr>
          <w:t>138</w:t>
        </w:r>
        <w:r w:rsidR="00DD1219">
          <w:rPr>
            <w:noProof/>
            <w:webHidden/>
          </w:rPr>
          <w:fldChar w:fldCharType="end"/>
        </w:r>
      </w:hyperlink>
    </w:p>
    <w:p w14:paraId="5B478B04" w14:textId="04C2D440" w:rsidR="00DD1219" w:rsidRDefault="00C738AA">
      <w:pPr>
        <w:pStyle w:val="TM3"/>
        <w:rPr>
          <w:rFonts w:eastAsiaTheme="minorEastAsia"/>
          <w:noProof/>
          <w:kern w:val="2"/>
          <w:sz w:val="22"/>
          <w:szCs w:val="22"/>
          <w:lang w:val="fr-CA" w:eastAsia="fr-CA"/>
          <w14:ligatures w14:val="standardContextual"/>
        </w:rPr>
      </w:pPr>
      <w:hyperlink w:anchor="_Toc154048785" w:history="1">
        <w:r w:rsidR="00DD1219" w:rsidRPr="0002721E">
          <w:rPr>
            <w:rStyle w:val="Lienhypertexte"/>
            <w:noProof/>
          </w:rPr>
          <w:t>E60 Nombre</w:t>
        </w:r>
        <w:r w:rsidR="00DD1219">
          <w:rPr>
            <w:noProof/>
            <w:webHidden/>
          </w:rPr>
          <w:tab/>
        </w:r>
        <w:r w:rsidR="00DD1219">
          <w:rPr>
            <w:noProof/>
            <w:webHidden/>
          </w:rPr>
          <w:fldChar w:fldCharType="begin"/>
        </w:r>
        <w:r w:rsidR="00DD1219">
          <w:rPr>
            <w:noProof/>
            <w:webHidden/>
          </w:rPr>
          <w:instrText xml:space="preserve"> PAGEREF _Toc154048785 \h </w:instrText>
        </w:r>
        <w:r w:rsidR="00DD1219">
          <w:rPr>
            <w:noProof/>
            <w:webHidden/>
          </w:rPr>
        </w:r>
        <w:r w:rsidR="00DD1219">
          <w:rPr>
            <w:noProof/>
            <w:webHidden/>
          </w:rPr>
          <w:fldChar w:fldCharType="separate"/>
        </w:r>
        <w:r>
          <w:rPr>
            <w:noProof/>
            <w:webHidden/>
          </w:rPr>
          <w:t>140</w:t>
        </w:r>
        <w:r w:rsidR="00DD1219">
          <w:rPr>
            <w:noProof/>
            <w:webHidden/>
          </w:rPr>
          <w:fldChar w:fldCharType="end"/>
        </w:r>
      </w:hyperlink>
    </w:p>
    <w:p w14:paraId="62ACF5F6" w14:textId="52F6B40E" w:rsidR="00DD1219" w:rsidRDefault="00C738AA">
      <w:pPr>
        <w:pStyle w:val="TM3"/>
        <w:rPr>
          <w:rFonts w:eastAsiaTheme="minorEastAsia"/>
          <w:noProof/>
          <w:kern w:val="2"/>
          <w:sz w:val="22"/>
          <w:szCs w:val="22"/>
          <w:lang w:val="fr-CA" w:eastAsia="fr-CA"/>
          <w14:ligatures w14:val="standardContextual"/>
        </w:rPr>
      </w:pPr>
      <w:hyperlink w:anchor="_Toc154048786" w:history="1">
        <w:r w:rsidR="00DD1219" w:rsidRPr="0002721E">
          <w:rPr>
            <w:rStyle w:val="Lienhypertexte"/>
            <w:noProof/>
          </w:rPr>
          <w:t>E61 Primitive temporelle</w:t>
        </w:r>
        <w:r w:rsidR="00DD1219">
          <w:rPr>
            <w:noProof/>
            <w:webHidden/>
          </w:rPr>
          <w:tab/>
        </w:r>
        <w:r w:rsidR="00DD1219">
          <w:rPr>
            <w:noProof/>
            <w:webHidden/>
          </w:rPr>
          <w:fldChar w:fldCharType="begin"/>
        </w:r>
        <w:r w:rsidR="00DD1219">
          <w:rPr>
            <w:noProof/>
            <w:webHidden/>
          </w:rPr>
          <w:instrText xml:space="preserve"> PAGEREF _Toc154048786 \h </w:instrText>
        </w:r>
        <w:r w:rsidR="00DD1219">
          <w:rPr>
            <w:noProof/>
            <w:webHidden/>
          </w:rPr>
        </w:r>
        <w:r w:rsidR="00DD1219">
          <w:rPr>
            <w:noProof/>
            <w:webHidden/>
          </w:rPr>
          <w:fldChar w:fldCharType="separate"/>
        </w:r>
        <w:r>
          <w:rPr>
            <w:noProof/>
            <w:webHidden/>
          </w:rPr>
          <w:t>140</w:t>
        </w:r>
        <w:r w:rsidR="00DD1219">
          <w:rPr>
            <w:noProof/>
            <w:webHidden/>
          </w:rPr>
          <w:fldChar w:fldCharType="end"/>
        </w:r>
      </w:hyperlink>
    </w:p>
    <w:p w14:paraId="2064D295" w14:textId="395A336E" w:rsidR="00DD1219" w:rsidRDefault="00C738AA">
      <w:pPr>
        <w:pStyle w:val="TM3"/>
        <w:rPr>
          <w:rFonts w:eastAsiaTheme="minorEastAsia"/>
          <w:noProof/>
          <w:kern w:val="2"/>
          <w:sz w:val="22"/>
          <w:szCs w:val="22"/>
          <w:lang w:val="fr-CA" w:eastAsia="fr-CA"/>
          <w14:ligatures w14:val="standardContextual"/>
        </w:rPr>
      </w:pPr>
      <w:hyperlink w:anchor="_Toc154048787" w:history="1">
        <w:r w:rsidR="00DD1219" w:rsidRPr="0002721E">
          <w:rPr>
            <w:rStyle w:val="Lienhypertexte"/>
            <w:noProof/>
          </w:rPr>
          <w:t>E62 Chaîne de caractères</w:t>
        </w:r>
        <w:r w:rsidR="00DD1219">
          <w:rPr>
            <w:noProof/>
            <w:webHidden/>
          </w:rPr>
          <w:tab/>
        </w:r>
        <w:r w:rsidR="00DD1219">
          <w:rPr>
            <w:noProof/>
            <w:webHidden/>
          </w:rPr>
          <w:fldChar w:fldCharType="begin"/>
        </w:r>
        <w:r w:rsidR="00DD1219">
          <w:rPr>
            <w:noProof/>
            <w:webHidden/>
          </w:rPr>
          <w:instrText xml:space="preserve"> PAGEREF _Toc154048787 \h </w:instrText>
        </w:r>
        <w:r w:rsidR="00DD1219">
          <w:rPr>
            <w:noProof/>
            <w:webHidden/>
          </w:rPr>
        </w:r>
        <w:r w:rsidR="00DD1219">
          <w:rPr>
            <w:noProof/>
            <w:webHidden/>
          </w:rPr>
          <w:fldChar w:fldCharType="separate"/>
        </w:r>
        <w:r>
          <w:rPr>
            <w:noProof/>
            <w:webHidden/>
          </w:rPr>
          <w:t>141</w:t>
        </w:r>
        <w:r w:rsidR="00DD1219">
          <w:rPr>
            <w:noProof/>
            <w:webHidden/>
          </w:rPr>
          <w:fldChar w:fldCharType="end"/>
        </w:r>
      </w:hyperlink>
    </w:p>
    <w:p w14:paraId="56EF6D67" w14:textId="3C79B6D9" w:rsidR="00DD1219" w:rsidRDefault="00C738AA">
      <w:pPr>
        <w:pStyle w:val="TM3"/>
        <w:rPr>
          <w:rFonts w:eastAsiaTheme="minorEastAsia"/>
          <w:noProof/>
          <w:kern w:val="2"/>
          <w:sz w:val="22"/>
          <w:szCs w:val="22"/>
          <w:lang w:val="fr-CA" w:eastAsia="fr-CA"/>
          <w14:ligatures w14:val="standardContextual"/>
        </w:rPr>
      </w:pPr>
      <w:hyperlink w:anchor="_Toc154048788" w:history="1">
        <w:r w:rsidR="00DD1219" w:rsidRPr="0002721E">
          <w:rPr>
            <w:rStyle w:val="Lienhypertexte"/>
            <w:noProof/>
          </w:rPr>
          <w:t>E63 Début d’existence</w:t>
        </w:r>
        <w:r w:rsidR="00DD1219">
          <w:rPr>
            <w:noProof/>
            <w:webHidden/>
          </w:rPr>
          <w:tab/>
        </w:r>
        <w:r w:rsidR="00DD1219">
          <w:rPr>
            <w:noProof/>
            <w:webHidden/>
          </w:rPr>
          <w:fldChar w:fldCharType="begin"/>
        </w:r>
        <w:r w:rsidR="00DD1219">
          <w:rPr>
            <w:noProof/>
            <w:webHidden/>
          </w:rPr>
          <w:instrText xml:space="preserve"> PAGEREF _Toc154048788 \h </w:instrText>
        </w:r>
        <w:r w:rsidR="00DD1219">
          <w:rPr>
            <w:noProof/>
            <w:webHidden/>
          </w:rPr>
        </w:r>
        <w:r w:rsidR="00DD1219">
          <w:rPr>
            <w:noProof/>
            <w:webHidden/>
          </w:rPr>
          <w:fldChar w:fldCharType="separate"/>
        </w:r>
        <w:r>
          <w:rPr>
            <w:noProof/>
            <w:webHidden/>
          </w:rPr>
          <w:t>142</w:t>
        </w:r>
        <w:r w:rsidR="00DD1219">
          <w:rPr>
            <w:noProof/>
            <w:webHidden/>
          </w:rPr>
          <w:fldChar w:fldCharType="end"/>
        </w:r>
      </w:hyperlink>
    </w:p>
    <w:p w14:paraId="3A44E900" w14:textId="5456BFA9" w:rsidR="00DD1219" w:rsidRDefault="00C738AA">
      <w:pPr>
        <w:pStyle w:val="TM3"/>
        <w:rPr>
          <w:rFonts w:eastAsiaTheme="minorEastAsia"/>
          <w:noProof/>
          <w:kern w:val="2"/>
          <w:sz w:val="22"/>
          <w:szCs w:val="22"/>
          <w:lang w:val="fr-CA" w:eastAsia="fr-CA"/>
          <w14:ligatures w14:val="standardContextual"/>
        </w:rPr>
      </w:pPr>
      <w:hyperlink w:anchor="_Toc154048789" w:history="1">
        <w:r w:rsidR="00DD1219" w:rsidRPr="0002721E">
          <w:rPr>
            <w:rStyle w:val="Lienhypertexte"/>
            <w:noProof/>
          </w:rPr>
          <w:t>E64 Fin d’existence</w:t>
        </w:r>
        <w:r w:rsidR="00DD1219">
          <w:rPr>
            <w:noProof/>
            <w:webHidden/>
          </w:rPr>
          <w:tab/>
        </w:r>
        <w:r w:rsidR="00DD1219">
          <w:rPr>
            <w:noProof/>
            <w:webHidden/>
          </w:rPr>
          <w:fldChar w:fldCharType="begin"/>
        </w:r>
        <w:r w:rsidR="00DD1219">
          <w:rPr>
            <w:noProof/>
            <w:webHidden/>
          </w:rPr>
          <w:instrText xml:space="preserve"> PAGEREF _Toc154048789 \h </w:instrText>
        </w:r>
        <w:r w:rsidR="00DD1219">
          <w:rPr>
            <w:noProof/>
            <w:webHidden/>
          </w:rPr>
        </w:r>
        <w:r w:rsidR="00DD1219">
          <w:rPr>
            <w:noProof/>
            <w:webHidden/>
          </w:rPr>
          <w:fldChar w:fldCharType="separate"/>
        </w:r>
        <w:r>
          <w:rPr>
            <w:noProof/>
            <w:webHidden/>
          </w:rPr>
          <w:t>143</w:t>
        </w:r>
        <w:r w:rsidR="00DD1219">
          <w:rPr>
            <w:noProof/>
            <w:webHidden/>
          </w:rPr>
          <w:fldChar w:fldCharType="end"/>
        </w:r>
      </w:hyperlink>
    </w:p>
    <w:p w14:paraId="00AB8403" w14:textId="0910BE9A" w:rsidR="00DD1219" w:rsidRDefault="00C738AA">
      <w:pPr>
        <w:pStyle w:val="TM3"/>
        <w:rPr>
          <w:rFonts w:eastAsiaTheme="minorEastAsia"/>
          <w:noProof/>
          <w:kern w:val="2"/>
          <w:sz w:val="22"/>
          <w:szCs w:val="22"/>
          <w:lang w:val="fr-CA" w:eastAsia="fr-CA"/>
          <w14:ligatures w14:val="standardContextual"/>
        </w:rPr>
      </w:pPr>
      <w:hyperlink w:anchor="_Toc154048790" w:history="1">
        <w:r w:rsidR="00DD1219" w:rsidRPr="0002721E">
          <w:rPr>
            <w:rStyle w:val="Lienhypertexte"/>
            <w:noProof/>
          </w:rPr>
          <w:t>E65 Création</w:t>
        </w:r>
        <w:r w:rsidR="00DD1219">
          <w:rPr>
            <w:noProof/>
            <w:webHidden/>
          </w:rPr>
          <w:tab/>
        </w:r>
        <w:r w:rsidR="00DD1219">
          <w:rPr>
            <w:noProof/>
            <w:webHidden/>
          </w:rPr>
          <w:fldChar w:fldCharType="begin"/>
        </w:r>
        <w:r w:rsidR="00DD1219">
          <w:rPr>
            <w:noProof/>
            <w:webHidden/>
          </w:rPr>
          <w:instrText xml:space="preserve"> PAGEREF _Toc154048790 \h </w:instrText>
        </w:r>
        <w:r w:rsidR="00DD1219">
          <w:rPr>
            <w:noProof/>
            <w:webHidden/>
          </w:rPr>
        </w:r>
        <w:r w:rsidR="00DD1219">
          <w:rPr>
            <w:noProof/>
            <w:webHidden/>
          </w:rPr>
          <w:fldChar w:fldCharType="separate"/>
        </w:r>
        <w:r>
          <w:rPr>
            <w:noProof/>
            <w:webHidden/>
          </w:rPr>
          <w:t>144</w:t>
        </w:r>
        <w:r w:rsidR="00DD1219">
          <w:rPr>
            <w:noProof/>
            <w:webHidden/>
          </w:rPr>
          <w:fldChar w:fldCharType="end"/>
        </w:r>
      </w:hyperlink>
    </w:p>
    <w:p w14:paraId="4EF426DA" w14:textId="5F96EAD7" w:rsidR="00DD1219" w:rsidRDefault="00C738AA">
      <w:pPr>
        <w:pStyle w:val="TM3"/>
        <w:rPr>
          <w:rFonts w:eastAsiaTheme="minorEastAsia"/>
          <w:noProof/>
          <w:kern w:val="2"/>
          <w:sz w:val="22"/>
          <w:szCs w:val="22"/>
          <w:lang w:val="fr-CA" w:eastAsia="fr-CA"/>
          <w14:ligatures w14:val="standardContextual"/>
        </w:rPr>
      </w:pPr>
      <w:hyperlink w:anchor="_Toc154048791" w:history="1">
        <w:r w:rsidR="00DD1219" w:rsidRPr="0002721E">
          <w:rPr>
            <w:rStyle w:val="Lienhypertexte"/>
            <w:noProof/>
          </w:rPr>
          <w:t>E66 Formation</w:t>
        </w:r>
        <w:r w:rsidR="00DD1219">
          <w:rPr>
            <w:noProof/>
            <w:webHidden/>
          </w:rPr>
          <w:tab/>
        </w:r>
        <w:r w:rsidR="00DD1219">
          <w:rPr>
            <w:noProof/>
            <w:webHidden/>
          </w:rPr>
          <w:fldChar w:fldCharType="begin"/>
        </w:r>
        <w:r w:rsidR="00DD1219">
          <w:rPr>
            <w:noProof/>
            <w:webHidden/>
          </w:rPr>
          <w:instrText xml:space="preserve"> PAGEREF _Toc154048791 \h </w:instrText>
        </w:r>
        <w:r w:rsidR="00DD1219">
          <w:rPr>
            <w:noProof/>
            <w:webHidden/>
          </w:rPr>
        </w:r>
        <w:r w:rsidR="00DD1219">
          <w:rPr>
            <w:noProof/>
            <w:webHidden/>
          </w:rPr>
          <w:fldChar w:fldCharType="separate"/>
        </w:r>
        <w:r>
          <w:rPr>
            <w:noProof/>
            <w:webHidden/>
          </w:rPr>
          <w:t>145</w:t>
        </w:r>
        <w:r w:rsidR="00DD1219">
          <w:rPr>
            <w:noProof/>
            <w:webHidden/>
          </w:rPr>
          <w:fldChar w:fldCharType="end"/>
        </w:r>
      </w:hyperlink>
    </w:p>
    <w:p w14:paraId="07836925" w14:textId="3AC5570D" w:rsidR="00DD1219" w:rsidRDefault="00C738AA">
      <w:pPr>
        <w:pStyle w:val="TM3"/>
        <w:rPr>
          <w:rFonts w:eastAsiaTheme="minorEastAsia"/>
          <w:noProof/>
          <w:kern w:val="2"/>
          <w:sz w:val="22"/>
          <w:szCs w:val="22"/>
          <w:lang w:val="fr-CA" w:eastAsia="fr-CA"/>
          <w14:ligatures w14:val="standardContextual"/>
        </w:rPr>
      </w:pPr>
      <w:hyperlink w:anchor="_Toc154048792" w:history="1">
        <w:r w:rsidR="00DD1219" w:rsidRPr="0002721E">
          <w:rPr>
            <w:rStyle w:val="Lienhypertexte"/>
            <w:noProof/>
          </w:rPr>
          <w:t>E67 Naissance</w:t>
        </w:r>
        <w:r w:rsidR="00DD1219">
          <w:rPr>
            <w:noProof/>
            <w:webHidden/>
          </w:rPr>
          <w:tab/>
        </w:r>
        <w:r w:rsidR="00DD1219">
          <w:rPr>
            <w:noProof/>
            <w:webHidden/>
          </w:rPr>
          <w:fldChar w:fldCharType="begin"/>
        </w:r>
        <w:r w:rsidR="00DD1219">
          <w:rPr>
            <w:noProof/>
            <w:webHidden/>
          </w:rPr>
          <w:instrText xml:space="preserve"> PAGEREF _Toc154048792 \h </w:instrText>
        </w:r>
        <w:r w:rsidR="00DD1219">
          <w:rPr>
            <w:noProof/>
            <w:webHidden/>
          </w:rPr>
        </w:r>
        <w:r w:rsidR="00DD1219">
          <w:rPr>
            <w:noProof/>
            <w:webHidden/>
          </w:rPr>
          <w:fldChar w:fldCharType="separate"/>
        </w:r>
        <w:r>
          <w:rPr>
            <w:noProof/>
            <w:webHidden/>
          </w:rPr>
          <w:t>146</w:t>
        </w:r>
        <w:r w:rsidR="00DD1219">
          <w:rPr>
            <w:noProof/>
            <w:webHidden/>
          </w:rPr>
          <w:fldChar w:fldCharType="end"/>
        </w:r>
      </w:hyperlink>
    </w:p>
    <w:p w14:paraId="57655741" w14:textId="53AF8642" w:rsidR="00DD1219" w:rsidRDefault="00C738AA">
      <w:pPr>
        <w:pStyle w:val="TM3"/>
        <w:rPr>
          <w:rFonts w:eastAsiaTheme="minorEastAsia"/>
          <w:noProof/>
          <w:kern w:val="2"/>
          <w:sz w:val="22"/>
          <w:szCs w:val="22"/>
          <w:lang w:val="fr-CA" w:eastAsia="fr-CA"/>
          <w14:ligatures w14:val="standardContextual"/>
        </w:rPr>
      </w:pPr>
      <w:hyperlink w:anchor="_Toc154048793" w:history="1">
        <w:r w:rsidR="00DD1219" w:rsidRPr="0002721E">
          <w:rPr>
            <w:rStyle w:val="Lienhypertexte"/>
            <w:noProof/>
          </w:rPr>
          <w:t>E68 Dissolution</w:t>
        </w:r>
        <w:r w:rsidR="00DD1219">
          <w:rPr>
            <w:noProof/>
            <w:webHidden/>
          </w:rPr>
          <w:tab/>
        </w:r>
        <w:r w:rsidR="00DD1219">
          <w:rPr>
            <w:noProof/>
            <w:webHidden/>
          </w:rPr>
          <w:fldChar w:fldCharType="begin"/>
        </w:r>
        <w:r w:rsidR="00DD1219">
          <w:rPr>
            <w:noProof/>
            <w:webHidden/>
          </w:rPr>
          <w:instrText xml:space="preserve"> PAGEREF _Toc154048793 \h </w:instrText>
        </w:r>
        <w:r w:rsidR="00DD1219">
          <w:rPr>
            <w:noProof/>
            <w:webHidden/>
          </w:rPr>
        </w:r>
        <w:r w:rsidR="00DD1219">
          <w:rPr>
            <w:noProof/>
            <w:webHidden/>
          </w:rPr>
          <w:fldChar w:fldCharType="separate"/>
        </w:r>
        <w:r>
          <w:rPr>
            <w:noProof/>
            <w:webHidden/>
          </w:rPr>
          <w:t>146</w:t>
        </w:r>
        <w:r w:rsidR="00DD1219">
          <w:rPr>
            <w:noProof/>
            <w:webHidden/>
          </w:rPr>
          <w:fldChar w:fldCharType="end"/>
        </w:r>
      </w:hyperlink>
    </w:p>
    <w:p w14:paraId="65D135E6" w14:textId="116CF573" w:rsidR="00DD1219" w:rsidRDefault="00C738AA">
      <w:pPr>
        <w:pStyle w:val="TM3"/>
        <w:rPr>
          <w:rFonts w:eastAsiaTheme="minorEastAsia"/>
          <w:noProof/>
          <w:kern w:val="2"/>
          <w:sz w:val="22"/>
          <w:szCs w:val="22"/>
          <w:lang w:val="fr-CA" w:eastAsia="fr-CA"/>
          <w14:ligatures w14:val="standardContextual"/>
        </w:rPr>
      </w:pPr>
      <w:hyperlink w:anchor="_Toc154048794" w:history="1">
        <w:r w:rsidR="00DD1219" w:rsidRPr="0002721E">
          <w:rPr>
            <w:rStyle w:val="Lienhypertexte"/>
            <w:noProof/>
          </w:rPr>
          <w:t>E69 Mort</w:t>
        </w:r>
        <w:r w:rsidR="00DD1219">
          <w:rPr>
            <w:noProof/>
            <w:webHidden/>
          </w:rPr>
          <w:tab/>
        </w:r>
        <w:r w:rsidR="00DD1219">
          <w:rPr>
            <w:noProof/>
            <w:webHidden/>
          </w:rPr>
          <w:fldChar w:fldCharType="begin"/>
        </w:r>
        <w:r w:rsidR="00DD1219">
          <w:rPr>
            <w:noProof/>
            <w:webHidden/>
          </w:rPr>
          <w:instrText xml:space="preserve"> PAGEREF _Toc154048794 \h </w:instrText>
        </w:r>
        <w:r w:rsidR="00DD1219">
          <w:rPr>
            <w:noProof/>
            <w:webHidden/>
          </w:rPr>
        </w:r>
        <w:r w:rsidR="00DD1219">
          <w:rPr>
            <w:noProof/>
            <w:webHidden/>
          </w:rPr>
          <w:fldChar w:fldCharType="separate"/>
        </w:r>
        <w:r>
          <w:rPr>
            <w:noProof/>
            <w:webHidden/>
          </w:rPr>
          <w:t>147</w:t>
        </w:r>
        <w:r w:rsidR="00DD1219">
          <w:rPr>
            <w:noProof/>
            <w:webHidden/>
          </w:rPr>
          <w:fldChar w:fldCharType="end"/>
        </w:r>
      </w:hyperlink>
    </w:p>
    <w:p w14:paraId="260D97DE" w14:textId="1DB342B7" w:rsidR="00DD1219" w:rsidRDefault="00C738AA">
      <w:pPr>
        <w:pStyle w:val="TM3"/>
        <w:rPr>
          <w:rFonts w:eastAsiaTheme="minorEastAsia"/>
          <w:noProof/>
          <w:kern w:val="2"/>
          <w:sz w:val="22"/>
          <w:szCs w:val="22"/>
          <w:lang w:val="fr-CA" w:eastAsia="fr-CA"/>
          <w14:ligatures w14:val="standardContextual"/>
        </w:rPr>
      </w:pPr>
      <w:hyperlink w:anchor="_Toc154048795" w:history="1">
        <w:r w:rsidR="00DD1219" w:rsidRPr="0002721E">
          <w:rPr>
            <w:rStyle w:val="Lienhypertexte"/>
            <w:noProof/>
          </w:rPr>
          <w:t>E70 Chose</w:t>
        </w:r>
        <w:r w:rsidR="00DD1219">
          <w:rPr>
            <w:noProof/>
            <w:webHidden/>
          </w:rPr>
          <w:tab/>
        </w:r>
        <w:r w:rsidR="00DD1219">
          <w:rPr>
            <w:noProof/>
            <w:webHidden/>
          </w:rPr>
          <w:fldChar w:fldCharType="begin"/>
        </w:r>
        <w:r w:rsidR="00DD1219">
          <w:rPr>
            <w:noProof/>
            <w:webHidden/>
          </w:rPr>
          <w:instrText xml:space="preserve"> PAGEREF _Toc154048795 \h </w:instrText>
        </w:r>
        <w:r w:rsidR="00DD1219">
          <w:rPr>
            <w:noProof/>
            <w:webHidden/>
          </w:rPr>
        </w:r>
        <w:r w:rsidR="00DD1219">
          <w:rPr>
            <w:noProof/>
            <w:webHidden/>
          </w:rPr>
          <w:fldChar w:fldCharType="separate"/>
        </w:r>
        <w:r>
          <w:rPr>
            <w:noProof/>
            <w:webHidden/>
          </w:rPr>
          <w:t>148</w:t>
        </w:r>
        <w:r w:rsidR="00DD1219">
          <w:rPr>
            <w:noProof/>
            <w:webHidden/>
          </w:rPr>
          <w:fldChar w:fldCharType="end"/>
        </w:r>
      </w:hyperlink>
    </w:p>
    <w:p w14:paraId="7287D4EB" w14:textId="58A502BF" w:rsidR="00DD1219" w:rsidRDefault="00C738AA">
      <w:pPr>
        <w:pStyle w:val="TM3"/>
        <w:rPr>
          <w:rFonts w:eastAsiaTheme="minorEastAsia"/>
          <w:noProof/>
          <w:kern w:val="2"/>
          <w:sz w:val="22"/>
          <w:szCs w:val="22"/>
          <w:lang w:val="fr-CA" w:eastAsia="fr-CA"/>
          <w14:ligatures w14:val="standardContextual"/>
        </w:rPr>
      </w:pPr>
      <w:hyperlink w:anchor="_Toc154048796" w:history="1">
        <w:r w:rsidR="00DD1219" w:rsidRPr="0002721E">
          <w:rPr>
            <w:rStyle w:val="Lienhypertexte"/>
            <w:noProof/>
          </w:rPr>
          <w:t>E71 Chose élaborée par l’humain</w:t>
        </w:r>
        <w:r w:rsidR="00DD1219">
          <w:rPr>
            <w:noProof/>
            <w:webHidden/>
          </w:rPr>
          <w:tab/>
        </w:r>
        <w:r w:rsidR="00DD1219">
          <w:rPr>
            <w:noProof/>
            <w:webHidden/>
          </w:rPr>
          <w:fldChar w:fldCharType="begin"/>
        </w:r>
        <w:r w:rsidR="00DD1219">
          <w:rPr>
            <w:noProof/>
            <w:webHidden/>
          </w:rPr>
          <w:instrText xml:space="preserve"> PAGEREF _Toc154048796 \h </w:instrText>
        </w:r>
        <w:r w:rsidR="00DD1219">
          <w:rPr>
            <w:noProof/>
            <w:webHidden/>
          </w:rPr>
        </w:r>
        <w:r w:rsidR="00DD1219">
          <w:rPr>
            <w:noProof/>
            <w:webHidden/>
          </w:rPr>
          <w:fldChar w:fldCharType="separate"/>
        </w:r>
        <w:r>
          <w:rPr>
            <w:noProof/>
            <w:webHidden/>
          </w:rPr>
          <w:t>149</w:t>
        </w:r>
        <w:r w:rsidR="00DD1219">
          <w:rPr>
            <w:noProof/>
            <w:webHidden/>
          </w:rPr>
          <w:fldChar w:fldCharType="end"/>
        </w:r>
      </w:hyperlink>
    </w:p>
    <w:p w14:paraId="60004131" w14:textId="54A3C95F" w:rsidR="00DD1219" w:rsidRDefault="00C738AA">
      <w:pPr>
        <w:pStyle w:val="TM3"/>
        <w:rPr>
          <w:rFonts w:eastAsiaTheme="minorEastAsia"/>
          <w:noProof/>
          <w:kern w:val="2"/>
          <w:sz w:val="22"/>
          <w:szCs w:val="22"/>
          <w:lang w:val="fr-CA" w:eastAsia="fr-CA"/>
          <w14:ligatures w14:val="standardContextual"/>
        </w:rPr>
      </w:pPr>
      <w:hyperlink w:anchor="_Toc154048797" w:history="1">
        <w:r w:rsidR="00DD1219" w:rsidRPr="0002721E">
          <w:rPr>
            <w:rStyle w:val="Lienhypertexte"/>
            <w:noProof/>
          </w:rPr>
          <w:t>E72 Objet juridique</w:t>
        </w:r>
        <w:r w:rsidR="00DD1219">
          <w:rPr>
            <w:noProof/>
            <w:webHidden/>
          </w:rPr>
          <w:tab/>
        </w:r>
        <w:r w:rsidR="00DD1219">
          <w:rPr>
            <w:noProof/>
            <w:webHidden/>
          </w:rPr>
          <w:fldChar w:fldCharType="begin"/>
        </w:r>
        <w:r w:rsidR="00DD1219">
          <w:rPr>
            <w:noProof/>
            <w:webHidden/>
          </w:rPr>
          <w:instrText xml:space="preserve"> PAGEREF _Toc154048797 \h </w:instrText>
        </w:r>
        <w:r w:rsidR="00DD1219">
          <w:rPr>
            <w:noProof/>
            <w:webHidden/>
          </w:rPr>
        </w:r>
        <w:r w:rsidR="00DD1219">
          <w:rPr>
            <w:noProof/>
            <w:webHidden/>
          </w:rPr>
          <w:fldChar w:fldCharType="separate"/>
        </w:r>
        <w:r>
          <w:rPr>
            <w:noProof/>
            <w:webHidden/>
          </w:rPr>
          <w:t>149</w:t>
        </w:r>
        <w:r w:rsidR="00DD1219">
          <w:rPr>
            <w:noProof/>
            <w:webHidden/>
          </w:rPr>
          <w:fldChar w:fldCharType="end"/>
        </w:r>
      </w:hyperlink>
    </w:p>
    <w:p w14:paraId="04D1DE87" w14:textId="15D39FCA" w:rsidR="00DD1219" w:rsidRDefault="00C738AA">
      <w:pPr>
        <w:pStyle w:val="TM3"/>
        <w:rPr>
          <w:rFonts w:eastAsiaTheme="minorEastAsia"/>
          <w:noProof/>
          <w:kern w:val="2"/>
          <w:sz w:val="22"/>
          <w:szCs w:val="22"/>
          <w:lang w:val="fr-CA" w:eastAsia="fr-CA"/>
          <w14:ligatures w14:val="standardContextual"/>
        </w:rPr>
      </w:pPr>
      <w:hyperlink w:anchor="_Toc154048798" w:history="1">
        <w:r w:rsidR="00DD1219" w:rsidRPr="0002721E">
          <w:rPr>
            <w:rStyle w:val="Lienhypertexte"/>
            <w:noProof/>
          </w:rPr>
          <w:t>E73 Objet informationnel</w:t>
        </w:r>
        <w:r w:rsidR="00DD1219">
          <w:rPr>
            <w:noProof/>
            <w:webHidden/>
          </w:rPr>
          <w:tab/>
        </w:r>
        <w:r w:rsidR="00DD1219">
          <w:rPr>
            <w:noProof/>
            <w:webHidden/>
          </w:rPr>
          <w:fldChar w:fldCharType="begin"/>
        </w:r>
        <w:r w:rsidR="00DD1219">
          <w:rPr>
            <w:noProof/>
            <w:webHidden/>
          </w:rPr>
          <w:instrText xml:space="preserve"> PAGEREF _Toc154048798 \h </w:instrText>
        </w:r>
        <w:r w:rsidR="00DD1219">
          <w:rPr>
            <w:noProof/>
            <w:webHidden/>
          </w:rPr>
        </w:r>
        <w:r w:rsidR="00DD1219">
          <w:rPr>
            <w:noProof/>
            <w:webHidden/>
          </w:rPr>
          <w:fldChar w:fldCharType="separate"/>
        </w:r>
        <w:r>
          <w:rPr>
            <w:noProof/>
            <w:webHidden/>
          </w:rPr>
          <w:t>150</w:t>
        </w:r>
        <w:r w:rsidR="00DD1219">
          <w:rPr>
            <w:noProof/>
            <w:webHidden/>
          </w:rPr>
          <w:fldChar w:fldCharType="end"/>
        </w:r>
      </w:hyperlink>
    </w:p>
    <w:p w14:paraId="02529FD6" w14:textId="667538EC" w:rsidR="00DD1219" w:rsidRDefault="00C738AA">
      <w:pPr>
        <w:pStyle w:val="TM3"/>
        <w:rPr>
          <w:rFonts w:eastAsiaTheme="minorEastAsia"/>
          <w:noProof/>
          <w:kern w:val="2"/>
          <w:sz w:val="22"/>
          <w:szCs w:val="22"/>
          <w:lang w:val="fr-CA" w:eastAsia="fr-CA"/>
          <w14:ligatures w14:val="standardContextual"/>
        </w:rPr>
      </w:pPr>
      <w:hyperlink w:anchor="_Toc154048799" w:history="1">
        <w:r w:rsidR="00DD1219" w:rsidRPr="0002721E">
          <w:rPr>
            <w:rStyle w:val="Lienhypertexte"/>
            <w:noProof/>
          </w:rPr>
          <w:t>E74 Groupe</w:t>
        </w:r>
        <w:r w:rsidR="00DD1219">
          <w:rPr>
            <w:noProof/>
            <w:webHidden/>
          </w:rPr>
          <w:tab/>
        </w:r>
        <w:r w:rsidR="00DD1219">
          <w:rPr>
            <w:noProof/>
            <w:webHidden/>
          </w:rPr>
          <w:fldChar w:fldCharType="begin"/>
        </w:r>
        <w:r w:rsidR="00DD1219">
          <w:rPr>
            <w:noProof/>
            <w:webHidden/>
          </w:rPr>
          <w:instrText xml:space="preserve"> PAGEREF _Toc154048799 \h </w:instrText>
        </w:r>
        <w:r w:rsidR="00DD1219">
          <w:rPr>
            <w:noProof/>
            <w:webHidden/>
          </w:rPr>
        </w:r>
        <w:r w:rsidR="00DD1219">
          <w:rPr>
            <w:noProof/>
            <w:webHidden/>
          </w:rPr>
          <w:fldChar w:fldCharType="separate"/>
        </w:r>
        <w:r>
          <w:rPr>
            <w:noProof/>
            <w:webHidden/>
          </w:rPr>
          <w:t>151</w:t>
        </w:r>
        <w:r w:rsidR="00DD1219">
          <w:rPr>
            <w:noProof/>
            <w:webHidden/>
          </w:rPr>
          <w:fldChar w:fldCharType="end"/>
        </w:r>
      </w:hyperlink>
    </w:p>
    <w:p w14:paraId="36CA9076" w14:textId="5F1625AD" w:rsidR="00DD1219" w:rsidRDefault="00C738AA">
      <w:pPr>
        <w:pStyle w:val="TM3"/>
        <w:rPr>
          <w:rFonts w:eastAsiaTheme="minorEastAsia"/>
          <w:noProof/>
          <w:kern w:val="2"/>
          <w:sz w:val="22"/>
          <w:szCs w:val="22"/>
          <w:lang w:val="fr-CA" w:eastAsia="fr-CA"/>
          <w14:ligatures w14:val="standardContextual"/>
        </w:rPr>
      </w:pPr>
      <w:hyperlink w:anchor="_Toc154048800" w:history="1">
        <w:r w:rsidR="00DD1219" w:rsidRPr="0002721E">
          <w:rPr>
            <w:rStyle w:val="Lienhypertexte"/>
            <w:noProof/>
          </w:rPr>
          <w:t>E77 Entité persistante</w:t>
        </w:r>
        <w:r w:rsidR="00DD1219">
          <w:rPr>
            <w:noProof/>
            <w:webHidden/>
          </w:rPr>
          <w:tab/>
        </w:r>
        <w:r w:rsidR="00DD1219">
          <w:rPr>
            <w:noProof/>
            <w:webHidden/>
          </w:rPr>
          <w:fldChar w:fldCharType="begin"/>
        </w:r>
        <w:r w:rsidR="00DD1219">
          <w:rPr>
            <w:noProof/>
            <w:webHidden/>
          </w:rPr>
          <w:instrText xml:space="preserve"> PAGEREF _Toc154048800 \h </w:instrText>
        </w:r>
        <w:r w:rsidR="00DD1219">
          <w:rPr>
            <w:noProof/>
            <w:webHidden/>
          </w:rPr>
        </w:r>
        <w:r w:rsidR="00DD1219">
          <w:rPr>
            <w:noProof/>
            <w:webHidden/>
          </w:rPr>
          <w:fldChar w:fldCharType="separate"/>
        </w:r>
        <w:r>
          <w:rPr>
            <w:noProof/>
            <w:webHidden/>
          </w:rPr>
          <w:t>152</w:t>
        </w:r>
        <w:r w:rsidR="00DD1219">
          <w:rPr>
            <w:noProof/>
            <w:webHidden/>
          </w:rPr>
          <w:fldChar w:fldCharType="end"/>
        </w:r>
      </w:hyperlink>
    </w:p>
    <w:p w14:paraId="1414CFCC" w14:textId="24B9FEDE" w:rsidR="00DD1219" w:rsidRDefault="00C738AA">
      <w:pPr>
        <w:pStyle w:val="TM3"/>
        <w:rPr>
          <w:rFonts w:eastAsiaTheme="minorEastAsia"/>
          <w:noProof/>
          <w:kern w:val="2"/>
          <w:sz w:val="22"/>
          <w:szCs w:val="22"/>
          <w:lang w:val="fr-CA" w:eastAsia="fr-CA"/>
          <w14:ligatures w14:val="standardContextual"/>
        </w:rPr>
      </w:pPr>
      <w:hyperlink w:anchor="_Toc154048801" w:history="1">
        <w:r w:rsidR="00DD1219" w:rsidRPr="0002721E">
          <w:rPr>
            <w:rStyle w:val="Lienhypertexte"/>
            <w:noProof/>
          </w:rPr>
          <w:t>E78 Collection</w:t>
        </w:r>
        <w:r w:rsidR="00DD1219">
          <w:rPr>
            <w:noProof/>
            <w:webHidden/>
          </w:rPr>
          <w:tab/>
        </w:r>
        <w:r w:rsidR="00DD1219">
          <w:rPr>
            <w:noProof/>
            <w:webHidden/>
          </w:rPr>
          <w:fldChar w:fldCharType="begin"/>
        </w:r>
        <w:r w:rsidR="00DD1219">
          <w:rPr>
            <w:noProof/>
            <w:webHidden/>
          </w:rPr>
          <w:instrText xml:space="preserve"> PAGEREF _Toc154048801 \h </w:instrText>
        </w:r>
        <w:r w:rsidR="00DD1219">
          <w:rPr>
            <w:noProof/>
            <w:webHidden/>
          </w:rPr>
        </w:r>
        <w:r w:rsidR="00DD1219">
          <w:rPr>
            <w:noProof/>
            <w:webHidden/>
          </w:rPr>
          <w:fldChar w:fldCharType="separate"/>
        </w:r>
        <w:r>
          <w:rPr>
            <w:noProof/>
            <w:webHidden/>
          </w:rPr>
          <w:t>154</w:t>
        </w:r>
        <w:r w:rsidR="00DD1219">
          <w:rPr>
            <w:noProof/>
            <w:webHidden/>
          </w:rPr>
          <w:fldChar w:fldCharType="end"/>
        </w:r>
      </w:hyperlink>
    </w:p>
    <w:p w14:paraId="7D746FD1" w14:textId="4F0F2FFA" w:rsidR="00DD1219" w:rsidRDefault="00C738AA">
      <w:pPr>
        <w:pStyle w:val="TM3"/>
        <w:rPr>
          <w:rFonts w:eastAsiaTheme="minorEastAsia"/>
          <w:noProof/>
          <w:kern w:val="2"/>
          <w:sz w:val="22"/>
          <w:szCs w:val="22"/>
          <w:lang w:val="fr-CA" w:eastAsia="fr-CA"/>
          <w14:ligatures w14:val="standardContextual"/>
        </w:rPr>
      </w:pPr>
      <w:hyperlink w:anchor="_Toc154048802" w:history="1">
        <w:r w:rsidR="00DD1219" w:rsidRPr="0002721E">
          <w:rPr>
            <w:rStyle w:val="Lienhypertexte"/>
            <w:noProof/>
          </w:rPr>
          <w:t>E79 Ajout d’élément</w:t>
        </w:r>
        <w:r w:rsidR="00DD1219">
          <w:rPr>
            <w:noProof/>
            <w:webHidden/>
          </w:rPr>
          <w:tab/>
        </w:r>
        <w:r w:rsidR="00DD1219">
          <w:rPr>
            <w:noProof/>
            <w:webHidden/>
          </w:rPr>
          <w:fldChar w:fldCharType="begin"/>
        </w:r>
        <w:r w:rsidR="00DD1219">
          <w:rPr>
            <w:noProof/>
            <w:webHidden/>
          </w:rPr>
          <w:instrText xml:space="preserve"> PAGEREF _Toc154048802 \h </w:instrText>
        </w:r>
        <w:r w:rsidR="00DD1219">
          <w:rPr>
            <w:noProof/>
            <w:webHidden/>
          </w:rPr>
        </w:r>
        <w:r w:rsidR="00DD1219">
          <w:rPr>
            <w:noProof/>
            <w:webHidden/>
          </w:rPr>
          <w:fldChar w:fldCharType="separate"/>
        </w:r>
        <w:r>
          <w:rPr>
            <w:noProof/>
            <w:webHidden/>
          </w:rPr>
          <w:t>155</w:t>
        </w:r>
        <w:r w:rsidR="00DD1219">
          <w:rPr>
            <w:noProof/>
            <w:webHidden/>
          </w:rPr>
          <w:fldChar w:fldCharType="end"/>
        </w:r>
      </w:hyperlink>
    </w:p>
    <w:p w14:paraId="76F2934B" w14:textId="467B0FE0" w:rsidR="00DD1219" w:rsidRDefault="00C738AA">
      <w:pPr>
        <w:pStyle w:val="TM3"/>
        <w:rPr>
          <w:rFonts w:eastAsiaTheme="minorEastAsia"/>
          <w:noProof/>
          <w:kern w:val="2"/>
          <w:sz w:val="22"/>
          <w:szCs w:val="22"/>
          <w:lang w:val="fr-CA" w:eastAsia="fr-CA"/>
          <w14:ligatures w14:val="standardContextual"/>
        </w:rPr>
      </w:pPr>
      <w:hyperlink w:anchor="_Toc154048803" w:history="1">
        <w:r w:rsidR="00DD1219" w:rsidRPr="0002721E">
          <w:rPr>
            <w:rStyle w:val="Lienhypertexte"/>
            <w:noProof/>
          </w:rPr>
          <w:t>E80 Retrait d’élément</w:t>
        </w:r>
        <w:r w:rsidR="00DD1219">
          <w:rPr>
            <w:noProof/>
            <w:webHidden/>
          </w:rPr>
          <w:tab/>
        </w:r>
        <w:r w:rsidR="00DD1219">
          <w:rPr>
            <w:noProof/>
            <w:webHidden/>
          </w:rPr>
          <w:fldChar w:fldCharType="begin"/>
        </w:r>
        <w:r w:rsidR="00DD1219">
          <w:rPr>
            <w:noProof/>
            <w:webHidden/>
          </w:rPr>
          <w:instrText xml:space="preserve"> PAGEREF _Toc154048803 \h </w:instrText>
        </w:r>
        <w:r w:rsidR="00DD1219">
          <w:rPr>
            <w:noProof/>
            <w:webHidden/>
          </w:rPr>
        </w:r>
        <w:r w:rsidR="00DD1219">
          <w:rPr>
            <w:noProof/>
            <w:webHidden/>
          </w:rPr>
          <w:fldChar w:fldCharType="separate"/>
        </w:r>
        <w:r>
          <w:rPr>
            <w:noProof/>
            <w:webHidden/>
          </w:rPr>
          <w:t>156</w:t>
        </w:r>
        <w:r w:rsidR="00DD1219">
          <w:rPr>
            <w:noProof/>
            <w:webHidden/>
          </w:rPr>
          <w:fldChar w:fldCharType="end"/>
        </w:r>
      </w:hyperlink>
    </w:p>
    <w:p w14:paraId="53099384" w14:textId="1259343A" w:rsidR="00DD1219" w:rsidRDefault="00C738AA">
      <w:pPr>
        <w:pStyle w:val="TM3"/>
        <w:rPr>
          <w:rFonts w:eastAsiaTheme="minorEastAsia"/>
          <w:noProof/>
          <w:kern w:val="2"/>
          <w:sz w:val="22"/>
          <w:szCs w:val="22"/>
          <w:lang w:val="fr-CA" w:eastAsia="fr-CA"/>
          <w14:ligatures w14:val="standardContextual"/>
        </w:rPr>
      </w:pPr>
      <w:hyperlink w:anchor="_Toc154048804" w:history="1">
        <w:r w:rsidR="00DD1219" w:rsidRPr="0002721E">
          <w:rPr>
            <w:rStyle w:val="Lienhypertexte"/>
            <w:noProof/>
          </w:rPr>
          <w:t>E81 Transformation</w:t>
        </w:r>
        <w:r w:rsidR="00DD1219">
          <w:rPr>
            <w:noProof/>
            <w:webHidden/>
          </w:rPr>
          <w:tab/>
        </w:r>
        <w:r w:rsidR="00DD1219">
          <w:rPr>
            <w:noProof/>
            <w:webHidden/>
          </w:rPr>
          <w:fldChar w:fldCharType="begin"/>
        </w:r>
        <w:r w:rsidR="00DD1219">
          <w:rPr>
            <w:noProof/>
            <w:webHidden/>
          </w:rPr>
          <w:instrText xml:space="preserve"> PAGEREF _Toc154048804 \h </w:instrText>
        </w:r>
        <w:r w:rsidR="00DD1219">
          <w:rPr>
            <w:noProof/>
            <w:webHidden/>
          </w:rPr>
        </w:r>
        <w:r w:rsidR="00DD1219">
          <w:rPr>
            <w:noProof/>
            <w:webHidden/>
          </w:rPr>
          <w:fldChar w:fldCharType="separate"/>
        </w:r>
        <w:r>
          <w:rPr>
            <w:noProof/>
            <w:webHidden/>
          </w:rPr>
          <w:t>157</w:t>
        </w:r>
        <w:r w:rsidR="00DD1219">
          <w:rPr>
            <w:noProof/>
            <w:webHidden/>
          </w:rPr>
          <w:fldChar w:fldCharType="end"/>
        </w:r>
      </w:hyperlink>
    </w:p>
    <w:p w14:paraId="316CFEC1" w14:textId="0F35105D" w:rsidR="00DD1219" w:rsidRDefault="00C738AA">
      <w:pPr>
        <w:pStyle w:val="TM3"/>
        <w:rPr>
          <w:rFonts w:eastAsiaTheme="minorEastAsia"/>
          <w:noProof/>
          <w:kern w:val="2"/>
          <w:sz w:val="22"/>
          <w:szCs w:val="22"/>
          <w:lang w:val="fr-CA" w:eastAsia="fr-CA"/>
          <w14:ligatures w14:val="standardContextual"/>
        </w:rPr>
      </w:pPr>
      <w:hyperlink w:anchor="_Toc154048805" w:history="1">
        <w:r w:rsidR="00DD1219" w:rsidRPr="0002721E">
          <w:rPr>
            <w:rStyle w:val="Lienhypertexte"/>
            <w:noProof/>
          </w:rPr>
          <w:t>E83 Création de type</w:t>
        </w:r>
        <w:r w:rsidR="00DD1219">
          <w:rPr>
            <w:noProof/>
            <w:webHidden/>
          </w:rPr>
          <w:tab/>
        </w:r>
        <w:r w:rsidR="00DD1219">
          <w:rPr>
            <w:noProof/>
            <w:webHidden/>
          </w:rPr>
          <w:fldChar w:fldCharType="begin"/>
        </w:r>
        <w:r w:rsidR="00DD1219">
          <w:rPr>
            <w:noProof/>
            <w:webHidden/>
          </w:rPr>
          <w:instrText xml:space="preserve"> PAGEREF _Toc154048805 \h </w:instrText>
        </w:r>
        <w:r w:rsidR="00DD1219">
          <w:rPr>
            <w:noProof/>
            <w:webHidden/>
          </w:rPr>
        </w:r>
        <w:r w:rsidR="00DD1219">
          <w:rPr>
            <w:noProof/>
            <w:webHidden/>
          </w:rPr>
          <w:fldChar w:fldCharType="separate"/>
        </w:r>
        <w:r>
          <w:rPr>
            <w:noProof/>
            <w:webHidden/>
          </w:rPr>
          <w:t>158</w:t>
        </w:r>
        <w:r w:rsidR="00DD1219">
          <w:rPr>
            <w:noProof/>
            <w:webHidden/>
          </w:rPr>
          <w:fldChar w:fldCharType="end"/>
        </w:r>
      </w:hyperlink>
    </w:p>
    <w:p w14:paraId="3D75F6C0" w14:textId="72F5C74C" w:rsidR="00DD1219" w:rsidRDefault="00C738AA">
      <w:pPr>
        <w:pStyle w:val="TM3"/>
        <w:rPr>
          <w:rFonts w:eastAsiaTheme="minorEastAsia"/>
          <w:noProof/>
          <w:kern w:val="2"/>
          <w:sz w:val="22"/>
          <w:szCs w:val="22"/>
          <w:lang w:val="fr-CA" w:eastAsia="fr-CA"/>
          <w14:ligatures w14:val="standardContextual"/>
        </w:rPr>
      </w:pPr>
      <w:hyperlink w:anchor="_Toc154048806" w:history="1">
        <w:r w:rsidR="00DD1219" w:rsidRPr="0002721E">
          <w:rPr>
            <w:rStyle w:val="Lienhypertexte"/>
            <w:noProof/>
          </w:rPr>
          <w:t>E85 Adhésion</w:t>
        </w:r>
        <w:r w:rsidR="00DD1219">
          <w:rPr>
            <w:noProof/>
            <w:webHidden/>
          </w:rPr>
          <w:tab/>
        </w:r>
        <w:r w:rsidR="00DD1219">
          <w:rPr>
            <w:noProof/>
            <w:webHidden/>
          </w:rPr>
          <w:fldChar w:fldCharType="begin"/>
        </w:r>
        <w:r w:rsidR="00DD1219">
          <w:rPr>
            <w:noProof/>
            <w:webHidden/>
          </w:rPr>
          <w:instrText xml:space="preserve"> PAGEREF _Toc154048806 \h </w:instrText>
        </w:r>
        <w:r w:rsidR="00DD1219">
          <w:rPr>
            <w:noProof/>
            <w:webHidden/>
          </w:rPr>
        </w:r>
        <w:r w:rsidR="00DD1219">
          <w:rPr>
            <w:noProof/>
            <w:webHidden/>
          </w:rPr>
          <w:fldChar w:fldCharType="separate"/>
        </w:r>
        <w:r>
          <w:rPr>
            <w:noProof/>
            <w:webHidden/>
          </w:rPr>
          <w:t>159</w:t>
        </w:r>
        <w:r w:rsidR="00DD1219">
          <w:rPr>
            <w:noProof/>
            <w:webHidden/>
          </w:rPr>
          <w:fldChar w:fldCharType="end"/>
        </w:r>
      </w:hyperlink>
    </w:p>
    <w:p w14:paraId="7187E5E9" w14:textId="69E1FA32" w:rsidR="00DD1219" w:rsidRDefault="00C738AA">
      <w:pPr>
        <w:pStyle w:val="TM3"/>
        <w:rPr>
          <w:rFonts w:eastAsiaTheme="minorEastAsia"/>
          <w:noProof/>
          <w:kern w:val="2"/>
          <w:sz w:val="22"/>
          <w:szCs w:val="22"/>
          <w:lang w:val="fr-CA" w:eastAsia="fr-CA"/>
          <w14:ligatures w14:val="standardContextual"/>
        </w:rPr>
      </w:pPr>
      <w:hyperlink w:anchor="_Toc154048807" w:history="1">
        <w:r w:rsidR="00DD1219" w:rsidRPr="0002721E">
          <w:rPr>
            <w:rStyle w:val="Lienhypertexte"/>
            <w:noProof/>
          </w:rPr>
          <w:t>E86 Départ</w:t>
        </w:r>
        <w:r w:rsidR="00DD1219">
          <w:rPr>
            <w:noProof/>
            <w:webHidden/>
          </w:rPr>
          <w:tab/>
        </w:r>
        <w:r w:rsidR="00DD1219">
          <w:rPr>
            <w:noProof/>
            <w:webHidden/>
          </w:rPr>
          <w:fldChar w:fldCharType="begin"/>
        </w:r>
        <w:r w:rsidR="00DD1219">
          <w:rPr>
            <w:noProof/>
            <w:webHidden/>
          </w:rPr>
          <w:instrText xml:space="preserve"> PAGEREF _Toc154048807 \h </w:instrText>
        </w:r>
        <w:r w:rsidR="00DD1219">
          <w:rPr>
            <w:noProof/>
            <w:webHidden/>
          </w:rPr>
        </w:r>
        <w:r w:rsidR="00DD1219">
          <w:rPr>
            <w:noProof/>
            <w:webHidden/>
          </w:rPr>
          <w:fldChar w:fldCharType="separate"/>
        </w:r>
        <w:r>
          <w:rPr>
            <w:noProof/>
            <w:webHidden/>
          </w:rPr>
          <w:t>159</w:t>
        </w:r>
        <w:r w:rsidR="00DD1219">
          <w:rPr>
            <w:noProof/>
            <w:webHidden/>
          </w:rPr>
          <w:fldChar w:fldCharType="end"/>
        </w:r>
      </w:hyperlink>
    </w:p>
    <w:p w14:paraId="058C0466" w14:textId="521CD1D8" w:rsidR="00DD1219" w:rsidRDefault="00C738AA">
      <w:pPr>
        <w:pStyle w:val="TM3"/>
        <w:rPr>
          <w:rFonts w:eastAsiaTheme="minorEastAsia"/>
          <w:noProof/>
          <w:kern w:val="2"/>
          <w:sz w:val="22"/>
          <w:szCs w:val="22"/>
          <w:lang w:val="fr-CA" w:eastAsia="fr-CA"/>
          <w14:ligatures w14:val="standardContextual"/>
        </w:rPr>
      </w:pPr>
      <w:hyperlink w:anchor="_Toc154048808" w:history="1">
        <w:r w:rsidR="00DD1219" w:rsidRPr="0002721E">
          <w:rPr>
            <w:rStyle w:val="Lienhypertexte"/>
            <w:noProof/>
          </w:rPr>
          <w:t>E87 Activité curatoriale</w:t>
        </w:r>
        <w:r w:rsidR="00DD1219">
          <w:rPr>
            <w:noProof/>
            <w:webHidden/>
          </w:rPr>
          <w:tab/>
        </w:r>
        <w:r w:rsidR="00DD1219">
          <w:rPr>
            <w:noProof/>
            <w:webHidden/>
          </w:rPr>
          <w:fldChar w:fldCharType="begin"/>
        </w:r>
        <w:r w:rsidR="00DD1219">
          <w:rPr>
            <w:noProof/>
            <w:webHidden/>
          </w:rPr>
          <w:instrText xml:space="preserve"> PAGEREF _Toc154048808 \h </w:instrText>
        </w:r>
        <w:r w:rsidR="00DD1219">
          <w:rPr>
            <w:noProof/>
            <w:webHidden/>
          </w:rPr>
        </w:r>
        <w:r w:rsidR="00DD1219">
          <w:rPr>
            <w:noProof/>
            <w:webHidden/>
          </w:rPr>
          <w:fldChar w:fldCharType="separate"/>
        </w:r>
        <w:r>
          <w:rPr>
            <w:noProof/>
            <w:webHidden/>
          </w:rPr>
          <w:t>160</w:t>
        </w:r>
        <w:r w:rsidR="00DD1219">
          <w:rPr>
            <w:noProof/>
            <w:webHidden/>
          </w:rPr>
          <w:fldChar w:fldCharType="end"/>
        </w:r>
      </w:hyperlink>
    </w:p>
    <w:p w14:paraId="67916E21" w14:textId="0436A53E" w:rsidR="00DD1219" w:rsidRDefault="00C738AA">
      <w:pPr>
        <w:pStyle w:val="TM3"/>
        <w:rPr>
          <w:rFonts w:eastAsiaTheme="minorEastAsia"/>
          <w:noProof/>
          <w:kern w:val="2"/>
          <w:sz w:val="22"/>
          <w:szCs w:val="22"/>
          <w:lang w:val="fr-CA" w:eastAsia="fr-CA"/>
          <w14:ligatures w14:val="standardContextual"/>
        </w:rPr>
      </w:pPr>
      <w:hyperlink w:anchor="_Toc154048809" w:history="1">
        <w:r w:rsidR="00DD1219" w:rsidRPr="0002721E">
          <w:rPr>
            <w:rStyle w:val="Lienhypertexte"/>
            <w:noProof/>
          </w:rPr>
          <w:t>E89 Objet propositionnel</w:t>
        </w:r>
        <w:r w:rsidR="00DD1219">
          <w:rPr>
            <w:noProof/>
            <w:webHidden/>
          </w:rPr>
          <w:tab/>
        </w:r>
        <w:r w:rsidR="00DD1219">
          <w:rPr>
            <w:noProof/>
            <w:webHidden/>
          </w:rPr>
          <w:fldChar w:fldCharType="begin"/>
        </w:r>
        <w:r w:rsidR="00DD1219">
          <w:rPr>
            <w:noProof/>
            <w:webHidden/>
          </w:rPr>
          <w:instrText xml:space="preserve"> PAGEREF _Toc154048809 \h </w:instrText>
        </w:r>
        <w:r w:rsidR="00DD1219">
          <w:rPr>
            <w:noProof/>
            <w:webHidden/>
          </w:rPr>
        </w:r>
        <w:r w:rsidR="00DD1219">
          <w:rPr>
            <w:noProof/>
            <w:webHidden/>
          </w:rPr>
          <w:fldChar w:fldCharType="separate"/>
        </w:r>
        <w:r>
          <w:rPr>
            <w:noProof/>
            <w:webHidden/>
          </w:rPr>
          <w:t>161</w:t>
        </w:r>
        <w:r w:rsidR="00DD1219">
          <w:rPr>
            <w:noProof/>
            <w:webHidden/>
          </w:rPr>
          <w:fldChar w:fldCharType="end"/>
        </w:r>
      </w:hyperlink>
    </w:p>
    <w:p w14:paraId="513AE737" w14:textId="38224232" w:rsidR="00DD1219" w:rsidRDefault="00C738AA">
      <w:pPr>
        <w:pStyle w:val="TM3"/>
        <w:rPr>
          <w:rFonts w:eastAsiaTheme="minorEastAsia"/>
          <w:noProof/>
          <w:kern w:val="2"/>
          <w:sz w:val="22"/>
          <w:szCs w:val="22"/>
          <w:lang w:val="fr-CA" w:eastAsia="fr-CA"/>
          <w14:ligatures w14:val="standardContextual"/>
        </w:rPr>
      </w:pPr>
      <w:hyperlink w:anchor="_Toc154048810" w:history="1">
        <w:r w:rsidR="00DD1219" w:rsidRPr="0002721E">
          <w:rPr>
            <w:rStyle w:val="Lienhypertexte"/>
            <w:noProof/>
          </w:rPr>
          <w:t>E90 Objet symbolique</w:t>
        </w:r>
        <w:r w:rsidR="00DD1219">
          <w:rPr>
            <w:noProof/>
            <w:webHidden/>
          </w:rPr>
          <w:tab/>
        </w:r>
        <w:r w:rsidR="00DD1219">
          <w:rPr>
            <w:noProof/>
            <w:webHidden/>
          </w:rPr>
          <w:fldChar w:fldCharType="begin"/>
        </w:r>
        <w:r w:rsidR="00DD1219">
          <w:rPr>
            <w:noProof/>
            <w:webHidden/>
          </w:rPr>
          <w:instrText xml:space="preserve"> PAGEREF _Toc154048810 \h </w:instrText>
        </w:r>
        <w:r w:rsidR="00DD1219">
          <w:rPr>
            <w:noProof/>
            <w:webHidden/>
          </w:rPr>
        </w:r>
        <w:r w:rsidR="00DD1219">
          <w:rPr>
            <w:noProof/>
            <w:webHidden/>
          </w:rPr>
          <w:fldChar w:fldCharType="separate"/>
        </w:r>
        <w:r>
          <w:rPr>
            <w:noProof/>
            <w:webHidden/>
          </w:rPr>
          <w:t>162</w:t>
        </w:r>
        <w:r w:rsidR="00DD1219">
          <w:rPr>
            <w:noProof/>
            <w:webHidden/>
          </w:rPr>
          <w:fldChar w:fldCharType="end"/>
        </w:r>
      </w:hyperlink>
    </w:p>
    <w:p w14:paraId="5BC51327" w14:textId="04E002E1" w:rsidR="00DD1219" w:rsidRDefault="00C738AA">
      <w:pPr>
        <w:pStyle w:val="TM3"/>
        <w:rPr>
          <w:rFonts w:eastAsiaTheme="minorEastAsia"/>
          <w:noProof/>
          <w:kern w:val="2"/>
          <w:sz w:val="22"/>
          <w:szCs w:val="22"/>
          <w:lang w:val="fr-CA" w:eastAsia="fr-CA"/>
          <w14:ligatures w14:val="standardContextual"/>
        </w:rPr>
      </w:pPr>
      <w:hyperlink w:anchor="_Toc154048811" w:history="1">
        <w:r w:rsidR="00DD1219" w:rsidRPr="0002721E">
          <w:rPr>
            <w:rStyle w:val="Lienhypertexte"/>
            <w:noProof/>
          </w:rPr>
          <w:t>E92 Volume spatio-temporel</w:t>
        </w:r>
        <w:r w:rsidR="00DD1219">
          <w:rPr>
            <w:noProof/>
            <w:webHidden/>
          </w:rPr>
          <w:tab/>
        </w:r>
        <w:r w:rsidR="00DD1219">
          <w:rPr>
            <w:noProof/>
            <w:webHidden/>
          </w:rPr>
          <w:fldChar w:fldCharType="begin"/>
        </w:r>
        <w:r w:rsidR="00DD1219">
          <w:rPr>
            <w:noProof/>
            <w:webHidden/>
          </w:rPr>
          <w:instrText xml:space="preserve"> PAGEREF _Toc154048811 \h </w:instrText>
        </w:r>
        <w:r w:rsidR="00DD1219">
          <w:rPr>
            <w:noProof/>
            <w:webHidden/>
          </w:rPr>
        </w:r>
        <w:r w:rsidR="00DD1219">
          <w:rPr>
            <w:noProof/>
            <w:webHidden/>
          </w:rPr>
          <w:fldChar w:fldCharType="separate"/>
        </w:r>
        <w:r>
          <w:rPr>
            <w:noProof/>
            <w:webHidden/>
          </w:rPr>
          <w:t>163</w:t>
        </w:r>
        <w:r w:rsidR="00DD1219">
          <w:rPr>
            <w:noProof/>
            <w:webHidden/>
          </w:rPr>
          <w:fldChar w:fldCharType="end"/>
        </w:r>
      </w:hyperlink>
    </w:p>
    <w:p w14:paraId="327CA7C5" w14:textId="20406991" w:rsidR="00DD1219" w:rsidRDefault="00C738AA">
      <w:pPr>
        <w:pStyle w:val="TM3"/>
        <w:rPr>
          <w:rFonts w:eastAsiaTheme="minorEastAsia"/>
          <w:noProof/>
          <w:kern w:val="2"/>
          <w:sz w:val="22"/>
          <w:szCs w:val="22"/>
          <w:lang w:val="fr-CA" w:eastAsia="fr-CA"/>
          <w14:ligatures w14:val="standardContextual"/>
        </w:rPr>
      </w:pPr>
      <w:hyperlink w:anchor="_Toc154048812" w:history="1">
        <w:r w:rsidR="00DD1219" w:rsidRPr="0002721E">
          <w:rPr>
            <w:rStyle w:val="Lienhypertexte"/>
            <w:noProof/>
          </w:rPr>
          <w:t>E93 Présence</w:t>
        </w:r>
        <w:r w:rsidR="00DD1219">
          <w:rPr>
            <w:noProof/>
            <w:webHidden/>
          </w:rPr>
          <w:tab/>
        </w:r>
        <w:r w:rsidR="00DD1219">
          <w:rPr>
            <w:noProof/>
            <w:webHidden/>
          </w:rPr>
          <w:fldChar w:fldCharType="begin"/>
        </w:r>
        <w:r w:rsidR="00DD1219">
          <w:rPr>
            <w:noProof/>
            <w:webHidden/>
          </w:rPr>
          <w:instrText xml:space="preserve"> PAGEREF _Toc154048812 \h </w:instrText>
        </w:r>
        <w:r w:rsidR="00DD1219">
          <w:rPr>
            <w:noProof/>
            <w:webHidden/>
          </w:rPr>
        </w:r>
        <w:r w:rsidR="00DD1219">
          <w:rPr>
            <w:noProof/>
            <w:webHidden/>
          </w:rPr>
          <w:fldChar w:fldCharType="separate"/>
        </w:r>
        <w:r>
          <w:rPr>
            <w:noProof/>
            <w:webHidden/>
          </w:rPr>
          <w:t>164</w:t>
        </w:r>
        <w:r w:rsidR="00DD1219">
          <w:rPr>
            <w:noProof/>
            <w:webHidden/>
          </w:rPr>
          <w:fldChar w:fldCharType="end"/>
        </w:r>
      </w:hyperlink>
    </w:p>
    <w:p w14:paraId="733CF9EB" w14:textId="3C299AAE" w:rsidR="00DD1219" w:rsidRDefault="00C738AA">
      <w:pPr>
        <w:pStyle w:val="TM3"/>
        <w:rPr>
          <w:rFonts w:eastAsiaTheme="minorEastAsia"/>
          <w:noProof/>
          <w:kern w:val="2"/>
          <w:sz w:val="22"/>
          <w:szCs w:val="22"/>
          <w:lang w:val="fr-CA" w:eastAsia="fr-CA"/>
          <w14:ligatures w14:val="standardContextual"/>
        </w:rPr>
      </w:pPr>
      <w:hyperlink w:anchor="_Toc154048813" w:history="1">
        <w:r w:rsidR="00DD1219" w:rsidRPr="0002721E">
          <w:rPr>
            <w:rStyle w:val="Lienhypertexte"/>
            <w:noProof/>
          </w:rPr>
          <w:t>E94 Primitive spatiale</w:t>
        </w:r>
        <w:r w:rsidR="00DD1219">
          <w:rPr>
            <w:noProof/>
            <w:webHidden/>
          </w:rPr>
          <w:tab/>
        </w:r>
        <w:r w:rsidR="00DD1219">
          <w:rPr>
            <w:noProof/>
            <w:webHidden/>
          </w:rPr>
          <w:fldChar w:fldCharType="begin"/>
        </w:r>
        <w:r w:rsidR="00DD1219">
          <w:rPr>
            <w:noProof/>
            <w:webHidden/>
          </w:rPr>
          <w:instrText xml:space="preserve"> PAGEREF _Toc154048813 \h </w:instrText>
        </w:r>
        <w:r w:rsidR="00DD1219">
          <w:rPr>
            <w:noProof/>
            <w:webHidden/>
          </w:rPr>
        </w:r>
        <w:r w:rsidR="00DD1219">
          <w:rPr>
            <w:noProof/>
            <w:webHidden/>
          </w:rPr>
          <w:fldChar w:fldCharType="separate"/>
        </w:r>
        <w:r>
          <w:rPr>
            <w:noProof/>
            <w:webHidden/>
          </w:rPr>
          <w:t>165</w:t>
        </w:r>
        <w:r w:rsidR="00DD1219">
          <w:rPr>
            <w:noProof/>
            <w:webHidden/>
          </w:rPr>
          <w:fldChar w:fldCharType="end"/>
        </w:r>
      </w:hyperlink>
    </w:p>
    <w:p w14:paraId="054CA5E9" w14:textId="6065F6C3" w:rsidR="00DD1219" w:rsidRDefault="00C738AA">
      <w:pPr>
        <w:pStyle w:val="TM3"/>
        <w:rPr>
          <w:rFonts w:eastAsiaTheme="minorEastAsia"/>
          <w:noProof/>
          <w:kern w:val="2"/>
          <w:sz w:val="22"/>
          <w:szCs w:val="22"/>
          <w:lang w:val="fr-CA" w:eastAsia="fr-CA"/>
          <w14:ligatures w14:val="standardContextual"/>
        </w:rPr>
      </w:pPr>
      <w:hyperlink w:anchor="_Toc154048814" w:history="1">
        <w:r w:rsidR="00DD1219" w:rsidRPr="0002721E">
          <w:rPr>
            <w:rStyle w:val="Lienhypertexte"/>
            <w:noProof/>
          </w:rPr>
          <w:t>E95 Primitive spatio-temporelle</w:t>
        </w:r>
        <w:r w:rsidR="00DD1219">
          <w:rPr>
            <w:noProof/>
            <w:webHidden/>
          </w:rPr>
          <w:tab/>
        </w:r>
        <w:r w:rsidR="00DD1219">
          <w:rPr>
            <w:noProof/>
            <w:webHidden/>
          </w:rPr>
          <w:fldChar w:fldCharType="begin"/>
        </w:r>
        <w:r w:rsidR="00DD1219">
          <w:rPr>
            <w:noProof/>
            <w:webHidden/>
          </w:rPr>
          <w:instrText xml:space="preserve"> PAGEREF _Toc154048814 \h </w:instrText>
        </w:r>
        <w:r w:rsidR="00DD1219">
          <w:rPr>
            <w:noProof/>
            <w:webHidden/>
          </w:rPr>
        </w:r>
        <w:r w:rsidR="00DD1219">
          <w:rPr>
            <w:noProof/>
            <w:webHidden/>
          </w:rPr>
          <w:fldChar w:fldCharType="separate"/>
        </w:r>
        <w:r>
          <w:rPr>
            <w:noProof/>
            <w:webHidden/>
          </w:rPr>
          <w:t>166</w:t>
        </w:r>
        <w:r w:rsidR="00DD1219">
          <w:rPr>
            <w:noProof/>
            <w:webHidden/>
          </w:rPr>
          <w:fldChar w:fldCharType="end"/>
        </w:r>
      </w:hyperlink>
    </w:p>
    <w:p w14:paraId="688580BB" w14:textId="1C45D47A" w:rsidR="00DD1219" w:rsidRDefault="00C738AA">
      <w:pPr>
        <w:pStyle w:val="TM3"/>
        <w:rPr>
          <w:rFonts w:eastAsiaTheme="minorEastAsia"/>
          <w:noProof/>
          <w:kern w:val="2"/>
          <w:sz w:val="22"/>
          <w:szCs w:val="22"/>
          <w:lang w:val="fr-CA" w:eastAsia="fr-CA"/>
          <w14:ligatures w14:val="standardContextual"/>
        </w:rPr>
      </w:pPr>
      <w:hyperlink w:anchor="_Toc154048815" w:history="1">
        <w:r w:rsidR="00DD1219" w:rsidRPr="0002721E">
          <w:rPr>
            <w:rStyle w:val="Lienhypertexte"/>
            <w:noProof/>
          </w:rPr>
          <w:t>E96 Achat</w:t>
        </w:r>
        <w:r w:rsidR="00DD1219">
          <w:rPr>
            <w:noProof/>
            <w:webHidden/>
          </w:rPr>
          <w:tab/>
        </w:r>
        <w:r w:rsidR="00DD1219">
          <w:rPr>
            <w:noProof/>
            <w:webHidden/>
          </w:rPr>
          <w:fldChar w:fldCharType="begin"/>
        </w:r>
        <w:r w:rsidR="00DD1219">
          <w:rPr>
            <w:noProof/>
            <w:webHidden/>
          </w:rPr>
          <w:instrText xml:space="preserve"> PAGEREF _Toc154048815 \h </w:instrText>
        </w:r>
        <w:r w:rsidR="00DD1219">
          <w:rPr>
            <w:noProof/>
            <w:webHidden/>
          </w:rPr>
        </w:r>
        <w:r w:rsidR="00DD1219">
          <w:rPr>
            <w:noProof/>
            <w:webHidden/>
          </w:rPr>
          <w:fldChar w:fldCharType="separate"/>
        </w:r>
        <w:r>
          <w:rPr>
            <w:noProof/>
            <w:webHidden/>
          </w:rPr>
          <w:t>168</w:t>
        </w:r>
        <w:r w:rsidR="00DD1219">
          <w:rPr>
            <w:noProof/>
            <w:webHidden/>
          </w:rPr>
          <w:fldChar w:fldCharType="end"/>
        </w:r>
      </w:hyperlink>
    </w:p>
    <w:p w14:paraId="64A882C3" w14:textId="60CAAAE1" w:rsidR="00DD1219" w:rsidRDefault="00C738AA">
      <w:pPr>
        <w:pStyle w:val="TM3"/>
        <w:rPr>
          <w:rFonts w:eastAsiaTheme="minorEastAsia"/>
          <w:noProof/>
          <w:kern w:val="2"/>
          <w:sz w:val="22"/>
          <w:szCs w:val="22"/>
          <w:lang w:val="fr-CA" w:eastAsia="fr-CA"/>
          <w14:ligatures w14:val="standardContextual"/>
        </w:rPr>
      </w:pPr>
      <w:hyperlink w:anchor="_Toc154048816" w:history="1">
        <w:r w:rsidR="00DD1219" w:rsidRPr="0002721E">
          <w:rPr>
            <w:rStyle w:val="Lienhypertexte"/>
            <w:noProof/>
          </w:rPr>
          <w:t>E97 Valeur monétaire</w:t>
        </w:r>
        <w:r w:rsidR="00DD1219">
          <w:rPr>
            <w:noProof/>
            <w:webHidden/>
          </w:rPr>
          <w:tab/>
        </w:r>
        <w:r w:rsidR="00DD1219">
          <w:rPr>
            <w:noProof/>
            <w:webHidden/>
          </w:rPr>
          <w:fldChar w:fldCharType="begin"/>
        </w:r>
        <w:r w:rsidR="00DD1219">
          <w:rPr>
            <w:noProof/>
            <w:webHidden/>
          </w:rPr>
          <w:instrText xml:space="preserve"> PAGEREF _Toc154048816 \h </w:instrText>
        </w:r>
        <w:r w:rsidR="00DD1219">
          <w:rPr>
            <w:noProof/>
            <w:webHidden/>
          </w:rPr>
        </w:r>
        <w:r w:rsidR="00DD1219">
          <w:rPr>
            <w:noProof/>
            <w:webHidden/>
          </w:rPr>
          <w:fldChar w:fldCharType="separate"/>
        </w:r>
        <w:r>
          <w:rPr>
            <w:noProof/>
            <w:webHidden/>
          </w:rPr>
          <w:t>168</w:t>
        </w:r>
        <w:r w:rsidR="00DD1219">
          <w:rPr>
            <w:noProof/>
            <w:webHidden/>
          </w:rPr>
          <w:fldChar w:fldCharType="end"/>
        </w:r>
      </w:hyperlink>
    </w:p>
    <w:p w14:paraId="2FAD6435" w14:textId="177FFE5C" w:rsidR="00DD1219" w:rsidRDefault="00C738AA">
      <w:pPr>
        <w:pStyle w:val="TM3"/>
        <w:rPr>
          <w:rFonts w:eastAsiaTheme="minorEastAsia"/>
          <w:noProof/>
          <w:kern w:val="2"/>
          <w:sz w:val="22"/>
          <w:szCs w:val="22"/>
          <w:lang w:val="fr-CA" w:eastAsia="fr-CA"/>
          <w14:ligatures w14:val="standardContextual"/>
        </w:rPr>
      </w:pPr>
      <w:hyperlink w:anchor="_Toc154048817" w:history="1">
        <w:r w:rsidR="00DD1219" w:rsidRPr="0002721E">
          <w:rPr>
            <w:rStyle w:val="Lienhypertexte"/>
            <w:noProof/>
          </w:rPr>
          <w:t>E98 Unité monétaire</w:t>
        </w:r>
        <w:r w:rsidR="00DD1219">
          <w:rPr>
            <w:noProof/>
            <w:webHidden/>
          </w:rPr>
          <w:tab/>
        </w:r>
        <w:r w:rsidR="00DD1219">
          <w:rPr>
            <w:noProof/>
            <w:webHidden/>
          </w:rPr>
          <w:fldChar w:fldCharType="begin"/>
        </w:r>
        <w:r w:rsidR="00DD1219">
          <w:rPr>
            <w:noProof/>
            <w:webHidden/>
          </w:rPr>
          <w:instrText xml:space="preserve"> PAGEREF _Toc154048817 \h </w:instrText>
        </w:r>
        <w:r w:rsidR="00DD1219">
          <w:rPr>
            <w:noProof/>
            <w:webHidden/>
          </w:rPr>
        </w:r>
        <w:r w:rsidR="00DD1219">
          <w:rPr>
            <w:noProof/>
            <w:webHidden/>
          </w:rPr>
          <w:fldChar w:fldCharType="separate"/>
        </w:r>
        <w:r>
          <w:rPr>
            <w:noProof/>
            <w:webHidden/>
          </w:rPr>
          <w:t>169</w:t>
        </w:r>
        <w:r w:rsidR="00DD1219">
          <w:rPr>
            <w:noProof/>
            <w:webHidden/>
          </w:rPr>
          <w:fldChar w:fldCharType="end"/>
        </w:r>
      </w:hyperlink>
    </w:p>
    <w:p w14:paraId="29EA1847" w14:textId="14557F04" w:rsidR="00DD1219" w:rsidRDefault="00C738AA">
      <w:pPr>
        <w:pStyle w:val="TM3"/>
        <w:rPr>
          <w:rFonts w:eastAsiaTheme="minorEastAsia"/>
          <w:noProof/>
          <w:kern w:val="2"/>
          <w:sz w:val="22"/>
          <w:szCs w:val="22"/>
          <w:lang w:val="fr-CA" w:eastAsia="fr-CA"/>
          <w14:ligatures w14:val="standardContextual"/>
        </w:rPr>
      </w:pPr>
      <w:hyperlink w:anchor="_Toc154048818" w:history="1">
        <w:r w:rsidR="00DD1219" w:rsidRPr="0002721E">
          <w:rPr>
            <w:rStyle w:val="Lienhypertexte"/>
            <w:noProof/>
          </w:rPr>
          <w:t>E99 Modèle de produit</w:t>
        </w:r>
        <w:r w:rsidR="00DD1219">
          <w:rPr>
            <w:noProof/>
            <w:webHidden/>
          </w:rPr>
          <w:tab/>
        </w:r>
        <w:r w:rsidR="00DD1219">
          <w:rPr>
            <w:noProof/>
            <w:webHidden/>
          </w:rPr>
          <w:fldChar w:fldCharType="begin"/>
        </w:r>
        <w:r w:rsidR="00DD1219">
          <w:rPr>
            <w:noProof/>
            <w:webHidden/>
          </w:rPr>
          <w:instrText xml:space="preserve"> PAGEREF _Toc154048818 \h </w:instrText>
        </w:r>
        <w:r w:rsidR="00DD1219">
          <w:rPr>
            <w:noProof/>
            <w:webHidden/>
          </w:rPr>
        </w:r>
        <w:r w:rsidR="00DD1219">
          <w:rPr>
            <w:noProof/>
            <w:webHidden/>
          </w:rPr>
          <w:fldChar w:fldCharType="separate"/>
        </w:r>
        <w:r>
          <w:rPr>
            <w:noProof/>
            <w:webHidden/>
          </w:rPr>
          <w:t>170</w:t>
        </w:r>
        <w:r w:rsidR="00DD1219">
          <w:rPr>
            <w:noProof/>
            <w:webHidden/>
          </w:rPr>
          <w:fldChar w:fldCharType="end"/>
        </w:r>
      </w:hyperlink>
    </w:p>
    <w:p w14:paraId="14B2192A" w14:textId="23717134" w:rsidR="00DD1219" w:rsidRDefault="00C738AA">
      <w:pPr>
        <w:pStyle w:val="TM2"/>
        <w:rPr>
          <w:rFonts w:eastAsiaTheme="minorEastAsia"/>
          <w:noProof/>
          <w:kern w:val="2"/>
          <w:sz w:val="22"/>
          <w:szCs w:val="22"/>
          <w:lang w:val="fr-CA" w:eastAsia="fr-CA"/>
          <w14:ligatures w14:val="standardContextual"/>
        </w:rPr>
      </w:pPr>
      <w:hyperlink w:anchor="_Toc154048819" w:history="1">
        <w:r w:rsidR="00DD1219" w:rsidRPr="0002721E">
          <w:rPr>
            <w:rStyle w:val="Lienhypertexte"/>
            <w:noProof/>
          </w:rPr>
          <w:t>Déclaration des propriétés du CIDOC CRM</w:t>
        </w:r>
        <w:r w:rsidR="00DD1219">
          <w:rPr>
            <w:noProof/>
            <w:webHidden/>
          </w:rPr>
          <w:tab/>
        </w:r>
        <w:r w:rsidR="00DD1219">
          <w:rPr>
            <w:noProof/>
            <w:webHidden/>
          </w:rPr>
          <w:fldChar w:fldCharType="begin"/>
        </w:r>
        <w:r w:rsidR="00DD1219">
          <w:rPr>
            <w:noProof/>
            <w:webHidden/>
          </w:rPr>
          <w:instrText xml:space="preserve"> PAGEREF _Toc154048819 \h </w:instrText>
        </w:r>
        <w:r w:rsidR="00DD1219">
          <w:rPr>
            <w:noProof/>
            <w:webHidden/>
          </w:rPr>
        </w:r>
        <w:r w:rsidR="00DD1219">
          <w:rPr>
            <w:noProof/>
            <w:webHidden/>
          </w:rPr>
          <w:fldChar w:fldCharType="separate"/>
        </w:r>
        <w:r>
          <w:rPr>
            <w:noProof/>
            <w:webHidden/>
          </w:rPr>
          <w:t>172</w:t>
        </w:r>
        <w:r w:rsidR="00DD1219">
          <w:rPr>
            <w:noProof/>
            <w:webHidden/>
          </w:rPr>
          <w:fldChar w:fldCharType="end"/>
        </w:r>
      </w:hyperlink>
    </w:p>
    <w:p w14:paraId="0F7C0AAC" w14:textId="011E289B" w:rsidR="00DD1219" w:rsidRDefault="00C738AA">
      <w:pPr>
        <w:pStyle w:val="TM3"/>
        <w:rPr>
          <w:rFonts w:eastAsiaTheme="minorEastAsia"/>
          <w:noProof/>
          <w:kern w:val="2"/>
          <w:sz w:val="22"/>
          <w:szCs w:val="22"/>
          <w:lang w:val="fr-CA" w:eastAsia="fr-CA"/>
          <w14:ligatures w14:val="standardContextual"/>
        </w:rPr>
      </w:pPr>
      <w:hyperlink w:anchor="_Toc154048820" w:history="1">
        <w:r w:rsidR="00DD1219" w:rsidRPr="0002721E">
          <w:rPr>
            <w:rStyle w:val="Lienhypertexte"/>
            <w:noProof/>
          </w:rPr>
          <w:t>P1 est identifié par (identifie)</w:t>
        </w:r>
        <w:r w:rsidR="00DD1219">
          <w:rPr>
            <w:noProof/>
            <w:webHidden/>
          </w:rPr>
          <w:tab/>
        </w:r>
        <w:r w:rsidR="00DD1219">
          <w:rPr>
            <w:noProof/>
            <w:webHidden/>
          </w:rPr>
          <w:fldChar w:fldCharType="begin"/>
        </w:r>
        <w:r w:rsidR="00DD1219">
          <w:rPr>
            <w:noProof/>
            <w:webHidden/>
          </w:rPr>
          <w:instrText xml:space="preserve"> PAGEREF _Toc154048820 \h </w:instrText>
        </w:r>
        <w:r w:rsidR="00DD1219">
          <w:rPr>
            <w:noProof/>
            <w:webHidden/>
          </w:rPr>
        </w:r>
        <w:r w:rsidR="00DD1219">
          <w:rPr>
            <w:noProof/>
            <w:webHidden/>
          </w:rPr>
          <w:fldChar w:fldCharType="separate"/>
        </w:r>
        <w:r>
          <w:rPr>
            <w:noProof/>
            <w:webHidden/>
          </w:rPr>
          <w:t>173</w:t>
        </w:r>
        <w:r w:rsidR="00DD1219">
          <w:rPr>
            <w:noProof/>
            <w:webHidden/>
          </w:rPr>
          <w:fldChar w:fldCharType="end"/>
        </w:r>
      </w:hyperlink>
    </w:p>
    <w:p w14:paraId="24B2149E" w14:textId="4747FA37" w:rsidR="00DD1219" w:rsidRDefault="00C738AA">
      <w:pPr>
        <w:pStyle w:val="TM3"/>
        <w:rPr>
          <w:rFonts w:eastAsiaTheme="minorEastAsia"/>
          <w:noProof/>
          <w:kern w:val="2"/>
          <w:sz w:val="22"/>
          <w:szCs w:val="22"/>
          <w:lang w:val="fr-CA" w:eastAsia="fr-CA"/>
          <w14:ligatures w14:val="standardContextual"/>
        </w:rPr>
      </w:pPr>
      <w:hyperlink w:anchor="_Toc154048821" w:history="1">
        <w:r w:rsidR="00DD1219" w:rsidRPr="0002721E">
          <w:rPr>
            <w:rStyle w:val="Lienhypertexte"/>
            <w:noProof/>
          </w:rPr>
          <w:t>P2 a pour type (est le type de)</w:t>
        </w:r>
        <w:r w:rsidR="00DD1219">
          <w:rPr>
            <w:noProof/>
            <w:webHidden/>
          </w:rPr>
          <w:tab/>
        </w:r>
        <w:r w:rsidR="00DD1219">
          <w:rPr>
            <w:noProof/>
            <w:webHidden/>
          </w:rPr>
          <w:fldChar w:fldCharType="begin"/>
        </w:r>
        <w:r w:rsidR="00DD1219">
          <w:rPr>
            <w:noProof/>
            <w:webHidden/>
          </w:rPr>
          <w:instrText xml:space="preserve"> PAGEREF _Toc154048821 \h </w:instrText>
        </w:r>
        <w:r w:rsidR="00DD1219">
          <w:rPr>
            <w:noProof/>
            <w:webHidden/>
          </w:rPr>
        </w:r>
        <w:r w:rsidR="00DD1219">
          <w:rPr>
            <w:noProof/>
            <w:webHidden/>
          </w:rPr>
          <w:fldChar w:fldCharType="separate"/>
        </w:r>
        <w:r>
          <w:rPr>
            <w:noProof/>
            <w:webHidden/>
          </w:rPr>
          <w:t>174</w:t>
        </w:r>
        <w:r w:rsidR="00DD1219">
          <w:rPr>
            <w:noProof/>
            <w:webHidden/>
          </w:rPr>
          <w:fldChar w:fldCharType="end"/>
        </w:r>
      </w:hyperlink>
    </w:p>
    <w:p w14:paraId="5ECDCAB6" w14:textId="29EFBC43" w:rsidR="00DD1219" w:rsidRDefault="00C738AA">
      <w:pPr>
        <w:pStyle w:val="TM3"/>
        <w:rPr>
          <w:rFonts w:eastAsiaTheme="minorEastAsia"/>
          <w:noProof/>
          <w:kern w:val="2"/>
          <w:sz w:val="22"/>
          <w:szCs w:val="22"/>
          <w:lang w:val="fr-CA" w:eastAsia="fr-CA"/>
          <w14:ligatures w14:val="standardContextual"/>
        </w:rPr>
      </w:pPr>
      <w:hyperlink w:anchor="_Toc154048822" w:history="1">
        <w:r w:rsidR="00DD1219" w:rsidRPr="0002721E">
          <w:rPr>
            <w:rStyle w:val="Lienhypertexte"/>
            <w:noProof/>
          </w:rPr>
          <w:t>P3 a pour note</w:t>
        </w:r>
        <w:r w:rsidR="00DD1219">
          <w:rPr>
            <w:noProof/>
            <w:webHidden/>
          </w:rPr>
          <w:tab/>
        </w:r>
        <w:r w:rsidR="00DD1219">
          <w:rPr>
            <w:noProof/>
            <w:webHidden/>
          </w:rPr>
          <w:fldChar w:fldCharType="begin"/>
        </w:r>
        <w:r w:rsidR="00DD1219">
          <w:rPr>
            <w:noProof/>
            <w:webHidden/>
          </w:rPr>
          <w:instrText xml:space="preserve"> PAGEREF _Toc154048822 \h </w:instrText>
        </w:r>
        <w:r w:rsidR="00DD1219">
          <w:rPr>
            <w:noProof/>
            <w:webHidden/>
          </w:rPr>
        </w:r>
        <w:r w:rsidR="00DD1219">
          <w:rPr>
            <w:noProof/>
            <w:webHidden/>
          </w:rPr>
          <w:fldChar w:fldCharType="separate"/>
        </w:r>
        <w:r>
          <w:rPr>
            <w:noProof/>
            <w:webHidden/>
          </w:rPr>
          <w:t>175</w:t>
        </w:r>
        <w:r w:rsidR="00DD1219">
          <w:rPr>
            <w:noProof/>
            <w:webHidden/>
          </w:rPr>
          <w:fldChar w:fldCharType="end"/>
        </w:r>
      </w:hyperlink>
    </w:p>
    <w:p w14:paraId="17E695BD" w14:textId="2F72D5AE" w:rsidR="00DD1219" w:rsidRDefault="00C738AA">
      <w:pPr>
        <w:pStyle w:val="TM3"/>
        <w:rPr>
          <w:rFonts w:eastAsiaTheme="minorEastAsia"/>
          <w:noProof/>
          <w:kern w:val="2"/>
          <w:sz w:val="22"/>
          <w:szCs w:val="22"/>
          <w:lang w:val="fr-CA" w:eastAsia="fr-CA"/>
          <w14:ligatures w14:val="standardContextual"/>
        </w:rPr>
      </w:pPr>
      <w:hyperlink w:anchor="_Toc154048823" w:history="1">
        <w:r w:rsidR="00DD1219" w:rsidRPr="0002721E">
          <w:rPr>
            <w:rStyle w:val="Lienhypertexte"/>
            <w:noProof/>
          </w:rPr>
          <w:t>P4 a pour intervalle temporel (est l’intervalle temporel de)</w:t>
        </w:r>
        <w:r w:rsidR="00DD1219">
          <w:rPr>
            <w:noProof/>
            <w:webHidden/>
          </w:rPr>
          <w:tab/>
        </w:r>
        <w:r w:rsidR="00DD1219">
          <w:rPr>
            <w:noProof/>
            <w:webHidden/>
          </w:rPr>
          <w:fldChar w:fldCharType="begin"/>
        </w:r>
        <w:r w:rsidR="00DD1219">
          <w:rPr>
            <w:noProof/>
            <w:webHidden/>
          </w:rPr>
          <w:instrText xml:space="preserve"> PAGEREF _Toc154048823 \h </w:instrText>
        </w:r>
        <w:r w:rsidR="00DD1219">
          <w:rPr>
            <w:noProof/>
            <w:webHidden/>
          </w:rPr>
        </w:r>
        <w:r w:rsidR="00DD1219">
          <w:rPr>
            <w:noProof/>
            <w:webHidden/>
          </w:rPr>
          <w:fldChar w:fldCharType="separate"/>
        </w:r>
        <w:r>
          <w:rPr>
            <w:noProof/>
            <w:webHidden/>
          </w:rPr>
          <w:t>176</w:t>
        </w:r>
        <w:r w:rsidR="00DD1219">
          <w:rPr>
            <w:noProof/>
            <w:webHidden/>
          </w:rPr>
          <w:fldChar w:fldCharType="end"/>
        </w:r>
      </w:hyperlink>
    </w:p>
    <w:p w14:paraId="040B438A" w14:textId="221DC7C1" w:rsidR="00DD1219" w:rsidRDefault="00C738AA">
      <w:pPr>
        <w:pStyle w:val="TM3"/>
        <w:rPr>
          <w:rFonts w:eastAsiaTheme="minorEastAsia"/>
          <w:noProof/>
          <w:kern w:val="2"/>
          <w:sz w:val="22"/>
          <w:szCs w:val="22"/>
          <w:lang w:val="fr-CA" w:eastAsia="fr-CA"/>
          <w14:ligatures w14:val="standardContextual"/>
        </w:rPr>
      </w:pPr>
      <w:hyperlink w:anchor="_Toc154048824" w:history="1">
        <w:r w:rsidR="00DD1219" w:rsidRPr="0002721E">
          <w:rPr>
            <w:rStyle w:val="Lienhypertexte"/>
            <w:noProof/>
          </w:rPr>
          <w:t>P5 comprend (fait partie de)</w:t>
        </w:r>
        <w:r w:rsidR="00DD1219">
          <w:rPr>
            <w:noProof/>
            <w:webHidden/>
          </w:rPr>
          <w:tab/>
        </w:r>
        <w:r w:rsidR="00DD1219">
          <w:rPr>
            <w:noProof/>
            <w:webHidden/>
          </w:rPr>
          <w:fldChar w:fldCharType="begin"/>
        </w:r>
        <w:r w:rsidR="00DD1219">
          <w:rPr>
            <w:noProof/>
            <w:webHidden/>
          </w:rPr>
          <w:instrText xml:space="preserve"> PAGEREF _Toc154048824 \h </w:instrText>
        </w:r>
        <w:r w:rsidR="00DD1219">
          <w:rPr>
            <w:noProof/>
            <w:webHidden/>
          </w:rPr>
        </w:r>
        <w:r w:rsidR="00DD1219">
          <w:rPr>
            <w:noProof/>
            <w:webHidden/>
          </w:rPr>
          <w:fldChar w:fldCharType="separate"/>
        </w:r>
        <w:r>
          <w:rPr>
            <w:noProof/>
            <w:webHidden/>
          </w:rPr>
          <w:t>177</w:t>
        </w:r>
        <w:r w:rsidR="00DD1219">
          <w:rPr>
            <w:noProof/>
            <w:webHidden/>
          </w:rPr>
          <w:fldChar w:fldCharType="end"/>
        </w:r>
      </w:hyperlink>
    </w:p>
    <w:p w14:paraId="3F2AAA5F" w14:textId="64C2628A" w:rsidR="00DD1219" w:rsidRDefault="00C738AA">
      <w:pPr>
        <w:pStyle w:val="TM3"/>
        <w:rPr>
          <w:rFonts w:eastAsiaTheme="minorEastAsia"/>
          <w:noProof/>
          <w:kern w:val="2"/>
          <w:sz w:val="22"/>
          <w:szCs w:val="22"/>
          <w:lang w:val="fr-CA" w:eastAsia="fr-CA"/>
          <w14:ligatures w14:val="standardContextual"/>
        </w:rPr>
      </w:pPr>
      <w:hyperlink w:anchor="_Toc154048825" w:history="1">
        <w:r w:rsidR="00DD1219" w:rsidRPr="0002721E">
          <w:rPr>
            <w:rStyle w:val="Lienhypertexte"/>
            <w:noProof/>
          </w:rPr>
          <w:t>P7 a eu lieu dans (a été témoin de)</w:t>
        </w:r>
        <w:r w:rsidR="00DD1219">
          <w:rPr>
            <w:noProof/>
            <w:webHidden/>
          </w:rPr>
          <w:tab/>
        </w:r>
        <w:r w:rsidR="00DD1219">
          <w:rPr>
            <w:noProof/>
            <w:webHidden/>
          </w:rPr>
          <w:fldChar w:fldCharType="begin"/>
        </w:r>
        <w:r w:rsidR="00DD1219">
          <w:rPr>
            <w:noProof/>
            <w:webHidden/>
          </w:rPr>
          <w:instrText xml:space="preserve"> PAGEREF _Toc154048825 \h </w:instrText>
        </w:r>
        <w:r w:rsidR="00DD1219">
          <w:rPr>
            <w:noProof/>
            <w:webHidden/>
          </w:rPr>
        </w:r>
        <w:r w:rsidR="00DD1219">
          <w:rPr>
            <w:noProof/>
            <w:webHidden/>
          </w:rPr>
          <w:fldChar w:fldCharType="separate"/>
        </w:r>
        <w:r>
          <w:rPr>
            <w:noProof/>
            <w:webHidden/>
          </w:rPr>
          <w:t>178</w:t>
        </w:r>
        <w:r w:rsidR="00DD1219">
          <w:rPr>
            <w:noProof/>
            <w:webHidden/>
          </w:rPr>
          <w:fldChar w:fldCharType="end"/>
        </w:r>
      </w:hyperlink>
    </w:p>
    <w:p w14:paraId="62D6E2EA" w14:textId="063F34CE" w:rsidR="00DD1219" w:rsidRDefault="00C738AA">
      <w:pPr>
        <w:pStyle w:val="TM3"/>
        <w:rPr>
          <w:rFonts w:eastAsiaTheme="minorEastAsia"/>
          <w:noProof/>
          <w:kern w:val="2"/>
          <w:sz w:val="22"/>
          <w:szCs w:val="22"/>
          <w:lang w:val="fr-CA" w:eastAsia="fr-CA"/>
          <w14:ligatures w14:val="standardContextual"/>
        </w:rPr>
      </w:pPr>
      <w:hyperlink w:anchor="_Toc154048826" w:history="1">
        <w:r w:rsidR="00DD1219" w:rsidRPr="0002721E">
          <w:rPr>
            <w:rStyle w:val="Lienhypertexte"/>
            <w:noProof/>
          </w:rPr>
          <w:t>P8 a eu lieu à (a été témoin de)</w:t>
        </w:r>
        <w:r w:rsidR="00DD1219">
          <w:rPr>
            <w:noProof/>
            <w:webHidden/>
          </w:rPr>
          <w:tab/>
        </w:r>
        <w:r w:rsidR="00DD1219">
          <w:rPr>
            <w:noProof/>
            <w:webHidden/>
          </w:rPr>
          <w:fldChar w:fldCharType="begin"/>
        </w:r>
        <w:r w:rsidR="00DD1219">
          <w:rPr>
            <w:noProof/>
            <w:webHidden/>
          </w:rPr>
          <w:instrText xml:space="preserve"> PAGEREF _Toc154048826 \h </w:instrText>
        </w:r>
        <w:r w:rsidR="00DD1219">
          <w:rPr>
            <w:noProof/>
            <w:webHidden/>
          </w:rPr>
        </w:r>
        <w:r w:rsidR="00DD1219">
          <w:rPr>
            <w:noProof/>
            <w:webHidden/>
          </w:rPr>
          <w:fldChar w:fldCharType="separate"/>
        </w:r>
        <w:r>
          <w:rPr>
            <w:noProof/>
            <w:webHidden/>
          </w:rPr>
          <w:t>179</w:t>
        </w:r>
        <w:r w:rsidR="00DD1219">
          <w:rPr>
            <w:noProof/>
            <w:webHidden/>
          </w:rPr>
          <w:fldChar w:fldCharType="end"/>
        </w:r>
      </w:hyperlink>
    </w:p>
    <w:p w14:paraId="68CC1421" w14:textId="1EF6D8EA" w:rsidR="00DD1219" w:rsidRDefault="00C738AA">
      <w:pPr>
        <w:pStyle w:val="TM3"/>
        <w:rPr>
          <w:rFonts w:eastAsiaTheme="minorEastAsia"/>
          <w:noProof/>
          <w:kern w:val="2"/>
          <w:sz w:val="22"/>
          <w:szCs w:val="22"/>
          <w:lang w:val="fr-CA" w:eastAsia="fr-CA"/>
          <w14:ligatures w14:val="standardContextual"/>
        </w:rPr>
      </w:pPr>
      <w:hyperlink w:anchor="_Toc154048827" w:history="1">
        <w:r w:rsidR="00DD1219" w:rsidRPr="0002721E">
          <w:rPr>
            <w:rStyle w:val="Lienhypertexte"/>
            <w:noProof/>
          </w:rPr>
          <w:t>P9 comprend (fait partie de)</w:t>
        </w:r>
        <w:r w:rsidR="00DD1219">
          <w:rPr>
            <w:noProof/>
            <w:webHidden/>
          </w:rPr>
          <w:tab/>
        </w:r>
        <w:r w:rsidR="00DD1219">
          <w:rPr>
            <w:noProof/>
            <w:webHidden/>
          </w:rPr>
          <w:fldChar w:fldCharType="begin"/>
        </w:r>
        <w:r w:rsidR="00DD1219">
          <w:rPr>
            <w:noProof/>
            <w:webHidden/>
          </w:rPr>
          <w:instrText xml:space="preserve"> PAGEREF _Toc154048827 \h </w:instrText>
        </w:r>
        <w:r w:rsidR="00DD1219">
          <w:rPr>
            <w:noProof/>
            <w:webHidden/>
          </w:rPr>
        </w:r>
        <w:r w:rsidR="00DD1219">
          <w:rPr>
            <w:noProof/>
            <w:webHidden/>
          </w:rPr>
          <w:fldChar w:fldCharType="separate"/>
        </w:r>
        <w:r>
          <w:rPr>
            <w:noProof/>
            <w:webHidden/>
          </w:rPr>
          <w:t>180</w:t>
        </w:r>
        <w:r w:rsidR="00DD1219">
          <w:rPr>
            <w:noProof/>
            <w:webHidden/>
          </w:rPr>
          <w:fldChar w:fldCharType="end"/>
        </w:r>
      </w:hyperlink>
    </w:p>
    <w:p w14:paraId="782D301E" w14:textId="70C6C6E3" w:rsidR="00DD1219" w:rsidRDefault="00C738AA">
      <w:pPr>
        <w:pStyle w:val="TM3"/>
        <w:rPr>
          <w:rFonts w:eastAsiaTheme="minorEastAsia"/>
          <w:noProof/>
          <w:kern w:val="2"/>
          <w:sz w:val="22"/>
          <w:szCs w:val="22"/>
          <w:lang w:val="fr-CA" w:eastAsia="fr-CA"/>
          <w14:ligatures w14:val="standardContextual"/>
        </w:rPr>
      </w:pPr>
      <w:hyperlink w:anchor="_Toc154048828" w:history="1">
        <w:r w:rsidR="00DD1219" w:rsidRPr="0002721E">
          <w:rPr>
            <w:rStyle w:val="Lienhypertexte"/>
            <w:noProof/>
          </w:rPr>
          <w:t>P10 s’insère dans (contient)</w:t>
        </w:r>
        <w:r w:rsidR="00DD1219">
          <w:rPr>
            <w:noProof/>
            <w:webHidden/>
          </w:rPr>
          <w:tab/>
        </w:r>
        <w:r w:rsidR="00DD1219">
          <w:rPr>
            <w:noProof/>
            <w:webHidden/>
          </w:rPr>
          <w:fldChar w:fldCharType="begin"/>
        </w:r>
        <w:r w:rsidR="00DD1219">
          <w:rPr>
            <w:noProof/>
            <w:webHidden/>
          </w:rPr>
          <w:instrText xml:space="preserve"> PAGEREF _Toc154048828 \h </w:instrText>
        </w:r>
        <w:r w:rsidR="00DD1219">
          <w:rPr>
            <w:noProof/>
            <w:webHidden/>
          </w:rPr>
        </w:r>
        <w:r w:rsidR="00DD1219">
          <w:rPr>
            <w:noProof/>
            <w:webHidden/>
          </w:rPr>
          <w:fldChar w:fldCharType="separate"/>
        </w:r>
        <w:r>
          <w:rPr>
            <w:noProof/>
            <w:webHidden/>
          </w:rPr>
          <w:t>181</w:t>
        </w:r>
        <w:r w:rsidR="00DD1219">
          <w:rPr>
            <w:noProof/>
            <w:webHidden/>
          </w:rPr>
          <w:fldChar w:fldCharType="end"/>
        </w:r>
      </w:hyperlink>
    </w:p>
    <w:p w14:paraId="789BF1F2" w14:textId="7C4D303F" w:rsidR="00DD1219" w:rsidRDefault="00C738AA">
      <w:pPr>
        <w:pStyle w:val="TM3"/>
        <w:rPr>
          <w:rFonts w:eastAsiaTheme="minorEastAsia"/>
          <w:noProof/>
          <w:kern w:val="2"/>
          <w:sz w:val="22"/>
          <w:szCs w:val="22"/>
          <w:lang w:val="fr-CA" w:eastAsia="fr-CA"/>
          <w14:ligatures w14:val="standardContextual"/>
        </w:rPr>
      </w:pPr>
      <w:hyperlink w:anchor="_Toc154048829" w:history="1">
        <w:r w:rsidR="00DD1219" w:rsidRPr="0002721E">
          <w:rPr>
            <w:rStyle w:val="Lienhypertexte"/>
            <w:noProof/>
          </w:rPr>
          <w:t>P11 a eu pour actant participant (a participé à)</w:t>
        </w:r>
        <w:r w:rsidR="00DD1219">
          <w:rPr>
            <w:noProof/>
            <w:webHidden/>
          </w:rPr>
          <w:tab/>
        </w:r>
        <w:r w:rsidR="00DD1219">
          <w:rPr>
            <w:noProof/>
            <w:webHidden/>
          </w:rPr>
          <w:fldChar w:fldCharType="begin"/>
        </w:r>
        <w:r w:rsidR="00DD1219">
          <w:rPr>
            <w:noProof/>
            <w:webHidden/>
          </w:rPr>
          <w:instrText xml:space="preserve"> PAGEREF _Toc154048829 \h </w:instrText>
        </w:r>
        <w:r w:rsidR="00DD1219">
          <w:rPr>
            <w:noProof/>
            <w:webHidden/>
          </w:rPr>
        </w:r>
        <w:r w:rsidR="00DD1219">
          <w:rPr>
            <w:noProof/>
            <w:webHidden/>
          </w:rPr>
          <w:fldChar w:fldCharType="separate"/>
        </w:r>
        <w:r>
          <w:rPr>
            <w:noProof/>
            <w:webHidden/>
          </w:rPr>
          <w:t>182</w:t>
        </w:r>
        <w:r w:rsidR="00DD1219">
          <w:rPr>
            <w:noProof/>
            <w:webHidden/>
          </w:rPr>
          <w:fldChar w:fldCharType="end"/>
        </w:r>
      </w:hyperlink>
    </w:p>
    <w:p w14:paraId="119DC548" w14:textId="239A7AD5" w:rsidR="00DD1219" w:rsidRDefault="00C738AA">
      <w:pPr>
        <w:pStyle w:val="TM3"/>
        <w:rPr>
          <w:rFonts w:eastAsiaTheme="minorEastAsia"/>
          <w:noProof/>
          <w:kern w:val="2"/>
          <w:sz w:val="22"/>
          <w:szCs w:val="22"/>
          <w:lang w:val="fr-CA" w:eastAsia="fr-CA"/>
          <w14:ligatures w14:val="standardContextual"/>
        </w:rPr>
      </w:pPr>
      <w:hyperlink w:anchor="_Toc154048830" w:history="1">
        <w:r w:rsidR="00DD1219" w:rsidRPr="0002721E">
          <w:rPr>
            <w:rStyle w:val="Lienhypertexte"/>
            <w:noProof/>
          </w:rPr>
          <w:t>P12 a eu lieu en présence de (a été présent à)</w:t>
        </w:r>
        <w:r w:rsidR="00DD1219">
          <w:rPr>
            <w:noProof/>
            <w:webHidden/>
          </w:rPr>
          <w:tab/>
        </w:r>
        <w:r w:rsidR="00DD1219">
          <w:rPr>
            <w:noProof/>
            <w:webHidden/>
          </w:rPr>
          <w:fldChar w:fldCharType="begin"/>
        </w:r>
        <w:r w:rsidR="00DD1219">
          <w:rPr>
            <w:noProof/>
            <w:webHidden/>
          </w:rPr>
          <w:instrText xml:space="preserve"> PAGEREF _Toc154048830 \h </w:instrText>
        </w:r>
        <w:r w:rsidR="00DD1219">
          <w:rPr>
            <w:noProof/>
            <w:webHidden/>
          </w:rPr>
        </w:r>
        <w:r w:rsidR="00DD1219">
          <w:rPr>
            <w:noProof/>
            <w:webHidden/>
          </w:rPr>
          <w:fldChar w:fldCharType="separate"/>
        </w:r>
        <w:r>
          <w:rPr>
            <w:noProof/>
            <w:webHidden/>
          </w:rPr>
          <w:t>183</w:t>
        </w:r>
        <w:r w:rsidR="00DD1219">
          <w:rPr>
            <w:noProof/>
            <w:webHidden/>
          </w:rPr>
          <w:fldChar w:fldCharType="end"/>
        </w:r>
      </w:hyperlink>
    </w:p>
    <w:p w14:paraId="6CA61214" w14:textId="77DD5864" w:rsidR="00DD1219" w:rsidRDefault="00C738AA">
      <w:pPr>
        <w:pStyle w:val="TM3"/>
        <w:rPr>
          <w:rFonts w:eastAsiaTheme="minorEastAsia"/>
          <w:noProof/>
          <w:kern w:val="2"/>
          <w:sz w:val="22"/>
          <w:szCs w:val="22"/>
          <w:lang w:val="fr-CA" w:eastAsia="fr-CA"/>
          <w14:ligatures w14:val="standardContextual"/>
        </w:rPr>
      </w:pPr>
      <w:hyperlink w:anchor="_Toc154048831" w:history="1">
        <w:r w:rsidR="00DD1219" w:rsidRPr="0002721E">
          <w:rPr>
            <w:rStyle w:val="Lienhypertexte"/>
            <w:noProof/>
          </w:rPr>
          <w:t>P13 a détruit (a été détruit par)</w:t>
        </w:r>
        <w:r w:rsidR="00DD1219">
          <w:rPr>
            <w:noProof/>
            <w:webHidden/>
          </w:rPr>
          <w:tab/>
        </w:r>
        <w:r w:rsidR="00DD1219">
          <w:rPr>
            <w:noProof/>
            <w:webHidden/>
          </w:rPr>
          <w:fldChar w:fldCharType="begin"/>
        </w:r>
        <w:r w:rsidR="00DD1219">
          <w:rPr>
            <w:noProof/>
            <w:webHidden/>
          </w:rPr>
          <w:instrText xml:space="preserve"> PAGEREF _Toc154048831 \h </w:instrText>
        </w:r>
        <w:r w:rsidR="00DD1219">
          <w:rPr>
            <w:noProof/>
            <w:webHidden/>
          </w:rPr>
        </w:r>
        <w:r w:rsidR="00DD1219">
          <w:rPr>
            <w:noProof/>
            <w:webHidden/>
          </w:rPr>
          <w:fldChar w:fldCharType="separate"/>
        </w:r>
        <w:r>
          <w:rPr>
            <w:noProof/>
            <w:webHidden/>
          </w:rPr>
          <w:t>185</w:t>
        </w:r>
        <w:r w:rsidR="00DD1219">
          <w:rPr>
            <w:noProof/>
            <w:webHidden/>
          </w:rPr>
          <w:fldChar w:fldCharType="end"/>
        </w:r>
      </w:hyperlink>
    </w:p>
    <w:p w14:paraId="3A106893" w14:textId="6ABDFD40" w:rsidR="00DD1219" w:rsidRDefault="00C738AA">
      <w:pPr>
        <w:pStyle w:val="TM3"/>
        <w:rPr>
          <w:rFonts w:eastAsiaTheme="minorEastAsia"/>
          <w:noProof/>
          <w:kern w:val="2"/>
          <w:sz w:val="22"/>
          <w:szCs w:val="22"/>
          <w:lang w:val="fr-CA" w:eastAsia="fr-CA"/>
          <w14:ligatures w14:val="standardContextual"/>
        </w:rPr>
      </w:pPr>
      <w:hyperlink w:anchor="_Toc154048832" w:history="1">
        <w:r w:rsidR="00DD1219" w:rsidRPr="0002721E">
          <w:rPr>
            <w:rStyle w:val="Lienhypertexte"/>
            <w:noProof/>
          </w:rPr>
          <w:t>P14 a été effectué par (a effectué)</w:t>
        </w:r>
        <w:r w:rsidR="00DD1219">
          <w:rPr>
            <w:noProof/>
            <w:webHidden/>
          </w:rPr>
          <w:tab/>
        </w:r>
        <w:r w:rsidR="00DD1219">
          <w:rPr>
            <w:noProof/>
            <w:webHidden/>
          </w:rPr>
          <w:fldChar w:fldCharType="begin"/>
        </w:r>
        <w:r w:rsidR="00DD1219">
          <w:rPr>
            <w:noProof/>
            <w:webHidden/>
          </w:rPr>
          <w:instrText xml:space="preserve"> PAGEREF _Toc154048832 \h </w:instrText>
        </w:r>
        <w:r w:rsidR="00DD1219">
          <w:rPr>
            <w:noProof/>
            <w:webHidden/>
          </w:rPr>
        </w:r>
        <w:r w:rsidR="00DD1219">
          <w:rPr>
            <w:noProof/>
            <w:webHidden/>
          </w:rPr>
          <w:fldChar w:fldCharType="separate"/>
        </w:r>
        <w:r>
          <w:rPr>
            <w:noProof/>
            <w:webHidden/>
          </w:rPr>
          <w:t>186</w:t>
        </w:r>
        <w:r w:rsidR="00DD1219">
          <w:rPr>
            <w:noProof/>
            <w:webHidden/>
          </w:rPr>
          <w:fldChar w:fldCharType="end"/>
        </w:r>
      </w:hyperlink>
    </w:p>
    <w:p w14:paraId="2288AB0B" w14:textId="51DDDC2B" w:rsidR="00DD1219" w:rsidRDefault="00C738AA">
      <w:pPr>
        <w:pStyle w:val="TM3"/>
        <w:rPr>
          <w:rFonts w:eastAsiaTheme="minorEastAsia"/>
          <w:noProof/>
          <w:kern w:val="2"/>
          <w:sz w:val="22"/>
          <w:szCs w:val="22"/>
          <w:lang w:val="fr-CA" w:eastAsia="fr-CA"/>
          <w14:ligatures w14:val="standardContextual"/>
        </w:rPr>
      </w:pPr>
      <w:hyperlink w:anchor="_Toc154048833" w:history="1">
        <w:r w:rsidR="00DD1219" w:rsidRPr="0002721E">
          <w:rPr>
            <w:rStyle w:val="Lienhypertexte"/>
            <w:noProof/>
          </w:rPr>
          <w:t>P15 a été influencé par (a influencé)</w:t>
        </w:r>
        <w:r w:rsidR="00DD1219">
          <w:rPr>
            <w:noProof/>
            <w:webHidden/>
          </w:rPr>
          <w:tab/>
        </w:r>
        <w:r w:rsidR="00DD1219">
          <w:rPr>
            <w:noProof/>
            <w:webHidden/>
          </w:rPr>
          <w:fldChar w:fldCharType="begin"/>
        </w:r>
        <w:r w:rsidR="00DD1219">
          <w:rPr>
            <w:noProof/>
            <w:webHidden/>
          </w:rPr>
          <w:instrText xml:space="preserve"> PAGEREF _Toc154048833 \h </w:instrText>
        </w:r>
        <w:r w:rsidR="00DD1219">
          <w:rPr>
            <w:noProof/>
            <w:webHidden/>
          </w:rPr>
        </w:r>
        <w:r w:rsidR="00DD1219">
          <w:rPr>
            <w:noProof/>
            <w:webHidden/>
          </w:rPr>
          <w:fldChar w:fldCharType="separate"/>
        </w:r>
        <w:r>
          <w:rPr>
            <w:noProof/>
            <w:webHidden/>
          </w:rPr>
          <w:t>187</w:t>
        </w:r>
        <w:r w:rsidR="00DD1219">
          <w:rPr>
            <w:noProof/>
            <w:webHidden/>
          </w:rPr>
          <w:fldChar w:fldCharType="end"/>
        </w:r>
      </w:hyperlink>
    </w:p>
    <w:p w14:paraId="70167E17" w14:textId="3DA4A7D6" w:rsidR="00DD1219" w:rsidRDefault="00C738AA">
      <w:pPr>
        <w:pStyle w:val="TM3"/>
        <w:rPr>
          <w:rFonts w:eastAsiaTheme="minorEastAsia"/>
          <w:noProof/>
          <w:kern w:val="2"/>
          <w:sz w:val="22"/>
          <w:szCs w:val="22"/>
          <w:lang w:val="fr-CA" w:eastAsia="fr-CA"/>
          <w14:ligatures w14:val="standardContextual"/>
        </w:rPr>
      </w:pPr>
      <w:hyperlink w:anchor="_Toc154048834" w:history="1">
        <w:r w:rsidR="00DD1219" w:rsidRPr="0002721E">
          <w:rPr>
            <w:rStyle w:val="Lienhypertexte"/>
            <w:noProof/>
          </w:rPr>
          <w:t>P16 a mobilisé l’objet spécifique (a été mobilisé pour)</w:t>
        </w:r>
        <w:r w:rsidR="00DD1219">
          <w:rPr>
            <w:noProof/>
            <w:webHidden/>
          </w:rPr>
          <w:tab/>
        </w:r>
        <w:r w:rsidR="00DD1219">
          <w:rPr>
            <w:noProof/>
            <w:webHidden/>
          </w:rPr>
          <w:fldChar w:fldCharType="begin"/>
        </w:r>
        <w:r w:rsidR="00DD1219">
          <w:rPr>
            <w:noProof/>
            <w:webHidden/>
          </w:rPr>
          <w:instrText xml:space="preserve"> PAGEREF _Toc154048834 \h </w:instrText>
        </w:r>
        <w:r w:rsidR="00DD1219">
          <w:rPr>
            <w:noProof/>
            <w:webHidden/>
          </w:rPr>
        </w:r>
        <w:r w:rsidR="00DD1219">
          <w:rPr>
            <w:noProof/>
            <w:webHidden/>
          </w:rPr>
          <w:fldChar w:fldCharType="separate"/>
        </w:r>
        <w:r>
          <w:rPr>
            <w:noProof/>
            <w:webHidden/>
          </w:rPr>
          <w:t>188</w:t>
        </w:r>
        <w:r w:rsidR="00DD1219">
          <w:rPr>
            <w:noProof/>
            <w:webHidden/>
          </w:rPr>
          <w:fldChar w:fldCharType="end"/>
        </w:r>
      </w:hyperlink>
    </w:p>
    <w:p w14:paraId="29F021EE" w14:textId="1DBD9511" w:rsidR="00DD1219" w:rsidRDefault="00C738AA">
      <w:pPr>
        <w:pStyle w:val="TM3"/>
        <w:rPr>
          <w:rFonts w:eastAsiaTheme="minorEastAsia"/>
          <w:noProof/>
          <w:kern w:val="2"/>
          <w:sz w:val="22"/>
          <w:szCs w:val="22"/>
          <w:lang w:val="fr-CA" w:eastAsia="fr-CA"/>
          <w14:ligatures w14:val="standardContextual"/>
        </w:rPr>
      </w:pPr>
      <w:hyperlink w:anchor="_Toc154048835" w:history="1">
        <w:r w:rsidR="00DD1219" w:rsidRPr="0002721E">
          <w:rPr>
            <w:rStyle w:val="Lienhypertexte"/>
            <w:noProof/>
          </w:rPr>
          <w:t>P17 a été motivé par (a motivé)</w:t>
        </w:r>
        <w:r w:rsidR="00DD1219">
          <w:rPr>
            <w:noProof/>
            <w:webHidden/>
          </w:rPr>
          <w:tab/>
        </w:r>
        <w:r w:rsidR="00DD1219">
          <w:rPr>
            <w:noProof/>
            <w:webHidden/>
          </w:rPr>
          <w:fldChar w:fldCharType="begin"/>
        </w:r>
        <w:r w:rsidR="00DD1219">
          <w:rPr>
            <w:noProof/>
            <w:webHidden/>
          </w:rPr>
          <w:instrText xml:space="preserve"> PAGEREF _Toc154048835 \h </w:instrText>
        </w:r>
        <w:r w:rsidR="00DD1219">
          <w:rPr>
            <w:noProof/>
            <w:webHidden/>
          </w:rPr>
        </w:r>
        <w:r w:rsidR="00DD1219">
          <w:rPr>
            <w:noProof/>
            <w:webHidden/>
          </w:rPr>
          <w:fldChar w:fldCharType="separate"/>
        </w:r>
        <w:r>
          <w:rPr>
            <w:noProof/>
            <w:webHidden/>
          </w:rPr>
          <w:t>189</w:t>
        </w:r>
        <w:r w:rsidR="00DD1219">
          <w:rPr>
            <w:noProof/>
            <w:webHidden/>
          </w:rPr>
          <w:fldChar w:fldCharType="end"/>
        </w:r>
      </w:hyperlink>
    </w:p>
    <w:p w14:paraId="7C527EC0" w14:textId="1652BC23" w:rsidR="00DD1219" w:rsidRDefault="00C738AA">
      <w:pPr>
        <w:pStyle w:val="TM3"/>
        <w:rPr>
          <w:rFonts w:eastAsiaTheme="minorEastAsia"/>
          <w:noProof/>
          <w:kern w:val="2"/>
          <w:sz w:val="22"/>
          <w:szCs w:val="22"/>
          <w:lang w:val="fr-CA" w:eastAsia="fr-CA"/>
          <w14:ligatures w14:val="standardContextual"/>
        </w:rPr>
      </w:pPr>
      <w:hyperlink w:anchor="_Toc154048836" w:history="1">
        <w:r w:rsidR="00DD1219" w:rsidRPr="0002721E">
          <w:rPr>
            <w:rStyle w:val="Lienhypertexte"/>
            <w:noProof/>
          </w:rPr>
          <w:t>P19 a été l’usage prévu de (a été élaboré pour)</w:t>
        </w:r>
        <w:r w:rsidR="00DD1219">
          <w:rPr>
            <w:noProof/>
            <w:webHidden/>
          </w:rPr>
          <w:tab/>
        </w:r>
        <w:r w:rsidR="00DD1219">
          <w:rPr>
            <w:noProof/>
            <w:webHidden/>
          </w:rPr>
          <w:fldChar w:fldCharType="begin"/>
        </w:r>
        <w:r w:rsidR="00DD1219">
          <w:rPr>
            <w:noProof/>
            <w:webHidden/>
          </w:rPr>
          <w:instrText xml:space="preserve"> PAGEREF _Toc154048836 \h </w:instrText>
        </w:r>
        <w:r w:rsidR="00DD1219">
          <w:rPr>
            <w:noProof/>
            <w:webHidden/>
          </w:rPr>
        </w:r>
        <w:r w:rsidR="00DD1219">
          <w:rPr>
            <w:noProof/>
            <w:webHidden/>
          </w:rPr>
          <w:fldChar w:fldCharType="separate"/>
        </w:r>
        <w:r>
          <w:rPr>
            <w:noProof/>
            <w:webHidden/>
          </w:rPr>
          <w:t>190</w:t>
        </w:r>
        <w:r w:rsidR="00DD1219">
          <w:rPr>
            <w:noProof/>
            <w:webHidden/>
          </w:rPr>
          <w:fldChar w:fldCharType="end"/>
        </w:r>
      </w:hyperlink>
    </w:p>
    <w:p w14:paraId="03D57D0C" w14:textId="6FDF342E" w:rsidR="00DD1219" w:rsidRDefault="00C738AA">
      <w:pPr>
        <w:pStyle w:val="TM3"/>
        <w:rPr>
          <w:rFonts w:eastAsiaTheme="minorEastAsia"/>
          <w:noProof/>
          <w:kern w:val="2"/>
          <w:sz w:val="22"/>
          <w:szCs w:val="22"/>
          <w:lang w:val="fr-CA" w:eastAsia="fr-CA"/>
          <w14:ligatures w14:val="standardContextual"/>
        </w:rPr>
      </w:pPr>
      <w:hyperlink w:anchor="_Toc154048837" w:history="1">
        <w:r w:rsidR="00DD1219" w:rsidRPr="0002721E">
          <w:rPr>
            <w:rStyle w:val="Lienhypertexte"/>
            <w:noProof/>
          </w:rPr>
          <w:t>P20 a eu pour finalité spécifique (a été la finalité de)</w:t>
        </w:r>
        <w:r w:rsidR="00DD1219">
          <w:rPr>
            <w:noProof/>
            <w:webHidden/>
          </w:rPr>
          <w:tab/>
        </w:r>
        <w:r w:rsidR="00DD1219">
          <w:rPr>
            <w:noProof/>
            <w:webHidden/>
          </w:rPr>
          <w:fldChar w:fldCharType="begin"/>
        </w:r>
        <w:r w:rsidR="00DD1219">
          <w:rPr>
            <w:noProof/>
            <w:webHidden/>
          </w:rPr>
          <w:instrText xml:space="preserve"> PAGEREF _Toc154048837 \h </w:instrText>
        </w:r>
        <w:r w:rsidR="00DD1219">
          <w:rPr>
            <w:noProof/>
            <w:webHidden/>
          </w:rPr>
        </w:r>
        <w:r w:rsidR="00DD1219">
          <w:rPr>
            <w:noProof/>
            <w:webHidden/>
          </w:rPr>
          <w:fldChar w:fldCharType="separate"/>
        </w:r>
        <w:r>
          <w:rPr>
            <w:noProof/>
            <w:webHidden/>
          </w:rPr>
          <w:t>191</w:t>
        </w:r>
        <w:r w:rsidR="00DD1219">
          <w:rPr>
            <w:noProof/>
            <w:webHidden/>
          </w:rPr>
          <w:fldChar w:fldCharType="end"/>
        </w:r>
      </w:hyperlink>
    </w:p>
    <w:p w14:paraId="302ADB0D" w14:textId="17332DE4" w:rsidR="00DD1219" w:rsidRDefault="00C738AA">
      <w:pPr>
        <w:pStyle w:val="TM3"/>
        <w:rPr>
          <w:rFonts w:eastAsiaTheme="minorEastAsia"/>
          <w:noProof/>
          <w:kern w:val="2"/>
          <w:sz w:val="22"/>
          <w:szCs w:val="22"/>
          <w:lang w:val="fr-CA" w:eastAsia="fr-CA"/>
          <w14:ligatures w14:val="standardContextual"/>
        </w:rPr>
      </w:pPr>
      <w:hyperlink w:anchor="_Toc154048838" w:history="1">
        <w:r w:rsidR="00DD1219" w:rsidRPr="0002721E">
          <w:rPr>
            <w:rStyle w:val="Lienhypertexte"/>
            <w:noProof/>
          </w:rPr>
          <w:t>P21 a eu pour finalité générale (a été la finalité de)</w:t>
        </w:r>
        <w:r w:rsidR="00DD1219">
          <w:rPr>
            <w:noProof/>
            <w:webHidden/>
          </w:rPr>
          <w:tab/>
        </w:r>
        <w:r w:rsidR="00DD1219">
          <w:rPr>
            <w:noProof/>
            <w:webHidden/>
          </w:rPr>
          <w:fldChar w:fldCharType="begin"/>
        </w:r>
        <w:r w:rsidR="00DD1219">
          <w:rPr>
            <w:noProof/>
            <w:webHidden/>
          </w:rPr>
          <w:instrText xml:space="preserve"> PAGEREF _Toc154048838 \h </w:instrText>
        </w:r>
        <w:r w:rsidR="00DD1219">
          <w:rPr>
            <w:noProof/>
            <w:webHidden/>
          </w:rPr>
        </w:r>
        <w:r w:rsidR="00DD1219">
          <w:rPr>
            <w:noProof/>
            <w:webHidden/>
          </w:rPr>
          <w:fldChar w:fldCharType="separate"/>
        </w:r>
        <w:r>
          <w:rPr>
            <w:noProof/>
            <w:webHidden/>
          </w:rPr>
          <w:t>192</w:t>
        </w:r>
        <w:r w:rsidR="00DD1219">
          <w:rPr>
            <w:noProof/>
            <w:webHidden/>
          </w:rPr>
          <w:fldChar w:fldCharType="end"/>
        </w:r>
      </w:hyperlink>
    </w:p>
    <w:p w14:paraId="77224335" w14:textId="7C0C4F84" w:rsidR="00DD1219" w:rsidRDefault="00C738AA">
      <w:pPr>
        <w:pStyle w:val="TM3"/>
        <w:rPr>
          <w:rFonts w:eastAsiaTheme="minorEastAsia"/>
          <w:noProof/>
          <w:kern w:val="2"/>
          <w:sz w:val="22"/>
          <w:szCs w:val="22"/>
          <w:lang w:val="fr-CA" w:eastAsia="fr-CA"/>
          <w14:ligatures w14:val="standardContextual"/>
        </w:rPr>
      </w:pPr>
      <w:hyperlink w:anchor="_Toc154048839" w:history="1">
        <w:r w:rsidR="00DD1219" w:rsidRPr="0002721E">
          <w:rPr>
            <w:rStyle w:val="Lienhypertexte"/>
            <w:noProof/>
          </w:rPr>
          <w:t>P22 a transféré le titre de propriété à (a acquis le titre de propriété par)</w:t>
        </w:r>
        <w:r w:rsidR="00DD1219">
          <w:rPr>
            <w:noProof/>
            <w:webHidden/>
          </w:rPr>
          <w:tab/>
        </w:r>
        <w:r w:rsidR="00DD1219">
          <w:rPr>
            <w:noProof/>
            <w:webHidden/>
          </w:rPr>
          <w:fldChar w:fldCharType="begin"/>
        </w:r>
        <w:r w:rsidR="00DD1219">
          <w:rPr>
            <w:noProof/>
            <w:webHidden/>
          </w:rPr>
          <w:instrText xml:space="preserve"> PAGEREF _Toc154048839 \h </w:instrText>
        </w:r>
        <w:r w:rsidR="00DD1219">
          <w:rPr>
            <w:noProof/>
            <w:webHidden/>
          </w:rPr>
        </w:r>
        <w:r w:rsidR="00DD1219">
          <w:rPr>
            <w:noProof/>
            <w:webHidden/>
          </w:rPr>
          <w:fldChar w:fldCharType="separate"/>
        </w:r>
        <w:r>
          <w:rPr>
            <w:noProof/>
            <w:webHidden/>
          </w:rPr>
          <w:t>193</w:t>
        </w:r>
        <w:r w:rsidR="00DD1219">
          <w:rPr>
            <w:noProof/>
            <w:webHidden/>
          </w:rPr>
          <w:fldChar w:fldCharType="end"/>
        </w:r>
      </w:hyperlink>
    </w:p>
    <w:p w14:paraId="78793F03" w14:textId="1C283A0C" w:rsidR="00DD1219" w:rsidRDefault="00C738AA">
      <w:pPr>
        <w:pStyle w:val="TM3"/>
        <w:rPr>
          <w:rFonts w:eastAsiaTheme="minorEastAsia"/>
          <w:noProof/>
          <w:kern w:val="2"/>
          <w:sz w:val="22"/>
          <w:szCs w:val="22"/>
          <w:lang w:val="fr-CA" w:eastAsia="fr-CA"/>
          <w14:ligatures w14:val="standardContextual"/>
        </w:rPr>
      </w:pPr>
      <w:hyperlink w:anchor="_Toc154048840" w:history="1">
        <w:r w:rsidR="00DD1219" w:rsidRPr="0002721E">
          <w:rPr>
            <w:rStyle w:val="Lienhypertexte"/>
            <w:noProof/>
          </w:rPr>
          <w:t>P23 a transféré le titre de propriété de (a cédé le titre de propriété à)</w:t>
        </w:r>
        <w:r w:rsidR="00DD1219">
          <w:rPr>
            <w:noProof/>
            <w:webHidden/>
          </w:rPr>
          <w:tab/>
        </w:r>
        <w:r w:rsidR="00DD1219">
          <w:rPr>
            <w:noProof/>
            <w:webHidden/>
          </w:rPr>
          <w:fldChar w:fldCharType="begin"/>
        </w:r>
        <w:r w:rsidR="00DD1219">
          <w:rPr>
            <w:noProof/>
            <w:webHidden/>
          </w:rPr>
          <w:instrText xml:space="preserve"> PAGEREF _Toc154048840 \h </w:instrText>
        </w:r>
        <w:r w:rsidR="00DD1219">
          <w:rPr>
            <w:noProof/>
            <w:webHidden/>
          </w:rPr>
        </w:r>
        <w:r w:rsidR="00DD1219">
          <w:rPr>
            <w:noProof/>
            <w:webHidden/>
          </w:rPr>
          <w:fldChar w:fldCharType="separate"/>
        </w:r>
        <w:r>
          <w:rPr>
            <w:noProof/>
            <w:webHidden/>
          </w:rPr>
          <w:t>194</w:t>
        </w:r>
        <w:r w:rsidR="00DD1219">
          <w:rPr>
            <w:noProof/>
            <w:webHidden/>
          </w:rPr>
          <w:fldChar w:fldCharType="end"/>
        </w:r>
      </w:hyperlink>
    </w:p>
    <w:p w14:paraId="5E73528B" w14:textId="6AD76A20" w:rsidR="00DD1219" w:rsidRDefault="00C738AA">
      <w:pPr>
        <w:pStyle w:val="TM3"/>
        <w:rPr>
          <w:rFonts w:eastAsiaTheme="minorEastAsia"/>
          <w:noProof/>
          <w:kern w:val="2"/>
          <w:sz w:val="22"/>
          <w:szCs w:val="22"/>
          <w:lang w:val="fr-CA" w:eastAsia="fr-CA"/>
          <w14:ligatures w14:val="standardContextual"/>
        </w:rPr>
      </w:pPr>
      <w:hyperlink w:anchor="_Toc154048841" w:history="1">
        <w:r w:rsidR="00DD1219" w:rsidRPr="0002721E">
          <w:rPr>
            <w:rStyle w:val="Lienhypertexte"/>
            <w:noProof/>
          </w:rPr>
          <w:t>P24 a transféré le titre de propriété de (a changé de propriétaire par)</w:t>
        </w:r>
        <w:r w:rsidR="00DD1219">
          <w:rPr>
            <w:noProof/>
            <w:webHidden/>
          </w:rPr>
          <w:tab/>
        </w:r>
        <w:r w:rsidR="00DD1219">
          <w:rPr>
            <w:noProof/>
            <w:webHidden/>
          </w:rPr>
          <w:fldChar w:fldCharType="begin"/>
        </w:r>
        <w:r w:rsidR="00DD1219">
          <w:rPr>
            <w:noProof/>
            <w:webHidden/>
          </w:rPr>
          <w:instrText xml:space="preserve"> PAGEREF _Toc154048841 \h </w:instrText>
        </w:r>
        <w:r w:rsidR="00DD1219">
          <w:rPr>
            <w:noProof/>
            <w:webHidden/>
          </w:rPr>
        </w:r>
        <w:r w:rsidR="00DD1219">
          <w:rPr>
            <w:noProof/>
            <w:webHidden/>
          </w:rPr>
          <w:fldChar w:fldCharType="separate"/>
        </w:r>
        <w:r>
          <w:rPr>
            <w:noProof/>
            <w:webHidden/>
          </w:rPr>
          <w:t>194</w:t>
        </w:r>
        <w:r w:rsidR="00DD1219">
          <w:rPr>
            <w:noProof/>
            <w:webHidden/>
          </w:rPr>
          <w:fldChar w:fldCharType="end"/>
        </w:r>
      </w:hyperlink>
    </w:p>
    <w:p w14:paraId="09329376" w14:textId="48A03BF5" w:rsidR="00DD1219" w:rsidRDefault="00C738AA">
      <w:pPr>
        <w:pStyle w:val="TM3"/>
        <w:rPr>
          <w:rFonts w:eastAsiaTheme="minorEastAsia"/>
          <w:noProof/>
          <w:kern w:val="2"/>
          <w:sz w:val="22"/>
          <w:szCs w:val="22"/>
          <w:lang w:val="fr-CA" w:eastAsia="fr-CA"/>
          <w14:ligatures w14:val="standardContextual"/>
        </w:rPr>
      </w:pPr>
      <w:hyperlink w:anchor="_Toc154048842" w:history="1">
        <w:r w:rsidR="00DD1219" w:rsidRPr="0002721E">
          <w:rPr>
            <w:rStyle w:val="Lienhypertexte"/>
            <w:noProof/>
          </w:rPr>
          <w:t>P25 a déplacé (a été déplacé par)</w:t>
        </w:r>
        <w:r w:rsidR="00DD1219">
          <w:rPr>
            <w:noProof/>
            <w:webHidden/>
          </w:rPr>
          <w:tab/>
        </w:r>
        <w:r w:rsidR="00DD1219">
          <w:rPr>
            <w:noProof/>
            <w:webHidden/>
          </w:rPr>
          <w:fldChar w:fldCharType="begin"/>
        </w:r>
        <w:r w:rsidR="00DD1219">
          <w:rPr>
            <w:noProof/>
            <w:webHidden/>
          </w:rPr>
          <w:instrText xml:space="preserve"> PAGEREF _Toc154048842 \h </w:instrText>
        </w:r>
        <w:r w:rsidR="00DD1219">
          <w:rPr>
            <w:noProof/>
            <w:webHidden/>
          </w:rPr>
        </w:r>
        <w:r w:rsidR="00DD1219">
          <w:rPr>
            <w:noProof/>
            <w:webHidden/>
          </w:rPr>
          <w:fldChar w:fldCharType="separate"/>
        </w:r>
        <w:r>
          <w:rPr>
            <w:noProof/>
            <w:webHidden/>
          </w:rPr>
          <w:t>195</w:t>
        </w:r>
        <w:r w:rsidR="00DD1219">
          <w:rPr>
            <w:noProof/>
            <w:webHidden/>
          </w:rPr>
          <w:fldChar w:fldCharType="end"/>
        </w:r>
      </w:hyperlink>
    </w:p>
    <w:p w14:paraId="744FDE18" w14:textId="7288A5C9" w:rsidR="00DD1219" w:rsidRDefault="00C738AA">
      <w:pPr>
        <w:pStyle w:val="TM3"/>
        <w:rPr>
          <w:rFonts w:eastAsiaTheme="minorEastAsia"/>
          <w:noProof/>
          <w:kern w:val="2"/>
          <w:sz w:val="22"/>
          <w:szCs w:val="22"/>
          <w:lang w:val="fr-CA" w:eastAsia="fr-CA"/>
          <w14:ligatures w14:val="standardContextual"/>
        </w:rPr>
      </w:pPr>
      <w:hyperlink w:anchor="_Toc154048843" w:history="1">
        <w:r w:rsidR="00DD1219" w:rsidRPr="0002721E">
          <w:rPr>
            <w:rStyle w:val="Lienhypertexte"/>
            <w:noProof/>
          </w:rPr>
          <w:t>P26 a déplacé vers (a été la destination de)</w:t>
        </w:r>
        <w:r w:rsidR="00DD1219">
          <w:rPr>
            <w:noProof/>
            <w:webHidden/>
          </w:rPr>
          <w:tab/>
        </w:r>
        <w:r w:rsidR="00DD1219">
          <w:rPr>
            <w:noProof/>
            <w:webHidden/>
          </w:rPr>
          <w:fldChar w:fldCharType="begin"/>
        </w:r>
        <w:r w:rsidR="00DD1219">
          <w:rPr>
            <w:noProof/>
            <w:webHidden/>
          </w:rPr>
          <w:instrText xml:space="preserve"> PAGEREF _Toc154048843 \h </w:instrText>
        </w:r>
        <w:r w:rsidR="00DD1219">
          <w:rPr>
            <w:noProof/>
            <w:webHidden/>
          </w:rPr>
        </w:r>
        <w:r w:rsidR="00DD1219">
          <w:rPr>
            <w:noProof/>
            <w:webHidden/>
          </w:rPr>
          <w:fldChar w:fldCharType="separate"/>
        </w:r>
        <w:r>
          <w:rPr>
            <w:noProof/>
            <w:webHidden/>
          </w:rPr>
          <w:t>196</w:t>
        </w:r>
        <w:r w:rsidR="00DD1219">
          <w:rPr>
            <w:noProof/>
            <w:webHidden/>
          </w:rPr>
          <w:fldChar w:fldCharType="end"/>
        </w:r>
      </w:hyperlink>
    </w:p>
    <w:p w14:paraId="370842D1" w14:textId="456888C5" w:rsidR="00DD1219" w:rsidRDefault="00C738AA">
      <w:pPr>
        <w:pStyle w:val="TM3"/>
        <w:rPr>
          <w:rFonts w:eastAsiaTheme="minorEastAsia"/>
          <w:noProof/>
          <w:kern w:val="2"/>
          <w:sz w:val="22"/>
          <w:szCs w:val="22"/>
          <w:lang w:val="fr-CA" w:eastAsia="fr-CA"/>
          <w14:ligatures w14:val="standardContextual"/>
        </w:rPr>
      </w:pPr>
      <w:hyperlink w:anchor="_Toc154048844" w:history="1">
        <w:r w:rsidR="00DD1219" w:rsidRPr="0002721E">
          <w:rPr>
            <w:rStyle w:val="Lienhypertexte"/>
            <w:noProof/>
          </w:rPr>
          <w:t>P27 a déplacé depuis (a été le point de départ de)</w:t>
        </w:r>
        <w:r w:rsidR="00DD1219">
          <w:rPr>
            <w:noProof/>
            <w:webHidden/>
          </w:rPr>
          <w:tab/>
        </w:r>
        <w:r w:rsidR="00DD1219">
          <w:rPr>
            <w:noProof/>
            <w:webHidden/>
          </w:rPr>
          <w:fldChar w:fldCharType="begin"/>
        </w:r>
        <w:r w:rsidR="00DD1219">
          <w:rPr>
            <w:noProof/>
            <w:webHidden/>
          </w:rPr>
          <w:instrText xml:space="preserve"> PAGEREF _Toc154048844 \h </w:instrText>
        </w:r>
        <w:r w:rsidR="00DD1219">
          <w:rPr>
            <w:noProof/>
            <w:webHidden/>
          </w:rPr>
        </w:r>
        <w:r w:rsidR="00DD1219">
          <w:rPr>
            <w:noProof/>
            <w:webHidden/>
          </w:rPr>
          <w:fldChar w:fldCharType="separate"/>
        </w:r>
        <w:r>
          <w:rPr>
            <w:noProof/>
            <w:webHidden/>
          </w:rPr>
          <w:t>197</w:t>
        </w:r>
        <w:r w:rsidR="00DD1219">
          <w:rPr>
            <w:noProof/>
            <w:webHidden/>
          </w:rPr>
          <w:fldChar w:fldCharType="end"/>
        </w:r>
      </w:hyperlink>
    </w:p>
    <w:p w14:paraId="52F82EC1" w14:textId="1A1A17AD" w:rsidR="00DD1219" w:rsidRDefault="00C738AA">
      <w:pPr>
        <w:pStyle w:val="TM3"/>
        <w:rPr>
          <w:rFonts w:eastAsiaTheme="minorEastAsia"/>
          <w:noProof/>
          <w:kern w:val="2"/>
          <w:sz w:val="22"/>
          <w:szCs w:val="22"/>
          <w:lang w:val="fr-CA" w:eastAsia="fr-CA"/>
          <w14:ligatures w14:val="standardContextual"/>
        </w:rPr>
      </w:pPr>
      <w:hyperlink w:anchor="_Toc154048845" w:history="1">
        <w:r w:rsidR="00DD1219" w:rsidRPr="0002721E">
          <w:rPr>
            <w:rStyle w:val="Lienhypertexte"/>
            <w:noProof/>
          </w:rPr>
          <w:t>P28 a mis fin à la garde par (a cédé la garde par)</w:t>
        </w:r>
        <w:r w:rsidR="00DD1219">
          <w:rPr>
            <w:noProof/>
            <w:webHidden/>
          </w:rPr>
          <w:tab/>
        </w:r>
        <w:r w:rsidR="00DD1219">
          <w:rPr>
            <w:noProof/>
            <w:webHidden/>
          </w:rPr>
          <w:fldChar w:fldCharType="begin"/>
        </w:r>
        <w:r w:rsidR="00DD1219">
          <w:rPr>
            <w:noProof/>
            <w:webHidden/>
          </w:rPr>
          <w:instrText xml:space="preserve"> PAGEREF _Toc154048845 \h </w:instrText>
        </w:r>
        <w:r w:rsidR="00DD1219">
          <w:rPr>
            <w:noProof/>
            <w:webHidden/>
          </w:rPr>
        </w:r>
        <w:r w:rsidR="00DD1219">
          <w:rPr>
            <w:noProof/>
            <w:webHidden/>
          </w:rPr>
          <w:fldChar w:fldCharType="separate"/>
        </w:r>
        <w:r>
          <w:rPr>
            <w:noProof/>
            <w:webHidden/>
          </w:rPr>
          <w:t>198</w:t>
        </w:r>
        <w:r w:rsidR="00DD1219">
          <w:rPr>
            <w:noProof/>
            <w:webHidden/>
          </w:rPr>
          <w:fldChar w:fldCharType="end"/>
        </w:r>
      </w:hyperlink>
    </w:p>
    <w:p w14:paraId="1626925C" w14:textId="6AFA2E78" w:rsidR="00DD1219" w:rsidRDefault="00C738AA">
      <w:pPr>
        <w:pStyle w:val="TM3"/>
        <w:rPr>
          <w:rFonts w:eastAsiaTheme="minorEastAsia"/>
          <w:noProof/>
          <w:kern w:val="2"/>
          <w:sz w:val="22"/>
          <w:szCs w:val="22"/>
          <w:lang w:val="fr-CA" w:eastAsia="fr-CA"/>
          <w14:ligatures w14:val="standardContextual"/>
        </w:rPr>
      </w:pPr>
      <w:hyperlink w:anchor="_Toc154048846" w:history="1">
        <w:r w:rsidR="00DD1219" w:rsidRPr="0002721E">
          <w:rPr>
            <w:rStyle w:val="Lienhypertexte"/>
            <w:noProof/>
          </w:rPr>
          <w:t>P29 a confié la garde par (a reçu la garde par)</w:t>
        </w:r>
        <w:r w:rsidR="00DD1219">
          <w:rPr>
            <w:noProof/>
            <w:webHidden/>
          </w:rPr>
          <w:tab/>
        </w:r>
        <w:r w:rsidR="00DD1219">
          <w:rPr>
            <w:noProof/>
            <w:webHidden/>
          </w:rPr>
          <w:fldChar w:fldCharType="begin"/>
        </w:r>
        <w:r w:rsidR="00DD1219">
          <w:rPr>
            <w:noProof/>
            <w:webHidden/>
          </w:rPr>
          <w:instrText xml:space="preserve"> PAGEREF _Toc154048846 \h </w:instrText>
        </w:r>
        <w:r w:rsidR="00DD1219">
          <w:rPr>
            <w:noProof/>
            <w:webHidden/>
          </w:rPr>
        </w:r>
        <w:r w:rsidR="00DD1219">
          <w:rPr>
            <w:noProof/>
            <w:webHidden/>
          </w:rPr>
          <w:fldChar w:fldCharType="separate"/>
        </w:r>
        <w:r>
          <w:rPr>
            <w:noProof/>
            <w:webHidden/>
          </w:rPr>
          <w:t>199</w:t>
        </w:r>
        <w:r w:rsidR="00DD1219">
          <w:rPr>
            <w:noProof/>
            <w:webHidden/>
          </w:rPr>
          <w:fldChar w:fldCharType="end"/>
        </w:r>
      </w:hyperlink>
    </w:p>
    <w:p w14:paraId="60C98AA4" w14:textId="32AE9D2F" w:rsidR="00DD1219" w:rsidRDefault="00C738AA">
      <w:pPr>
        <w:pStyle w:val="TM3"/>
        <w:rPr>
          <w:rFonts w:eastAsiaTheme="minorEastAsia"/>
          <w:noProof/>
          <w:kern w:val="2"/>
          <w:sz w:val="22"/>
          <w:szCs w:val="22"/>
          <w:lang w:val="fr-CA" w:eastAsia="fr-CA"/>
          <w14:ligatures w14:val="standardContextual"/>
        </w:rPr>
      </w:pPr>
      <w:hyperlink w:anchor="_Toc154048847" w:history="1">
        <w:r w:rsidR="00DD1219" w:rsidRPr="0002721E">
          <w:rPr>
            <w:rStyle w:val="Lienhypertexte"/>
            <w:noProof/>
          </w:rPr>
          <w:t>P30 a transféré la garde de (a été l’objet d’un transfert de garde par)</w:t>
        </w:r>
        <w:r w:rsidR="00DD1219">
          <w:rPr>
            <w:noProof/>
            <w:webHidden/>
          </w:rPr>
          <w:tab/>
        </w:r>
        <w:r w:rsidR="00DD1219">
          <w:rPr>
            <w:noProof/>
            <w:webHidden/>
          </w:rPr>
          <w:fldChar w:fldCharType="begin"/>
        </w:r>
        <w:r w:rsidR="00DD1219">
          <w:rPr>
            <w:noProof/>
            <w:webHidden/>
          </w:rPr>
          <w:instrText xml:space="preserve"> PAGEREF _Toc154048847 \h </w:instrText>
        </w:r>
        <w:r w:rsidR="00DD1219">
          <w:rPr>
            <w:noProof/>
            <w:webHidden/>
          </w:rPr>
        </w:r>
        <w:r w:rsidR="00DD1219">
          <w:rPr>
            <w:noProof/>
            <w:webHidden/>
          </w:rPr>
          <w:fldChar w:fldCharType="separate"/>
        </w:r>
        <w:r>
          <w:rPr>
            <w:noProof/>
            <w:webHidden/>
          </w:rPr>
          <w:t>200</w:t>
        </w:r>
        <w:r w:rsidR="00DD1219">
          <w:rPr>
            <w:noProof/>
            <w:webHidden/>
          </w:rPr>
          <w:fldChar w:fldCharType="end"/>
        </w:r>
      </w:hyperlink>
    </w:p>
    <w:p w14:paraId="2ED8B0C3" w14:textId="22B5D5EE" w:rsidR="00DD1219" w:rsidRDefault="00C738AA">
      <w:pPr>
        <w:pStyle w:val="TM3"/>
        <w:rPr>
          <w:rFonts w:eastAsiaTheme="minorEastAsia"/>
          <w:noProof/>
          <w:kern w:val="2"/>
          <w:sz w:val="22"/>
          <w:szCs w:val="22"/>
          <w:lang w:val="fr-CA" w:eastAsia="fr-CA"/>
          <w14:ligatures w14:val="standardContextual"/>
        </w:rPr>
      </w:pPr>
      <w:hyperlink w:anchor="_Toc154048848" w:history="1">
        <w:r w:rsidR="00DD1219" w:rsidRPr="0002721E">
          <w:rPr>
            <w:rStyle w:val="Lienhypertexte"/>
            <w:noProof/>
          </w:rPr>
          <w:t>P31 a modifié (a été modifié par)</w:t>
        </w:r>
        <w:r w:rsidR="00DD1219">
          <w:rPr>
            <w:noProof/>
            <w:webHidden/>
          </w:rPr>
          <w:tab/>
        </w:r>
        <w:r w:rsidR="00DD1219">
          <w:rPr>
            <w:noProof/>
            <w:webHidden/>
          </w:rPr>
          <w:fldChar w:fldCharType="begin"/>
        </w:r>
        <w:r w:rsidR="00DD1219">
          <w:rPr>
            <w:noProof/>
            <w:webHidden/>
          </w:rPr>
          <w:instrText xml:space="preserve"> PAGEREF _Toc154048848 \h </w:instrText>
        </w:r>
        <w:r w:rsidR="00DD1219">
          <w:rPr>
            <w:noProof/>
            <w:webHidden/>
          </w:rPr>
        </w:r>
        <w:r w:rsidR="00DD1219">
          <w:rPr>
            <w:noProof/>
            <w:webHidden/>
          </w:rPr>
          <w:fldChar w:fldCharType="separate"/>
        </w:r>
        <w:r>
          <w:rPr>
            <w:noProof/>
            <w:webHidden/>
          </w:rPr>
          <w:t>200</w:t>
        </w:r>
        <w:r w:rsidR="00DD1219">
          <w:rPr>
            <w:noProof/>
            <w:webHidden/>
          </w:rPr>
          <w:fldChar w:fldCharType="end"/>
        </w:r>
      </w:hyperlink>
    </w:p>
    <w:p w14:paraId="4A01F3FE" w14:textId="6A33BD96" w:rsidR="00DD1219" w:rsidRDefault="00C738AA">
      <w:pPr>
        <w:pStyle w:val="TM3"/>
        <w:rPr>
          <w:rFonts w:eastAsiaTheme="minorEastAsia"/>
          <w:noProof/>
          <w:kern w:val="2"/>
          <w:sz w:val="22"/>
          <w:szCs w:val="22"/>
          <w:lang w:val="fr-CA" w:eastAsia="fr-CA"/>
          <w14:ligatures w14:val="standardContextual"/>
        </w:rPr>
      </w:pPr>
      <w:hyperlink w:anchor="_Toc154048849" w:history="1">
        <w:r w:rsidR="00DD1219" w:rsidRPr="0002721E">
          <w:rPr>
            <w:rStyle w:val="Lienhypertexte"/>
            <w:noProof/>
          </w:rPr>
          <w:t>P32 a mobilisé comme technique générale (a été la technique générale mise en œuvre dans)</w:t>
        </w:r>
        <w:r w:rsidR="00DD1219">
          <w:rPr>
            <w:noProof/>
            <w:webHidden/>
          </w:rPr>
          <w:tab/>
        </w:r>
        <w:r w:rsidR="00DD1219">
          <w:rPr>
            <w:noProof/>
            <w:webHidden/>
          </w:rPr>
          <w:fldChar w:fldCharType="begin"/>
        </w:r>
        <w:r w:rsidR="00DD1219">
          <w:rPr>
            <w:noProof/>
            <w:webHidden/>
          </w:rPr>
          <w:instrText xml:space="preserve"> PAGEREF _Toc154048849 \h </w:instrText>
        </w:r>
        <w:r w:rsidR="00DD1219">
          <w:rPr>
            <w:noProof/>
            <w:webHidden/>
          </w:rPr>
        </w:r>
        <w:r w:rsidR="00DD1219">
          <w:rPr>
            <w:noProof/>
            <w:webHidden/>
          </w:rPr>
          <w:fldChar w:fldCharType="separate"/>
        </w:r>
        <w:r>
          <w:rPr>
            <w:noProof/>
            <w:webHidden/>
          </w:rPr>
          <w:t>201</w:t>
        </w:r>
        <w:r w:rsidR="00DD1219">
          <w:rPr>
            <w:noProof/>
            <w:webHidden/>
          </w:rPr>
          <w:fldChar w:fldCharType="end"/>
        </w:r>
      </w:hyperlink>
    </w:p>
    <w:p w14:paraId="47FA383B" w14:textId="452C3853" w:rsidR="00DD1219" w:rsidRDefault="00C738AA">
      <w:pPr>
        <w:pStyle w:val="TM3"/>
        <w:rPr>
          <w:rFonts w:eastAsiaTheme="minorEastAsia"/>
          <w:noProof/>
          <w:kern w:val="2"/>
          <w:sz w:val="22"/>
          <w:szCs w:val="22"/>
          <w:lang w:val="fr-CA" w:eastAsia="fr-CA"/>
          <w14:ligatures w14:val="standardContextual"/>
        </w:rPr>
      </w:pPr>
      <w:hyperlink w:anchor="_Toc154048850" w:history="1">
        <w:r w:rsidR="00DD1219" w:rsidRPr="0002721E">
          <w:rPr>
            <w:rStyle w:val="Lienhypertexte"/>
            <w:noProof/>
          </w:rPr>
          <w:t>P33 a mobilisé comme technique spécifique (a été la technique spécifique mise en œuvre dans)</w:t>
        </w:r>
        <w:r w:rsidR="00DD1219">
          <w:rPr>
            <w:noProof/>
            <w:webHidden/>
          </w:rPr>
          <w:tab/>
        </w:r>
        <w:r w:rsidR="00DD1219">
          <w:rPr>
            <w:noProof/>
            <w:webHidden/>
          </w:rPr>
          <w:fldChar w:fldCharType="begin"/>
        </w:r>
        <w:r w:rsidR="00DD1219">
          <w:rPr>
            <w:noProof/>
            <w:webHidden/>
          </w:rPr>
          <w:instrText xml:space="preserve"> PAGEREF _Toc154048850 \h </w:instrText>
        </w:r>
        <w:r w:rsidR="00DD1219">
          <w:rPr>
            <w:noProof/>
            <w:webHidden/>
          </w:rPr>
        </w:r>
        <w:r w:rsidR="00DD1219">
          <w:rPr>
            <w:noProof/>
            <w:webHidden/>
          </w:rPr>
          <w:fldChar w:fldCharType="separate"/>
        </w:r>
        <w:r>
          <w:rPr>
            <w:noProof/>
            <w:webHidden/>
          </w:rPr>
          <w:t>202</w:t>
        </w:r>
        <w:r w:rsidR="00DD1219">
          <w:rPr>
            <w:noProof/>
            <w:webHidden/>
          </w:rPr>
          <w:fldChar w:fldCharType="end"/>
        </w:r>
      </w:hyperlink>
    </w:p>
    <w:p w14:paraId="654C0AEB" w14:textId="2BA7AB89" w:rsidR="00DD1219" w:rsidRDefault="00C738AA">
      <w:pPr>
        <w:pStyle w:val="TM3"/>
        <w:rPr>
          <w:rFonts w:eastAsiaTheme="minorEastAsia"/>
          <w:noProof/>
          <w:kern w:val="2"/>
          <w:sz w:val="22"/>
          <w:szCs w:val="22"/>
          <w:lang w:val="fr-CA" w:eastAsia="fr-CA"/>
          <w14:ligatures w14:val="standardContextual"/>
        </w:rPr>
      </w:pPr>
      <w:hyperlink w:anchor="_Toc154048851" w:history="1">
        <w:r w:rsidR="00DD1219" w:rsidRPr="0002721E">
          <w:rPr>
            <w:rStyle w:val="Lienhypertexte"/>
            <w:noProof/>
          </w:rPr>
          <w:t>P34 a porté sur (a été évalué par)</w:t>
        </w:r>
        <w:r w:rsidR="00DD1219">
          <w:rPr>
            <w:noProof/>
            <w:webHidden/>
          </w:rPr>
          <w:tab/>
        </w:r>
        <w:r w:rsidR="00DD1219">
          <w:rPr>
            <w:noProof/>
            <w:webHidden/>
          </w:rPr>
          <w:fldChar w:fldCharType="begin"/>
        </w:r>
        <w:r w:rsidR="00DD1219">
          <w:rPr>
            <w:noProof/>
            <w:webHidden/>
          </w:rPr>
          <w:instrText xml:space="preserve"> PAGEREF _Toc154048851 \h </w:instrText>
        </w:r>
        <w:r w:rsidR="00DD1219">
          <w:rPr>
            <w:noProof/>
            <w:webHidden/>
          </w:rPr>
        </w:r>
        <w:r w:rsidR="00DD1219">
          <w:rPr>
            <w:noProof/>
            <w:webHidden/>
          </w:rPr>
          <w:fldChar w:fldCharType="separate"/>
        </w:r>
        <w:r>
          <w:rPr>
            <w:noProof/>
            <w:webHidden/>
          </w:rPr>
          <w:t>203</w:t>
        </w:r>
        <w:r w:rsidR="00DD1219">
          <w:rPr>
            <w:noProof/>
            <w:webHidden/>
          </w:rPr>
          <w:fldChar w:fldCharType="end"/>
        </w:r>
      </w:hyperlink>
    </w:p>
    <w:p w14:paraId="314BD142" w14:textId="0725A44F" w:rsidR="00DD1219" w:rsidRDefault="00C738AA">
      <w:pPr>
        <w:pStyle w:val="TM3"/>
        <w:rPr>
          <w:rFonts w:eastAsiaTheme="minorEastAsia"/>
          <w:noProof/>
          <w:kern w:val="2"/>
          <w:sz w:val="22"/>
          <w:szCs w:val="22"/>
          <w:lang w:val="fr-CA" w:eastAsia="fr-CA"/>
          <w14:ligatures w14:val="standardContextual"/>
        </w:rPr>
      </w:pPr>
      <w:hyperlink w:anchor="_Toc154048852" w:history="1">
        <w:r w:rsidR="00DD1219" w:rsidRPr="0002721E">
          <w:rPr>
            <w:rStyle w:val="Lienhypertexte"/>
            <w:noProof/>
          </w:rPr>
          <w:t>P35 a identifié (a été identifié par)</w:t>
        </w:r>
        <w:r w:rsidR="00DD1219">
          <w:rPr>
            <w:noProof/>
            <w:webHidden/>
          </w:rPr>
          <w:tab/>
        </w:r>
        <w:r w:rsidR="00DD1219">
          <w:rPr>
            <w:noProof/>
            <w:webHidden/>
          </w:rPr>
          <w:fldChar w:fldCharType="begin"/>
        </w:r>
        <w:r w:rsidR="00DD1219">
          <w:rPr>
            <w:noProof/>
            <w:webHidden/>
          </w:rPr>
          <w:instrText xml:space="preserve"> PAGEREF _Toc154048852 \h </w:instrText>
        </w:r>
        <w:r w:rsidR="00DD1219">
          <w:rPr>
            <w:noProof/>
            <w:webHidden/>
          </w:rPr>
        </w:r>
        <w:r w:rsidR="00DD1219">
          <w:rPr>
            <w:noProof/>
            <w:webHidden/>
          </w:rPr>
          <w:fldChar w:fldCharType="separate"/>
        </w:r>
        <w:r>
          <w:rPr>
            <w:noProof/>
            <w:webHidden/>
          </w:rPr>
          <w:t>204</w:t>
        </w:r>
        <w:r w:rsidR="00DD1219">
          <w:rPr>
            <w:noProof/>
            <w:webHidden/>
          </w:rPr>
          <w:fldChar w:fldCharType="end"/>
        </w:r>
      </w:hyperlink>
    </w:p>
    <w:p w14:paraId="44A79C6E" w14:textId="19B3BB54" w:rsidR="00DD1219" w:rsidRDefault="00C738AA">
      <w:pPr>
        <w:pStyle w:val="TM3"/>
        <w:rPr>
          <w:rFonts w:eastAsiaTheme="minorEastAsia"/>
          <w:noProof/>
          <w:kern w:val="2"/>
          <w:sz w:val="22"/>
          <w:szCs w:val="22"/>
          <w:lang w:val="fr-CA" w:eastAsia="fr-CA"/>
          <w14:ligatures w14:val="standardContextual"/>
        </w:rPr>
      </w:pPr>
      <w:hyperlink w:anchor="_Toc154048853" w:history="1">
        <w:r w:rsidR="00DD1219" w:rsidRPr="0002721E">
          <w:rPr>
            <w:rStyle w:val="Lienhypertexte"/>
            <w:noProof/>
          </w:rPr>
          <w:t>P37 a assigné (a été assigné par)</w:t>
        </w:r>
        <w:r w:rsidR="00DD1219">
          <w:rPr>
            <w:noProof/>
            <w:webHidden/>
          </w:rPr>
          <w:tab/>
        </w:r>
        <w:r w:rsidR="00DD1219">
          <w:rPr>
            <w:noProof/>
            <w:webHidden/>
          </w:rPr>
          <w:fldChar w:fldCharType="begin"/>
        </w:r>
        <w:r w:rsidR="00DD1219">
          <w:rPr>
            <w:noProof/>
            <w:webHidden/>
          </w:rPr>
          <w:instrText xml:space="preserve"> PAGEREF _Toc154048853 \h </w:instrText>
        </w:r>
        <w:r w:rsidR="00DD1219">
          <w:rPr>
            <w:noProof/>
            <w:webHidden/>
          </w:rPr>
        </w:r>
        <w:r w:rsidR="00DD1219">
          <w:rPr>
            <w:noProof/>
            <w:webHidden/>
          </w:rPr>
          <w:fldChar w:fldCharType="separate"/>
        </w:r>
        <w:r>
          <w:rPr>
            <w:noProof/>
            <w:webHidden/>
          </w:rPr>
          <w:t>206</w:t>
        </w:r>
        <w:r w:rsidR="00DD1219">
          <w:rPr>
            <w:noProof/>
            <w:webHidden/>
          </w:rPr>
          <w:fldChar w:fldCharType="end"/>
        </w:r>
      </w:hyperlink>
    </w:p>
    <w:p w14:paraId="6D28FE6D" w14:textId="360EF7A4" w:rsidR="00DD1219" w:rsidRDefault="00C738AA">
      <w:pPr>
        <w:pStyle w:val="TM3"/>
        <w:rPr>
          <w:rFonts w:eastAsiaTheme="minorEastAsia"/>
          <w:noProof/>
          <w:kern w:val="2"/>
          <w:sz w:val="22"/>
          <w:szCs w:val="22"/>
          <w:lang w:val="fr-CA" w:eastAsia="fr-CA"/>
          <w14:ligatures w14:val="standardContextual"/>
        </w:rPr>
      </w:pPr>
      <w:hyperlink w:anchor="_Toc154048854" w:history="1">
        <w:r w:rsidR="00DD1219" w:rsidRPr="0002721E">
          <w:rPr>
            <w:rStyle w:val="Lienhypertexte"/>
            <w:noProof/>
          </w:rPr>
          <w:t>P38 a retiré l’assignation (a été retiré par)</w:t>
        </w:r>
        <w:r w:rsidR="00DD1219">
          <w:rPr>
            <w:noProof/>
            <w:webHidden/>
          </w:rPr>
          <w:tab/>
        </w:r>
        <w:r w:rsidR="00DD1219">
          <w:rPr>
            <w:noProof/>
            <w:webHidden/>
          </w:rPr>
          <w:fldChar w:fldCharType="begin"/>
        </w:r>
        <w:r w:rsidR="00DD1219">
          <w:rPr>
            <w:noProof/>
            <w:webHidden/>
          </w:rPr>
          <w:instrText xml:space="preserve"> PAGEREF _Toc154048854 \h </w:instrText>
        </w:r>
        <w:r w:rsidR="00DD1219">
          <w:rPr>
            <w:noProof/>
            <w:webHidden/>
          </w:rPr>
        </w:r>
        <w:r w:rsidR="00DD1219">
          <w:rPr>
            <w:noProof/>
            <w:webHidden/>
          </w:rPr>
          <w:fldChar w:fldCharType="separate"/>
        </w:r>
        <w:r>
          <w:rPr>
            <w:noProof/>
            <w:webHidden/>
          </w:rPr>
          <w:t>207</w:t>
        </w:r>
        <w:r w:rsidR="00DD1219">
          <w:rPr>
            <w:noProof/>
            <w:webHidden/>
          </w:rPr>
          <w:fldChar w:fldCharType="end"/>
        </w:r>
      </w:hyperlink>
    </w:p>
    <w:p w14:paraId="58B58CF7" w14:textId="41290C66" w:rsidR="00DD1219" w:rsidRDefault="00C738AA">
      <w:pPr>
        <w:pStyle w:val="TM3"/>
        <w:rPr>
          <w:rFonts w:eastAsiaTheme="minorEastAsia"/>
          <w:noProof/>
          <w:kern w:val="2"/>
          <w:sz w:val="22"/>
          <w:szCs w:val="22"/>
          <w:lang w:val="fr-CA" w:eastAsia="fr-CA"/>
          <w14:ligatures w14:val="standardContextual"/>
        </w:rPr>
      </w:pPr>
      <w:hyperlink w:anchor="_Toc154048855" w:history="1">
        <w:r w:rsidR="00DD1219" w:rsidRPr="0002721E">
          <w:rPr>
            <w:rStyle w:val="Lienhypertexte"/>
            <w:noProof/>
          </w:rPr>
          <w:t>P39 a mesuré (a été mesuré par) (FB)</w:t>
        </w:r>
        <w:r w:rsidR="00DD1219">
          <w:rPr>
            <w:noProof/>
            <w:webHidden/>
          </w:rPr>
          <w:tab/>
        </w:r>
        <w:r w:rsidR="00DD1219">
          <w:rPr>
            <w:noProof/>
            <w:webHidden/>
          </w:rPr>
          <w:fldChar w:fldCharType="begin"/>
        </w:r>
        <w:r w:rsidR="00DD1219">
          <w:rPr>
            <w:noProof/>
            <w:webHidden/>
          </w:rPr>
          <w:instrText xml:space="preserve"> PAGEREF _Toc154048855 \h </w:instrText>
        </w:r>
        <w:r w:rsidR="00DD1219">
          <w:rPr>
            <w:noProof/>
            <w:webHidden/>
          </w:rPr>
        </w:r>
        <w:r w:rsidR="00DD1219">
          <w:rPr>
            <w:noProof/>
            <w:webHidden/>
          </w:rPr>
          <w:fldChar w:fldCharType="separate"/>
        </w:r>
        <w:r>
          <w:rPr>
            <w:noProof/>
            <w:webHidden/>
          </w:rPr>
          <w:t>207</w:t>
        </w:r>
        <w:r w:rsidR="00DD1219">
          <w:rPr>
            <w:noProof/>
            <w:webHidden/>
          </w:rPr>
          <w:fldChar w:fldCharType="end"/>
        </w:r>
      </w:hyperlink>
    </w:p>
    <w:p w14:paraId="47EDB2D3" w14:textId="67BF4B74" w:rsidR="00DD1219" w:rsidRDefault="00C738AA">
      <w:pPr>
        <w:pStyle w:val="TM3"/>
        <w:rPr>
          <w:rFonts w:eastAsiaTheme="minorEastAsia"/>
          <w:noProof/>
          <w:kern w:val="2"/>
          <w:sz w:val="22"/>
          <w:szCs w:val="22"/>
          <w:lang w:val="fr-CA" w:eastAsia="fr-CA"/>
          <w14:ligatures w14:val="standardContextual"/>
        </w:rPr>
      </w:pPr>
      <w:hyperlink w:anchor="_Toc154048856" w:history="1">
        <w:r w:rsidR="00DD1219" w:rsidRPr="0002721E">
          <w:rPr>
            <w:rStyle w:val="Lienhypertexte"/>
            <w:noProof/>
          </w:rPr>
          <w:t>P40 a relevé comme dimension (a été relevé par)</w:t>
        </w:r>
        <w:r w:rsidR="00DD1219">
          <w:rPr>
            <w:noProof/>
            <w:webHidden/>
          </w:rPr>
          <w:tab/>
        </w:r>
        <w:r w:rsidR="00DD1219">
          <w:rPr>
            <w:noProof/>
            <w:webHidden/>
          </w:rPr>
          <w:fldChar w:fldCharType="begin"/>
        </w:r>
        <w:r w:rsidR="00DD1219">
          <w:rPr>
            <w:noProof/>
            <w:webHidden/>
          </w:rPr>
          <w:instrText xml:space="preserve"> PAGEREF _Toc154048856 \h </w:instrText>
        </w:r>
        <w:r w:rsidR="00DD1219">
          <w:rPr>
            <w:noProof/>
            <w:webHidden/>
          </w:rPr>
        </w:r>
        <w:r w:rsidR="00DD1219">
          <w:rPr>
            <w:noProof/>
            <w:webHidden/>
          </w:rPr>
          <w:fldChar w:fldCharType="separate"/>
        </w:r>
        <w:r>
          <w:rPr>
            <w:noProof/>
            <w:webHidden/>
          </w:rPr>
          <w:t>208</w:t>
        </w:r>
        <w:r w:rsidR="00DD1219">
          <w:rPr>
            <w:noProof/>
            <w:webHidden/>
          </w:rPr>
          <w:fldChar w:fldCharType="end"/>
        </w:r>
      </w:hyperlink>
    </w:p>
    <w:p w14:paraId="04F2335B" w14:textId="047ED61F" w:rsidR="00DD1219" w:rsidRDefault="00C738AA">
      <w:pPr>
        <w:pStyle w:val="TM3"/>
        <w:rPr>
          <w:rFonts w:eastAsiaTheme="minorEastAsia"/>
          <w:noProof/>
          <w:kern w:val="2"/>
          <w:sz w:val="22"/>
          <w:szCs w:val="22"/>
          <w:lang w:val="fr-CA" w:eastAsia="fr-CA"/>
          <w14:ligatures w14:val="standardContextual"/>
        </w:rPr>
      </w:pPr>
      <w:hyperlink w:anchor="_Toc154048857" w:history="1">
        <w:r w:rsidR="00DD1219" w:rsidRPr="0002721E">
          <w:rPr>
            <w:rStyle w:val="Lienhypertexte"/>
            <w:noProof/>
          </w:rPr>
          <w:t>P41 a classifié (a été classifié par)</w:t>
        </w:r>
        <w:r w:rsidR="00DD1219">
          <w:rPr>
            <w:noProof/>
            <w:webHidden/>
          </w:rPr>
          <w:tab/>
        </w:r>
        <w:r w:rsidR="00DD1219">
          <w:rPr>
            <w:noProof/>
            <w:webHidden/>
          </w:rPr>
          <w:fldChar w:fldCharType="begin"/>
        </w:r>
        <w:r w:rsidR="00DD1219">
          <w:rPr>
            <w:noProof/>
            <w:webHidden/>
          </w:rPr>
          <w:instrText xml:space="preserve"> PAGEREF _Toc154048857 \h </w:instrText>
        </w:r>
        <w:r w:rsidR="00DD1219">
          <w:rPr>
            <w:noProof/>
            <w:webHidden/>
          </w:rPr>
        </w:r>
        <w:r w:rsidR="00DD1219">
          <w:rPr>
            <w:noProof/>
            <w:webHidden/>
          </w:rPr>
          <w:fldChar w:fldCharType="separate"/>
        </w:r>
        <w:r>
          <w:rPr>
            <w:noProof/>
            <w:webHidden/>
          </w:rPr>
          <w:t>209</w:t>
        </w:r>
        <w:r w:rsidR="00DD1219">
          <w:rPr>
            <w:noProof/>
            <w:webHidden/>
          </w:rPr>
          <w:fldChar w:fldCharType="end"/>
        </w:r>
      </w:hyperlink>
    </w:p>
    <w:p w14:paraId="5AA8D058" w14:textId="06045064" w:rsidR="00DD1219" w:rsidRDefault="00C738AA">
      <w:pPr>
        <w:pStyle w:val="TM3"/>
        <w:rPr>
          <w:rFonts w:eastAsiaTheme="minorEastAsia"/>
          <w:noProof/>
          <w:kern w:val="2"/>
          <w:sz w:val="22"/>
          <w:szCs w:val="22"/>
          <w:lang w:val="fr-CA" w:eastAsia="fr-CA"/>
          <w14:ligatures w14:val="standardContextual"/>
        </w:rPr>
      </w:pPr>
      <w:hyperlink w:anchor="_Toc154048858" w:history="1">
        <w:r w:rsidR="00DD1219" w:rsidRPr="0002721E">
          <w:rPr>
            <w:rStyle w:val="Lienhypertexte"/>
            <w:noProof/>
          </w:rPr>
          <w:t>P42 a assigné (a été assigné par)</w:t>
        </w:r>
        <w:r w:rsidR="00DD1219">
          <w:rPr>
            <w:noProof/>
            <w:webHidden/>
          </w:rPr>
          <w:tab/>
        </w:r>
        <w:r w:rsidR="00DD1219">
          <w:rPr>
            <w:noProof/>
            <w:webHidden/>
          </w:rPr>
          <w:fldChar w:fldCharType="begin"/>
        </w:r>
        <w:r w:rsidR="00DD1219">
          <w:rPr>
            <w:noProof/>
            <w:webHidden/>
          </w:rPr>
          <w:instrText xml:space="preserve"> PAGEREF _Toc154048858 \h </w:instrText>
        </w:r>
        <w:r w:rsidR="00DD1219">
          <w:rPr>
            <w:noProof/>
            <w:webHidden/>
          </w:rPr>
        </w:r>
        <w:r w:rsidR="00DD1219">
          <w:rPr>
            <w:noProof/>
            <w:webHidden/>
          </w:rPr>
          <w:fldChar w:fldCharType="separate"/>
        </w:r>
        <w:r>
          <w:rPr>
            <w:noProof/>
            <w:webHidden/>
          </w:rPr>
          <w:t>210</w:t>
        </w:r>
        <w:r w:rsidR="00DD1219">
          <w:rPr>
            <w:noProof/>
            <w:webHidden/>
          </w:rPr>
          <w:fldChar w:fldCharType="end"/>
        </w:r>
      </w:hyperlink>
    </w:p>
    <w:p w14:paraId="194DB935" w14:textId="780CCE0C" w:rsidR="00DD1219" w:rsidRDefault="00C738AA">
      <w:pPr>
        <w:pStyle w:val="TM3"/>
        <w:rPr>
          <w:rFonts w:eastAsiaTheme="minorEastAsia"/>
          <w:noProof/>
          <w:kern w:val="2"/>
          <w:sz w:val="22"/>
          <w:szCs w:val="22"/>
          <w:lang w:val="fr-CA" w:eastAsia="fr-CA"/>
          <w14:ligatures w14:val="standardContextual"/>
        </w:rPr>
      </w:pPr>
      <w:hyperlink w:anchor="_Toc154048859" w:history="1">
        <w:r w:rsidR="00DD1219" w:rsidRPr="0002721E">
          <w:rPr>
            <w:rStyle w:val="Lienhypertexte"/>
            <w:noProof/>
          </w:rPr>
          <w:t>P43 a pour dimension (est la dimension de)</w:t>
        </w:r>
        <w:r w:rsidR="00DD1219">
          <w:rPr>
            <w:noProof/>
            <w:webHidden/>
          </w:rPr>
          <w:tab/>
        </w:r>
        <w:r w:rsidR="00DD1219">
          <w:rPr>
            <w:noProof/>
            <w:webHidden/>
          </w:rPr>
          <w:fldChar w:fldCharType="begin"/>
        </w:r>
        <w:r w:rsidR="00DD1219">
          <w:rPr>
            <w:noProof/>
            <w:webHidden/>
          </w:rPr>
          <w:instrText xml:space="preserve"> PAGEREF _Toc154048859 \h </w:instrText>
        </w:r>
        <w:r w:rsidR="00DD1219">
          <w:rPr>
            <w:noProof/>
            <w:webHidden/>
          </w:rPr>
        </w:r>
        <w:r w:rsidR="00DD1219">
          <w:rPr>
            <w:noProof/>
            <w:webHidden/>
          </w:rPr>
          <w:fldChar w:fldCharType="separate"/>
        </w:r>
        <w:r>
          <w:rPr>
            <w:noProof/>
            <w:webHidden/>
          </w:rPr>
          <w:t>211</w:t>
        </w:r>
        <w:r w:rsidR="00DD1219">
          <w:rPr>
            <w:noProof/>
            <w:webHidden/>
          </w:rPr>
          <w:fldChar w:fldCharType="end"/>
        </w:r>
      </w:hyperlink>
    </w:p>
    <w:p w14:paraId="55C6D5AF" w14:textId="601EEDE1" w:rsidR="00DD1219" w:rsidRDefault="00C738AA">
      <w:pPr>
        <w:pStyle w:val="TM3"/>
        <w:rPr>
          <w:rFonts w:eastAsiaTheme="minorEastAsia"/>
          <w:noProof/>
          <w:kern w:val="2"/>
          <w:sz w:val="22"/>
          <w:szCs w:val="22"/>
          <w:lang w:val="fr-CA" w:eastAsia="fr-CA"/>
          <w14:ligatures w14:val="standardContextual"/>
        </w:rPr>
      </w:pPr>
      <w:hyperlink w:anchor="_Toc154048860" w:history="1">
        <w:r w:rsidR="00DD1219" w:rsidRPr="0002721E">
          <w:rPr>
            <w:rStyle w:val="Lienhypertexte"/>
            <w:noProof/>
          </w:rPr>
          <w:t>P44 a pour état matériel (est l’état matériel de)</w:t>
        </w:r>
        <w:r w:rsidR="00DD1219">
          <w:rPr>
            <w:noProof/>
            <w:webHidden/>
          </w:rPr>
          <w:tab/>
        </w:r>
        <w:r w:rsidR="00DD1219">
          <w:rPr>
            <w:noProof/>
            <w:webHidden/>
          </w:rPr>
          <w:fldChar w:fldCharType="begin"/>
        </w:r>
        <w:r w:rsidR="00DD1219">
          <w:rPr>
            <w:noProof/>
            <w:webHidden/>
          </w:rPr>
          <w:instrText xml:space="preserve"> PAGEREF _Toc154048860 \h </w:instrText>
        </w:r>
        <w:r w:rsidR="00DD1219">
          <w:rPr>
            <w:noProof/>
            <w:webHidden/>
          </w:rPr>
        </w:r>
        <w:r w:rsidR="00DD1219">
          <w:rPr>
            <w:noProof/>
            <w:webHidden/>
          </w:rPr>
          <w:fldChar w:fldCharType="separate"/>
        </w:r>
        <w:r>
          <w:rPr>
            <w:noProof/>
            <w:webHidden/>
          </w:rPr>
          <w:t>212</w:t>
        </w:r>
        <w:r w:rsidR="00DD1219">
          <w:rPr>
            <w:noProof/>
            <w:webHidden/>
          </w:rPr>
          <w:fldChar w:fldCharType="end"/>
        </w:r>
      </w:hyperlink>
    </w:p>
    <w:p w14:paraId="48007397" w14:textId="428D90EA" w:rsidR="00DD1219" w:rsidRDefault="00C738AA">
      <w:pPr>
        <w:pStyle w:val="TM3"/>
        <w:rPr>
          <w:rFonts w:eastAsiaTheme="minorEastAsia"/>
          <w:noProof/>
          <w:kern w:val="2"/>
          <w:sz w:val="22"/>
          <w:szCs w:val="22"/>
          <w:lang w:val="fr-CA" w:eastAsia="fr-CA"/>
          <w14:ligatures w14:val="standardContextual"/>
        </w:rPr>
      </w:pPr>
      <w:hyperlink w:anchor="_Toc154048861" w:history="1">
        <w:r w:rsidR="00DD1219" w:rsidRPr="0002721E">
          <w:rPr>
            <w:rStyle w:val="Lienhypertexte"/>
            <w:noProof/>
          </w:rPr>
          <w:t>P45 comprend (est inclus dans)</w:t>
        </w:r>
        <w:r w:rsidR="00DD1219">
          <w:rPr>
            <w:noProof/>
            <w:webHidden/>
          </w:rPr>
          <w:tab/>
        </w:r>
        <w:r w:rsidR="00DD1219">
          <w:rPr>
            <w:noProof/>
            <w:webHidden/>
          </w:rPr>
          <w:fldChar w:fldCharType="begin"/>
        </w:r>
        <w:r w:rsidR="00DD1219">
          <w:rPr>
            <w:noProof/>
            <w:webHidden/>
          </w:rPr>
          <w:instrText xml:space="preserve"> PAGEREF _Toc154048861 \h </w:instrText>
        </w:r>
        <w:r w:rsidR="00DD1219">
          <w:rPr>
            <w:noProof/>
            <w:webHidden/>
          </w:rPr>
        </w:r>
        <w:r w:rsidR="00DD1219">
          <w:rPr>
            <w:noProof/>
            <w:webHidden/>
          </w:rPr>
          <w:fldChar w:fldCharType="separate"/>
        </w:r>
        <w:r>
          <w:rPr>
            <w:noProof/>
            <w:webHidden/>
          </w:rPr>
          <w:t>213</w:t>
        </w:r>
        <w:r w:rsidR="00DD1219">
          <w:rPr>
            <w:noProof/>
            <w:webHidden/>
          </w:rPr>
          <w:fldChar w:fldCharType="end"/>
        </w:r>
      </w:hyperlink>
    </w:p>
    <w:p w14:paraId="545F399A" w14:textId="220F8E52" w:rsidR="00DD1219" w:rsidRDefault="00C738AA">
      <w:pPr>
        <w:pStyle w:val="TM3"/>
        <w:rPr>
          <w:rFonts w:eastAsiaTheme="minorEastAsia"/>
          <w:noProof/>
          <w:kern w:val="2"/>
          <w:sz w:val="22"/>
          <w:szCs w:val="22"/>
          <w:lang w:val="fr-CA" w:eastAsia="fr-CA"/>
          <w14:ligatures w14:val="standardContextual"/>
        </w:rPr>
      </w:pPr>
      <w:hyperlink w:anchor="_Toc154048862" w:history="1">
        <w:r w:rsidR="00DD1219" w:rsidRPr="0002721E">
          <w:rPr>
            <w:rStyle w:val="Lienhypertexte"/>
            <w:noProof/>
          </w:rPr>
          <w:t>P46 est composé de (fait partie de)</w:t>
        </w:r>
        <w:r w:rsidR="00DD1219">
          <w:rPr>
            <w:noProof/>
            <w:webHidden/>
          </w:rPr>
          <w:tab/>
        </w:r>
        <w:r w:rsidR="00DD1219">
          <w:rPr>
            <w:noProof/>
            <w:webHidden/>
          </w:rPr>
          <w:fldChar w:fldCharType="begin"/>
        </w:r>
        <w:r w:rsidR="00DD1219">
          <w:rPr>
            <w:noProof/>
            <w:webHidden/>
          </w:rPr>
          <w:instrText xml:space="preserve"> PAGEREF _Toc154048862 \h </w:instrText>
        </w:r>
        <w:r w:rsidR="00DD1219">
          <w:rPr>
            <w:noProof/>
            <w:webHidden/>
          </w:rPr>
        </w:r>
        <w:r w:rsidR="00DD1219">
          <w:rPr>
            <w:noProof/>
            <w:webHidden/>
          </w:rPr>
          <w:fldChar w:fldCharType="separate"/>
        </w:r>
        <w:r>
          <w:rPr>
            <w:noProof/>
            <w:webHidden/>
          </w:rPr>
          <w:t>214</w:t>
        </w:r>
        <w:r w:rsidR="00DD1219">
          <w:rPr>
            <w:noProof/>
            <w:webHidden/>
          </w:rPr>
          <w:fldChar w:fldCharType="end"/>
        </w:r>
      </w:hyperlink>
    </w:p>
    <w:p w14:paraId="6431A94D" w14:textId="058E3172" w:rsidR="00DD1219" w:rsidRDefault="00C738AA">
      <w:pPr>
        <w:pStyle w:val="TM3"/>
        <w:rPr>
          <w:rFonts w:eastAsiaTheme="minorEastAsia"/>
          <w:noProof/>
          <w:kern w:val="2"/>
          <w:sz w:val="22"/>
          <w:szCs w:val="22"/>
          <w:lang w:val="fr-CA" w:eastAsia="fr-CA"/>
          <w14:ligatures w14:val="standardContextual"/>
        </w:rPr>
      </w:pPr>
      <w:hyperlink w:anchor="_Toc154048863" w:history="1">
        <w:r w:rsidR="00DD1219" w:rsidRPr="0002721E">
          <w:rPr>
            <w:rStyle w:val="Lienhypertexte"/>
            <w:noProof/>
          </w:rPr>
          <w:t>P48 a pour identifiant préférentiel (est l’identifiant préférentiel de)</w:t>
        </w:r>
        <w:r w:rsidR="00DD1219">
          <w:rPr>
            <w:noProof/>
            <w:webHidden/>
          </w:rPr>
          <w:tab/>
        </w:r>
        <w:r w:rsidR="00DD1219">
          <w:rPr>
            <w:noProof/>
            <w:webHidden/>
          </w:rPr>
          <w:fldChar w:fldCharType="begin"/>
        </w:r>
        <w:r w:rsidR="00DD1219">
          <w:rPr>
            <w:noProof/>
            <w:webHidden/>
          </w:rPr>
          <w:instrText xml:space="preserve"> PAGEREF _Toc154048863 \h </w:instrText>
        </w:r>
        <w:r w:rsidR="00DD1219">
          <w:rPr>
            <w:noProof/>
            <w:webHidden/>
          </w:rPr>
        </w:r>
        <w:r w:rsidR="00DD1219">
          <w:rPr>
            <w:noProof/>
            <w:webHidden/>
          </w:rPr>
          <w:fldChar w:fldCharType="separate"/>
        </w:r>
        <w:r>
          <w:rPr>
            <w:noProof/>
            <w:webHidden/>
          </w:rPr>
          <w:t>215</w:t>
        </w:r>
        <w:r w:rsidR="00DD1219">
          <w:rPr>
            <w:noProof/>
            <w:webHidden/>
          </w:rPr>
          <w:fldChar w:fldCharType="end"/>
        </w:r>
      </w:hyperlink>
    </w:p>
    <w:p w14:paraId="6038DF70" w14:textId="771134C1" w:rsidR="00DD1219" w:rsidRDefault="00C738AA">
      <w:pPr>
        <w:pStyle w:val="TM3"/>
        <w:rPr>
          <w:rFonts w:eastAsiaTheme="minorEastAsia"/>
          <w:noProof/>
          <w:kern w:val="2"/>
          <w:sz w:val="22"/>
          <w:szCs w:val="22"/>
          <w:lang w:val="fr-CA" w:eastAsia="fr-CA"/>
          <w14:ligatures w14:val="standardContextual"/>
        </w:rPr>
      </w:pPr>
      <w:hyperlink w:anchor="_Toc154048864" w:history="1">
        <w:r w:rsidR="00DD1219" w:rsidRPr="0002721E">
          <w:rPr>
            <w:rStyle w:val="Lienhypertexte"/>
            <w:noProof/>
          </w:rPr>
          <w:t>P49 a pour actant détenteur actuel ou antérieur (est l’actant détenteur actuel ou antérieur de)</w:t>
        </w:r>
        <w:r w:rsidR="00DD1219">
          <w:rPr>
            <w:noProof/>
            <w:webHidden/>
          </w:rPr>
          <w:tab/>
        </w:r>
        <w:r w:rsidR="00DD1219">
          <w:rPr>
            <w:noProof/>
            <w:webHidden/>
          </w:rPr>
          <w:fldChar w:fldCharType="begin"/>
        </w:r>
        <w:r w:rsidR="00DD1219">
          <w:rPr>
            <w:noProof/>
            <w:webHidden/>
          </w:rPr>
          <w:instrText xml:space="preserve"> PAGEREF _Toc154048864 \h </w:instrText>
        </w:r>
        <w:r w:rsidR="00DD1219">
          <w:rPr>
            <w:noProof/>
            <w:webHidden/>
          </w:rPr>
        </w:r>
        <w:r w:rsidR="00DD1219">
          <w:rPr>
            <w:noProof/>
            <w:webHidden/>
          </w:rPr>
          <w:fldChar w:fldCharType="separate"/>
        </w:r>
        <w:r>
          <w:rPr>
            <w:noProof/>
            <w:webHidden/>
          </w:rPr>
          <w:t>216</w:t>
        </w:r>
        <w:r w:rsidR="00DD1219">
          <w:rPr>
            <w:noProof/>
            <w:webHidden/>
          </w:rPr>
          <w:fldChar w:fldCharType="end"/>
        </w:r>
      </w:hyperlink>
    </w:p>
    <w:p w14:paraId="00E0BE2F" w14:textId="30C1A5F8" w:rsidR="00DD1219" w:rsidRDefault="00C738AA">
      <w:pPr>
        <w:pStyle w:val="TM3"/>
        <w:rPr>
          <w:rFonts w:eastAsiaTheme="minorEastAsia"/>
          <w:noProof/>
          <w:kern w:val="2"/>
          <w:sz w:val="22"/>
          <w:szCs w:val="22"/>
          <w:lang w:val="fr-CA" w:eastAsia="fr-CA"/>
          <w14:ligatures w14:val="standardContextual"/>
        </w:rPr>
      </w:pPr>
      <w:hyperlink w:anchor="_Toc154048865" w:history="1">
        <w:r w:rsidR="00DD1219" w:rsidRPr="0002721E">
          <w:rPr>
            <w:rStyle w:val="Lienhypertexte"/>
            <w:noProof/>
          </w:rPr>
          <w:t>P50 a pour actant détenteur actuel (est l’actant détenteur actuel)</w:t>
        </w:r>
        <w:r w:rsidR="00DD1219">
          <w:rPr>
            <w:noProof/>
            <w:webHidden/>
          </w:rPr>
          <w:tab/>
        </w:r>
        <w:r w:rsidR="00DD1219">
          <w:rPr>
            <w:noProof/>
            <w:webHidden/>
          </w:rPr>
          <w:fldChar w:fldCharType="begin"/>
        </w:r>
        <w:r w:rsidR="00DD1219">
          <w:rPr>
            <w:noProof/>
            <w:webHidden/>
          </w:rPr>
          <w:instrText xml:space="preserve"> PAGEREF _Toc154048865 \h </w:instrText>
        </w:r>
        <w:r w:rsidR="00DD1219">
          <w:rPr>
            <w:noProof/>
            <w:webHidden/>
          </w:rPr>
        </w:r>
        <w:r w:rsidR="00DD1219">
          <w:rPr>
            <w:noProof/>
            <w:webHidden/>
          </w:rPr>
          <w:fldChar w:fldCharType="separate"/>
        </w:r>
        <w:r>
          <w:rPr>
            <w:noProof/>
            <w:webHidden/>
          </w:rPr>
          <w:t>217</w:t>
        </w:r>
        <w:r w:rsidR="00DD1219">
          <w:rPr>
            <w:noProof/>
            <w:webHidden/>
          </w:rPr>
          <w:fldChar w:fldCharType="end"/>
        </w:r>
      </w:hyperlink>
    </w:p>
    <w:p w14:paraId="48ECB32B" w14:textId="12A8FA98" w:rsidR="00DD1219" w:rsidRDefault="00C738AA">
      <w:pPr>
        <w:pStyle w:val="TM3"/>
        <w:rPr>
          <w:rFonts w:eastAsiaTheme="minorEastAsia"/>
          <w:noProof/>
          <w:kern w:val="2"/>
          <w:sz w:val="22"/>
          <w:szCs w:val="22"/>
          <w:lang w:val="fr-CA" w:eastAsia="fr-CA"/>
          <w14:ligatures w14:val="standardContextual"/>
        </w:rPr>
      </w:pPr>
      <w:hyperlink w:anchor="_Toc154048866" w:history="1">
        <w:r w:rsidR="00DD1219" w:rsidRPr="0002721E">
          <w:rPr>
            <w:rStyle w:val="Lienhypertexte"/>
            <w:noProof/>
          </w:rPr>
          <w:t>P51 a pour propriétaire actuel ou antérieur (est l’actant propriétaire actuel ou antérieur de)</w:t>
        </w:r>
        <w:r w:rsidR="00DD1219">
          <w:rPr>
            <w:noProof/>
            <w:webHidden/>
          </w:rPr>
          <w:tab/>
        </w:r>
        <w:r w:rsidR="00DD1219">
          <w:rPr>
            <w:noProof/>
            <w:webHidden/>
          </w:rPr>
          <w:fldChar w:fldCharType="begin"/>
        </w:r>
        <w:r w:rsidR="00DD1219">
          <w:rPr>
            <w:noProof/>
            <w:webHidden/>
          </w:rPr>
          <w:instrText xml:space="preserve"> PAGEREF _Toc154048866 \h </w:instrText>
        </w:r>
        <w:r w:rsidR="00DD1219">
          <w:rPr>
            <w:noProof/>
            <w:webHidden/>
          </w:rPr>
        </w:r>
        <w:r w:rsidR="00DD1219">
          <w:rPr>
            <w:noProof/>
            <w:webHidden/>
          </w:rPr>
          <w:fldChar w:fldCharType="separate"/>
        </w:r>
        <w:r>
          <w:rPr>
            <w:noProof/>
            <w:webHidden/>
          </w:rPr>
          <w:t>218</w:t>
        </w:r>
        <w:r w:rsidR="00DD1219">
          <w:rPr>
            <w:noProof/>
            <w:webHidden/>
          </w:rPr>
          <w:fldChar w:fldCharType="end"/>
        </w:r>
      </w:hyperlink>
    </w:p>
    <w:p w14:paraId="3BA244E6" w14:textId="56C467B8" w:rsidR="00DD1219" w:rsidRDefault="00C738AA">
      <w:pPr>
        <w:pStyle w:val="TM3"/>
        <w:rPr>
          <w:rFonts w:eastAsiaTheme="minorEastAsia"/>
          <w:noProof/>
          <w:kern w:val="2"/>
          <w:sz w:val="22"/>
          <w:szCs w:val="22"/>
          <w:lang w:val="fr-CA" w:eastAsia="fr-CA"/>
          <w14:ligatures w14:val="standardContextual"/>
        </w:rPr>
      </w:pPr>
      <w:hyperlink w:anchor="_Toc154048867" w:history="1">
        <w:r w:rsidR="00DD1219" w:rsidRPr="0002721E">
          <w:rPr>
            <w:rStyle w:val="Lienhypertexte"/>
            <w:noProof/>
          </w:rPr>
          <w:t>P52 a pour propriétaire actuel (est l’actant propriétaire actuel de)</w:t>
        </w:r>
        <w:r w:rsidR="00DD1219">
          <w:rPr>
            <w:noProof/>
            <w:webHidden/>
          </w:rPr>
          <w:tab/>
        </w:r>
        <w:r w:rsidR="00DD1219">
          <w:rPr>
            <w:noProof/>
            <w:webHidden/>
          </w:rPr>
          <w:fldChar w:fldCharType="begin"/>
        </w:r>
        <w:r w:rsidR="00DD1219">
          <w:rPr>
            <w:noProof/>
            <w:webHidden/>
          </w:rPr>
          <w:instrText xml:space="preserve"> PAGEREF _Toc154048867 \h </w:instrText>
        </w:r>
        <w:r w:rsidR="00DD1219">
          <w:rPr>
            <w:noProof/>
            <w:webHidden/>
          </w:rPr>
        </w:r>
        <w:r w:rsidR="00DD1219">
          <w:rPr>
            <w:noProof/>
            <w:webHidden/>
          </w:rPr>
          <w:fldChar w:fldCharType="separate"/>
        </w:r>
        <w:r>
          <w:rPr>
            <w:noProof/>
            <w:webHidden/>
          </w:rPr>
          <w:t>219</w:t>
        </w:r>
        <w:r w:rsidR="00DD1219">
          <w:rPr>
            <w:noProof/>
            <w:webHidden/>
          </w:rPr>
          <w:fldChar w:fldCharType="end"/>
        </w:r>
      </w:hyperlink>
    </w:p>
    <w:p w14:paraId="5B3A0D69" w14:textId="5C2D3725" w:rsidR="00DD1219" w:rsidRDefault="00C738AA">
      <w:pPr>
        <w:pStyle w:val="TM3"/>
        <w:rPr>
          <w:rFonts w:eastAsiaTheme="minorEastAsia"/>
          <w:noProof/>
          <w:kern w:val="2"/>
          <w:sz w:val="22"/>
          <w:szCs w:val="22"/>
          <w:lang w:val="fr-CA" w:eastAsia="fr-CA"/>
          <w14:ligatures w14:val="standardContextual"/>
        </w:rPr>
      </w:pPr>
      <w:hyperlink w:anchor="_Toc154048868" w:history="1">
        <w:r w:rsidR="00DD1219" w:rsidRPr="0002721E">
          <w:rPr>
            <w:rStyle w:val="Lienhypertexte"/>
            <w:noProof/>
          </w:rPr>
          <w:t>P53 a pour localisation actuelle ou antérieure (est la localisation actuelle ou antérieure de)</w:t>
        </w:r>
        <w:r w:rsidR="00DD1219">
          <w:rPr>
            <w:noProof/>
            <w:webHidden/>
          </w:rPr>
          <w:tab/>
        </w:r>
        <w:r w:rsidR="00DD1219">
          <w:rPr>
            <w:noProof/>
            <w:webHidden/>
          </w:rPr>
          <w:fldChar w:fldCharType="begin"/>
        </w:r>
        <w:r w:rsidR="00DD1219">
          <w:rPr>
            <w:noProof/>
            <w:webHidden/>
          </w:rPr>
          <w:instrText xml:space="preserve"> PAGEREF _Toc154048868 \h </w:instrText>
        </w:r>
        <w:r w:rsidR="00DD1219">
          <w:rPr>
            <w:noProof/>
            <w:webHidden/>
          </w:rPr>
        </w:r>
        <w:r w:rsidR="00DD1219">
          <w:rPr>
            <w:noProof/>
            <w:webHidden/>
          </w:rPr>
          <w:fldChar w:fldCharType="separate"/>
        </w:r>
        <w:r>
          <w:rPr>
            <w:noProof/>
            <w:webHidden/>
          </w:rPr>
          <w:t>220</w:t>
        </w:r>
        <w:r w:rsidR="00DD1219">
          <w:rPr>
            <w:noProof/>
            <w:webHidden/>
          </w:rPr>
          <w:fldChar w:fldCharType="end"/>
        </w:r>
      </w:hyperlink>
    </w:p>
    <w:p w14:paraId="5D215786" w14:textId="759D660E" w:rsidR="00DD1219" w:rsidRDefault="00C738AA">
      <w:pPr>
        <w:pStyle w:val="TM3"/>
        <w:rPr>
          <w:rFonts w:eastAsiaTheme="minorEastAsia"/>
          <w:noProof/>
          <w:kern w:val="2"/>
          <w:sz w:val="22"/>
          <w:szCs w:val="22"/>
          <w:lang w:val="fr-CA" w:eastAsia="fr-CA"/>
          <w14:ligatures w14:val="standardContextual"/>
        </w:rPr>
      </w:pPr>
      <w:hyperlink w:anchor="_Toc154048869" w:history="1">
        <w:r w:rsidR="00DD1219" w:rsidRPr="0002721E">
          <w:rPr>
            <w:rStyle w:val="Lienhypertexte"/>
            <w:noProof/>
          </w:rPr>
          <w:t>P54 a actuellement pour localisation fixe (est actuellement la location fixe de)</w:t>
        </w:r>
        <w:r w:rsidR="00DD1219">
          <w:rPr>
            <w:noProof/>
            <w:webHidden/>
          </w:rPr>
          <w:tab/>
        </w:r>
        <w:r w:rsidR="00DD1219">
          <w:rPr>
            <w:noProof/>
            <w:webHidden/>
          </w:rPr>
          <w:fldChar w:fldCharType="begin"/>
        </w:r>
        <w:r w:rsidR="00DD1219">
          <w:rPr>
            <w:noProof/>
            <w:webHidden/>
          </w:rPr>
          <w:instrText xml:space="preserve"> PAGEREF _Toc154048869 \h </w:instrText>
        </w:r>
        <w:r w:rsidR="00DD1219">
          <w:rPr>
            <w:noProof/>
            <w:webHidden/>
          </w:rPr>
        </w:r>
        <w:r w:rsidR="00DD1219">
          <w:rPr>
            <w:noProof/>
            <w:webHidden/>
          </w:rPr>
          <w:fldChar w:fldCharType="separate"/>
        </w:r>
        <w:r>
          <w:rPr>
            <w:noProof/>
            <w:webHidden/>
          </w:rPr>
          <w:t>221</w:t>
        </w:r>
        <w:r w:rsidR="00DD1219">
          <w:rPr>
            <w:noProof/>
            <w:webHidden/>
          </w:rPr>
          <w:fldChar w:fldCharType="end"/>
        </w:r>
      </w:hyperlink>
    </w:p>
    <w:p w14:paraId="63279C79" w14:textId="50352986" w:rsidR="00DD1219" w:rsidRDefault="00C738AA">
      <w:pPr>
        <w:pStyle w:val="TM3"/>
        <w:rPr>
          <w:rFonts w:eastAsiaTheme="minorEastAsia"/>
          <w:noProof/>
          <w:kern w:val="2"/>
          <w:sz w:val="22"/>
          <w:szCs w:val="22"/>
          <w:lang w:val="fr-CA" w:eastAsia="fr-CA"/>
          <w14:ligatures w14:val="standardContextual"/>
        </w:rPr>
      </w:pPr>
      <w:hyperlink w:anchor="_Toc154048870" w:history="1">
        <w:r w:rsidR="00DD1219" w:rsidRPr="0002721E">
          <w:rPr>
            <w:rStyle w:val="Lienhypertexte"/>
            <w:noProof/>
          </w:rPr>
          <w:t>P55 a actuellement pour localisation (est actuellement la localisation de)</w:t>
        </w:r>
        <w:r w:rsidR="00DD1219">
          <w:rPr>
            <w:noProof/>
            <w:webHidden/>
          </w:rPr>
          <w:tab/>
        </w:r>
        <w:r w:rsidR="00DD1219">
          <w:rPr>
            <w:noProof/>
            <w:webHidden/>
          </w:rPr>
          <w:fldChar w:fldCharType="begin"/>
        </w:r>
        <w:r w:rsidR="00DD1219">
          <w:rPr>
            <w:noProof/>
            <w:webHidden/>
          </w:rPr>
          <w:instrText xml:space="preserve"> PAGEREF _Toc154048870 \h </w:instrText>
        </w:r>
        <w:r w:rsidR="00DD1219">
          <w:rPr>
            <w:noProof/>
            <w:webHidden/>
          </w:rPr>
        </w:r>
        <w:r w:rsidR="00DD1219">
          <w:rPr>
            <w:noProof/>
            <w:webHidden/>
          </w:rPr>
          <w:fldChar w:fldCharType="separate"/>
        </w:r>
        <w:r>
          <w:rPr>
            <w:noProof/>
            <w:webHidden/>
          </w:rPr>
          <w:t>222</w:t>
        </w:r>
        <w:r w:rsidR="00DD1219">
          <w:rPr>
            <w:noProof/>
            <w:webHidden/>
          </w:rPr>
          <w:fldChar w:fldCharType="end"/>
        </w:r>
      </w:hyperlink>
    </w:p>
    <w:p w14:paraId="01AAC446" w14:textId="4F0B53C2" w:rsidR="00DD1219" w:rsidRDefault="00C738AA">
      <w:pPr>
        <w:pStyle w:val="TM3"/>
        <w:rPr>
          <w:rFonts w:eastAsiaTheme="minorEastAsia"/>
          <w:noProof/>
          <w:kern w:val="2"/>
          <w:sz w:val="22"/>
          <w:szCs w:val="22"/>
          <w:lang w:val="fr-CA" w:eastAsia="fr-CA"/>
          <w14:ligatures w14:val="standardContextual"/>
        </w:rPr>
      </w:pPr>
      <w:hyperlink w:anchor="_Toc154048871" w:history="1">
        <w:r w:rsidR="00DD1219" w:rsidRPr="0002721E">
          <w:rPr>
            <w:rStyle w:val="Lienhypertexte"/>
            <w:noProof/>
          </w:rPr>
          <w:t>P56 a pour caractéristique (se trouve sur)</w:t>
        </w:r>
        <w:r w:rsidR="00DD1219">
          <w:rPr>
            <w:noProof/>
            <w:webHidden/>
          </w:rPr>
          <w:tab/>
        </w:r>
        <w:r w:rsidR="00DD1219">
          <w:rPr>
            <w:noProof/>
            <w:webHidden/>
          </w:rPr>
          <w:fldChar w:fldCharType="begin"/>
        </w:r>
        <w:r w:rsidR="00DD1219">
          <w:rPr>
            <w:noProof/>
            <w:webHidden/>
          </w:rPr>
          <w:instrText xml:space="preserve"> PAGEREF _Toc154048871 \h </w:instrText>
        </w:r>
        <w:r w:rsidR="00DD1219">
          <w:rPr>
            <w:noProof/>
            <w:webHidden/>
          </w:rPr>
        </w:r>
        <w:r w:rsidR="00DD1219">
          <w:rPr>
            <w:noProof/>
            <w:webHidden/>
          </w:rPr>
          <w:fldChar w:fldCharType="separate"/>
        </w:r>
        <w:r>
          <w:rPr>
            <w:noProof/>
            <w:webHidden/>
          </w:rPr>
          <w:t>223</w:t>
        </w:r>
        <w:r w:rsidR="00DD1219">
          <w:rPr>
            <w:noProof/>
            <w:webHidden/>
          </w:rPr>
          <w:fldChar w:fldCharType="end"/>
        </w:r>
      </w:hyperlink>
    </w:p>
    <w:p w14:paraId="0F385DA4" w14:textId="2281866F" w:rsidR="00DD1219" w:rsidRDefault="00C738AA">
      <w:pPr>
        <w:pStyle w:val="TM3"/>
        <w:rPr>
          <w:rFonts w:eastAsiaTheme="minorEastAsia"/>
          <w:noProof/>
          <w:kern w:val="2"/>
          <w:sz w:val="22"/>
          <w:szCs w:val="22"/>
          <w:lang w:val="fr-CA" w:eastAsia="fr-CA"/>
          <w14:ligatures w14:val="standardContextual"/>
        </w:rPr>
      </w:pPr>
      <w:hyperlink w:anchor="_Toc154048872" w:history="1">
        <w:r w:rsidR="00DD1219" w:rsidRPr="0002721E">
          <w:rPr>
            <w:rStyle w:val="Lienhypertexte"/>
            <w:noProof/>
          </w:rPr>
          <w:t>P57 a pour nombre d’éléments</w:t>
        </w:r>
        <w:r w:rsidR="00DD1219">
          <w:rPr>
            <w:noProof/>
            <w:webHidden/>
          </w:rPr>
          <w:tab/>
        </w:r>
        <w:r w:rsidR="00DD1219">
          <w:rPr>
            <w:noProof/>
            <w:webHidden/>
          </w:rPr>
          <w:fldChar w:fldCharType="begin"/>
        </w:r>
        <w:r w:rsidR="00DD1219">
          <w:rPr>
            <w:noProof/>
            <w:webHidden/>
          </w:rPr>
          <w:instrText xml:space="preserve"> PAGEREF _Toc154048872 \h </w:instrText>
        </w:r>
        <w:r w:rsidR="00DD1219">
          <w:rPr>
            <w:noProof/>
            <w:webHidden/>
          </w:rPr>
        </w:r>
        <w:r w:rsidR="00DD1219">
          <w:rPr>
            <w:noProof/>
            <w:webHidden/>
          </w:rPr>
          <w:fldChar w:fldCharType="separate"/>
        </w:r>
        <w:r>
          <w:rPr>
            <w:noProof/>
            <w:webHidden/>
          </w:rPr>
          <w:t>224</w:t>
        </w:r>
        <w:r w:rsidR="00DD1219">
          <w:rPr>
            <w:noProof/>
            <w:webHidden/>
          </w:rPr>
          <w:fldChar w:fldCharType="end"/>
        </w:r>
      </w:hyperlink>
    </w:p>
    <w:p w14:paraId="006D1681" w14:textId="68ECD67E" w:rsidR="00DD1219" w:rsidRDefault="00C738AA">
      <w:pPr>
        <w:pStyle w:val="TM3"/>
        <w:rPr>
          <w:rFonts w:eastAsiaTheme="minorEastAsia"/>
          <w:noProof/>
          <w:kern w:val="2"/>
          <w:sz w:val="22"/>
          <w:szCs w:val="22"/>
          <w:lang w:val="fr-CA" w:eastAsia="fr-CA"/>
          <w14:ligatures w14:val="standardContextual"/>
        </w:rPr>
      </w:pPr>
      <w:hyperlink w:anchor="_Toc154048873" w:history="1">
        <w:r w:rsidR="00DD1219" w:rsidRPr="0002721E">
          <w:rPr>
            <w:rStyle w:val="Lienhypertexte"/>
            <w:noProof/>
          </w:rPr>
          <w:t>P59 a pour section (se situe sur ou dans)</w:t>
        </w:r>
        <w:r w:rsidR="00DD1219">
          <w:rPr>
            <w:noProof/>
            <w:webHidden/>
          </w:rPr>
          <w:tab/>
        </w:r>
        <w:r w:rsidR="00DD1219">
          <w:rPr>
            <w:noProof/>
            <w:webHidden/>
          </w:rPr>
          <w:fldChar w:fldCharType="begin"/>
        </w:r>
        <w:r w:rsidR="00DD1219">
          <w:rPr>
            <w:noProof/>
            <w:webHidden/>
          </w:rPr>
          <w:instrText xml:space="preserve"> PAGEREF _Toc154048873 \h </w:instrText>
        </w:r>
        <w:r w:rsidR="00DD1219">
          <w:rPr>
            <w:noProof/>
            <w:webHidden/>
          </w:rPr>
        </w:r>
        <w:r w:rsidR="00DD1219">
          <w:rPr>
            <w:noProof/>
            <w:webHidden/>
          </w:rPr>
          <w:fldChar w:fldCharType="separate"/>
        </w:r>
        <w:r>
          <w:rPr>
            <w:noProof/>
            <w:webHidden/>
          </w:rPr>
          <w:t>225</w:t>
        </w:r>
        <w:r w:rsidR="00DD1219">
          <w:rPr>
            <w:noProof/>
            <w:webHidden/>
          </w:rPr>
          <w:fldChar w:fldCharType="end"/>
        </w:r>
      </w:hyperlink>
    </w:p>
    <w:p w14:paraId="740506A3" w14:textId="72DAAB7B" w:rsidR="00DD1219" w:rsidRDefault="00C738AA">
      <w:pPr>
        <w:pStyle w:val="TM3"/>
        <w:rPr>
          <w:rFonts w:eastAsiaTheme="minorEastAsia"/>
          <w:noProof/>
          <w:kern w:val="2"/>
          <w:sz w:val="22"/>
          <w:szCs w:val="22"/>
          <w:lang w:val="fr-CA" w:eastAsia="fr-CA"/>
          <w14:ligatures w14:val="standardContextual"/>
        </w:rPr>
      </w:pPr>
      <w:hyperlink w:anchor="_Toc154048874" w:history="1">
        <w:r w:rsidR="00DD1219" w:rsidRPr="0002721E">
          <w:rPr>
            <w:rStyle w:val="Lienhypertexte"/>
            <w:noProof/>
          </w:rPr>
          <w:t>P62 illustre (est illustré par)</w:t>
        </w:r>
        <w:r w:rsidR="00DD1219">
          <w:rPr>
            <w:noProof/>
            <w:webHidden/>
          </w:rPr>
          <w:tab/>
        </w:r>
        <w:r w:rsidR="00DD1219">
          <w:rPr>
            <w:noProof/>
            <w:webHidden/>
          </w:rPr>
          <w:fldChar w:fldCharType="begin"/>
        </w:r>
        <w:r w:rsidR="00DD1219">
          <w:rPr>
            <w:noProof/>
            <w:webHidden/>
          </w:rPr>
          <w:instrText xml:space="preserve"> PAGEREF _Toc154048874 \h </w:instrText>
        </w:r>
        <w:r w:rsidR="00DD1219">
          <w:rPr>
            <w:noProof/>
            <w:webHidden/>
          </w:rPr>
        </w:r>
        <w:r w:rsidR="00DD1219">
          <w:rPr>
            <w:noProof/>
            <w:webHidden/>
          </w:rPr>
          <w:fldChar w:fldCharType="separate"/>
        </w:r>
        <w:r>
          <w:rPr>
            <w:noProof/>
            <w:webHidden/>
          </w:rPr>
          <w:t>226</w:t>
        </w:r>
        <w:r w:rsidR="00DD1219">
          <w:rPr>
            <w:noProof/>
            <w:webHidden/>
          </w:rPr>
          <w:fldChar w:fldCharType="end"/>
        </w:r>
      </w:hyperlink>
    </w:p>
    <w:p w14:paraId="7FDC88C2" w14:textId="1712DCCF" w:rsidR="00DD1219" w:rsidRDefault="00C738AA">
      <w:pPr>
        <w:pStyle w:val="TM3"/>
        <w:rPr>
          <w:rFonts w:eastAsiaTheme="minorEastAsia"/>
          <w:noProof/>
          <w:kern w:val="2"/>
          <w:sz w:val="22"/>
          <w:szCs w:val="22"/>
          <w:lang w:val="fr-CA" w:eastAsia="fr-CA"/>
          <w14:ligatures w14:val="standardContextual"/>
        </w:rPr>
      </w:pPr>
      <w:hyperlink w:anchor="_Toc154048875" w:history="1">
        <w:r w:rsidR="00DD1219" w:rsidRPr="0002721E">
          <w:rPr>
            <w:rStyle w:val="Lienhypertexte"/>
            <w:noProof/>
          </w:rPr>
          <w:t>P65 représente l’entité visuelle (est représenté par)</w:t>
        </w:r>
        <w:r w:rsidR="00DD1219">
          <w:rPr>
            <w:noProof/>
            <w:webHidden/>
          </w:rPr>
          <w:tab/>
        </w:r>
        <w:r w:rsidR="00DD1219">
          <w:rPr>
            <w:noProof/>
            <w:webHidden/>
          </w:rPr>
          <w:fldChar w:fldCharType="begin"/>
        </w:r>
        <w:r w:rsidR="00DD1219">
          <w:rPr>
            <w:noProof/>
            <w:webHidden/>
          </w:rPr>
          <w:instrText xml:space="preserve"> PAGEREF _Toc154048875 \h </w:instrText>
        </w:r>
        <w:r w:rsidR="00DD1219">
          <w:rPr>
            <w:noProof/>
            <w:webHidden/>
          </w:rPr>
        </w:r>
        <w:r w:rsidR="00DD1219">
          <w:rPr>
            <w:noProof/>
            <w:webHidden/>
          </w:rPr>
          <w:fldChar w:fldCharType="separate"/>
        </w:r>
        <w:r>
          <w:rPr>
            <w:noProof/>
            <w:webHidden/>
          </w:rPr>
          <w:t>227</w:t>
        </w:r>
        <w:r w:rsidR="00DD1219">
          <w:rPr>
            <w:noProof/>
            <w:webHidden/>
          </w:rPr>
          <w:fldChar w:fldCharType="end"/>
        </w:r>
      </w:hyperlink>
    </w:p>
    <w:p w14:paraId="4A777549" w14:textId="1D9BA0A4" w:rsidR="00DD1219" w:rsidRDefault="00C738AA">
      <w:pPr>
        <w:pStyle w:val="TM3"/>
        <w:rPr>
          <w:rFonts w:eastAsiaTheme="minorEastAsia"/>
          <w:noProof/>
          <w:kern w:val="2"/>
          <w:sz w:val="22"/>
          <w:szCs w:val="22"/>
          <w:lang w:val="fr-CA" w:eastAsia="fr-CA"/>
          <w14:ligatures w14:val="standardContextual"/>
        </w:rPr>
      </w:pPr>
      <w:hyperlink w:anchor="_Toc154048876" w:history="1">
        <w:r w:rsidR="00DD1219" w:rsidRPr="0002721E">
          <w:rPr>
            <w:rStyle w:val="Lienhypertexte"/>
            <w:noProof/>
          </w:rPr>
          <w:t>P67 renvoie à (fait l’objet d’un renvoi par)</w:t>
        </w:r>
        <w:r w:rsidR="00DD1219">
          <w:rPr>
            <w:noProof/>
            <w:webHidden/>
          </w:rPr>
          <w:tab/>
        </w:r>
        <w:r w:rsidR="00DD1219">
          <w:rPr>
            <w:noProof/>
            <w:webHidden/>
          </w:rPr>
          <w:fldChar w:fldCharType="begin"/>
        </w:r>
        <w:r w:rsidR="00DD1219">
          <w:rPr>
            <w:noProof/>
            <w:webHidden/>
          </w:rPr>
          <w:instrText xml:space="preserve"> PAGEREF _Toc154048876 \h </w:instrText>
        </w:r>
        <w:r w:rsidR="00DD1219">
          <w:rPr>
            <w:noProof/>
            <w:webHidden/>
          </w:rPr>
        </w:r>
        <w:r w:rsidR="00DD1219">
          <w:rPr>
            <w:noProof/>
            <w:webHidden/>
          </w:rPr>
          <w:fldChar w:fldCharType="separate"/>
        </w:r>
        <w:r>
          <w:rPr>
            <w:noProof/>
            <w:webHidden/>
          </w:rPr>
          <w:t>228</w:t>
        </w:r>
        <w:r w:rsidR="00DD1219">
          <w:rPr>
            <w:noProof/>
            <w:webHidden/>
          </w:rPr>
          <w:fldChar w:fldCharType="end"/>
        </w:r>
      </w:hyperlink>
    </w:p>
    <w:p w14:paraId="63DB4044" w14:textId="12637F65" w:rsidR="00DD1219" w:rsidRDefault="00C738AA">
      <w:pPr>
        <w:pStyle w:val="TM3"/>
        <w:rPr>
          <w:rFonts w:eastAsiaTheme="minorEastAsia"/>
          <w:noProof/>
          <w:kern w:val="2"/>
          <w:sz w:val="22"/>
          <w:szCs w:val="22"/>
          <w:lang w:val="fr-CA" w:eastAsia="fr-CA"/>
          <w14:ligatures w14:val="standardContextual"/>
        </w:rPr>
      </w:pPr>
      <w:hyperlink w:anchor="_Toc154048877" w:history="1">
        <w:r w:rsidR="00DD1219" w:rsidRPr="0002721E">
          <w:rPr>
            <w:rStyle w:val="Lienhypertexte"/>
            <w:noProof/>
          </w:rPr>
          <w:t>P68 prévoit l’usage de (usage prévu de)</w:t>
        </w:r>
        <w:r w:rsidR="00DD1219">
          <w:rPr>
            <w:noProof/>
            <w:webHidden/>
          </w:rPr>
          <w:tab/>
        </w:r>
        <w:r w:rsidR="00DD1219">
          <w:rPr>
            <w:noProof/>
            <w:webHidden/>
          </w:rPr>
          <w:fldChar w:fldCharType="begin"/>
        </w:r>
        <w:r w:rsidR="00DD1219">
          <w:rPr>
            <w:noProof/>
            <w:webHidden/>
          </w:rPr>
          <w:instrText xml:space="preserve"> PAGEREF _Toc154048877 \h </w:instrText>
        </w:r>
        <w:r w:rsidR="00DD1219">
          <w:rPr>
            <w:noProof/>
            <w:webHidden/>
          </w:rPr>
        </w:r>
        <w:r w:rsidR="00DD1219">
          <w:rPr>
            <w:noProof/>
            <w:webHidden/>
          </w:rPr>
          <w:fldChar w:fldCharType="separate"/>
        </w:r>
        <w:r>
          <w:rPr>
            <w:noProof/>
            <w:webHidden/>
          </w:rPr>
          <w:t>229</w:t>
        </w:r>
        <w:r w:rsidR="00DD1219">
          <w:rPr>
            <w:noProof/>
            <w:webHidden/>
          </w:rPr>
          <w:fldChar w:fldCharType="end"/>
        </w:r>
      </w:hyperlink>
    </w:p>
    <w:p w14:paraId="6D3D6D3B" w14:textId="650DF714" w:rsidR="00DD1219" w:rsidRDefault="00C738AA">
      <w:pPr>
        <w:pStyle w:val="TM3"/>
        <w:rPr>
          <w:rFonts w:eastAsiaTheme="minorEastAsia"/>
          <w:noProof/>
          <w:kern w:val="2"/>
          <w:sz w:val="22"/>
          <w:szCs w:val="22"/>
          <w:lang w:val="fr-CA" w:eastAsia="fr-CA"/>
          <w14:ligatures w14:val="standardContextual"/>
        </w:rPr>
      </w:pPr>
      <w:hyperlink w:anchor="_Toc154048878" w:history="1">
        <w:r w:rsidR="00DD1219" w:rsidRPr="0002721E">
          <w:rPr>
            <w:rStyle w:val="Lienhypertexte"/>
            <w:noProof/>
          </w:rPr>
          <w:t>P69 est associé à (est associé à)</w:t>
        </w:r>
        <w:r w:rsidR="00DD1219">
          <w:rPr>
            <w:noProof/>
            <w:webHidden/>
          </w:rPr>
          <w:tab/>
        </w:r>
        <w:r w:rsidR="00DD1219">
          <w:rPr>
            <w:noProof/>
            <w:webHidden/>
          </w:rPr>
          <w:fldChar w:fldCharType="begin"/>
        </w:r>
        <w:r w:rsidR="00DD1219">
          <w:rPr>
            <w:noProof/>
            <w:webHidden/>
          </w:rPr>
          <w:instrText xml:space="preserve"> PAGEREF _Toc154048878 \h </w:instrText>
        </w:r>
        <w:r w:rsidR="00DD1219">
          <w:rPr>
            <w:noProof/>
            <w:webHidden/>
          </w:rPr>
        </w:r>
        <w:r w:rsidR="00DD1219">
          <w:rPr>
            <w:noProof/>
            <w:webHidden/>
          </w:rPr>
          <w:fldChar w:fldCharType="separate"/>
        </w:r>
        <w:r>
          <w:rPr>
            <w:noProof/>
            <w:webHidden/>
          </w:rPr>
          <w:t>230</w:t>
        </w:r>
        <w:r w:rsidR="00DD1219">
          <w:rPr>
            <w:noProof/>
            <w:webHidden/>
          </w:rPr>
          <w:fldChar w:fldCharType="end"/>
        </w:r>
      </w:hyperlink>
    </w:p>
    <w:p w14:paraId="68946C4A" w14:textId="2F9512EE" w:rsidR="00DD1219" w:rsidRDefault="00C738AA">
      <w:pPr>
        <w:pStyle w:val="TM3"/>
        <w:rPr>
          <w:rFonts w:eastAsiaTheme="minorEastAsia"/>
          <w:noProof/>
          <w:kern w:val="2"/>
          <w:sz w:val="22"/>
          <w:szCs w:val="22"/>
          <w:lang w:val="fr-CA" w:eastAsia="fr-CA"/>
          <w14:ligatures w14:val="standardContextual"/>
        </w:rPr>
      </w:pPr>
      <w:hyperlink w:anchor="_Toc154048879" w:history="1">
        <w:r w:rsidR="00DD1219" w:rsidRPr="0002721E">
          <w:rPr>
            <w:rStyle w:val="Lienhypertexte"/>
            <w:noProof/>
          </w:rPr>
          <w:t>P70 documente (est documenté dans)</w:t>
        </w:r>
        <w:r w:rsidR="00DD1219">
          <w:rPr>
            <w:noProof/>
            <w:webHidden/>
          </w:rPr>
          <w:tab/>
        </w:r>
        <w:r w:rsidR="00DD1219">
          <w:rPr>
            <w:noProof/>
            <w:webHidden/>
          </w:rPr>
          <w:fldChar w:fldCharType="begin"/>
        </w:r>
        <w:r w:rsidR="00DD1219">
          <w:rPr>
            <w:noProof/>
            <w:webHidden/>
          </w:rPr>
          <w:instrText xml:space="preserve"> PAGEREF _Toc154048879 \h </w:instrText>
        </w:r>
        <w:r w:rsidR="00DD1219">
          <w:rPr>
            <w:noProof/>
            <w:webHidden/>
          </w:rPr>
        </w:r>
        <w:r w:rsidR="00DD1219">
          <w:rPr>
            <w:noProof/>
            <w:webHidden/>
          </w:rPr>
          <w:fldChar w:fldCharType="separate"/>
        </w:r>
        <w:r>
          <w:rPr>
            <w:noProof/>
            <w:webHidden/>
          </w:rPr>
          <w:t>231</w:t>
        </w:r>
        <w:r w:rsidR="00DD1219">
          <w:rPr>
            <w:noProof/>
            <w:webHidden/>
          </w:rPr>
          <w:fldChar w:fldCharType="end"/>
        </w:r>
      </w:hyperlink>
    </w:p>
    <w:p w14:paraId="210B3677" w14:textId="13AE8C53" w:rsidR="00DD1219" w:rsidRDefault="00C738AA">
      <w:pPr>
        <w:pStyle w:val="TM3"/>
        <w:rPr>
          <w:rFonts w:eastAsiaTheme="minorEastAsia"/>
          <w:noProof/>
          <w:kern w:val="2"/>
          <w:sz w:val="22"/>
          <w:szCs w:val="22"/>
          <w:lang w:val="fr-CA" w:eastAsia="fr-CA"/>
          <w14:ligatures w14:val="standardContextual"/>
        </w:rPr>
      </w:pPr>
      <w:hyperlink w:anchor="_Toc154048880" w:history="1">
        <w:r w:rsidR="00DD1219" w:rsidRPr="0002721E">
          <w:rPr>
            <w:rStyle w:val="Lienhypertexte"/>
            <w:noProof/>
          </w:rPr>
          <w:t>P71 énumère (est énuméré par)</w:t>
        </w:r>
        <w:r w:rsidR="00DD1219">
          <w:rPr>
            <w:noProof/>
            <w:webHidden/>
          </w:rPr>
          <w:tab/>
        </w:r>
        <w:r w:rsidR="00DD1219">
          <w:rPr>
            <w:noProof/>
            <w:webHidden/>
          </w:rPr>
          <w:fldChar w:fldCharType="begin"/>
        </w:r>
        <w:r w:rsidR="00DD1219">
          <w:rPr>
            <w:noProof/>
            <w:webHidden/>
          </w:rPr>
          <w:instrText xml:space="preserve"> PAGEREF _Toc154048880 \h </w:instrText>
        </w:r>
        <w:r w:rsidR="00DD1219">
          <w:rPr>
            <w:noProof/>
            <w:webHidden/>
          </w:rPr>
        </w:r>
        <w:r w:rsidR="00DD1219">
          <w:rPr>
            <w:noProof/>
            <w:webHidden/>
          </w:rPr>
          <w:fldChar w:fldCharType="separate"/>
        </w:r>
        <w:r>
          <w:rPr>
            <w:noProof/>
            <w:webHidden/>
          </w:rPr>
          <w:t>232</w:t>
        </w:r>
        <w:r w:rsidR="00DD1219">
          <w:rPr>
            <w:noProof/>
            <w:webHidden/>
          </w:rPr>
          <w:fldChar w:fldCharType="end"/>
        </w:r>
      </w:hyperlink>
    </w:p>
    <w:p w14:paraId="46353611" w14:textId="418D2A56" w:rsidR="00DD1219" w:rsidRDefault="00C738AA">
      <w:pPr>
        <w:pStyle w:val="TM3"/>
        <w:rPr>
          <w:rFonts w:eastAsiaTheme="minorEastAsia"/>
          <w:noProof/>
          <w:kern w:val="2"/>
          <w:sz w:val="22"/>
          <w:szCs w:val="22"/>
          <w:lang w:val="fr-CA" w:eastAsia="fr-CA"/>
          <w14:ligatures w14:val="standardContextual"/>
        </w:rPr>
      </w:pPr>
      <w:hyperlink w:anchor="_Toc154048881" w:history="1">
        <w:r w:rsidR="00DD1219" w:rsidRPr="0002721E">
          <w:rPr>
            <w:rStyle w:val="Lienhypertexte"/>
            <w:noProof/>
          </w:rPr>
          <w:t>P72 a pour langue (est la langue de)</w:t>
        </w:r>
        <w:r w:rsidR="00DD1219">
          <w:rPr>
            <w:noProof/>
            <w:webHidden/>
          </w:rPr>
          <w:tab/>
        </w:r>
        <w:r w:rsidR="00DD1219">
          <w:rPr>
            <w:noProof/>
            <w:webHidden/>
          </w:rPr>
          <w:fldChar w:fldCharType="begin"/>
        </w:r>
        <w:r w:rsidR="00DD1219">
          <w:rPr>
            <w:noProof/>
            <w:webHidden/>
          </w:rPr>
          <w:instrText xml:space="preserve"> PAGEREF _Toc154048881 \h </w:instrText>
        </w:r>
        <w:r w:rsidR="00DD1219">
          <w:rPr>
            <w:noProof/>
            <w:webHidden/>
          </w:rPr>
        </w:r>
        <w:r w:rsidR="00DD1219">
          <w:rPr>
            <w:noProof/>
            <w:webHidden/>
          </w:rPr>
          <w:fldChar w:fldCharType="separate"/>
        </w:r>
        <w:r>
          <w:rPr>
            <w:noProof/>
            <w:webHidden/>
          </w:rPr>
          <w:t>233</w:t>
        </w:r>
        <w:r w:rsidR="00DD1219">
          <w:rPr>
            <w:noProof/>
            <w:webHidden/>
          </w:rPr>
          <w:fldChar w:fldCharType="end"/>
        </w:r>
      </w:hyperlink>
    </w:p>
    <w:p w14:paraId="026804EB" w14:textId="18980AC1" w:rsidR="00DD1219" w:rsidRDefault="00C738AA">
      <w:pPr>
        <w:pStyle w:val="TM3"/>
        <w:rPr>
          <w:rFonts w:eastAsiaTheme="minorEastAsia"/>
          <w:noProof/>
          <w:kern w:val="2"/>
          <w:sz w:val="22"/>
          <w:szCs w:val="22"/>
          <w:lang w:val="fr-CA" w:eastAsia="fr-CA"/>
          <w14:ligatures w14:val="standardContextual"/>
        </w:rPr>
      </w:pPr>
      <w:hyperlink w:anchor="_Toc154048882" w:history="1">
        <w:r w:rsidR="00DD1219" w:rsidRPr="0002721E">
          <w:rPr>
            <w:rStyle w:val="Lienhypertexte"/>
            <w:noProof/>
          </w:rPr>
          <w:t>P73 a pour traduction (est traduction de)</w:t>
        </w:r>
        <w:r w:rsidR="00DD1219">
          <w:rPr>
            <w:noProof/>
            <w:webHidden/>
          </w:rPr>
          <w:tab/>
        </w:r>
        <w:r w:rsidR="00DD1219">
          <w:rPr>
            <w:noProof/>
            <w:webHidden/>
          </w:rPr>
          <w:fldChar w:fldCharType="begin"/>
        </w:r>
        <w:r w:rsidR="00DD1219">
          <w:rPr>
            <w:noProof/>
            <w:webHidden/>
          </w:rPr>
          <w:instrText xml:space="preserve"> PAGEREF _Toc154048882 \h </w:instrText>
        </w:r>
        <w:r w:rsidR="00DD1219">
          <w:rPr>
            <w:noProof/>
            <w:webHidden/>
          </w:rPr>
        </w:r>
        <w:r w:rsidR="00DD1219">
          <w:rPr>
            <w:noProof/>
            <w:webHidden/>
          </w:rPr>
          <w:fldChar w:fldCharType="separate"/>
        </w:r>
        <w:r>
          <w:rPr>
            <w:noProof/>
            <w:webHidden/>
          </w:rPr>
          <w:t>234</w:t>
        </w:r>
        <w:r w:rsidR="00DD1219">
          <w:rPr>
            <w:noProof/>
            <w:webHidden/>
          </w:rPr>
          <w:fldChar w:fldCharType="end"/>
        </w:r>
      </w:hyperlink>
    </w:p>
    <w:p w14:paraId="6B915D92" w14:textId="32D465BF" w:rsidR="00DD1219" w:rsidRDefault="00C738AA">
      <w:pPr>
        <w:pStyle w:val="TM3"/>
        <w:rPr>
          <w:rFonts w:eastAsiaTheme="minorEastAsia"/>
          <w:noProof/>
          <w:kern w:val="2"/>
          <w:sz w:val="22"/>
          <w:szCs w:val="22"/>
          <w:lang w:val="fr-CA" w:eastAsia="fr-CA"/>
          <w14:ligatures w14:val="standardContextual"/>
        </w:rPr>
      </w:pPr>
      <w:hyperlink w:anchor="_Toc154048883" w:history="1">
        <w:r w:rsidR="00DD1219" w:rsidRPr="0002721E">
          <w:rPr>
            <w:rStyle w:val="Lienhypertexte"/>
            <w:noProof/>
          </w:rPr>
          <w:t>P74 a pour résidence actuelle ou antérieure (est la résidence actuelle ou antérieure de)</w:t>
        </w:r>
        <w:r w:rsidR="00DD1219">
          <w:rPr>
            <w:noProof/>
            <w:webHidden/>
          </w:rPr>
          <w:tab/>
        </w:r>
        <w:r w:rsidR="00DD1219">
          <w:rPr>
            <w:noProof/>
            <w:webHidden/>
          </w:rPr>
          <w:fldChar w:fldCharType="begin"/>
        </w:r>
        <w:r w:rsidR="00DD1219">
          <w:rPr>
            <w:noProof/>
            <w:webHidden/>
          </w:rPr>
          <w:instrText xml:space="preserve"> PAGEREF _Toc154048883 \h </w:instrText>
        </w:r>
        <w:r w:rsidR="00DD1219">
          <w:rPr>
            <w:noProof/>
            <w:webHidden/>
          </w:rPr>
        </w:r>
        <w:r w:rsidR="00DD1219">
          <w:rPr>
            <w:noProof/>
            <w:webHidden/>
          </w:rPr>
          <w:fldChar w:fldCharType="separate"/>
        </w:r>
        <w:r>
          <w:rPr>
            <w:noProof/>
            <w:webHidden/>
          </w:rPr>
          <w:t>234</w:t>
        </w:r>
        <w:r w:rsidR="00DD1219">
          <w:rPr>
            <w:noProof/>
            <w:webHidden/>
          </w:rPr>
          <w:fldChar w:fldCharType="end"/>
        </w:r>
      </w:hyperlink>
    </w:p>
    <w:p w14:paraId="42BF9EB4" w14:textId="47BB04B9" w:rsidR="00DD1219" w:rsidRDefault="00C738AA">
      <w:pPr>
        <w:pStyle w:val="TM3"/>
        <w:rPr>
          <w:rFonts w:eastAsiaTheme="minorEastAsia"/>
          <w:noProof/>
          <w:kern w:val="2"/>
          <w:sz w:val="22"/>
          <w:szCs w:val="22"/>
          <w:lang w:val="fr-CA" w:eastAsia="fr-CA"/>
          <w14:ligatures w14:val="standardContextual"/>
        </w:rPr>
      </w:pPr>
      <w:hyperlink w:anchor="_Toc154048884" w:history="1">
        <w:r w:rsidR="00DD1219" w:rsidRPr="0002721E">
          <w:rPr>
            <w:rStyle w:val="Lienhypertexte"/>
            <w:noProof/>
          </w:rPr>
          <w:t>P75 possède (est possédé par)</w:t>
        </w:r>
        <w:r w:rsidR="00DD1219">
          <w:rPr>
            <w:noProof/>
            <w:webHidden/>
          </w:rPr>
          <w:tab/>
        </w:r>
        <w:r w:rsidR="00DD1219">
          <w:rPr>
            <w:noProof/>
            <w:webHidden/>
          </w:rPr>
          <w:fldChar w:fldCharType="begin"/>
        </w:r>
        <w:r w:rsidR="00DD1219">
          <w:rPr>
            <w:noProof/>
            <w:webHidden/>
          </w:rPr>
          <w:instrText xml:space="preserve"> PAGEREF _Toc154048884 \h </w:instrText>
        </w:r>
        <w:r w:rsidR="00DD1219">
          <w:rPr>
            <w:noProof/>
            <w:webHidden/>
          </w:rPr>
        </w:r>
        <w:r w:rsidR="00DD1219">
          <w:rPr>
            <w:noProof/>
            <w:webHidden/>
          </w:rPr>
          <w:fldChar w:fldCharType="separate"/>
        </w:r>
        <w:r>
          <w:rPr>
            <w:noProof/>
            <w:webHidden/>
          </w:rPr>
          <w:t>235</w:t>
        </w:r>
        <w:r w:rsidR="00DD1219">
          <w:rPr>
            <w:noProof/>
            <w:webHidden/>
          </w:rPr>
          <w:fldChar w:fldCharType="end"/>
        </w:r>
      </w:hyperlink>
    </w:p>
    <w:p w14:paraId="4C38491D" w14:textId="0C34DD1B" w:rsidR="00DD1219" w:rsidRDefault="00C738AA">
      <w:pPr>
        <w:pStyle w:val="TM3"/>
        <w:rPr>
          <w:rFonts w:eastAsiaTheme="minorEastAsia"/>
          <w:noProof/>
          <w:kern w:val="2"/>
          <w:sz w:val="22"/>
          <w:szCs w:val="22"/>
          <w:lang w:val="fr-CA" w:eastAsia="fr-CA"/>
          <w14:ligatures w14:val="standardContextual"/>
        </w:rPr>
      </w:pPr>
      <w:hyperlink w:anchor="_Toc154048885" w:history="1">
        <w:r w:rsidR="00DD1219" w:rsidRPr="0002721E">
          <w:rPr>
            <w:rStyle w:val="Lienhypertexte"/>
            <w:noProof/>
          </w:rPr>
          <w:t>P76 a pour coordonnées (permet de contacter)</w:t>
        </w:r>
        <w:r w:rsidR="00DD1219">
          <w:rPr>
            <w:noProof/>
            <w:webHidden/>
          </w:rPr>
          <w:tab/>
        </w:r>
        <w:r w:rsidR="00DD1219">
          <w:rPr>
            <w:noProof/>
            <w:webHidden/>
          </w:rPr>
          <w:fldChar w:fldCharType="begin"/>
        </w:r>
        <w:r w:rsidR="00DD1219">
          <w:rPr>
            <w:noProof/>
            <w:webHidden/>
          </w:rPr>
          <w:instrText xml:space="preserve"> PAGEREF _Toc154048885 \h </w:instrText>
        </w:r>
        <w:r w:rsidR="00DD1219">
          <w:rPr>
            <w:noProof/>
            <w:webHidden/>
          </w:rPr>
        </w:r>
        <w:r w:rsidR="00DD1219">
          <w:rPr>
            <w:noProof/>
            <w:webHidden/>
          </w:rPr>
          <w:fldChar w:fldCharType="separate"/>
        </w:r>
        <w:r>
          <w:rPr>
            <w:noProof/>
            <w:webHidden/>
          </w:rPr>
          <w:t>236</w:t>
        </w:r>
        <w:r w:rsidR="00DD1219">
          <w:rPr>
            <w:noProof/>
            <w:webHidden/>
          </w:rPr>
          <w:fldChar w:fldCharType="end"/>
        </w:r>
      </w:hyperlink>
    </w:p>
    <w:p w14:paraId="2659C2B1" w14:textId="7161ADE9" w:rsidR="00DD1219" w:rsidRDefault="00C738AA">
      <w:pPr>
        <w:pStyle w:val="TM3"/>
        <w:rPr>
          <w:rFonts w:eastAsiaTheme="minorEastAsia"/>
          <w:noProof/>
          <w:kern w:val="2"/>
          <w:sz w:val="22"/>
          <w:szCs w:val="22"/>
          <w:lang w:val="fr-CA" w:eastAsia="fr-CA"/>
          <w14:ligatures w14:val="standardContextual"/>
        </w:rPr>
      </w:pPr>
      <w:hyperlink w:anchor="_Toc154048886" w:history="1">
        <w:r w:rsidR="00DD1219" w:rsidRPr="0002721E">
          <w:rPr>
            <w:rStyle w:val="Lienhypertexte"/>
            <w:noProof/>
          </w:rPr>
          <w:t>P79 a son début qualifié par</w:t>
        </w:r>
        <w:r w:rsidR="00DD1219">
          <w:rPr>
            <w:noProof/>
            <w:webHidden/>
          </w:rPr>
          <w:tab/>
        </w:r>
        <w:r w:rsidR="00DD1219">
          <w:rPr>
            <w:noProof/>
            <w:webHidden/>
          </w:rPr>
          <w:fldChar w:fldCharType="begin"/>
        </w:r>
        <w:r w:rsidR="00DD1219">
          <w:rPr>
            <w:noProof/>
            <w:webHidden/>
          </w:rPr>
          <w:instrText xml:space="preserve"> PAGEREF _Toc154048886 \h </w:instrText>
        </w:r>
        <w:r w:rsidR="00DD1219">
          <w:rPr>
            <w:noProof/>
            <w:webHidden/>
          </w:rPr>
        </w:r>
        <w:r w:rsidR="00DD1219">
          <w:rPr>
            <w:noProof/>
            <w:webHidden/>
          </w:rPr>
          <w:fldChar w:fldCharType="separate"/>
        </w:r>
        <w:r>
          <w:rPr>
            <w:noProof/>
            <w:webHidden/>
          </w:rPr>
          <w:t>237</w:t>
        </w:r>
        <w:r w:rsidR="00DD1219">
          <w:rPr>
            <w:noProof/>
            <w:webHidden/>
          </w:rPr>
          <w:fldChar w:fldCharType="end"/>
        </w:r>
      </w:hyperlink>
    </w:p>
    <w:p w14:paraId="5C8EBC04" w14:textId="38C9A09E" w:rsidR="00DD1219" w:rsidRDefault="00C738AA">
      <w:pPr>
        <w:pStyle w:val="TM3"/>
        <w:rPr>
          <w:rFonts w:eastAsiaTheme="minorEastAsia"/>
          <w:noProof/>
          <w:kern w:val="2"/>
          <w:sz w:val="22"/>
          <w:szCs w:val="22"/>
          <w:lang w:val="fr-CA" w:eastAsia="fr-CA"/>
          <w14:ligatures w14:val="standardContextual"/>
        </w:rPr>
      </w:pPr>
      <w:hyperlink w:anchor="_Toc154048887" w:history="1">
        <w:r w:rsidR="00DD1219" w:rsidRPr="0002721E">
          <w:rPr>
            <w:rStyle w:val="Lienhypertexte"/>
            <w:noProof/>
          </w:rPr>
          <w:t>P80 a sa fin qualifiée par</w:t>
        </w:r>
        <w:r w:rsidR="00DD1219">
          <w:rPr>
            <w:noProof/>
            <w:webHidden/>
          </w:rPr>
          <w:tab/>
        </w:r>
        <w:r w:rsidR="00DD1219">
          <w:rPr>
            <w:noProof/>
            <w:webHidden/>
          </w:rPr>
          <w:fldChar w:fldCharType="begin"/>
        </w:r>
        <w:r w:rsidR="00DD1219">
          <w:rPr>
            <w:noProof/>
            <w:webHidden/>
          </w:rPr>
          <w:instrText xml:space="preserve"> PAGEREF _Toc154048887 \h </w:instrText>
        </w:r>
        <w:r w:rsidR="00DD1219">
          <w:rPr>
            <w:noProof/>
            <w:webHidden/>
          </w:rPr>
        </w:r>
        <w:r w:rsidR="00DD1219">
          <w:rPr>
            <w:noProof/>
            <w:webHidden/>
          </w:rPr>
          <w:fldChar w:fldCharType="separate"/>
        </w:r>
        <w:r>
          <w:rPr>
            <w:noProof/>
            <w:webHidden/>
          </w:rPr>
          <w:t>237</w:t>
        </w:r>
        <w:r w:rsidR="00DD1219">
          <w:rPr>
            <w:noProof/>
            <w:webHidden/>
          </w:rPr>
          <w:fldChar w:fldCharType="end"/>
        </w:r>
      </w:hyperlink>
    </w:p>
    <w:p w14:paraId="6ACFDCBD" w14:textId="7964A3C0" w:rsidR="00DD1219" w:rsidRDefault="00C738AA">
      <w:pPr>
        <w:pStyle w:val="TM3"/>
        <w:rPr>
          <w:rFonts w:eastAsiaTheme="minorEastAsia"/>
          <w:noProof/>
          <w:kern w:val="2"/>
          <w:sz w:val="22"/>
          <w:szCs w:val="22"/>
          <w:lang w:val="fr-CA" w:eastAsia="fr-CA"/>
          <w14:ligatures w14:val="standardContextual"/>
        </w:rPr>
      </w:pPr>
      <w:hyperlink w:anchor="_Toc154048888" w:history="1">
        <w:r w:rsidR="00DD1219" w:rsidRPr="0002721E">
          <w:rPr>
            <w:rStyle w:val="Lienhypertexte"/>
            <w:noProof/>
          </w:rPr>
          <w:t>P81 a couvert</w:t>
        </w:r>
        <w:r w:rsidR="00DD1219">
          <w:rPr>
            <w:noProof/>
            <w:webHidden/>
          </w:rPr>
          <w:tab/>
        </w:r>
        <w:r w:rsidR="00DD1219">
          <w:rPr>
            <w:noProof/>
            <w:webHidden/>
          </w:rPr>
          <w:fldChar w:fldCharType="begin"/>
        </w:r>
        <w:r w:rsidR="00DD1219">
          <w:rPr>
            <w:noProof/>
            <w:webHidden/>
          </w:rPr>
          <w:instrText xml:space="preserve"> PAGEREF _Toc154048888 \h </w:instrText>
        </w:r>
        <w:r w:rsidR="00DD1219">
          <w:rPr>
            <w:noProof/>
            <w:webHidden/>
          </w:rPr>
        </w:r>
        <w:r w:rsidR="00DD1219">
          <w:rPr>
            <w:noProof/>
            <w:webHidden/>
          </w:rPr>
          <w:fldChar w:fldCharType="separate"/>
        </w:r>
        <w:r>
          <w:rPr>
            <w:noProof/>
            <w:webHidden/>
          </w:rPr>
          <w:t>238</w:t>
        </w:r>
        <w:r w:rsidR="00DD1219">
          <w:rPr>
            <w:noProof/>
            <w:webHidden/>
          </w:rPr>
          <w:fldChar w:fldCharType="end"/>
        </w:r>
      </w:hyperlink>
    </w:p>
    <w:p w14:paraId="43541F18" w14:textId="5C2266A7" w:rsidR="00DD1219" w:rsidRDefault="00C738AA">
      <w:pPr>
        <w:pStyle w:val="TM3"/>
        <w:rPr>
          <w:rFonts w:eastAsiaTheme="minorEastAsia"/>
          <w:noProof/>
          <w:kern w:val="2"/>
          <w:sz w:val="22"/>
          <w:szCs w:val="22"/>
          <w:lang w:val="fr-CA" w:eastAsia="fr-CA"/>
          <w14:ligatures w14:val="standardContextual"/>
        </w:rPr>
      </w:pPr>
      <w:hyperlink w:anchor="_Toc154048889" w:history="1">
        <w:r w:rsidR="00DD1219" w:rsidRPr="0002721E">
          <w:rPr>
            <w:rStyle w:val="Lienhypertexte"/>
            <w:noProof/>
          </w:rPr>
          <w:t>P82 a eu lieu durant</w:t>
        </w:r>
        <w:r w:rsidR="00DD1219">
          <w:rPr>
            <w:noProof/>
            <w:webHidden/>
          </w:rPr>
          <w:tab/>
        </w:r>
        <w:r w:rsidR="00DD1219">
          <w:rPr>
            <w:noProof/>
            <w:webHidden/>
          </w:rPr>
          <w:fldChar w:fldCharType="begin"/>
        </w:r>
        <w:r w:rsidR="00DD1219">
          <w:rPr>
            <w:noProof/>
            <w:webHidden/>
          </w:rPr>
          <w:instrText xml:space="preserve"> PAGEREF _Toc154048889 \h </w:instrText>
        </w:r>
        <w:r w:rsidR="00DD1219">
          <w:rPr>
            <w:noProof/>
            <w:webHidden/>
          </w:rPr>
        </w:r>
        <w:r w:rsidR="00DD1219">
          <w:rPr>
            <w:noProof/>
            <w:webHidden/>
          </w:rPr>
          <w:fldChar w:fldCharType="separate"/>
        </w:r>
        <w:r>
          <w:rPr>
            <w:noProof/>
            <w:webHidden/>
          </w:rPr>
          <w:t>239</w:t>
        </w:r>
        <w:r w:rsidR="00DD1219">
          <w:rPr>
            <w:noProof/>
            <w:webHidden/>
          </w:rPr>
          <w:fldChar w:fldCharType="end"/>
        </w:r>
      </w:hyperlink>
    </w:p>
    <w:p w14:paraId="0D39ACDF" w14:textId="753BB457" w:rsidR="00DD1219" w:rsidRDefault="00C738AA">
      <w:pPr>
        <w:pStyle w:val="TM3"/>
        <w:rPr>
          <w:rFonts w:eastAsiaTheme="minorEastAsia"/>
          <w:noProof/>
          <w:kern w:val="2"/>
          <w:sz w:val="22"/>
          <w:szCs w:val="22"/>
          <w:lang w:val="fr-CA" w:eastAsia="fr-CA"/>
          <w14:ligatures w14:val="standardContextual"/>
        </w:rPr>
      </w:pPr>
      <w:hyperlink w:anchor="_Toc154048890" w:history="1">
        <w:r w:rsidR="00DD1219" w:rsidRPr="0002721E">
          <w:rPr>
            <w:rStyle w:val="Lienhypertexte"/>
            <w:noProof/>
          </w:rPr>
          <w:t>P86 s’insère dans (contient)</w:t>
        </w:r>
        <w:r w:rsidR="00DD1219">
          <w:rPr>
            <w:noProof/>
            <w:webHidden/>
          </w:rPr>
          <w:tab/>
        </w:r>
        <w:r w:rsidR="00DD1219">
          <w:rPr>
            <w:noProof/>
            <w:webHidden/>
          </w:rPr>
          <w:fldChar w:fldCharType="begin"/>
        </w:r>
        <w:r w:rsidR="00DD1219">
          <w:rPr>
            <w:noProof/>
            <w:webHidden/>
          </w:rPr>
          <w:instrText xml:space="preserve"> PAGEREF _Toc154048890 \h </w:instrText>
        </w:r>
        <w:r w:rsidR="00DD1219">
          <w:rPr>
            <w:noProof/>
            <w:webHidden/>
          </w:rPr>
        </w:r>
        <w:r w:rsidR="00DD1219">
          <w:rPr>
            <w:noProof/>
            <w:webHidden/>
          </w:rPr>
          <w:fldChar w:fldCharType="separate"/>
        </w:r>
        <w:r>
          <w:rPr>
            <w:noProof/>
            <w:webHidden/>
          </w:rPr>
          <w:t>241</w:t>
        </w:r>
        <w:r w:rsidR="00DD1219">
          <w:rPr>
            <w:noProof/>
            <w:webHidden/>
          </w:rPr>
          <w:fldChar w:fldCharType="end"/>
        </w:r>
      </w:hyperlink>
    </w:p>
    <w:p w14:paraId="78A98F9F" w14:textId="415D5BAD" w:rsidR="00DD1219" w:rsidRDefault="00C738AA">
      <w:pPr>
        <w:pStyle w:val="TM3"/>
        <w:rPr>
          <w:rFonts w:eastAsiaTheme="minorEastAsia"/>
          <w:noProof/>
          <w:kern w:val="2"/>
          <w:sz w:val="22"/>
          <w:szCs w:val="22"/>
          <w:lang w:val="fr-CA" w:eastAsia="fr-CA"/>
          <w14:ligatures w14:val="standardContextual"/>
        </w:rPr>
      </w:pPr>
      <w:hyperlink w:anchor="_Toc154048891" w:history="1">
        <w:r w:rsidR="00DD1219" w:rsidRPr="0002721E">
          <w:rPr>
            <w:rStyle w:val="Lienhypertexte"/>
            <w:noProof/>
          </w:rPr>
          <w:t>P89 s’insère dans (contient)</w:t>
        </w:r>
        <w:r w:rsidR="00DD1219">
          <w:rPr>
            <w:noProof/>
            <w:webHidden/>
          </w:rPr>
          <w:tab/>
        </w:r>
        <w:r w:rsidR="00DD1219">
          <w:rPr>
            <w:noProof/>
            <w:webHidden/>
          </w:rPr>
          <w:fldChar w:fldCharType="begin"/>
        </w:r>
        <w:r w:rsidR="00DD1219">
          <w:rPr>
            <w:noProof/>
            <w:webHidden/>
          </w:rPr>
          <w:instrText xml:space="preserve"> PAGEREF _Toc154048891 \h </w:instrText>
        </w:r>
        <w:r w:rsidR="00DD1219">
          <w:rPr>
            <w:noProof/>
            <w:webHidden/>
          </w:rPr>
        </w:r>
        <w:r w:rsidR="00DD1219">
          <w:rPr>
            <w:noProof/>
            <w:webHidden/>
          </w:rPr>
          <w:fldChar w:fldCharType="separate"/>
        </w:r>
        <w:r>
          <w:rPr>
            <w:noProof/>
            <w:webHidden/>
          </w:rPr>
          <w:t>241</w:t>
        </w:r>
        <w:r w:rsidR="00DD1219">
          <w:rPr>
            <w:noProof/>
            <w:webHidden/>
          </w:rPr>
          <w:fldChar w:fldCharType="end"/>
        </w:r>
      </w:hyperlink>
    </w:p>
    <w:p w14:paraId="1BF7B1D6" w14:textId="2FB29302" w:rsidR="00DD1219" w:rsidRDefault="00C738AA">
      <w:pPr>
        <w:pStyle w:val="TM3"/>
        <w:rPr>
          <w:rFonts w:eastAsiaTheme="minorEastAsia"/>
          <w:noProof/>
          <w:kern w:val="2"/>
          <w:sz w:val="22"/>
          <w:szCs w:val="22"/>
          <w:lang w:val="fr-CA" w:eastAsia="fr-CA"/>
          <w14:ligatures w14:val="standardContextual"/>
        </w:rPr>
      </w:pPr>
      <w:hyperlink w:anchor="_Toc154048892" w:history="1">
        <w:r w:rsidR="00DD1219" w:rsidRPr="0002721E">
          <w:rPr>
            <w:rStyle w:val="Lienhypertexte"/>
            <w:noProof/>
          </w:rPr>
          <w:t>P90 a pour valeur</w:t>
        </w:r>
        <w:r w:rsidR="00DD1219">
          <w:rPr>
            <w:noProof/>
            <w:webHidden/>
          </w:rPr>
          <w:tab/>
        </w:r>
        <w:r w:rsidR="00DD1219">
          <w:rPr>
            <w:noProof/>
            <w:webHidden/>
          </w:rPr>
          <w:fldChar w:fldCharType="begin"/>
        </w:r>
        <w:r w:rsidR="00DD1219">
          <w:rPr>
            <w:noProof/>
            <w:webHidden/>
          </w:rPr>
          <w:instrText xml:space="preserve"> PAGEREF _Toc154048892 \h </w:instrText>
        </w:r>
        <w:r w:rsidR="00DD1219">
          <w:rPr>
            <w:noProof/>
            <w:webHidden/>
          </w:rPr>
        </w:r>
        <w:r w:rsidR="00DD1219">
          <w:rPr>
            <w:noProof/>
            <w:webHidden/>
          </w:rPr>
          <w:fldChar w:fldCharType="separate"/>
        </w:r>
        <w:r>
          <w:rPr>
            <w:noProof/>
            <w:webHidden/>
          </w:rPr>
          <w:t>242</w:t>
        </w:r>
        <w:r w:rsidR="00DD1219">
          <w:rPr>
            <w:noProof/>
            <w:webHidden/>
          </w:rPr>
          <w:fldChar w:fldCharType="end"/>
        </w:r>
      </w:hyperlink>
    </w:p>
    <w:p w14:paraId="086E27F3" w14:textId="195E2BD2" w:rsidR="00DD1219" w:rsidRDefault="00C738AA">
      <w:pPr>
        <w:pStyle w:val="TM3"/>
        <w:rPr>
          <w:rFonts w:eastAsiaTheme="minorEastAsia"/>
          <w:noProof/>
          <w:kern w:val="2"/>
          <w:sz w:val="22"/>
          <w:szCs w:val="22"/>
          <w:lang w:val="fr-CA" w:eastAsia="fr-CA"/>
          <w14:ligatures w14:val="standardContextual"/>
        </w:rPr>
      </w:pPr>
      <w:hyperlink w:anchor="_Toc154048893" w:history="1">
        <w:r w:rsidR="00DD1219" w:rsidRPr="0002721E">
          <w:rPr>
            <w:rStyle w:val="Lienhypertexte"/>
            <w:noProof/>
          </w:rPr>
          <w:t>P91 a pour unité de mesure (est l’unité de mesure de)</w:t>
        </w:r>
        <w:r w:rsidR="00DD1219">
          <w:rPr>
            <w:noProof/>
            <w:webHidden/>
          </w:rPr>
          <w:tab/>
        </w:r>
        <w:r w:rsidR="00DD1219">
          <w:rPr>
            <w:noProof/>
            <w:webHidden/>
          </w:rPr>
          <w:fldChar w:fldCharType="begin"/>
        </w:r>
        <w:r w:rsidR="00DD1219">
          <w:rPr>
            <w:noProof/>
            <w:webHidden/>
          </w:rPr>
          <w:instrText xml:space="preserve"> PAGEREF _Toc154048893 \h </w:instrText>
        </w:r>
        <w:r w:rsidR="00DD1219">
          <w:rPr>
            <w:noProof/>
            <w:webHidden/>
          </w:rPr>
        </w:r>
        <w:r w:rsidR="00DD1219">
          <w:rPr>
            <w:noProof/>
            <w:webHidden/>
          </w:rPr>
          <w:fldChar w:fldCharType="separate"/>
        </w:r>
        <w:r>
          <w:rPr>
            <w:noProof/>
            <w:webHidden/>
          </w:rPr>
          <w:t>243</w:t>
        </w:r>
        <w:r w:rsidR="00DD1219">
          <w:rPr>
            <w:noProof/>
            <w:webHidden/>
          </w:rPr>
          <w:fldChar w:fldCharType="end"/>
        </w:r>
      </w:hyperlink>
    </w:p>
    <w:p w14:paraId="04FF5A84" w14:textId="34C0F1E9" w:rsidR="00DD1219" w:rsidRDefault="00C738AA">
      <w:pPr>
        <w:pStyle w:val="TM3"/>
        <w:rPr>
          <w:rFonts w:eastAsiaTheme="minorEastAsia"/>
          <w:noProof/>
          <w:kern w:val="2"/>
          <w:sz w:val="22"/>
          <w:szCs w:val="22"/>
          <w:lang w:val="fr-CA" w:eastAsia="fr-CA"/>
          <w14:ligatures w14:val="standardContextual"/>
        </w:rPr>
      </w:pPr>
      <w:hyperlink w:anchor="_Toc154048894" w:history="1">
        <w:r w:rsidR="00DD1219" w:rsidRPr="0002721E">
          <w:rPr>
            <w:rStyle w:val="Lienhypertexte"/>
            <w:noProof/>
          </w:rPr>
          <w:t>P92 a fait exister (a commencé à exister par)</w:t>
        </w:r>
        <w:r w:rsidR="00DD1219">
          <w:rPr>
            <w:noProof/>
            <w:webHidden/>
          </w:rPr>
          <w:tab/>
        </w:r>
        <w:r w:rsidR="00DD1219">
          <w:rPr>
            <w:noProof/>
            <w:webHidden/>
          </w:rPr>
          <w:fldChar w:fldCharType="begin"/>
        </w:r>
        <w:r w:rsidR="00DD1219">
          <w:rPr>
            <w:noProof/>
            <w:webHidden/>
          </w:rPr>
          <w:instrText xml:space="preserve"> PAGEREF _Toc154048894 \h </w:instrText>
        </w:r>
        <w:r w:rsidR="00DD1219">
          <w:rPr>
            <w:noProof/>
            <w:webHidden/>
          </w:rPr>
        </w:r>
        <w:r w:rsidR="00DD1219">
          <w:rPr>
            <w:noProof/>
            <w:webHidden/>
          </w:rPr>
          <w:fldChar w:fldCharType="separate"/>
        </w:r>
        <w:r>
          <w:rPr>
            <w:noProof/>
            <w:webHidden/>
          </w:rPr>
          <w:t>244</w:t>
        </w:r>
        <w:r w:rsidR="00DD1219">
          <w:rPr>
            <w:noProof/>
            <w:webHidden/>
          </w:rPr>
          <w:fldChar w:fldCharType="end"/>
        </w:r>
      </w:hyperlink>
    </w:p>
    <w:p w14:paraId="53402722" w14:textId="150B1909" w:rsidR="00DD1219" w:rsidRDefault="00C738AA">
      <w:pPr>
        <w:pStyle w:val="TM3"/>
        <w:rPr>
          <w:rFonts w:eastAsiaTheme="minorEastAsia"/>
          <w:noProof/>
          <w:kern w:val="2"/>
          <w:sz w:val="22"/>
          <w:szCs w:val="22"/>
          <w:lang w:val="fr-CA" w:eastAsia="fr-CA"/>
          <w14:ligatures w14:val="standardContextual"/>
        </w:rPr>
      </w:pPr>
      <w:hyperlink w:anchor="_Toc154048895" w:history="1">
        <w:r w:rsidR="00DD1219" w:rsidRPr="0002721E">
          <w:rPr>
            <w:rStyle w:val="Lienhypertexte"/>
            <w:noProof/>
          </w:rPr>
          <w:t>P93 a mis fin à l’existence de (a cessé d’exister par)</w:t>
        </w:r>
        <w:r w:rsidR="00DD1219">
          <w:rPr>
            <w:noProof/>
            <w:webHidden/>
          </w:rPr>
          <w:tab/>
        </w:r>
        <w:r w:rsidR="00DD1219">
          <w:rPr>
            <w:noProof/>
            <w:webHidden/>
          </w:rPr>
          <w:fldChar w:fldCharType="begin"/>
        </w:r>
        <w:r w:rsidR="00DD1219">
          <w:rPr>
            <w:noProof/>
            <w:webHidden/>
          </w:rPr>
          <w:instrText xml:space="preserve"> PAGEREF _Toc154048895 \h </w:instrText>
        </w:r>
        <w:r w:rsidR="00DD1219">
          <w:rPr>
            <w:noProof/>
            <w:webHidden/>
          </w:rPr>
        </w:r>
        <w:r w:rsidR="00DD1219">
          <w:rPr>
            <w:noProof/>
            <w:webHidden/>
          </w:rPr>
          <w:fldChar w:fldCharType="separate"/>
        </w:r>
        <w:r>
          <w:rPr>
            <w:noProof/>
            <w:webHidden/>
          </w:rPr>
          <w:t>245</w:t>
        </w:r>
        <w:r w:rsidR="00DD1219">
          <w:rPr>
            <w:noProof/>
            <w:webHidden/>
          </w:rPr>
          <w:fldChar w:fldCharType="end"/>
        </w:r>
      </w:hyperlink>
    </w:p>
    <w:p w14:paraId="5F2A317F" w14:textId="52A9F092" w:rsidR="00DD1219" w:rsidRDefault="00C738AA">
      <w:pPr>
        <w:pStyle w:val="TM3"/>
        <w:rPr>
          <w:rFonts w:eastAsiaTheme="minorEastAsia"/>
          <w:noProof/>
          <w:kern w:val="2"/>
          <w:sz w:val="22"/>
          <w:szCs w:val="22"/>
          <w:lang w:val="fr-CA" w:eastAsia="fr-CA"/>
          <w14:ligatures w14:val="standardContextual"/>
        </w:rPr>
      </w:pPr>
      <w:hyperlink w:anchor="_Toc154048896" w:history="1">
        <w:r w:rsidR="00DD1219" w:rsidRPr="0002721E">
          <w:rPr>
            <w:rStyle w:val="Lienhypertexte"/>
            <w:noProof/>
          </w:rPr>
          <w:t>P94 a créé (a été créé par)</w:t>
        </w:r>
        <w:r w:rsidR="00DD1219">
          <w:rPr>
            <w:noProof/>
            <w:webHidden/>
          </w:rPr>
          <w:tab/>
        </w:r>
        <w:r w:rsidR="00DD1219">
          <w:rPr>
            <w:noProof/>
            <w:webHidden/>
          </w:rPr>
          <w:fldChar w:fldCharType="begin"/>
        </w:r>
        <w:r w:rsidR="00DD1219">
          <w:rPr>
            <w:noProof/>
            <w:webHidden/>
          </w:rPr>
          <w:instrText xml:space="preserve"> PAGEREF _Toc154048896 \h </w:instrText>
        </w:r>
        <w:r w:rsidR="00DD1219">
          <w:rPr>
            <w:noProof/>
            <w:webHidden/>
          </w:rPr>
        </w:r>
        <w:r w:rsidR="00DD1219">
          <w:rPr>
            <w:noProof/>
            <w:webHidden/>
          </w:rPr>
          <w:fldChar w:fldCharType="separate"/>
        </w:r>
        <w:r>
          <w:rPr>
            <w:noProof/>
            <w:webHidden/>
          </w:rPr>
          <w:t>246</w:t>
        </w:r>
        <w:r w:rsidR="00DD1219">
          <w:rPr>
            <w:noProof/>
            <w:webHidden/>
          </w:rPr>
          <w:fldChar w:fldCharType="end"/>
        </w:r>
      </w:hyperlink>
    </w:p>
    <w:p w14:paraId="70B9AF6C" w14:textId="270BB589" w:rsidR="00DD1219" w:rsidRDefault="00C738AA">
      <w:pPr>
        <w:pStyle w:val="TM3"/>
        <w:rPr>
          <w:rFonts w:eastAsiaTheme="minorEastAsia"/>
          <w:noProof/>
          <w:kern w:val="2"/>
          <w:sz w:val="22"/>
          <w:szCs w:val="22"/>
          <w:lang w:val="fr-CA" w:eastAsia="fr-CA"/>
          <w14:ligatures w14:val="standardContextual"/>
        </w:rPr>
      </w:pPr>
      <w:hyperlink w:anchor="_Toc154048897" w:history="1">
        <w:r w:rsidR="00DD1219" w:rsidRPr="0002721E">
          <w:rPr>
            <w:rStyle w:val="Lienhypertexte"/>
            <w:noProof/>
          </w:rPr>
          <w:t>P95 a fondé (a été fondé par)</w:t>
        </w:r>
        <w:r w:rsidR="00DD1219">
          <w:rPr>
            <w:noProof/>
            <w:webHidden/>
          </w:rPr>
          <w:tab/>
        </w:r>
        <w:r w:rsidR="00DD1219">
          <w:rPr>
            <w:noProof/>
            <w:webHidden/>
          </w:rPr>
          <w:fldChar w:fldCharType="begin"/>
        </w:r>
        <w:r w:rsidR="00DD1219">
          <w:rPr>
            <w:noProof/>
            <w:webHidden/>
          </w:rPr>
          <w:instrText xml:space="preserve"> PAGEREF _Toc154048897 \h </w:instrText>
        </w:r>
        <w:r w:rsidR="00DD1219">
          <w:rPr>
            <w:noProof/>
            <w:webHidden/>
          </w:rPr>
        </w:r>
        <w:r w:rsidR="00DD1219">
          <w:rPr>
            <w:noProof/>
            <w:webHidden/>
          </w:rPr>
          <w:fldChar w:fldCharType="separate"/>
        </w:r>
        <w:r>
          <w:rPr>
            <w:noProof/>
            <w:webHidden/>
          </w:rPr>
          <w:t>247</w:t>
        </w:r>
        <w:r w:rsidR="00DD1219">
          <w:rPr>
            <w:noProof/>
            <w:webHidden/>
          </w:rPr>
          <w:fldChar w:fldCharType="end"/>
        </w:r>
      </w:hyperlink>
    </w:p>
    <w:p w14:paraId="1E8BBDB8" w14:textId="20FC048F" w:rsidR="00DD1219" w:rsidRDefault="00C738AA">
      <w:pPr>
        <w:pStyle w:val="TM3"/>
        <w:rPr>
          <w:rFonts w:eastAsiaTheme="minorEastAsia"/>
          <w:noProof/>
          <w:kern w:val="2"/>
          <w:sz w:val="22"/>
          <w:szCs w:val="22"/>
          <w:lang w:val="fr-CA" w:eastAsia="fr-CA"/>
          <w14:ligatures w14:val="standardContextual"/>
        </w:rPr>
      </w:pPr>
      <w:hyperlink w:anchor="_Toc154048898" w:history="1">
        <w:r w:rsidR="00DD1219" w:rsidRPr="0002721E">
          <w:rPr>
            <w:rStyle w:val="Lienhypertexte"/>
            <w:noProof/>
          </w:rPr>
          <w:t>P96 de mère (a donné naissance à)</w:t>
        </w:r>
        <w:r w:rsidR="00DD1219">
          <w:rPr>
            <w:noProof/>
            <w:webHidden/>
          </w:rPr>
          <w:tab/>
        </w:r>
        <w:r w:rsidR="00DD1219">
          <w:rPr>
            <w:noProof/>
            <w:webHidden/>
          </w:rPr>
          <w:fldChar w:fldCharType="begin"/>
        </w:r>
        <w:r w:rsidR="00DD1219">
          <w:rPr>
            <w:noProof/>
            <w:webHidden/>
          </w:rPr>
          <w:instrText xml:space="preserve"> PAGEREF _Toc154048898 \h </w:instrText>
        </w:r>
        <w:r w:rsidR="00DD1219">
          <w:rPr>
            <w:noProof/>
            <w:webHidden/>
          </w:rPr>
        </w:r>
        <w:r w:rsidR="00DD1219">
          <w:rPr>
            <w:noProof/>
            <w:webHidden/>
          </w:rPr>
          <w:fldChar w:fldCharType="separate"/>
        </w:r>
        <w:r>
          <w:rPr>
            <w:noProof/>
            <w:webHidden/>
          </w:rPr>
          <w:t>247</w:t>
        </w:r>
        <w:r w:rsidR="00DD1219">
          <w:rPr>
            <w:noProof/>
            <w:webHidden/>
          </w:rPr>
          <w:fldChar w:fldCharType="end"/>
        </w:r>
      </w:hyperlink>
    </w:p>
    <w:p w14:paraId="71F9FC81" w14:textId="55FAEBF7" w:rsidR="00DD1219" w:rsidRDefault="00C738AA">
      <w:pPr>
        <w:pStyle w:val="TM3"/>
        <w:rPr>
          <w:rFonts w:eastAsiaTheme="minorEastAsia"/>
          <w:noProof/>
          <w:kern w:val="2"/>
          <w:sz w:val="22"/>
          <w:szCs w:val="22"/>
          <w:lang w:val="fr-CA" w:eastAsia="fr-CA"/>
          <w14:ligatures w14:val="standardContextual"/>
        </w:rPr>
      </w:pPr>
      <w:hyperlink w:anchor="_Toc154048899" w:history="1">
        <w:r w:rsidR="00DD1219" w:rsidRPr="0002721E">
          <w:rPr>
            <w:rStyle w:val="Lienhypertexte"/>
            <w:noProof/>
          </w:rPr>
          <w:t>P97 de père (a été le père pour)</w:t>
        </w:r>
        <w:r w:rsidR="00DD1219">
          <w:rPr>
            <w:noProof/>
            <w:webHidden/>
          </w:rPr>
          <w:tab/>
        </w:r>
        <w:r w:rsidR="00DD1219">
          <w:rPr>
            <w:noProof/>
            <w:webHidden/>
          </w:rPr>
          <w:fldChar w:fldCharType="begin"/>
        </w:r>
        <w:r w:rsidR="00DD1219">
          <w:rPr>
            <w:noProof/>
            <w:webHidden/>
          </w:rPr>
          <w:instrText xml:space="preserve"> PAGEREF _Toc154048899 \h </w:instrText>
        </w:r>
        <w:r w:rsidR="00DD1219">
          <w:rPr>
            <w:noProof/>
            <w:webHidden/>
          </w:rPr>
        </w:r>
        <w:r w:rsidR="00DD1219">
          <w:rPr>
            <w:noProof/>
            <w:webHidden/>
          </w:rPr>
          <w:fldChar w:fldCharType="separate"/>
        </w:r>
        <w:r>
          <w:rPr>
            <w:noProof/>
            <w:webHidden/>
          </w:rPr>
          <w:t>248</w:t>
        </w:r>
        <w:r w:rsidR="00DD1219">
          <w:rPr>
            <w:noProof/>
            <w:webHidden/>
          </w:rPr>
          <w:fldChar w:fldCharType="end"/>
        </w:r>
      </w:hyperlink>
    </w:p>
    <w:p w14:paraId="1E58D7B4" w14:textId="793174CA" w:rsidR="00DD1219" w:rsidRDefault="00C738AA">
      <w:pPr>
        <w:pStyle w:val="TM3"/>
        <w:rPr>
          <w:rFonts w:eastAsiaTheme="minorEastAsia"/>
          <w:noProof/>
          <w:kern w:val="2"/>
          <w:sz w:val="22"/>
          <w:szCs w:val="22"/>
          <w:lang w:val="fr-CA" w:eastAsia="fr-CA"/>
          <w14:ligatures w14:val="standardContextual"/>
        </w:rPr>
      </w:pPr>
      <w:hyperlink w:anchor="_Toc154048900" w:history="1">
        <w:r w:rsidR="00DD1219" w:rsidRPr="0002721E">
          <w:rPr>
            <w:rStyle w:val="Lienhypertexte"/>
            <w:noProof/>
          </w:rPr>
          <w:t>P98 a donné vie à (est né)</w:t>
        </w:r>
        <w:r w:rsidR="00DD1219">
          <w:rPr>
            <w:noProof/>
            <w:webHidden/>
          </w:rPr>
          <w:tab/>
        </w:r>
        <w:r w:rsidR="00DD1219">
          <w:rPr>
            <w:noProof/>
            <w:webHidden/>
          </w:rPr>
          <w:fldChar w:fldCharType="begin"/>
        </w:r>
        <w:r w:rsidR="00DD1219">
          <w:rPr>
            <w:noProof/>
            <w:webHidden/>
          </w:rPr>
          <w:instrText xml:space="preserve"> PAGEREF _Toc154048900 \h </w:instrText>
        </w:r>
        <w:r w:rsidR="00DD1219">
          <w:rPr>
            <w:noProof/>
            <w:webHidden/>
          </w:rPr>
        </w:r>
        <w:r w:rsidR="00DD1219">
          <w:rPr>
            <w:noProof/>
            <w:webHidden/>
          </w:rPr>
          <w:fldChar w:fldCharType="separate"/>
        </w:r>
        <w:r>
          <w:rPr>
            <w:noProof/>
            <w:webHidden/>
          </w:rPr>
          <w:t>249</w:t>
        </w:r>
        <w:r w:rsidR="00DD1219">
          <w:rPr>
            <w:noProof/>
            <w:webHidden/>
          </w:rPr>
          <w:fldChar w:fldCharType="end"/>
        </w:r>
      </w:hyperlink>
    </w:p>
    <w:p w14:paraId="5157CB2A" w14:textId="702C5A1C" w:rsidR="00DD1219" w:rsidRDefault="00C738AA">
      <w:pPr>
        <w:pStyle w:val="TM3"/>
        <w:rPr>
          <w:rFonts w:eastAsiaTheme="minorEastAsia"/>
          <w:noProof/>
          <w:kern w:val="2"/>
          <w:sz w:val="22"/>
          <w:szCs w:val="22"/>
          <w:lang w:val="fr-CA" w:eastAsia="fr-CA"/>
          <w14:ligatures w14:val="standardContextual"/>
        </w:rPr>
      </w:pPr>
      <w:hyperlink w:anchor="_Toc154048901" w:history="1">
        <w:r w:rsidR="00DD1219" w:rsidRPr="0002721E">
          <w:rPr>
            <w:rStyle w:val="Lienhypertexte"/>
            <w:noProof/>
          </w:rPr>
          <w:t>P99 a dissous (a été dissous par)</w:t>
        </w:r>
        <w:r w:rsidR="00DD1219">
          <w:rPr>
            <w:noProof/>
            <w:webHidden/>
          </w:rPr>
          <w:tab/>
        </w:r>
        <w:r w:rsidR="00DD1219">
          <w:rPr>
            <w:noProof/>
            <w:webHidden/>
          </w:rPr>
          <w:fldChar w:fldCharType="begin"/>
        </w:r>
        <w:r w:rsidR="00DD1219">
          <w:rPr>
            <w:noProof/>
            <w:webHidden/>
          </w:rPr>
          <w:instrText xml:space="preserve"> PAGEREF _Toc154048901 \h </w:instrText>
        </w:r>
        <w:r w:rsidR="00DD1219">
          <w:rPr>
            <w:noProof/>
            <w:webHidden/>
          </w:rPr>
        </w:r>
        <w:r w:rsidR="00DD1219">
          <w:rPr>
            <w:noProof/>
            <w:webHidden/>
          </w:rPr>
          <w:fldChar w:fldCharType="separate"/>
        </w:r>
        <w:r>
          <w:rPr>
            <w:noProof/>
            <w:webHidden/>
          </w:rPr>
          <w:t>250</w:t>
        </w:r>
        <w:r w:rsidR="00DD1219">
          <w:rPr>
            <w:noProof/>
            <w:webHidden/>
          </w:rPr>
          <w:fldChar w:fldCharType="end"/>
        </w:r>
      </w:hyperlink>
    </w:p>
    <w:p w14:paraId="3019DBA2" w14:textId="5E414AAF" w:rsidR="00DD1219" w:rsidRDefault="00C738AA">
      <w:pPr>
        <w:pStyle w:val="TM3"/>
        <w:rPr>
          <w:rFonts w:eastAsiaTheme="minorEastAsia"/>
          <w:noProof/>
          <w:kern w:val="2"/>
          <w:sz w:val="22"/>
          <w:szCs w:val="22"/>
          <w:lang w:val="fr-CA" w:eastAsia="fr-CA"/>
          <w14:ligatures w14:val="standardContextual"/>
        </w:rPr>
      </w:pPr>
      <w:hyperlink w:anchor="_Toc154048902" w:history="1">
        <w:r w:rsidR="00DD1219" w:rsidRPr="0002721E">
          <w:rPr>
            <w:rStyle w:val="Lienhypertexte"/>
            <w:noProof/>
          </w:rPr>
          <w:t>P100 a été la mort de (est mort par)</w:t>
        </w:r>
        <w:r w:rsidR="00DD1219">
          <w:rPr>
            <w:noProof/>
            <w:webHidden/>
          </w:rPr>
          <w:tab/>
        </w:r>
        <w:r w:rsidR="00DD1219">
          <w:rPr>
            <w:noProof/>
            <w:webHidden/>
          </w:rPr>
          <w:fldChar w:fldCharType="begin"/>
        </w:r>
        <w:r w:rsidR="00DD1219">
          <w:rPr>
            <w:noProof/>
            <w:webHidden/>
          </w:rPr>
          <w:instrText xml:space="preserve"> PAGEREF _Toc154048902 \h </w:instrText>
        </w:r>
        <w:r w:rsidR="00DD1219">
          <w:rPr>
            <w:noProof/>
            <w:webHidden/>
          </w:rPr>
        </w:r>
        <w:r w:rsidR="00DD1219">
          <w:rPr>
            <w:noProof/>
            <w:webHidden/>
          </w:rPr>
          <w:fldChar w:fldCharType="separate"/>
        </w:r>
        <w:r>
          <w:rPr>
            <w:noProof/>
            <w:webHidden/>
          </w:rPr>
          <w:t>251</w:t>
        </w:r>
        <w:r w:rsidR="00DD1219">
          <w:rPr>
            <w:noProof/>
            <w:webHidden/>
          </w:rPr>
          <w:fldChar w:fldCharType="end"/>
        </w:r>
      </w:hyperlink>
    </w:p>
    <w:p w14:paraId="6B0B935E" w14:textId="751C5037" w:rsidR="00DD1219" w:rsidRDefault="00C738AA">
      <w:pPr>
        <w:pStyle w:val="TM3"/>
        <w:rPr>
          <w:rFonts w:eastAsiaTheme="minorEastAsia"/>
          <w:noProof/>
          <w:kern w:val="2"/>
          <w:sz w:val="22"/>
          <w:szCs w:val="22"/>
          <w:lang w:val="fr-CA" w:eastAsia="fr-CA"/>
          <w14:ligatures w14:val="standardContextual"/>
        </w:rPr>
      </w:pPr>
      <w:hyperlink w:anchor="_Toc154048903" w:history="1">
        <w:r w:rsidR="00DD1219" w:rsidRPr="0002721E">
          <w:rPr>
            <w:rStyle w:val="Lienhypertexte"/>
            <w:noProof/>
          </w:rPr>
          <w:t>P101 a eu pour usage général (a été l’usage général de)</w:t>
        </w:r>
        <w:r w:rsidR="00DD1219">
          <w:rPr>
            <w:noProof/>
            <w:webHidden/>
          </w:rPr>
          <w:tab/>
        </w:r>
        <w:r w:rsidR="00DD1219">
          <w:rPr>
            <w:noProof/>
            <w:webHidden/>
          </w:rPr>
          <w:fldChar w:fldCharType="begin"/>
        </w:r>
        <w:r w:rsidR="00DD1219">
          <w:rPr>
            <w:noProof/>
            <w:webHidden/>
          </w:rPr>
          <w:instrText xml:space="preserve"> PAGEREF _Toc154048903 \h </w:instrText>
        </w:r>
        <w:r w:rsidR="00DD1219">
          <w:rPr>
            <w:noProof/>
            <w:webHidden/>
          </w:rPr>
        </w:r>
        <w:r w:rsidR="00DD1219">
          <w:rPr>
            <w:noProof/>
            <w:webHidden/>
          </w:rPr>
          <w:fldChar w:fldCharType="separate"/>
        </w:r>
        <w:r>
          <w:rPr>
            <w:noProof/>
            <w:webHidden/>
          </w:rPr>
          <w:t>252</w:t>
        </w:r>
        <w:r w:rsidR="00DD1219">
          <w:rPr>
            <w:noProof/>
            <w:webHidden/>
          </w:rPr>
          <w:fldChar w:fldCharType="end"/>
        </w:r>
      </w:hyperlink>
    </w:p>
    <w:p w14:paraId="36215BDC" w14:textId="499F8B4D" w:rsidR="00DD1219" w:rsidRDefault="00C738AA">
      <w:pPr>
        <w:pStyle w:val="TM3"/>
        <w:rPr>
          <w:rFonts w:eastAsiaTheme="minorEastAsia"/>
          <w:noProof/>
          <w:kern w:val="2"/>
          <w:sz w:val="22"/>
          <w:szCs w:val="22"/>
          <w:lang w:val="fr-CA" w:eastAsia="fr-CA"/>
          <w14:ligatures w14:val="standardContextual"/>
        </w:rPr>
      </w:pPr>
      <w:hyperlink w:anchor="_Toc154048904" w:history="1">
        <w:r w:rsidR="00DD1219" w:rsidRPr="0002721E">
          <w:rPr>
            <w:rStyle w:val="Lienhypertexte"/>
            <w:noProof/>
          </w:rPr>
          <w:t>P102 a pour titre (est le titre de)</w:t>
        </w:r>
        <w:r w:rsidR="00DD1219">
          <w:rPr>
            <w:noProof/>
            <w:webHidden/>
          </w:rPr>
          <w:tab/>
        </w:r>
        <w:r w:rsidR="00DD1219">
          <w:rPr>
            <w:noProof/>
            <w:webHidden/>
          </w:rPr>
          <w:fldChar w:fldCharType="begin"/>
        </w:r>
        <w:r w:rsidR="00DD1219">
          <w:rPr>
            <w:noProof/>
            <w:webHidden/>
          </w:rPr>
          <w:instrText xml:space="preserve"> PAGEREF _Toc154048904 \h </w:instrText>
        </w:r>
        <w:r w:rsidR="00DD1219">
          <w:rPr>
            <w:noProof/>
            <w:webHidden/>
          </w:rPr>
        </w:r>
        <w:r w:rsidR="00DD1219">
          <w:rPr>
            <w:noProof/>
            <w:webHidden/>
          </w:rPr>
          <w:fldChar w:fldCharType="separate"/>
        </w:r>
        <w:r>
          <w:rPr>
            <w:noProof/>
            <w:webHidden/>
          </w:rPr>
          <w:t>253</w:t>
        </w:r>
        <w:r w:rsidR="00DD1219">
          <w:rPr>
            <w:noProof/>
            <w:webHidden/>
          </w:rPr>
          <w:fldChar w:fldCharType="end"/>
        </w:r>
      </w:hyperlink>
    </w:p>
    <w:p w14:paraId="38CDD12D" w14:textId="0CD6CFCE" w:rsidR="00DD1219" w:rsidRDefault="00C738AA">
      <w:pPr>
        <w:pStyle w:val="TM3"/>
        <w:rPr>
          <w:rFonts w:eastAsiaTheme="minorEastAsia"/>
          <w:noProof/>
          <w:kern w:val="2"/>
          <w:sz w:val="22"/>
          <w:szCs w:val="22"/>
          <w:lang w:val="fr-CA" w:eastAsia="fr-CA"/>
          <w14:ligatures w14:val="standardContextual"/>
        </w:rPr>
      </w:pPr>
      <w:hyperlink w:anchor="_Toc154048905" w:history="1">
        <w:r w:rsidR="00DD1219" w:rsidRPr="0002721E">
          <w:rPr>
            <w:rStyle w:val="Lienhypertexte"/>
            <w:noProof/>
          </w:rPr>
          <w:t>P103 a eu pour raison d’être (a été la raison d’être de)</w:t>
        </w:r>
        <w:r w:rsidR="00DD1219">
          <w:rPr>
            <w:noProof/>
            <w:webHidden/>
          </w:rPr>
          <w:tab/>
        </w:r>
        <w:r w:rsidR="00DD1219">
          <w:rPr>
            <w:noProof/>
            <w:webHidden/>
          </w:rPr>
          <w:fldChar w:fldCharType="begin"/>
        </w:r>
        <w:r w:rsidR="00DD1219">
          <w:rPr>
            <w:noProof/>
            <w:webHidden/>
          </w:rPr>
          <w:instrText xml:space="preserve"> PAGEREF _Toc154048905 \h </w:instrText>
        </w:r>
        <w:r w:rsidR="00DD1219">
          <w:rPr>
            <w:noProof/>
            <w:webHidden/>
          </w:rPr>
        </w:r>
        <w:r w:rsidR="00DD1219">
          <w:rPr>
            <w:noProof/>
            <w:webHidden/>
          </w:rPr>
          <w:fldChar w:fldCharType="separate"/>
        </w:r>
        <w:r>
          <w:rPr>
            <w:noProof/>
            <w:webHidden/>
          </w:rPr>
          <w:t>254</w:t>
        </w:r>
        <w:r w:rsidR="00DD1219">
          <w:rPr>
            <w:noProof/>
            <w:webHidden/>
          </w:rPr>
          <w:fldChar w:fldCharType="end"/>
        </w:r>
      </w:hyperlink>
    </w:p>
    <w:p w14:paraId="4ADE8569" w14:textId="58B552F0" w:rsidR="00DD1219" w:rsidRDefault="00C738AA">
      <w:pPr>
        <w:pStyle w:val="TM3"/>
        <w:rPr>
          <w:rFonts w:eastAsiaTheme="minorEastAsia"/>
          <w:noProof/>
          <w:kern w:val="2"/>
          <w:sz w:val="22"/>
          <w:szCs w:val="22"/>
          <w:lang w:val="fr-CA" w:eastAsia="fr-CA"/>
          <w14:ligatures w14:val="standardContextual"/>
        </w:rPr>
      </w:pPr>
      <w:hyperlink w:anchor="_Toc154048906" w:history="1">
        <w:r w:rsidR="00DD1219" w:rsidRPr="0002721E">
          <w:rPr>
            <w:rStyle w:val="Lienhypertexte"/>
            <w:noProof/>
          </w:rPr>
          <w:t>P104 est soumis à (s’applique à)</w:t>
        </w:r>
        <w:r w:rsidR="00DD1219">
          <w:rPr>
            <w:noProof/>
            <w:webHidden/>
          </w:rPr>
          <w:tab/>
        </w:r>
        <w:r w:rsidR="00DD1219">
          <w:rPr>
            <w:noProof/>
            <w:webHidden/>
          </w:rPr>
          <w:fldChar w:fldCharType="begin"/>
        </w:r>
        <w:r w:rsidR="00DD1219">
          <w:rPr>
            <w:noProof/>
            <w:webHidden/>
          </w:rPr>
          <w:instrText xml:space="preserve"> PAGEREF _Toc154048906 \h </w:instrText>
        </w:r>
        <w:r w:rsidR="00DD1219">
          <w:rPr>
            <w:noProof/>
            <w:webHidden/>
          </w:rPr>
        </w:r>
        <w:r w:rsidR="00DD1219">
          <w:rPr>
            <w:noProof/>
            <w:webHidden/>
          </w:rPr>
          <w:fldChar w:fldCharType="separate"/>
        </w:r>
        <w:r>
          <w:rPr>
            <w:noProof/>
            <w:webHidden/>
          </w:rPr>
          <w:t>255</w:t>
        </w:r>
        <w:r w:rsidR="00DD1219">
          <w:rPr>
            <w:noProof/>
            <w:webHidden/>
          </w:rPr>
          <w:fldChar w:fldCharType="end"/>
        </w:r>
      </w:hyperlink>
    </w:p>
    <w:p w14:paraId="55B0F3B8" w14:textId="40459B20" w:rsidR="00DD1219" w:rsidRDefault="00C738AA">
      <w:pPr>
        <w:pStyle w:val="TM3"/>
        <w:rPr>
          <w:rFonts w:eastAsiaTheme="minorEastAsia"/>
          <w:noProof/>
          <w:kern w:val="2"/>
          <w:sz w:val="22"/>
          <w:szCs w:val="22"/>
          <w:lang w:val="fr-CA" w:eastAsia="fr-CA"/>
          <w14:ligatures w14:val="standardContextual"/>
        </w:rPr>
      </w:pPr>
      <w:hyperlink w:anchor="_Toc154048907" w:history="1">
        <w:r w:rsidR="00DD1219" w:rsidRPr="0002721E">
          <w:rPr>
            <w:rStyle w:val="Lienhypertexte"/>
            <w:noProof/>
          </w:rPr>
          <w:t>P105 droit détenu par (détient le droit sur)</w:t>
        </w:r>
        <w:r w:rsidR="00DD1219">
          <w:rPr>
            <w:noProof/>
            <w:webHidden/>
          </w:rPr>
          <w:tab/>
        </w:r>
        <w:r w:rsidR="00DD1219">
          <w:rPr>
            <w:noProof/>
            <w:webHidden/>
          </w:rPr>
          <w:fldChar w:fldCharType="begin"/>
        </w:r>
        <w:r w:rsidR="00DD1219">
          <w:rPr>
            <w:noProof/>
            <w:webHidden/>
          </w:rPr>
          <w:instrText xml:space="preserve"> PAGEREF _Toc154048907 \h </w:instrText>
        </w:r>
        <w:r w:rsidR="00DD1219">
          <w:rPr>
            <w:noProof/>
            <w:webHidden/>
          </w:rPr>
        </w:r>
        <w:r w:rsidR="00DD1219">
          <w:rPr>
            <w:noProof/>
            <w:webHidden/>
          </w:rPr>
          <w:fldChar w:fldCharType="separate"/>
        </w:r>
        <w:r>
          <w:rPr>
            <w:noProof/>
            <w:webHidden/>
          </w:rPr>
          <w:t>255</w:t>
        </w:r>
        <w:r w:rsidR="00DD1219">
          <w:rPr>
            <w:noProof/>
            <w:webHidden/>
          </w:rPr>
          <w:fldChar w:fldCharType="end"/>
        </w:r>
      </w:hyperlink>
    </w:p>
    <w:p w14:paraId="0082CD3D" w14:textId="7D740AE6" w:rsidR="00DD1219" w:rsidRDefault="00C738AA">
      <w:pPr>
        <w:pStyle w:val="TM3"/>
        <w:rPr>
          <w:rFonts w:eastAsiaTheme="minorEastAsia"/>
          <w:noProof/>
          <w:kern w:val="2"/>
          <w:sz w:val="22"/>
          <w:szCs w:val="22"/>
          <w:lang w:val="fr-CA" w:eastAsia="fr-CA"/>
          <w14:ligatures w14:val="standardContextual"/>
        </w:rPr>
      </w:pPr>
      <w:hyperlink w:anchor="_Toc154048908" w:history="1">
        <w:r w:rsidR="00DD1219" w:rsidRPr="0002721E">
          <w:rPr>
            <w:rStyle w:val="Lienhypertexte"/>
            <w:noProof/>
          </w:rPr>
          <w:t>P106 est composé de (fait partie de)</w:t>
        </w:r>
        <w:r w:rsidR="00DD1219">
          <w:rPr>
            <w:noProof/>
            <w:webHidden/>
          </w:rPr>
          <w:tab/>
        </w:r>
        <w:r w:rsidR="00DD1219">
          <w:rPr>
            <w:noProof/>
            <w:webHidden/>
          </w:rPr>
          <w:fldChar w:fldCharType="begin"/>
        </w:r>
        <w:r w:rsidR="00DD1219">
          <w:rPr>
            <w:noProof/>
            <w:webHidden/>
          </w:rPr>
          <w:instrText xml:space="preserve"> PAGEREF _Toc154048908 \h </w:instrText>
        </w:r>
        <w:r w:rsidR="00DD1219">
          <w:rPr>
            <w:noProof/>
            <w:webHidden/>
          </w:rPr>
        </w:r>
        <w:r w:rsidR="00DD1219">
          <w:rPr>
            <w:noProof/>
            <w:webHidden/>
          </w:rPr>
          <w:fldChar w:fldCharType="separate"/>
        </w:r>
        <w:r>
          <w:rPr>
            <w:noProof/>
            <w:webHidden/>
          </w:rPr>
          <w:t>256</w:t>
        </w:r>
        <w:r w:rsidR="00DD1219">
          <w:rPr>
            <w:noProof/>
            <w:webHidden/>
          </w:rPr>
          <w:fldChar w:fldCharType="end"/>
        </w:r>
      </w:hyperlink>
    </w:p>
    <w:p w14:paraId="35084626" w14:textId="58AF6EB6" w:rsidR="00DD1219" w:rsidRDefault="00C738AA">
      <w:pPr>
        <w:pStyle w:val="TM3"/>
        <w:rPr>
          <w:rFonts w:eastAsiaTheme="minorEastAsia"/>
          <w:noProof/>
          <w:kern w:val="2"/>
          <w:sz w:val="22"/>
          <w:szCs w:val="22"/>
          <w:lang w:val="fr-CA" w:eastAsia="fr-CA"/>
          <w14:ligatures w14:val="standardContextual"/>
        </w:rPr>
      </w:pPr>
      <w:hyperlink w:anchor="_Toc154048909" w:history="1">
        <w:r w:rsidR="00DD1219" w:rsidRPr="0002721E">
          <w:rPr>
            <w:rStyle w:val="Lienhypertexte"/>
            <w:noProof/>
          </w:rPr>
          <w:t>P107 a pour membre actuel ou antérieur (est le membre actuel ou antérieur de)</w:t>
        </w:r>
        <w:r w:rsidR="00DD1219">
          <w:rPr>
            <w:noProof/>
            <w:webHidden/>
          </w:rPr>
          <w:tab/>
        </w:r>
        <w:r w:rsidR="00DD1219">
          <w:rPr>
            <w:noProof/>
            <w:webHidden/>
          </w:rPr>
          <w:fldChar w:fldCharType="begin"/>
        </w:r>
        <w:r w:rsidR="00DD1219">
          <w:rPr>
            <w:noProof/>
            <w:webHidden/>
          </w:rPr>
          <w:instrText xml:space="preserve"> PAGEREF _Toc154048909 \h </w:instrText>
        </w:r>
        <w:r w:rsidR="00DD1219">
          <w:rPr>
            <w:noProof/>
            <w:webHidden/>
          </w:rPr>
        </w:r>
        <w:r w:rsidR="00DD1219">
          <w:rPr>
            <w:noProof/>
            <w:webHidden/>
          </w:rPr>
          <w:fldChar w:fldCharType="separate"/>
        </w:r>
        <w:r>
          <w:rPr>
            <w:noProof/>
            <w:webHidden/>
          </w:rPr>
          <w:t>257</w:t>
        </w:r>
        <w:r w:rsidR="00DD1219">
          <w:rPr>
            <w:noProof/>
            <w:webHidden/>
          </w:rPr>
          <w:fldChar w:fldCharType="end"/>
        </w:r>
      </w:hyperlink>
    </w:p>
    <w:p w14:paraId="1977E0FF" w14:textId="0B433452" w:rsidR="00DD1219" w:rsidRDefault="00C738AA">
      <w:pPr>
        <w:pStyle w:val="TM3"/>
        <w:rPr>
          <w:rFonts w:eastAsiaTheme="minorEastAsia"/>
          <w:noProof/>
          <w:kern w:val="2"/>
          <w:sz w:val="22"/>
          <w:szCs w:val="22"/>
          <w:lang w:val="fr-CA" w:eastAsia="fr-CA"/>
          <w14:ligatures w14:val="standardContextual"/>
        </w:rPr>
      </w:pPr>
      <w:hyperlink w:anchor="_Toc154048910" w:history="1">
        <w:r w:rsidR="00DD1219" w:rsidRPr="0002721E">
          <w:rPr>
            <w:rStyle w:val="Lienhypertexte"/>
            <w:noProof/>
          </w:rPr>
          <w:t>P108 a produit (a été produit par)</w:t>
        </w:r>
        <w:r w:rsidR="00DD1219">
          <w:rPr>
            <w:noProof/>
            <w:webHidden/>
          </w:rPr>
          <w:tab/>
        </w:r>
        <w:r w:rsidR="00DD1219">
          <w:rPr>
            <w:noProof/>
            <w:webHidden/>
          </w:rPr>
          <w:fldChar w:fldCharType="begin"/>
        </w:r>
        <w:r w:rsidR="00DD1219">
          <w:rPr>
            <w:noProof/>
            <w:webHidden/>
          </w:rPr>
          <w:instrText xml:space="preserve"> PAGEREF _Toc154048910 \h </w:instrText>
        </w:r>
        <w:r w:rsidR="00DD1219">
          <w:rPr>
            <w:noProof/>
            <w:webHidden/>
          </w:rPr>
        </w:r>
        <w:r w:rsidR="00DD1219">
          <w:rPr>
            <w:noProof/>
            <w:webHidden/>
          </w:rPr>
          <w:fldChar w:fldCharType="separate"/>
        </w:r>
        <w:r>
          <w:rPr>
            <w:noProof/>
            <w:webHidden/>
          </w:rPr>
          <w:t>258</w:t>
        </w:r>
        <w:r w:rsidR="00DD1219">
          <w:rPr>
            <w:noProof/>
            <w:webHidden/>
          </w:rPr>
          <w:fldChar w:fldCharType="end"/>
        </w:r>
      </w:hyperlink>
    </w:p>
    <w:p w14:paraId="26FF56AA" w14:textId="22C6DB0E" w:rsidR="00DD1219" w:rsidRDefault="00C738AA">
      <w:pPr>
        <w:pStyle w:val="TM3"/>
        <w:rPr>
          <w:rFonts w:eastAsiaTheme="minorEastAsia"/>
          <w:noProof/>
          <w:kern w:val="2"/>
          <w:sz w:val="22"/>
          <w:szCs w:val="22"/>
          <w:lang w:val="fr-CA" w:eastAsia="fr-CA"/>
          <w14:ligatures w14:val="standardContextual"/>
        </w:rPr>
      </w:pPr>
      <w:hyperlink w:anchor="_Toc154048911" w:history="1">
        <w:r w:rsidR="00DD1219" w:rsidRPr="0002721E">
          <w:rPr>
            <w:rStyle w:val="Lienhypertexte"/>
            <w:noProof/>
          </w:rPr>
          <w:t>P109 a pour responsable actuel ou antérieur de la collection (est responsable actuel ou antérieur de la collection)</w:t>
        </w:r>
        <w:r w:rsidR="00DD1219">
          <w:rPr>
            <w:noProof/>
            <w:webHidden/>
          </w:rPr>
          <w:tab/>
        </w:r>
        <w:r w:rsidR="00DD1219">
          <w:rPr>
            <w:noProof/>
            <w:webHidden/>
          </w:rPr>
          <w:fldChar w:fldCharType="begin"/>
        </w:r>
        <w:r w:rsidR="00DD1219">
          <w:rPr>
            <w:noProof/>
            <w:webHidden/>
          </w:rPr>
          <w:instrText xml:space="preserve"> PAGEREF _Toc154048911 \h </w:instrText>
        </w:r>
        <w:r w:rsidR="00DD1219">
          <w:rPr>
            <w:noProof/>
            <w:webHidden/>
          </w:rPr>
        </w:r>
        <w:r w:rsidR="00DD1219">
          <w:rPr>
            <w:noProof/>
            <w:webHidden/>
          </w:rPr>
          <w:fldChar w:fldCharType="separate"/>
        </w:r>
        <w:r>
          <w:rPr>
            <w:noProof/>
            <w:webHidden/>
          </w:rPr>
          <w:t>259</w:t>
        </w:r>
        <w:r w:rsidR="00DD1219">
          <w:rPr>
            <w:noProof/>
            <w:webHidden/>
          </w:rPr>
          <w:fldChar w:fldCharType="end"/>
        </w:r>
      </w:hyperlink>
    </w:p>
    <w:p w14:paraId="2CAC868C" w14:textId="5E0A0986" w:rsidR="00DD1219" w:rsidRDefault="00C738AA">
      <w:pPr>
        <w:pStyle w:val="TM3"/>
        <w:rPr>
          <w:rFonts w:eastAsiaTheme="minorEastAsia"/>
          <w:noProof/>
          <w:kern w:val="2"/>
          <w:sz w:val="22"/>
          <w:szCs w:val="22"/>
          <w:lang w:val="fr-CA" w:eastAsia="fr-CA"/>
          <w14:ligatures w14:val="standardContextual"/>
        </w:rPr>
      </w:pPr>
      <w:hyperlink w:anchor="_Toc154048912" w:history="1">
        <w:r w:rsidR="00DD1219" w:rsidRPr="0002721E">
          <w:rPr>
            <w:rStyle w:val="Lienhypertexte"/>
            <w:noProof/>
          </w:rPr>
          <w:t>P110 a augmenté (a été augmenté par)</w:t>
        </w:r>
        <w:r w:rsidR="00DD1219">
          <w:rPr>
            <w:noProof/>
            <w:webHidden/>
          </w:rPr>
          <w:tab/>
        </w:r>
        <w:r w:rsidR="00DD1219">
          <w:rPr>
            <w:noProof/>
            <w:webHidden/>
          </w:rPr>
          <w:fldChar w:fldCharType="begin"/>
        </w:r>
        <w:r w:rsidR="00DD1219">
          <w:rPr>
            <w:noProof/>
            <w:webHidden/>
          </w:rPr>
          <w:instrText xml:space="preserve"> PAGEREF _Toc154048912 \h </w:instrText>
        </w:r>
        <w:r w:rsidR="00DD1219">
          <w:rPr>
            <w:noProof/>
            <w:webHidden/>
          </w:rPr>
        </w:r>
        <w:r w:rsidR="00DD1219">
          <w:rPr>
            <w:noProof/>
            <w:webHidden/>
          </w:rPr>
          <w:fldChar w:fldCharType="separate"/>
        </w:r>
        <w:r>
          <w:rPr>
            <w:noProof/>
            <w:webHidden/>
          </w:rPr>
          <w:t>260</w:t>
        </w:r>
        <w:r w:rsidR="00DD1219">
          <w:rPr>
            <w:noProof/>
            <w:webHidden/>
          </w:rPr>
          <w:fldChar w:fldCharType="end"/>
        </w:r>
      </w:hyperlink>
    </w:p>
    <w:p w14:paraId="71B26F54" w14:textId="20DBB975" w:rsidR="00DD1219" w:rsidRDefault="00C738AA">
      <w:pPr>
        <w:pStyle w:val="TM3"/>
        <w:rPr>
          <w:rFonts w:eastAsiaTheme="minorEastAsia"/>
          <w:noProof/>
          <w:kern w:val="2"/>
          <w:sz w:val="22"/>
          <w:szCs w:val="22"/>
          <w:lang w:val="fr-CA" w:eastAsia="fr-CA"/>
          <w14:ligatures w14:val="standardContextual"/>
        </w:rPr>
      </w:pPr>
      <w:hyperlink w:anchor="_Toc154048913" w:history="1">
        <w:r w:rsidR="00DD1219" w:rsidRPr="0002721E">
          <w:rPr>
            <w:rStyle w:val="Lienhypertexte"/>
            <w:noProof/>
          </w:rPr>
          <w:t>P111 a ajouté (a été ajouté par)</w:t>
        </w:r>
        <w:r w:rsidR="00DD1219">
          <w:rPr>
            <w:noProof/>
            <w:webHidden/>
          </w:rPr>
          <w:tab/>
        </w:r>
        <w:r w:rsidR="00DD1219">
          <w:rPr>
            <w:noProof/>
            <w:webHidden/>
          </w:rPr>
          <w:fldChar w:fldCharType="begin"/>
        </w:r>
        <w:r w:rsidR="00DD1219">
          <w:rPr>
            <w:noProof/>
            <w:webHidden/>
          </w:rPr>
          <w:instrText xml:space="preserve"> PAGEREF _Toc154048913 \h </w:instrText>
        </w:r>
        <w:r w:rsidR="00DD1219">
          <w:rPr>
            <w:noProof/>
            <w:webHidden/>
          </w:rPr>
        </w:r>
        <w:r w:rsidR="00DD1219">
          <w:rPr>
            <w:noProof/>
            <w:webHidden/>
          </w:rPr>
          <w:fldChar w:fldCharType="separate"/>
        </w:r>
        <w:r>
          <w:rPr>
            <w:noProof/>
            <w:webHidden/>
          </w:rPr>
          <w:t>261</w:t>
        </w:r>
        <w:r w:rsidR="00DD1219">
          <w:rPr>
            <w:noProof/>
            <w:webHidden/>
          </w:rPr>
          <w:fldChar w:fldCharType="end"/>
        </w:r>
      </w:hyperlink>
    </w:p>
    <w:p w14:paraId="6565D021" w14:textId="31EFA1B4" w:rsidR="00DD1219" w:rsidRDefault="00C738AA">
      <w:pPr>
        <w:pStyle w:val="TM3"/>
        <w:rPr>
          <w:rFonts w:eastAsiaTheme="minorEastAsia"/>
          <w:noProof/>
          <w:kern w:val="2"/>
          <w:sz w:val="22"/>
          <w:szCs w:val="22"/>
          <w:lang w:val="fr-CA" w:eastAsia="fr-CA"/>
          <w14:ligatures w14:val="standardContextual"/>
        </w:rPr>
      </w:pPr>
      <w:hyperlink w:anchor="_Toc154048914" w:history="1">
        <w:r w:rsidR="00DD1219" w:rsidRPr="0002721E">
          <w:rPr>
            <w:rStyle w:val="Lienhypertexte"/>
            <w:noProof/>
          </w:rPr>
          <w:t>P112 a diminué (a été diminué par)</w:t>
        </w:r>
        <w:r w:rsidR="00DD1219">
          <w:rPr>
            <w:noProof/>
            <w:webHidden/>
          </w:rPr>
          <w:tab/>
        </w:r>
        <w:r w:rsidR="00DD1219">
          <w:rPr>
            <w:noProof/>
            <w:webHidden/>
          </w:rPr>
          <w:fldChar w:fldCharType="begin"/>
        </w:r>
        <w:r w:rsidR="00DD1219">
          <w:rPr>
            <w:noProof/>
            <w:webHidden/>
          </w:rPr>
          <w:instrText xml:space="preserve"> PAGEREF _Toc154048914 \h </w:instrText>
        </w:r>
        <w:r w:rsidR="00DD1219">
          <w:rPr>
            <w:noProof/>
            <w:webHidden/>
          </w:rPr>
        </w:r>
        <w:r w:rsidR="00DD1219">
          <w:rPr>
            <w:noProof/>
            <w:webHidden/>
          </w:rPr>
          <w:fldChar w:fldCharType="separate"/>
        </w:r>
        <w:r>
          <w:rPr>
            <w:noProof/>
            <w:webHidden/>
          </w:rPr>
          <w:t>262</w:t>
        </w:r>
        <w:r w:rsidR="00DD1219">
          <w:rPr>
            <w:noProof/>
            <w:webHidden/>
          </w:rPr>
          <w:fldChar w:fldCharType="end"/>
        </w:r>
      </w:hyperlink>
    </w:p>
    <w:p w14:paraId="0DEE65B9" w14:textId="496BAF42" w:rsidR="00DD1219" w:rsidRDefault="00C738AA">
      <w:pPr>
        <w:pStyle w:val="TM3"/>
        <w:rPr>
          <w:rFonts w:eastAsiaTheme="minorEastAsia"/>
          <w:noProof/>
          <w:kern w:val="2"/>
          <w:sz w:val="22"/>
          <w:szCs w:val="22"/>
          <w:lang w:val="fr-CA" w:eastAsia="fr-CA"/>
          <w14:ligatures w14:val="standardContextual"/>
        </w:rPr>
      </w:pPr>
      <w:hyperlink w:anchor="_Toc154048915" w:history="1">
        <w:r w:rsidR="00DD1219" w:rsidRPr="0002721E">
          <w:rPr>
            <w:rStyle w:val="Lienhypertexte"/>
            <w:noProof/>
          </w:rPr>
          <w:t>P113 a retiré (a été retiré par)</w:t>
        </w:r>
        <w:r w:rsidR="00DD1219">
          <w:rPr>
            <w:noProof/>
            <w:webHidden/>
          </w:rPr>
          <w:tab/>
        </w:r>
        <w:r w:rsidR="00DD1219">
          <w:rPr>
            <w:noProof/>
            <w:webHidden/>
          </w:rPr>
          <w:fldChar w:fldCharType="begin"/>
        </w:r>
        <w:r w:rsidR="00DD1219">
          <w:rPr>
            <w:noProof/>
            <w:webHidden/>
          </w:rPr>
          <w:instrText xml:space="preserve"> PAGEREF _Toc154048915 \h </w:instrText>
        </w:r>
        <w:r w:rsidR="00DD1219">
          <w:rPr>
            <w:noProof/>
            <w:webHidden/>
          </w:rPr>
        </w:r>
        <w:r w:rsidR="00DD1219">
          <w:rPr>
            <w:noProof/>
            <w:webHidden/>
          </w:rPr>
          <w:fldChar w:fldCharType="separate"/>
        </w:r>
        <w:r>
          <w:rPr>
            <w:noProof/>
            <w:webHidden/>
          </w:rPr>
          <w:t>263</w:t>
        </w:r>
        <w:r w:rsidR="00DD1219">
          <w:rPr>
            <w:noProof/>
            <w:webHidden/>
          </w:rPr>
          <w:fldChar w:fldCharType="end"/>
        </w:r>
      </w:hyperlink>
    </w:p>
    <w:p w14:paraId="0DC1149F" w14:textId="6AF25D65" w:rsidR="00DD1219" w:rsidRDefault="00C738AA">
      <w:pPr>
        <w:pStyle w:val="TM3"/>
        <w:rPr>
          <w:rFonts w:eastAsiaTheme="minorEastAsia"/>
          <w:noProof/>
          <w:kern w:val="2"/>
          <w:sz w:val="22"/>
          <w:szCs w:val="22"/>
          <w:lang w:val="fr-CA" w:eastAsia="fr-CA"/>
          <w14:ligatures w14:val="standardContextual"/>
        </w:rPr>
      </w:pPr>
      <w:hyperlink w:anchor="_Toc154048916" w:history="1">
        <w:r w:rsidR="00DD1219" w:rsidRPr="0002721E">
          <w:rPr>
            <w:rStyle w:val="Lienhypertexte"/>
            <w:noProof/>
          </w:rPr>
          <w:t>P121 se superpose partiellement à</w:t>
        </w:r>
        <w:r w:rsidR="00DD1219">
          <w:rPr>
            <w:noProof/>
            <w:webHidden/>
          </w:rPr>
          <w:tab/>
        </w:r>
        <w:r w:rsidR="00DD1219">
          <w:rPr>
            <w:noProof/>
            <w:webHidden/>
          </w:rPr>
          <w:fldChar w:fldCharType="begin"/>
        </w:r>
        <w:r w:rsidR="00DD1219">
          <w:rPr>
            <w:noProof/>
            <w:webHidden/>
          </w:rPr>
          <w:instrText xml:space="preserve"> PAGEREF _Toc154048916 \h </w:instrText>
        </w:r>
        <w:r w:rsidR="00DD1219">
          <w:rPr>
            <w:noProof/>
            <w:webHidden/>
          </w:rPr>
        </w:r>
        <w:r w:rsidR="00DD1219">
          <w:rPr>
            <w:noProof/>
            <w:webHidden/>
          </w:rPr>
          <w:fldChar w:fldCharType="separate"/>
        </w:r>
        <w:r>
          <w:rPr>
            <w:noProof/>
            <w:webHidden/>
          </w:rPr>
          <w:t>264</w:t>
        </w:r>
        <w:r w:rsidR="00DD1219">
          <w:rPr>
            <w:noProof/>
            <w:webHidden/>
          </w:rPr>
          <w:fldChar w:fldCharType="end"/>
        </w:r>
      </w:hyperlink>
    </w:p>
    <w:p w14:paraId="4340C3E5" w14:textId="4FEF3B02" w:rsidR="00DD1219" w:rsidRDefault="00C738AA">
      <w:pPr>
        <w:pStyle w:val="TM3"/>
        <w:rPr>
          <w:rFonts w:eastAsiaTheme="minorEastAsia"/>
          <w:noProof/>
          <w:kern w:val="2"/>
          <w:sz w:val="22"/>
          <w:szCs w:val="22"/>
          <w:lang w:val="fr-CA" w:eastAsia="fr-CA"/>
          <w14:ligatures w14:val="standardContextual"/>
        </w:rPr>
      </w:pPr>
      <w:hyperlink w:anchor="_Toc154048917" w:history="1">
        <w:r w:rsidR="00DD1219" w:rsidRPr="0002721E">
          <w:rPr>
            <w:rStyle w:val="Lienhypertexte"/>
            <w:noProof/>
          </w:rPr>
          <w:t>P122 est limitrophe de</w:t>
        </w:r>
        <w:r w:rsidR="00DD1219">
          <w:rPr>
            <w:noProof/>
            <w:webHidden/>
          </w:rPr>
          <w:tab/>
        </w:r>
        <w:r w:rsidR="00DD1219">
          <w:rPr>
            <w:noProof/>
            <w:webHidden/>
          </w:rPr>
          <w:fldChar w:fldCharType="begin"/>
        </w:r>
        <w:r w:rsidR="00DD1219">
          <w:rPr>
            <w:noProof/>
            <w:webHidden/>
          </w:rPr>
          <w:instrText xml:space="preserve"> PAGEREF _Toc154048917 \h </w:instrText>
        </w:r>
        <w:r w:rsidR="00DD1219">
          <w:rPr>
            <w:noProof/>
            <w:webHidden/>
          </w:rPr>
        </w:r>
        <w:r w:rsidR="00DD1219">
          <w:rPr>
            <w:noProof/>
            <w:webHidden/>
          </w:rPr>
          <w:fldChar w:fldCharType="separate"/>
        </w:r>
        <w:r>
          <w:rPr>
            <w:noProof/>
            <w:webHidden/>
          </w:rPr>
          <w:t>264</w:t>
        </w:r>
        <w:r w:rsidR="00DD1219">
          <w:rPr>
            <w:noProof/>
            <w:webHidden/>
          </w:rPr>
          <w:fldChar w:fldCharType="end"/>
        </w:r>
      </w:hyperlink>
    </w:p>
    <w:p w14:paraId="26A80182" w14:textId="770C8CA1" w:rsidR="00DD1219" w:rsidRDefault="00C738AA">
      <w:pPr>
        <w:pStyle w:val="TM3"/>
        <w:rPr>
          <w:rFonts w:eastAsiaTheme="minorEastAsia"/>
          <w:noProof/>
          <w:kern w:val="2"/>
          <w:sz w:val="22"/>
          <w:szCs w:val="22"/>
          <w:lang w:val="fr-CA" w:eastAsia="fr-CA"/>
          <w14:ligatures w14:val="standardContextual"/>
        </w:rPr>
      </w:pPr>
      <w:hyperlink w:anchor="_Toc154048918" w:history="1">
        <w:r w:rsidR="00DD1219" w:rsidRPr="0002721E">
          <w:rPr>
            <w:rStyle w:val="Lienhypertexte"/>
            <w:noProof/>
          </w:rPr>
          <w:t>P123 a eu pour résultat (a résulté de)</w:t>
        </w:r>
        <w:r w:rsidR="00DD1219">
          <w:rPr>
            <w:noProof/>
            <w:webHidden/>
          </w:rPr>
          <w:tab/>
        </w:r>
        <w:r w:rsidR="00DD1219">
          <w:rPr>
            <w:noProof/>
            <w:webHidden/>
          </w:rPr>
          <w:fldChar w:fldCharType="begin"/>
        </w:r>
        <w:r w:rsidR="00DD1219">
          <w:rPr>
            <w:noProof/>
            <w:webHidden/>
          </w:rPr>
          <w:instrText xml:space="preserve"> PAGEREF _Toc154048918 \h </w:instrText>
        </w:r>
        <w:r w:rsidR="00DD1219">
          <w:rPr>
            <w:noProof/>
            <w:webHidden/>
          </w:rPr>
        </w:r>
        <w:r w:rsidR="00DD1219">
          <w:rPr>
            <w:noProof/>
            <w:webHidden/>
          </w:rPr>
          <w:fldChar w:fldCharType="separate"/>
        </w:r>
        <w:r>
          <w:rPr>
            <w:noProof/>
            <w:webHidden/>
          </w:rPr>
          <w:t>265</w:t>
        </w:r>
        <w:r w:rsidR="00DD1219">
          <w:rPr>
            <w:noProof/>
            <w:webHidden/>
          </w:rPr>
          <w:fldChar w:fldCharType="end"/>
        </w:r>
      </w:hyperlink>
    </w:p>
    <w:p w14:paraId="164E9F7C" w14:textId="3BE972A9" w:rsidR="00DD1219" w:rsidRDefault="00C738AA">
      <w:pPr>
        <w:pStyle w:val="TM3"/>
        <w:rPr>
          <w:rFonts w:eastAsiaTheme="minorEastAsia"/>
          <w:noProof/>
          <w:kern w:val="2"/>
          <w:sz w:val="22"/>
          <w:szCs w:val="22"/>
          <w:lang w:val="fr-CA" w:eastAsia="fr-CA"/>
          <w14:ligatures w14:val="standardContextual"/>
        </w:rPr>
      </w:pPr>
      <w:hyperlink w:anchor="_Toc154048919" w:history="1">
        <w:r w:rsidR="00DD1219" w:rsidRPr="0002721E">
          <w:rPr>
            <w:rStyle w:val="Lienhypertexte"/>
            <w:noProof/>
          </w:rPr>
          <w:t>P124 a transformé (a été transformé par)</w:t>
        </w:r>
        <w:r w:rsidR="00DD1219">
          <w:rPr>
            <w:noProof/>
            <w:webHidden/>
          </w:rPr>
          <w:tab/>
        </w:r>
        <w:r w:rsidR="00DD1219">
          <w:rPr>
            <w:noProof/>
            <w:webHidden/>
          </w:rPr>
          <w:fldChar w:fldCharType="begin"/>
        </w:r>
        <w:r w:rsidR="00DD1219">
          <w:rPr>
            <w:noProof/>
            <w:webHidden/>
          </w:rPr>
          <w:instrText xml:space="preserve"> PAGEREF _Toc154048919 \h </w:instrText>
        </w:r>
        <w:r w:rsidR="00DD1219">
          <w:rPr>
            <w:noProof/>
            <w:webHidden/>
          </w:rPr>
        </w:r>
        <w:r w:rsidR="00DD1219">
          <w:rPr>
            <w:noProof/>
            <w:webHidden/>
          </w:rPr>
          <w:fldChar w:fldCharType="separate"/>
        </w:r>
        <w:r>
          <w:rPr>
            <w:noProof/>
            <w:webHidden/>
          </w:rPr>
          <w:t>266</w:t>
        </w:r>
        <w:r w:rsidR="00DD1219">
          <w:rPr>
            <w:noProof/>
            <w:webHidden/>
          </w:rPr>
          <w:fldChar w:fldCharType="end"/>
        </w:r>
      </w:hyperlink>
    </w:p>
    <w:p w14:paraId="614927EB" w14:textId="7F1A5169" w:rsidR="00DD1219" w:rsidRDefault="00C738AA">
      <w:pPr>
        <w:pStyle w:val="TM3"/>
        <w:rPr>
          <w:rFonts w:eastAsiaTheme="minorEastAsia"/>
          <w:noProof/>
          <w:kern w:val="2"/>
          <w:sz w:val="22"/>
          <w:szCs w:val="22"/>
          <w:lang w:val="fr-CA" w:eastAsia="fr-CA"/>
          <w14:ligatures w14:val="standardContextual"/>
        </w:rPr>
      </w:pPr>
      <w:hyperlink w:anchor="_Toc154048920" w:history="1">
        <w:r w:rsidR="00DD1219" w:rsidRPr="0002721E">
          <w:rPr>
            <w:rStyle w:val="Lienhypertexte"/>
            <w:noProof/>
          </w:rPr>
          <w:t>P125 a mobilisé l’objet du type (a été le type d’objet employé pour)</w:t>
        </w:r>
        <w:r w:rsidR="00DD1219">
          <w:rPr>
            <w:noProof/>
            <w:webHidden/>
          </w:rPr>
          <w:tab/>
        </w:r>
        <w:r w:rsidR="00DD1219">
          <w:rPr>
            <w:noProof/>
            <w:webHidden/>
          </w:rPr>
          <w:fldChar w:fldCharType="begin"/>
        </w:r>
        <w:r w:rsidR="00DD1219">
          <w:rPr>
            <w:noProof/>
            <w:webHidden/>
          </w:rPr>
          <w:instrText xml:space="preserve"> PAGEREF _Toc154048920 \h </w:instrText>
        </w:r>
        <w:r w:rsidR="00DD1219">
          <w:rPr>
            <w:noProof/>
            <w:webHidden/>
          </w:rPr>
        </w:r>
        <w:r w:rsidR="00DD1219">
          <w:rPr>
            <w:noProof/>
            <w:webHidden/>
          </w:rPr>
          <w:fldChar w:fldCharType="separate"/>
        </w:r>
        <w:r>
          <w:rPr>
            <w:noProof/>
            <w:webHidden/>
          </w:rPr>
          <w:t>267</w:t>
        </w:r>
        <w:r w:rsidR="00DD1219">
          <w:rPr>
            <w:noProof/>
            <w:webHidden/>
          </w:rPr>
          <w:fldChar w:fldCharType="end"/>
        </w:r>
      </w:hyperlink>
    </w:p>
    <w:p w14:paraId="4E8D5456" w14:textId="3CE8B16B" w:rsidR="00DD1219" w:rsidRDefault="00C738AA">
      <w:pPr>
        <w:pStyle w:val="TM3"/>
        <w:rPr>
          <w:rFonts w:eastAsiaTheme="minorEastAsia"/>
          <w:noProof/>
          <w:kern w:val="2"/>
          <w:sz w:val="22"/>
          <w:szCs w:val="22"/>
          <w:lang w:val="fr-CA" w:eastAsia="fr-CA"/>
          <w14:ligatures w14:val="standardContextual"/>
        </w:rPr>
      </w:pPr>
      <w:hyperlink w:anchor="_Toc154048921" w:history="1">
        <w:r w:rsidR="00DD1219" w:rsidRPr="0002721E">
          <w:rPr>
            <w:rStyle w:val="Lienhypertexte"/>
            <w:noProof/>
          </w:rPr>
          <w:t>P126 a employé (a été employé dans)</w:t>
        </w:r>
        <w:r w:rsidR="00DD1219">
          <w:rPr>
            <w:noProof/>
            <w:webHidden/>
          </w:rPr>
          <w:tab/>
        </w:r>
        <w:r w:rsidR="00DD1219">
          <w:rPr>
            <w:noProof/>
            <w:webHidden/>
          </w:rPr>
          <w:fldChar w:fldCharType="begin"/>
        </w:r>
        <w:r w:rsidR="00DD1219">
          <w:rPr>
            <w:noProof/>
            <w:webHidden/>
          </w:rPr>
          <w:instrText xml:space="preserve"> PAGEREF _Toc154048921 \h </w:instrText>
        </w:r>
        <w:r w:rsidR="00DD1219">
          <w:rPr>
            <w:noProof/>
            <w:webHidden/>
          </w:rPr>
        </w:r>
        <w:r w:rsidR="00DD1219">
          <w:rPr>
            <w:noProof/>
            <w:webHidden/>
          </w:rPr>
          <w:fldChar w:fldCharType="separate"/>
        </w:r>
        <w:r>
          <w:rPr>
            <w:noProof/>
            <w:webHidden/>
          </w:rPr>
          <w:t>268</w:t>
        </w:r>
        <w:r w:rsidR="00DD1219">
          <w:rPr>
            <w:noProof/>
            <w:webHidden/>
          </w:rPr>
          <w:fldChar w:fldCharType="end"/>
        </w:r>
      </w:hyperlink>
    </w:p>
    <w:p w14:paraId="1EE94BA6" w14:textId="13309637" w:rsidR="00DD1219" w:rsidRDefault="00C738AA">
      <w:pPr>
        <w:pStyle w:val="TM3"/>
        <w:rPr>
          <w:rFonts w:eastAsiaTheme="minorEastAsia"/>
          <w:noProof/>
          <w:kern w:val="2"/>
          <w:sz w:val="22"/>
          <w:szCs w:val="22"/>
          <w:lang w:val="fr-CA" w:eastAsia="fr-CA"/>
          <w14:ligatures w14:val="standardContextual"/>
        </w:rPr>
      </w:pPr>
      <w:hyperlink w:anchor="_Toc154048922" w:history="1">
        <w:r w:rsidR="00DD1219" w:rsidRPr="0002721E">
          <w:rPr>
            <w:rStyle w:val="Lienhypertexte"/>
            <w:noProof/>
          </w:rPr>
          <w:t>P127 a pour terme général (a pour terme spécifique)</w:t>
        </w:r>
        <w:r w:rsidR="00DD1219">
          <w:rPr>
            <w:noProof/>
            <w:webHidden/>
          </w:rPr>
          <w:tab/>
        </w:r>
        <w:r w:rsidR="00DD1219">
          <w:rPr>
            <w:noProof/>
            <w:webHidden/>
          </w:rPr>
          <w:fldChar w:fldCharType="begin"/>
        </w:r>
        <w:r w:rsidR="00DD1219">
          <w:rPr>
            <w:noProof/>
            <w:webHidden/>
          </w:rPr>
          <w:instrText xml:space="preserve"> PAGEREF _Toc154048922 \h </w:instrText>
        </w:r>
        <w:r w:rsidR="00DD1219">
          <w:rPr>
            <w:noProof/>
            <w:webHidden/>
          </w:rPr>
        </w:r>
        <w:r w:rsidR="00DD1219">
          <w:rPr>
            <w:noProof/>
            <w:webHidden/>
          </w:rPr>
          <w:fldChar w:fldCharType="separate"/>
        </w:r>
        <w:r>
          <w:rPr>
            <w:noProof/>
            <w:webHidden/>
          </w:rPr>
          <w:t>269</w:t>
        </w:r>
        <w:r w:rsidR="00DD1219">
          <w:rPr>
            <w:noProof/>
            <w:webHidden/>
          </w:rPr>
          <w:fldChar w:fldCharType="end"/>
        </w:r>
      </w:hyperlink>
    </w:p>
    <w:p w14:paraId="7707E210" w14:textId="2B54A04C" w:rsidR="00DD1219" w:rsidRDefault="00C738AA">
      <w:pPr>
        <w:pStyle w:val="TM3"/>
        <w:rPr>
          <w:rFonts w:eastAsiaTheme="minorEastAsia"/>
          <w:noProof/>
          <w:kern w:val="2"/>
          <w:sz w:val="22"/>
          <w:szCs w:val="22"/>
          <w:lang w:val="fr-CA" w:eastAsia="fr-CA"/>
          <w14:ligatures w14:val="standardContextual"/>
        </w:rPr>
      </w:pPr>
      <w:hyperlink w:anchor="_Toc154048923" w:history="1">
        <w:r w:rsidR="00DD1219" w:rsidRPr="0002721E">
          <w:rPr>
            <w:rStyle w:val="Lienhypertexte"/>
            <w:noProof/>
          </w:rPr>
          <w:t>P128 est le support de (a pour support)</w:t>
        </w:r>
        <w:r w:rsidR="00DD1219">
          <w:rPr>
            <w:noProof/>
            <w:webHidden/>
          </w:rPr>
          <w:tab/>
        </w:r>
        <w:r w:rsidR="00DD1219">
          <w:rPr>
            <w:noProof/>
            <w:webHidden/>
          </w:rPr>
          <w:fldChar w:fldCharType="begin"/>
        </w:r>
        <w:r w:rsidR="00DD1219">
          <w:rPr>
            <w:noProof/>
            <w:webHidden/>
          </w:rPr>
          <w:instrText xml:space="preserve"> PAGEREF _Toc154048923 \h </w:instrText>
        </w:r>
        <w:r w:rsidR="00DD1219">
          <w:rPr>
            <w:noProof/>
            <w:webHidden/>
          </w:rPr>
        </w:r>
        <w:r w:rsidR="00DD1219">
          <w:rPr>
            <w:noProof/>
            <w:webHidden/>
          </w:rPr>
          <w:fldChar w:fldCharType="separate"/>
        </w:r>
        <w:r>
          <w:rPr>
            <w:noProof/>
            <w:webHidden/>
          </w:rPr>
          <w:t>270</w:t>
        </w:r>
        <w:r w:rsidR="00DD1219">
          <w:rPr>
            <w:noProof/>
            <w:webHidden/>
          </w:rPr>
          <w:fldChar w:fldCharType="end"/>
        </w:r>
      </w:hyperlink>
    </w:p>
    <w:p w14:paraId="047879F3" w14:textId="7F70C328" w:rsidR="00DD1219" w:rsidRDefault="00C738AA">
      <w:pPr>
        <w:pStyle w:val="TM3"/>
        <w:rPr>
          <w:rFonts w:eastAsiaTheme="minorEastAsia"/>
          <w:noProof/>
          <w:kern w:val="2"/>
          <w:sz w:val="22"/>
          <w:szCs w:val="22"/>
          <w:lang w:val="fr-CA" w:eastAsia="fr-CA"/>
          <w14:ligatures w14:val="standardContextual"/>
        </w:rPr>
      </w:pPr>
      <w:hyperlink w:anchor="_Toc154048924" w:history="1">
        <w:r w:rsidR="00DD1219" w:rsidRPr="0002721E">
          <w:rPr>
            <w:rStyle w:val="Lienhypertexte"/>
            <w:noProof/>
          </w:rPr>
          <w:t>P129 a pour sujet (est le sujet de)</w:t>
        </w:r>
        <w:r w:rsidR="00DD1219">
          <w:rPr>
            <w:noProof/>
            <w:webHidden/>
          </w:rPr>
          <w:tab/>
        </w:r>
        <w:r w:rsidR="00DD1219">
          <w:rPr>
            <w:noProof/>
            <w:webHidden/>
          </w:rPr>
          <w:fldChar w:fldCharType="begin"/>
        </w:r>
        <w:r w:rsidR="00DD1219">
          <w:rPr>
            <w:noProof/>
            <w:webHidden/>
          </w:rPr>
          <w:instrText xml:space="preserve"> PAGEREF _Toc154048924 \h </w:instrText>
        </w:r>
        <w:r w:rsidR="00DD1219">
          <w:rPr>
            <w:noProof/>
            <w:webHidden/>
          </w:rPr>
        </w:r>
        <w:r w:rsidR="00DD1219">
          <w:rPr>
            <w:noProof/>
            <w:webHidden/>
          </w:rPr>
          <w:fldChar w:fldCharType="separate"/>
        </w:r>
        <w:r>
          <w:rPr>
            <w:noProof/>
            <w:webHidden/>
          </w:rPr>
          <w:t>271</w:t>
        </w:r>
        <w:r w:rsidR="00DD1219">
          <w:rPr>
            <w:noProof/>
            <w:webHidden/>
          </w:rPr>
          <w:fldChar w:fldCharType="end"/>
        </w:r>
      </w:hyperlink>
    </w:p>
    <w:p w14:paraId="1CEB15C1" w14:textId="4D1BDC43" w:rsidR="00DD1219" w:rsidRDefault="00C738AA">
      <w:pPr>
        <w:pStyle w:val="TM3"/>
        <w:rPr>
          <w:rFonts w:eastAsiaTheme="minorEastAsia"/>
          <w:noProof/>
          <w:kern w:val="2"/>
          <w:sz w:val="22"/>
          <w:szCs w:val="22"/>
          <w:lang w:val="fr-CA" w:eastAsia="fr-CA"/>
          <w14:ligatures w14:val="standardContextual"/>
        </w:rPr>
      </w:pPr>
      <w:hyperlink w:anchor="_Toc154048925" w:history="1">
        <w:r w:rsidR="00DD1219" w:rsidRPr="0002721E">
          <w:rPr>
            <w:rStyle w:val="Lienhypertexte"/>
            <w:noProof/>
          </w:rPr>
          <w:t>P130 présente les caractéristiques de (a les caractéristiques aussi présentes sur)</w:t>
        </w:r>
        <w:r w:rsidR="00DD1219">
          <w:rPr>
            <w:noProof/>
            <w:webHidden/>
          </w:rPr>
          <w:tab/>
        </w:r>
        <w:r w:rsidR="00DD1219">
          <w:rPr>
            <w:noProof/>
            <w:webHidden/>
          </w:rPr>
          <w:fldChar w:fldCharType="begin"/>
        </w:r>
        <w:r w:rsidR="00DD1219">
          <w:rPr>
            <w:noProof/>
            <w:webHidden/>
          </w:rPr>
          <w:instrText xml:space="preserve"> PAGEREF _Toc154048925 \h </w:instrText>
        </w:r>
        <w:r w:rsidR="00DD1219">
          <w:rPr>
            <w:noProof/>
            <w:webHidden/>
          </w:rPr>
        </w:r>
        <w:r w:rsidR="00DD1219">
          <w:rPr>
            <w:noProof/>
            <w:webHidden/>
          </w:rPr>
          <w:fldChar w:fldCharType="separate"/>
        </w:r>
        <w:r>
          <w:rPr>
            <w:noProof/>
            <w:webHidden/>
          </w:rPr>
          <w:t>272</w:t>
        </w:r>
        <w:r w:rsidR="00DD1219">
          <w:rPr>
            <w:noProof/>
            <w:webHidden/>
          </w:rPr>
          <w:fldChar w:fldCharType="end"/>
        </w:r>
      </w:hyperlink>
    </w:p>
    <w:p w14:paraId="01AE429E" w14:textId="4F058649" w:rsidR="00DD1219" w:rsidRDefault="00C738AA">
      <w:pPr>
        <w:pStyle w:val="TM3"/>
        <w:rPr>
          <w:rFonts w:eastAsiaTheme="minorEastAsia"/>
          <w:noProof/>
          <w:kern w:val="2"/>
          <w:sz w:val="22"/>
          <w:szCs w:val="22"/>
          <w:lang w:val="fr-CA" w:eastAsia="fr-CA"/>
          <w14:ligatures w14:val="standardContextual"/>
        </w:rPr>
      </w:pPr>
      <w:hyperlink w:anchor="_Toc154048926" w:history="1">
        <w:r w:rsidR="00DD1219" w:rsidRPr="0002721E">
          <w:rPr>
            <w:rStyle w:val="Lienhypertexte"/>
            <w:noProof/>
          </w:rPr>
          <w:t>P132 recoupe spatio-temporellement</w:t>
        </w:r>
        <w:r w:rsidR="00DD1219">
          <w:rPr>
            <w:noProof/>
            <w:webHidden/>
          </w:rPr>
          <w:tab/>
        </w:r>
        <w:r w:rsidR="00DD1219">
          <w:rPr>
            <w:noProof/>
            <w:webHidden/>
          </w:rPr>
          <w:fldChar w:fldCharType="begin"/>
        </w:r>
        <w:r w:rsidR="00DD1219">
          <w:rPr>
            <w:noProof/>
            <w:webHidden/>
          </w:rPr>
          <w:instrText xml:space="preserve"> PAGEREF _Toc154048926 \h </w:instrText>
        </w:r>
        <w:r w:rsidR="00DD1219">
          <w:rPr>
            <w:noProof/>
            <w:webHidden/>
          </w:rPr>
        </w:r>
        <w:r w:rsidR="00DD1219">
          <w:rPr>
            <w:noProof/>
            <w:webHidden/>
          </w:rPr>
          <w:fldChar w:fldCharType="separate"/>
        </w:r>
        <w:r>
          <w:rPr>
            <w:noProof/>
            <w:webHidden/>
          </w:rPr>
          <w:t>273</w:t>
        </w:r>
        <w:r w:rsidR="00DD1219">
          <w:rPr>
            <w:noProof/>
            <w:webHidden/>
          </w:rPr>
          <w:fldChar w:fldCharType="end"/>
        </w:r>
      </w:hyperlink>
    </w:p>
    <w:p w14:paraId="153E4F0A" w14:textId="24D3F644" w:rsidR="00DD1219" w:rsidRDefault="00C738AA">
      <w:pPr>
        <w:pStyle w:val="TM3"/>
        <w:rPr>
          <w:rFonts w:eastAsiaTheme="minorEastAsia"/>
          <w:noProof/>
          <w:kern w:val="2"/>
          <w:sz w:val="22"/>
          <w:szCs w:val="22"/>
          <w:lang w:val="fr-CA" w:eastAsia="fr-CA"/>
          <w14:ligatures w14:val="standardContextual"/>
        </w:rPr>
      </w:pPr>
      <w:hyperlink w:anchor="_Toc154048927" w:history="1">
        <w:r w:rsidR="00DD1219" w:rsidRPr="0002721E">
          <w:rPr>
            <w:rStyle w:val="Lienhypertexte"/>
            <w:noProof/>
          </w:rPr>
          <w:t>P133 est distinct spatio-temporellement de</w:t>
        </w:r>
        <w:r w:rsidR="00DD1219">
          <w:rPr>
            <w:noProof/>
            <w:webHidden/>
          </w:rPr>
          <w:tab/>
        </w:r>
        <w:r w:rsidR="00DD1219">
          <w:rPr>
            <w:noProof/>
            <w:webHidden/>
          </w:rPr>
          <w:fldChar w:fldCharType="begin"/>
        </w:r>
        <w:r w:rsidR="00DD1219">
          <w:rPr>
            <w:noProof/>
            <w:webHidden/>
          </w:rPr>
          <w:instrText xml:space="preserve"> PAGEREF _Toc154048927 \h </w:instrText>
        </w:r>
        <w:r w:rsidR="00DD1219">
          <w:rPr>
            <w:noProof/>
            <w:webHidden/>
          </w:rPr>
        </w:r>
        <w:r w:rsidR="00DD1219">
          <w:rPr>
            <w:noProof/>
            <w:webHidden/>
          </w:rPr>
          <w:fldChar w:fldCharType="separate"/>
        </w:r>
        <w:r>
          <w:rPr>
            <w:noProof/>
            <w:webHidden/>
          </w:rPr>
          <w:t>274</w:t>
        </w:r>
        <w:r w:rsidR="00DD1219">
          <w:rPr>
            <w:noProof/>
            <w:webHidden/>
          </w:rPr>
          <w:fldChar w:fldCharType="end"/>
        </w:r>
      </w:hyperlink>
    </w:p>
    <w:p w14:paraId="126AE97C" w14:textId="6FA41B4A" w:rsidR="00DD1219" w:rsidRDefault="00C738AA">
      <w:pPr>
        <w:pStyle w:val="TM3"/>
        <w:rPr>
          <w:rFonts w:eastAsiaTheme="minorEastAsia"/>
          <w:noProof/>
          <w:kern w:val="2"/>
          <w:sz w:val="22"/>
          <w:szCs w:val="22"/>
          <w:lang w:val="fr-CA" w:eastAsia="fr-CA"/>
          <w14:ligatures w14:val="standardContextual"/>
        </w:rPr>
      </w:pPr>
      <w:hyperlink w:anchor="_Toc154048928" w:history="1">
        <w:r w:rsidR="00DD1219" w:rsidRPr="0002721E">
          <w:rPr>
            <w:rStyle w:val="Lienhypertexte"/>
            <w:noProof/>
          </w:rPr>
          <w:t>P134 a continué (a été continué par)</w:t>
        </w:r>
        <w:r w:rsidR="00DD1219">
          <w:rPr>
            <w:noProof/>
            <w:webHidden/>
          </w:rPr>
          <w:tab/>
        </w:r>
        <w:r w:rsidR="00DD1219">
          <w:rPr>
            <w:noProof/>
            <w:webHidden/>
          </w:rPr>
          <w:fldChar w:fldCharType="begin"/>
        </w:r>
        <w:r w:rsidR="00DD1219">
          <w:rPr>
            <w:noProof/>
            <w:webHidden/>
          </w:rPr>
          <w:instrText xml:space="preserve"> PAGEREF _Toc154048928 \h </w:instrText>
        </w:r>
        <w:r w:rsidR="00DD1219">
          <w:rPr>
            <w:noProof/>
            <w:webHidden/>
          </w:rPr>
        </w:r>
        <w:r w:rsidR="00DD1219">
          <w:rPr>
            <w:noProof/>
            <w:webHidden/>
          </w:rPr>
          <w:fldChar w:fldCharType="separate"/>
        </w:r>
        <w:r>
          <w:rPr>
            <w:noProof/>
            <w:webHidden/>
          </w:rPr>
          <w:t>275</w:t>
        </w:r>
        <w:r w:rsidR="00DD1219">
          <w:rPr>
            <w:noProof/>
            <w:webHidden/>
          </w:rPr>
          <w:fldChar w:fldCharType="end"/>
        </w:r>
      </w:hyperlink>
    </w:p>
    <w:p w14:paraId="2A8C0307" w14:textId="5CC0C6E8" w:rsidR="00DD1219" w:rsidRDefault="00C738AA">
      <w:pPr>
        <w:pStyle w:val="TM3"/>
        <w:rPr>
          <w:rFonts w:eastAsiaTheme="minorEastAsia"/>
          <w:noProof/>
          <w:kern w:val="2"/>
          <w:sz w:val="22"/>
          <w:szCs w:val="22"/>
          <w:lang w:val="fr-CA" w:eastAsia="fr-CA"/>
          <w14:ligatures w14:val="standardContextual"/>
        </w:rPr>
      </w:pPr>
      <w:hyperlink w:anchor="_Toc154048929" w:history="1">
        <w:r w:rsidR="00DD1219" w:rsidRPr="0002721E">
          <w:rPr>
            <w:rStyle w:val="Lienhypertexte"/>
            <w:noProof/>
          </w:rPr>
          <w:t>P135 a créé le type (a été créé par)</w:t>
        </w:r>
        <w:r w:rsidR="00DD1219">
          <w:rPr>
            <w:noProof/>
            <w:webHidden/>
          </w:rPr>
          <w:tab/>
        </w:r>
        <w:r w:rsidR="00DD1219">
          <w:rPr>
            <w:noProof/>
            <w:webHidden/>
          </w:rPr>
          <w:fldChar w:fldCharType="begin"/>
        </w:r>
        <w:r w:rsidR="00DD1219">
          <w:rPr>
            <w:noProof/>
            <w:webHidden/>
          </w:rPr>
          <w:instrText xml:space="preserve"> PAGEREF _Toc154048929 \h </w:instrText>
        </w:r>
        <w:r w:rsidR="00DD1219">
          <w:rPr>
            <w:noProof/>
            <w:webHidden/>
          </w:rPr>
        </w:r>
        <w:r w:rsidR="00DD1219">
          <w:rPr>
            <w:noProof/>
            <w:webHidden/>
          </w:rPr>
          <w:fldChar w:fldCharType="separate"/>
        </w:r>
        <w:r>
          <w:rPr>
            <w:noProof/>
            <w:webHidden/>
          </w:rPr>
          <w:t>276</w:t>
        </w:r>
        <w:r w:rsidR="00DD1219">
          <w:rPr>
            <w:noProof/>
            <w:webHidden/>
          </w:rPr>
          <w:fldChar w:fldCharType="end"/>
        </w:r>
      </w:hyperlink>
    </w:p>
    <w:p w14:paraId="585CFA3C" w14:textId="0683A271" w:rsidR="00DD1219" w:rsidRDefault="00C738AA">
      <w:pPr>
        <w:pStyle w:val="TM3"/>
        <w:rPr>
          <w:rFonts w:eastAsiaTheme="minorEastAsia"/>
          <w:noProof/>
          <w:kern w:val="2"/>
          <w:sz w:val="22"/>
          <w:szCs w:val="22"/>
          <w:lang w:val="fr-CA" w:eastAsia="fr-CA"/>
          <w14:ligatures w14:val="standardContextual"/>
        </w:rPr>
      </w:pPr>
      <w:hyperlink w:anchor="_Toc154048930" w:history="1">
        <w:r w:rsidR="00DD1219" w:rsidRPr="0002721E">
          <w:rPr>
            <w:rStyle w:val="Lienhypertexte"/>
            <w:noProof/>
          </w:rPr>
          <w:t>P136 a été fondé sur (a fondé la création du type)</w:t>
        </w:r>
        <w:r w:rsidR="00DD1219">
          <w:rPr>
            <w:noProof/>
            <w:webHidden/>
          </w:rPr>
          <w:tab/>
        </w:r>
        <w:r w:rsidR="00DD1219">
          <w:rPr>
            <w:noProof/>
            <w:webHidden/>
          </w:rPr>
          <w:fldChar w:fldCharType="begin"/>
        </w:r>
        <w:r w:rsidR="00DD1219">
          <w:rPr>
            <w:noProof/>
            <w:webHidden/>
          </w:rPr>
          <w:instrText xml:space="preserve"> PAGEREF _Toc154048930 \h </w:instrText>
        </w:r>
        <w:r w:rsidR="00DD1219">
          <w:rPr>
            <w:noProof/>
            <w:webHidden/>
          </w:rPr>
        </w:r>
        <w:r w:rsidR="00DD1219">
          <w:rPr>
            <w:noProof/>
            <w:webHidden/>
          </w:rPr>
          <w:fldChar w:fldCharType="separate"/>
        </w:r>
        <w:r>
          <w:rPr>
            <w:noProof/>
            <w:webHidden/>
          </w:rPr>
          <w:t>277</w:t>
        </w:r>
        <w:r w:rsidR="00DD1219">
          <w:rPr>
            <w:noProof/>
            <w:webHidden/>
          </w:rPr>
          <w:fldChar w:fldCharType="end"/>
        </w:r>
      </w:hyperlink>
    </w:p>
    <w:p w14:paraId="01F8AFB6" w14:textId="591CC21A" w:rsidR="00DD1219" w:rsidRDefault="00C738AA">
      <w:pPr>
        <w:pStyle w:val="TM3"/>
        <w:rPr>
          <w:rFonts w:eastAsiaTheme="minorEastAsia"/>
          <w:noProof/>
          <w:kern w:val="2"/>
          <w:sz w:val="22"/>
          <w:szCs w:val="22"/>
          <w:lang w:val="fr-CA" w:eastAsia="fr-CA"/>
          <w14:ligatures w14:val="standardContextual"/>
        </w:rPr>
      </w:pPr>
      <w:hyperlink w:anchor="_Toc154048931" w:history="1">
        <w:r w:rsidR="00DD1219" w:rsidRPr="0002721E">
          <w:rPr>
            <w:rStyle w:val="Lienhypertexte"/>
            <w:noProof/>
          </w:rPr>
          <w:t>P137 exemplifie (est exemplifié par)</w:t>
        </w:r>
        <w:r w:rsidR="00DD1219">
          <w:rPr>
            <w:noProof/>
            <w:webHidden/>
          </w:rPr>
          <w:tab/>
        </w:r>
        <w:r w:rsidR="00DD1219">
          <w:rPr>
            <w:noProof/>
            <w:webHidden/>
          </w:rPr>
          <w:fldChar w:fldCharType="begin"/>
        </w:r>
        <w:r w:rsidR="00DD1219">
          <w:rPr>
            <w:noProof/>
            <w:webHidden/>
          </w:rPr>
          <w:instrText xml:space="preserve"> PAGEREF _Toc154048931 \h </w:instrText>
        </w:r>
        <w:r w:rsidR="00DD1219">
          <w:rPr>
            <w:noProof/>
            <w:webHidden/>
          </w:rPr>
        </w:r>
        <w:r w:rsidR="00DD1219">
          <w:rPr>
            <w:noProof/>
            <w:webHidden/>
          </w:rPr>
          <w:fldChar w:fldCharType="separate"/>
        </w:r>
        <w:r>
          <w:rPr>
            <w:noProof/>
            <w:webHidden/>
          </w:rPr>
          <w:t>278</w:t>
        </w:r>
        <w:r w:rsidR="00DD1219">
          <w:rPr>
            <w:noProof/>
            <w:webHidden/>
          </w:rPr>
          <w:fldChar w:fldCharType="end"/>
        </w:r>
      </w:hyperlink>
    </w:p>
    <w:p w14:paraId="3C797969" w14:textId="0987991C" w:rsidR="00DD1219" w:rsidRDefault="00C738AA">
      <w:pPr>
        <w:pStyle w:val="TM3"/>
        <w:rPr>
          <w:rFonts w:eastAsiaTheme="minorEastAsia"/>
          <w:noProof/>
          <w:kern w:val="2"/>
          <w:sz w:val="22"/>
          <w:szCs w:val="22"/>
          <w:lang w:val="fr-CA" w:eastAsia="fr-CA"/>
          <w14:ligatures w14:val="standardContextual"/>
        </w:rPr>
      </w:pPr>
      <w:hyperlink w:anchor="_Toc154048932" w:history="1">
        <w:r w:rsidR="00DD1219" w:rsidRPr="0002721E">
          <w:rPr>
            <w:rStyle w:val="Lienhypertexte"/>
            <w:noProof/>
          </w:rPr>
          <w:t>P138 représente (est représenté par)</w:t>
        </w:r>
        <w:r w:rsidR="00DD1219">
          <w:rPr>
            <w:noProof/>
            <w:webHidden/>
          </w:rPr>
          <w:tab/>
        </w:r>
        <w:r w:rsidR="00DD1219">
          <w:rPr>
            <w:noProof/>
            <w:webHidden/>
          </w:rPr>
          <w:fldChar w:fldCharType="begin"/>
        </w:r>
        <w:r w:rsidR="00DD1219">
          <w:rPr>
            <w:noProof/>
            <w:webHidden/>
          </w:rPr>
          <w:instrText xml:space="preserve"> PAGEREF _Toc154048932 \h </w:instrText>
        </w:r>
        <w:r w:rsidR="00DD1219">
          <w:rPr>
            <w:noProof/>
            <w:webHidden/>
          </w:rPr>
        </w:r>
        <w:r w:rsidR="00DD1219">
          <w:rPr>
            <w:noProof/>
            <w:webHidden/>
          </w:rPr>
          <w:fldChar w:fldCharType="separate"/>
        </w:r>
        <w:r>
          <w:rPr>
            <w:noProof/>
            <w:webHidden/>
          </w:rPr>
          <w:t>279</w:t>
        </w:r>
        <w:r w:rsidR="00DD1219">
          <w:rPr>
            <w:noProof/>
            <w:webHidden/>
          </w:rPr>
          <w:fldChar w:fldCharType="end"/>
        </w:r>
      </w:hyperlink>
    </w:p>
    <w:p w14:paraId="1B339601" w14:textId="6CEBAEC6" w:rsidR="00DD1219" w:rsidRDefault="00C738AA">
      <w:pPr>
        <w:pStyle w:val="TM3"/>
        <w:rPr>
          <w:rFonts w:eastAsiaTheme="minorEastAsia"/>
          <w:noProof/>
          <w:kern w:val="2"/>
          <w:sz w:val="22"/>
          <w:szCs w:val="22"/>
          <w:lang w:val="fr-CA" w:eastAsia="fr-CA"/>
          <w14:ligatures w14:val="standardContextual"/>
        </w:rPr>
      </w:pPr>
      <w:hyperlink w:anchor="_Toc154048933" w:history="1">
        <w:r w:rsidR="00DD1219" w:rsidRPr="0002721E">
          <w:rPr>
            <w:rStyle w:val="Lienhypertexte"/>
            <w:noProof/>
          </w:rPr>
          <w:t>P139 a pour forme alternative (est la forme alternative de)</w:t>
        </w:r>
        <w:r w:rsidR="00DD1219">
          <w:rPr>
            <w:noProof/>
            <w:webHidden/>
          </w:rPr>
          <w:tab/>
        </w:r>
        <w:r w:rsidR="00DD1219">
          <w:rPr>
            <w:noProof/>
            <w:webHidden/>
          </w:rPr>
          <w:fldChar w:fldCharType="begin"/>
        </w:r>
        <w:r w:rsidR="00DD1219">
          <w:rPr>
            <w:noProof/>
            <w:webHidden/>
          </w:rPr>
          <w:instrText xml:space="preserve"> PAGEREF _Toc154048933 \h </w:instrText>
        </w:r>
        <w:r w:rsidR="00DD1219">
          <w:rPr>
            <w:noProof/>
            <w:webHidden/>
          </w:rPr>
        </w:r>
        <w:r w:rsidR="00DD1219">
          <w:rPr>
            <w:noProof/>
            <w:webHidden/>
          </w:rPr>
          <w:fldChar w:fldCharType="separate"/>
        </w:r>
        <w:r>
          <w:rPr>
            <w:noProof/>
            <w:webHidden/>
          </w:rPr>
          <w:t>280</w:t>
        </w:r>
        <w:r w:rsidR="00DD1219">
          <w:rPr>
            <w:noProof/>
            <w:webHidden/>
          </w:rPr>
          <w:fldChar w:fldCharType="end"/>
        </w:r>
      </w:hyperlink>
    </w:p>
    <w:p w14:paraId="250E5B36" w14:textId="4CE918FE" w:rsidR="00DD1219" w:rsidRDefault="00C738AA">
      <w:pPr>
        <w:pStyle w:val="TM3"/>
        <w:rPr>
          <w:rFonts w:eastAsiaTheme="minorEastAsia"/>
          <w:noProof/>
          <w:kern w:val="2"/>
          <w:sz w:val="22"/>
          <w:szCs w:val="22"/>
          <w:lang w:val="fr-CA" w:eastAsia="fr-CA"/>
          <w14:ligatures w14:val="standardContextual"/>
        </w:rPr>
      </w:pPr>
      <w:hyperlink w:anchor="_Toc154048934" w:history="1">
        <w:r w:rsidR="00DD1219" w:rsidRPr="0002721E">
          <w:rPr>
            <w:rStyle w:val="Lienhypertexte"/>
            <w:noProof/>
          </w:rPr>
          <w:t>P140 a assigné l’attribut à (a reçu l’attribut par)</w:t>
        </w:r>
        <w:r w:rsidR="00DD1219">
          <w:rPr>
            <w:noProof/>
            <w:webHidden/>
          </w:rPr>
          <w:tab/>
        </w:r>
        <w:r w:rsidR="00DD1219">
          <w:rPr>
            <w:noProof/>
            <w:webHidden/>
          </w:rPr>
          <w:fldChar w:fldCharType="begin"/>
        </w:r>
        <w:r w:rsidR="00DD1219">
          <w:rPr>
            <w:noProof/>
            <w:webHidden/>
          </w:rPr>
          <w:instrText xml:space="preserve"> PAGEREF _Toc154048934 \h </w:instrText>
        </w:r>
        <w:r w:rsidR="00DD1219">
          <w:rPr>
            <w:noProof/>
            <w:webHidden/>
          </w:rPr>
        </w:r>
        <w:r w:rsidR="00DD1219">
          <w:rPr>
            <w:noProof/>
            <w:webHidden/>
          </w:rPr>
          <w:fldChar w:fldCharType="separate"/>
        </w:r>
        <w:r>
          <w:rPr>
            <w:noProof/>
            <w:webHidden/>
          </w:rPr>
          <w:t>281</w:t>
        </w:r>
        <w:r w:rsidR="00DD1219">
          <w:rPr>
            <w:noProof/>
            <w:webHidden/>
          </w:rPr>
          <w:fldChar w:fldCharType="end"/>
        </w:r>
      </w:hyperlink>
    </w:p>
    <w:p w14:paraId="32CDFEF5" w14:textId="5A2ACA42" w:rsidR="00DD1219" w:rsidRDefault="00C738AA">
      <w:pPr>
        <w:pStyle w:val="TM3"/>
        <w:rPr>
          <w:rFonts w:eastAsiaTheme="minorEastAsia"/>
          <w:noProof/>
          <w:kern w:val="2"/>
          <w:sz w:val="22"/>
          <w:szCs w:val="22"/>
          <w:lang w:val="fr-CA" w:eastAsia="fr-CA"/>
          <w14:ligatures w14:val="standardContextual"/>
        </w:rPr>
      </w:pPr>
      <w:hyperlink w:anchor="_Toc154048935" w:history="1">
        <w:r w:rsidR="00DD1219" w:rsidRPr="0002721E">
          <w:rPr>
            <w:rStyle w:val="Lienhypertexte"/>
            <w:noProof/>
          </w:rPr>
          <w:t>P141 a attribué (a été attribué par)</w:t>
        </w:r>
        <w:r w:rsidR="00DD1219">
          <w:rPr>
            <w:noProof/>
            <w:webHidden/>
          </w:rPr>
          <w:tab/>
        </w:r>
        <w:r w:rsidR="00DD1219">
          <w:rPr>
            <w:noProof/>
            <w:webHidden/>
          </w:rPr>
          <w:fldChar w:fldCharType="begin"/>
        </w:r>
        <w:r w:rsidR="00DD1219">
          <w:rPr>
            <w:noProof/>
            <w:webHidden/>
          </w:rPr>
          <w:instrText xml:space="preserve"> PAGEREF _Toc154048935 \h </w:instrText>
        </w:r>
        <w:r w:rsidR="00DD1219">
          <w:rPr>
            <w:noProof/>
            <w:webHidden/>
          </w:rPr>
        </w:r>
        <w:r w:rsidR="00DD1219">
          <w:rPr>
            <w:noProof/>
            <w:webHidden/>
          </w:rPr>
          <w:fldChar w:fldCharType="separate"/>
        </w:r>
        <w:r>
          <w:rPr>
            <w:noProof/>
            <w:webHidden/>
          </w:rPr>
          <w:t>283</w:t>
        </w:r>
        <w:r w:rsidR="00DD1219">
          <w:rPr>
            <w:noProof/>
            <w:webHidden/>
          </w:rPr>
          <w:fldChar w:fldCharType="end"/>
        </w:r>
      </w:hyperlink>
    </w:p>
    <w:p w14:paraId="23BADCC4" w14:textId="3275358B" w:rsidR="00DD1219" w:rsidRDefault="00C738AA">
      <w:pPr>
        <w:pStyle w:val="TM3"/>
        <w:rPr>
          <w:rFonts w:eastAsiaTheme="minorEastAsia"/>
          <w:noProof/>
          <w:kern w:val="2"/>
          <w:sz w:val="22"/>
          <w:szCs w:val="22"/>
          <w:lang w:val="fr-CA" w:eastAsia="fr-CA"/>
          <w14:ligatures w14:val="standardContextual"/>
        </w:rPr>
      </w:pPr>
      <w:hyperlink w:anchor="_Toc154048936" w:history="1">
        <w:r w:rsidR="00DD1219" w:rsidRPr="0002721E">
          <w:rPr>
            <w:rStyle w:val="Lienhypertexte"/>
            <w:noProof/>
          </w:rPr>
          <w:t>P142 a mobilisé comme élément (a été mobilisé dans)</w:t>
        </w:r>
        <w:r w:rsidR="00DD1219">
          <w:rPr>
            <w:noProof/>
            <w:webHidden/>
          </w:rPr>
          <w:tab/>
        </w:r>
        <w:r w:rsidR="00DD1219">
          <w:rPr>
            <w:noProof/>
            <w:webHidden/>
          </w:rPr>
          <w:fldChar w:fldCharType="begin"/>
        </w:r>
        <w:r w:rsidR="00DD1219">
          <w:rPr>
            <w:noProof/>
            <w:webHidden/>
          </w:rPr>
          <w:instrText xml:space="preserve"> PAGEREF _Toc154048936 \h </w:instrText>
        </w:r>
        <w:r w:rsidR="00DD1219">
          <w:rPr>
            <w:noProof/>
            <w:webHidden/>
          </w:rPr>
        </w:r>
        <w:r w:rsidR="00DD1219">
          <w:rPr>
            <w:noProof/>
            <w:webHidden/>
          </w:rPr>
          <w:fldChar w:fldCharType="separate"/>
        </w:r>
        <w:r>
          <w:rPr>
            <w:noProof/>
            <w:webHidden/>
          </w:rPr>
          <w:t>284</w:t>
        </w:r>
        <w:r w:rsidR="00DD1219">
          <w:rPr>
            <w:noProof/>
            <w:webHidden/>
          </w:rPr>
          <w:fldChar w:fldCharType="end"/>
        </w:r>
      </w:hyperlink>
    </w:p>
    <w:p w14:paraId="52B403EC" w14:textId="09ED8332" w:rsidR="00DD1219" w:rsidRDefault="00C738AA">
      <w:pPr>
        <w:pStyle w:val="TM3"/>
        <w:rPr>
          <w:rFonts w:eastAsiaTheme="minorEastAsia"/>
          <w:noProof/>
          <w:kern w:val="2"/>
          <w:sz w:val="22"/>
          <w:szCs w:val="22"/>
          <w:lang w:val="fr-CA" w:eastAsia="fr-CA"/>
          <w14:ligatures w14:val="standardContextual"/>
        </w:rPr>
      </w:pPr>
      <w:hyperlink w:anchor="_Toc154048937" w:history="1">
        <w:r w:rsidR="00DD1219" w:rsidRPr="0002721E">
          <w:rPr>
            <w:rStyle w:val="Lienhypertexte"/>
            <w:noProof/>
          </w:rPr>
          <w:t>P143 a fait adhérer (a adhéré par)</w:t>
        </w:r>
        <w:r w:rsidR="00DD1219">
          <w:rPr>
            <w:noProof/>
            <w:webHidden/>
          </w:rPr>
          <w:tab/>
        </w:r>
        <w:r w:rsidR="00DD1219">
          <w:rPr>
            <w:noProof/>
            <w:webHidden/>
          </w:rPr>
          <w:fldChar w:fldCharType="begin"/>
        </w:r>
        <w:r w:rsidR="00DD1219">
          <w:rPr>
            <w:noProof/>
            <w:webHidden/>
          </w:rPr>
          <w:instrText xml:space="preserve"> PAGEREF _Toc154048937 \h </w:instrText>
        </w:r>
        <w:r w:rsidR="00DD1219">
          <w:rPr>
            <w:noProof/>
            <w:webHidden/>
          </w:rPr>
        </w:r>
        <w:r w:rsidR="00DD1219">
          <w:rPr>
            <w:noProof/>
            <w:webHidden/>
          </w:rPr>
          <w:fldChar w:fldCharType="separate"/>
        </w:r>
        <w:r>
          <w:rPr>
            <w:noProof/>
            <w:webHidden/>
          </w:rPr>
          <w:t>285</w:t>
        </w:r>
        <w:r w:rsidR="00DD1219">
          <w:rPr>
            <w:noProof/>
            <w:webHidden/>
          </w:rPr>
          <w:fldChar w:fldCharType="end"/>
        </w:r>
      </w:hyperlink>
    </w:p>
    <w:p w14:paraId="5F0761D4" w14:textId="7895D932" w:rsidR="00DD1219" w:rsidRDefault="00C738AA">
      <w:pPr>
        <w:pStyle w:val="TM3"/>
        <w:rPr>
          <w:rFonts w:eastAsiaTheme="minorEastAsia"/>
          <w:noProof/>
          <w:kern w:val="2"/>
          <w:sz w:val="22"/>
          <w:szCs w:val="22"/>
          <w:lang w:val="fr-CA" w:eastAsia="fr-CA"/>
          <w14:ligatures w14:val="standardContextual"/>
        </w:rPr>
      </w:pPr>
      <w:hyperlink w:anchor="_Toc154048938" w:history="1">
        <w:r w:rsidR="00DD1219" w:rsidRPr="0002721E">
          <w:rPr>
            <w:rStyle w:val="Lienhypertexte"/>
            <w:noProof/>
          </w:rPr>
          <w:t>P144 a fait adhérer à (a accueilli le membre par)</w:t>
        </w:r>
        <w:r w:rsidR="00DD1219">
          <w:rPr>
            <w:noProof/>
            <w:webHidden/>
          </w:rPr>
          <w:tab/>
        </w:r>
        <w:r w:rsidR="00DD1219">
          <w:rPr>
            <w:noProof/>
            <w:webHidden/>
          </w:rPr>
          <w:fldChar w:fldCharType="begin"/>
        </w:r>
        <w:r w:rsidR="00DD1219">
          <w:rPr>
            <w:noProof/>
            <w:webHidden/>
          </w:rPr>
          <w:instrText xml:space="preserve"> PAGEREF _Toc154048938 \h </w:instrText>
        </w:r>
        <w:r w:rsidR="00DD1219">
          <w:rPr>
            <w:noProof/>
            <w:webHidden/>
          </w:rPr>
        </w:r>
        <w:r w:rsidR="00DD1219">
          <w:rPr>
            <w:noProof/>
            <w:webHidden/>
          </w:rPr>
          <w:fldChar w:fldCharType="separate"/>
        </w:r>
        <w:r>
          <w:rPr>
            <w:noProof/>
            <w:webHidden/>
          </w:rPr>
          <w:t>286</w:t>
        </w:r>
        <w:r w:rsidR="00DD1219">
          <w:rPr>
            <w:noProof/>
            <w:webHidden/>
          </w:rPr>
          <w:fldChar w:fldCharType="end"/>
        </w:r>
      </w:hyperlink>
    </w:p>
    <w:p w14:paraId="3940EDD7" w14:textId="0C86537E" w:rsidR="00DD1219" w:rsidRDefault="00C738AA">
      <w:pPr>
        <w:pStyle w:val="TM3"/>
        <w:rPr>
          <w:rFonts w:eastAsiaTheme="minorEastAsia"/>
          <w:noProof/>
          <w:kern w:val="2"/>
          <w:sz w:val="22"/>
          <w:szCs w:val="22"/>
          <w:lang w:val="fr-CA" w:eastAsia="fr-CA"/>
          <w14:ligatures w14:val="standardContextual"/>
        </w:rPr>
      </w:pPr>
      <w:hyperlink w:anchor="_Toc154048939" w:history="1">
        <w:r w:rsidR="00DD1219" w:rsidRPr="0002721E">
          <w:rPr>
            <w:rStyle w:val="Lienhypertexte"/>
            <w:noProof/>
          </w:rPr>
          <w:t>P145 a dissocié (est dissocié par)</w:t>
        </w:r>
        <w:r w:rsidR="00DD1219">
          <w:rPr>
            <w:noProof/>
            <w:webHidden/>
          </w:rPr>
          <w:tab/>
        </w:r>
        <w:r w:rsidR="00DD1219">
          <w:rPr>
            <w:noProof/>
            <w:webHidden/>
          </w:rPr>
          <w:fldChar w:fldCharType="begin"/>
        </w:r>
        <w:r w:rsidR="00DD1219">
          <w:rPr>
            <w:noProof/>
            <w:webHidden/>
          </w:rPr>
          <w:instrText xml:space="preserve"> PAGEREF _Toc154048939 \h </w:instrText>
        </w:r>
        <w:r w:rsidR="00DD1219">
          <w:rPr>
            <w:noProof/>
            <w:webHidden/>
          </w:rPr>
        </w:r>
        <w:r w:rsidR="00DD1219">
          <w:rPr>
            <w:noProof/>
            <w:webHidden/>
          </w:rPr>
          <w:fldChar w:fldCharType="separate"/>
        </w:r>
        <w:r>
          <w:rPr>
            <w:noProof/>
            <w:webHidden/>
          </w:rPr>
          <w:t>287</w:t>
        </w:r>
        <w:r w:rsidR="00DD1219">
          <w:rPr>
            <w:noProof/>
            <w:webHidden/>
          </w:rPr>
          <w:fldChar w:fldCharType="end"/>
        </w:r>
      </w:hyperlink>
    </w:p>
    <w:p w14:paraId="0AF11332" w14:textId="392C5159" w:rsidR="00DD1219" w:rsidRDefault="00C738AA">
      <w:pPr>
        <w:pStyle w:val="TM3"/>
        <w:rPr>
          <w:rFonts w:eastAsiaTheme="minorEastAsia"/>
          <w:noProof/>
          <w:kern w:val="2"/>
          <w:sz w:val="22"/>
          <w:szCs w:val="22"/>
          <w:lang w:val="fr-CA" w:eastAsia="fr-CA"/>
          <w14:ligatures w14:val="standardContextual"/>
        </w:rPr>
      </w:pPr>
      <w:hyperlink w:anchor="_Toc154048940" w:history="1">
        <w:r w:rsidR="00DD1219" w:rsidRPr="0002721E">
          <w:rPr>
            <w:rStyle w:val="Lienhypertexte"/>
            <w:noProof/>
          </w:rPr>
          <w:t>P146 a dissocié de (a perdu le membre par)</w:t>
        </w:r>
        <w:r w:rsidR="00DD1219">
          <w:rPr>
            <w:noProof/>
            <w:webHidden/>
          </w:rPr>
          <w:tab/>
        </w:r>
        <w:r w:rsidR="00DD1219">
          <w:rPr>
            <w:noProof/>
            <w:webHidden/>
          </w:rPr>
          <w:fldChar w:fldCharType="begin"/>
        </w:r>
        <w:r w:rsidR="00DD1219">
          <w:rPr>
            <w:noProof/>
            <w:webHidden/>
          </w:rPr>
          <w:instrText xml:space="preserve"> PAGEREF _Toc154048940 \h </w:instrText>
        </w:r>
        <w:r w:rsidR="00DD1219">
          <w:rPr>
            <w:noProof/>
            <w:webHidden/>
          </w:rPr>
        </w:r>
        <w:r w:rsidR="00DD1219">
          <w:rPr>
            <w:noProof/>
            <w:webHidden/>
          </w:rPr>
          <w:fldChar w:fldCharType="separate"/>
        </w:r>
        <w:r>
          <w:rPr>
            <w:noProof/>
            <w:webHidden/>
          </w:rPr>
          <w:t>288</w:t>
        </w:r>
        <w:r w:rsidR="00DD1219">
          <w:rPr>
            <w:noProof/>
            <w:webHidden/>
          </w:rPr>
          <w:fldChar w:fldCharType="end"/>
        </w:r>
      </w:hyperlink>
    </w:p>
    <w:p w14:paraId="5D7A2095" w14:textId="6AD7405F" w:rsidR="00DD1219" w:rsidRDefault="00C738AA">
      <w:pPr>
        <w:pStyle w:val="TM3"/>
        <w:rPr>
          <w:rFonts w:eastAsiaTheme="minorEastAsia"/>
          <w:noProof/>
          <w:kern w:val="2"/>
          <w:sz w:val="22"/>
          <w:szCs w:val="22"/>
          <w:lang w:val="fr-CA" w:eastAsia="fr-CA"/>
          <w14:ligatures w14:val="standardContextual"/>
        </w:rPr>
      </w:pPr>
      <w:hyperlink w:anchor="_Toc154048941" w:history="1">
        <w:r w:rsidR="00DD1219" w:rsidRPr="0002721E">
          <w:rPr>
            <w:rStyle w:val="Lienhypertexte"/>
            <w:noProof/>
          </w:rPr>
          <w:t>P147 a géré (a été géré par)</w:t>
        </w:r>
        <w:r w:rsidR="00DD1219">
          <w:rPr>
            <w:noProof/>
            <w:webHidden/>
          </w:rPr>
          <w:tab/>
        </w:r>
        <w:r w:rsidR="00DD1219">
          <w:rPr>
            <w:noProof/>
            <w:webHidden/>
          </w:rPr>
          <w:fldChar w:fldCharType="begin"/>
        </w:r>
        <w:r w:rsidR="00DD1219">
          <w:rPr>
            <w:noProof/>
            <w:webHidden/>
          </w:rPr>
          <w:instrText xml:space="preserve"> PAGEREF _Toc154048941 \h </w:instrText>
        </w:r>
        <w:r w:rsidR="00DD1219">
          <w:rPr>
            <w:noProof/>
            <w:webHidden/>
          </w:rPr>
        </w:r>
        <w:r w:rsidR="00DD1219">
          <w:rPr>
            <w:noProof/>
            <w:webHidden/>
          </w:rPr>
          <w:fldChar w:fldCharType="separate"/>
        </w:r>
        <w:r>
          <w:rPr>
            <w:noProof/>
            <w:webHidden/>
          </w:rPr>
          <w:t>289</w:t>
        </w:r>
        <w:r w:rsidR="00DD1219">
          <w:rPr>
            <w:noProof/>
            <w:webHidden/>
          </w:rPr>
          <w:fldChar w:fldCharType="end"/>
        </w:r>
      </w:hyperlink>
    </w:p>
    <w:p w14:paraId="3140CF8B" w14:textId="68C274A8" w:rsidR="00DD1219" w:rsidRDefault="00C738AA">
      <w:pPr>
        <w:pStyle w:val="TM3"/>
        <w:rPr>
          <w:rFonts w:eastAsiaTheme="minorEastAsia"/>
          <w:noProof/>
          <w:kern w:val="2"/>
          <w:sz w:val="22"/>
          <w:szCs w:val="22"/>
          <w:lang w:val="fr-CA" w:eastAsia="fr-CA"/>
          <w14:ligatures w14:val="standardContextual"/>
        </w:rPr>
      </w:pPr>
      <w:hyperlink w:anchor="_Toc154048942" w:history="1">
        <w:r w:rsidR="00DD1219" w:rsidRPr="0002721E">
          <w:rPr>
            <w:rStyle w:val="Lienhypertexte"/>
            <w:noProof/>
          </w:rPr>
          <w:t>P148 a pour composant (est le composant de)</w:t>
        </w:r>
        <w:r w:rsidR="00DD1219">
          <w:rPr>
            <w:noProof/>
            <w:webHidden/>
          </w:rPr>
          <w:tab/>
        </w:r>
        <w:r w:rsidR="00DD1219">
          <w:rPr>
            <w:noProof/>
            <w:webHidden/>
          </w:rPr>
          <w:fldChar w:fldCharType="begin"/>
        </w:r>
        <w:r w:rsidR="00DD1219">
          <w:rPr>
            <w:noProof/>
            <w:webHidden/>
          </w:rPr>
          <w:instrText xml:space="preserve"> PAGEREF _Toc154048942 \h </w:instrText>
        </w:r>
        <w:r w:rsidR="00DD1219">
          <w:rPr>
            <w:noProof/>
            <w:webHidden/>
          </w:rPr>
        </w:r>
        <w:r w:rsidR="00DD1219">
          <w:rPr>
            <w:noProof/>
            <w:webHidden/>
          </w:rPr>
          <w:fldChar w:fldCharType="separate"/>
        </w:r>
        <w:r>
          <w:rPr>
            <w:noProof/>
            <w:webHidden/>
          </w:rPr>
          <w:t>290</w:t>
        </w:r>
        <w:r w:rsidR="00DD1219">
          <w:rPr>
            <w:noProof/>
            <w:webHidden/>
          </w:rPr>
          <w:fldChar w:fldCharType="end"/>
        </w:r>
      </w:hyperlink>
    </w:p>
    <w:p w14:paraId="1E66D20D" w14:textId="592A1F3F" w:rsidR="00DD1219" w:rsidRDefault="00C738AA">
      <w:pPr>
        <w:pStyle w:val="TM3"/>
        <w:rPr>
          <w:rFonts w:eastAsiaTheme="minorEastAsia"/>
          <w:noProof/>
          <w:kern w:val="2"/>
          <w:sz w:val="22"/>
          <w:szCs w:val="22"/>
          <w:lang w:val="fr-CA" w:eastAsia="fr-CA"/>
          <w14:ligatures w14:val="standardContextual"/>
        </w:rPr>
      </w:pPr>
      <w:hyperlink w:anchor="_Toc154048943" w:history="1">
        <w:r w:rsidR="00DD1219" w:rsidRPr="0002721E">
          <w:rPr>
            <w:rStyle w:val="Lienhypertexte"/>
            <w:noProof/>
          </w:rPr>
          <w:t>P150 définit les éléments typiques de (définit l’ensemble typique pour)</w:t>
        </w:r>
        <w:r w:rsidR="00DD1219">
          <w:rPr>
            <w:noProof/>
            <w:webHidden/>
          </w:rPr>
          <w:tab/>
        </w:r>
        <w:r w:rsidR="00DD1219">
          <w:rPr>
            <w:noProof/>
            <w:webHidden/>
          </w:rPr>
          <w:fldChar w:fldCharType="begin"/>
        </w:r>
        <w:r w:rsidR="00DD1219">
          <w:rPr>
            <w:noProof/>
            <w:webHidden/>
          </w:rPr>
          <w:instrText xml:space="preserve"> PAGEREF _Toc154048943 \h </w:instrText>
        </w:r>
        <w:r w:rsidR="00DD1219">
          <w:rPr>
            <w:noProof/>
            <w:webHidden/>
          </w:rPr>
        </w:r>
        <w:r w:rsidR="00DD1219">
          <w:rPr>
            <w:noProof/>
            <w:webHidden/>
          </w:rPr>
          <w:fldChar w:fldCharType="separate"/>
        </w:r>
        <w:r>
          <w:rPr>
            <w:noProof/>
            <w:webHidden/>
          </w:rPr>
          <w:t>291</w:t>
        </w:r>
        <w:r w:rsidR="00DD1219">
          <w:rPr>
            <w:noProof/>
            <w:webHidden/>
          </w:rPr>
          <w:fldChar w:fldCharType="end"/>
        </w:r>
      </w:hyperlink>
    </w:p>
    <w:p w14:paraId="69950C4B" w14:textId="47FB8837" w:rsidR="00DD1219" w:rsidRDefault="00C738AA">
      <w:pPr>
        <w:pStyle w:val="TM3"/>
        <w:rPr>
          <w:rFonts w:eastAsiaTheme="minorEastAsia"/>
          <w:noProof/>
          <w:kern w:val="2"/>
          <w:sz w:val="22"/>
          <w:szCs w:val="22"/>
          <w:lang w:val="fr-CA" w:eastAsia="fr-CA"/>
          <w14:ligatures w14:val="standardContextual"/>
        </w:rPr>
      </w:pPr>
      <w:hyperlink w:anchor="_Toc154048944" w:history="1">
        <w:r w:rsidR="00DD1219" w:rsidRPr="0002721E">
          <w:rPr>
            <w:rStyle w:val="Lienhypertexte"/>
            <w:noProof/>
          </w:rPr>
          <w:t>P151 a été formé à partir de (a participé à)</w:t>
        </w:r>
        <w:r w:rsidR="00DD1219">
          <w:rPr>
            <w:noProof/>
            <w:webHidden/>
          </w:rPr>
          <w:tab/>
        </w:r>
        <w:r w:rsidR="00DD1219">
          <w:rPr>
            <w:noProof/>
            <w:webHidden/>
          </w:rPr>
          <w:fldChar w:fldCharType="begin"/>
        </w:r>
        <w:r w:rsidR="00DD1219">
          <w:rPr>
            <w:noProof/>
            <w:webHidden/>
          </w:rPr>
          <w:instrText xml:space="preserve"> PAGEREF _Toc154048944 \h </w:instrText>
        </w:r>
        <w:r w:rsidR="00DD1219">
          <w:rPr>
            <w:noProof/>
            <w:webHidden/>
          </w:rPr>
        </w:r>
        <w:r w:rsidR="00DD1219">
          <w:rPr>
            <w:noProof/>
            <w:webHidden/>
          </w:rPr>
          <w:fldChar w:fldCharType="separate"/>
        </w:r>
        <w:r>
          <w:rPr>
            <w:noProof/>
            <w:webHidden/>
          </w:rPr>
          <w:t>292</w:t>
        </w:r>
        <w:r w:rsidR="00DD1219">
          <w:rPr>
            <w:noProof/>
            <w:webHidden/>
          </w:rPr>
          <w:fldChar w:fldCharType="end"/>
        </w:r>
      </w:hyperlink>
    </w:p>
    <w:p w14:paraId="160595B4" w14:textId="1954E18C" w:rsidR="00DD1219" w:rsidRDefault="00C738AA">
      <w:pPr>
        <w:pStyle w:val="TM3"/>
        <w:rPr>
          <w:rFonts w:eastAsiaTheme="minorEastAsia"/>
          <w:noProof/>
          <w:kern w:val="2"/>
          <w:sz w:val="22"/>
          <w:szCs w:val="22"/>
          <w:lang w:val="fr-CA" w:eastAsia="fr-CA"/>
          <w14:ligatures w14:val="standardContextual"/>
        </w:rPr>
      </w:pPr>
      <w:hyperlink w:anchor="_Toc154048945" w:history="1">
        <w:r w:rsidR="00DD1219" w:rsidRPr="0002721E">
          <w:rPr>
            <w:rStyle w:val="Lienhypertexte"/>
            <w:noProof/>
          </w:rPr>
          <w:t>P152 a pour parent (est le parent de)</w:t>
        </w:r>
        <w:r w:rsidR="00DD1219">
          <w:rPr>
            <w:noProof/>
            <w:webHidden/>
          </w:rPr>
          <w:tab/>
        </w:r>
        <w:r w:rsidR="00DD1219">
          <w:rPr>
            <w:noProof/>
            <w:webHidden/>
          </w:rPr>
          <w:fldChar w:fldCharType="begin"/>
        </w:r>
        <w:r w:rsidR="00DD1219">
          <w:rPr>
            <w:noProof/>
            <w:webHidden/>
          </w:rPr>
          <w:instrText xml:space="preserve"> PAGEREF _Toc154048945 \h </w:instrText>
        </w:r>
        <w:r w:rsidR="00DD1219">
          <w:rPr>
            <w:noProof/>
            <w:webHidden/>
          </w:rPr>
        </w:r>
        <w:r w:rsidR="00DD1219">
          <w:rPr>
            <w:noProof/>
            <w:webHidden/>
          </w:rPr>
          <w:fldChar w:fldCharType="separate"/>
        </w:r>
        <w:r>
          <w:rPr>
            <w:noProof/>
            <w:webHidden/>
          </w:rPr>
          <w:t>293</w:t>
        </w:r>
        <w:r w:rsidR="00DD1219">
          <w:rPr>
            <w:noProof/>
            <w:webHidden/>
          </w:rPr>
          <w:fldChar w:fldCharType="end"/>
        </w:r>
      </w:hyperlink>
    </w:p>
    <w:p w14:paraId="6F4CE8EA" w14:textId="2AB9D07C" w:rsidR="00DD1219" w:rsidRDefault="00C738AA">
      <w:pPr>
        <w:pStyle w:val="TM3"/>
        <w:rPr>
          <w:rFonts w:eastAsiaTheme="minorEastAsia"/>
          <w:noProof/>
          <w:kern w:val="2"/>
          <w:sz w:val="22"/>
          <w:szCs w:val="22"/>
          <w:lang w:val="fr-CA" w:eastAsia="fr-CA"/>
          <w14:ligatures w14:val="standardContextual"/>
        </w:rPr>
      </w:pPr>
      <w:hyperlink w:anchor="_Toc154048946" w:history="1">
        <w:r w:rsidR="00DD1219" w:rsidRPr="0002721E">
          <w:rPr>
            <w:rStyle w:val="Lienhypertexte"/>
            <w:noProof/>
          </w:rPr>
          <w:t>P156 occupe (est occupé par)</w:t>
        </w:r>
        <w:r w:rsidR="00DD1219">
          <w:rPr>
            <w:noProof/>
            <w:webHidden/>
          </w:rPr>
          <w:tab/>
        </w:r>
        <w:r w:rsidR="00DD1219">
          <w:rPr>
            <w:noProof/>
            <w:webHidden/>
          </w:rPr>
          <w:fldChar w:fldCharType="begin"/>
        </w:r>
        <w:r w:rsidR="00DD1219">
          <w:rPr>
            <w:noProof/>
            <w:webHidden/>
          </w:rPr>
          <w:instrText xml:space="preserve"> PAGEREF _Toc154048946 \h </w:instrText>
        </w:r>
        <w:r w:rsidR="00DD1219">
          <w:rPr>
            <w:noProof/>
            <w:webHidden/>
          </w:rPr>
        </w:r>
        <w:r w:rsidR="00DD1219">
          <w:rPr>
            <w:noProof/>
            <w:webHidden/>
          </w:rPr>
          <w:fldChar w:fldCharType="separate"/>
        </w:r>
        <w:r>
          <w:rPr>
            <w:noProof/>
            <w:webHidden/>
          </w:rPr>
          <w:t>294</w:t>
        </w:r>
        <w:r w:rsidR="00DD1219">
          <w:rPr>
            <w:noProof/>
            <w:webHidden/>
          </w:rPr>
          <w:fldChar w:fldCharType="end"/>
        </w:r>
      </w:hyperlink>
    </w:p>
    <w:p w14:paraId="749040A1" w14:textId="1A12C6B3" w:rsidR="00DD1219" w:rsidRDefault="00C738AA">
      <w:pPr>
        <w:pStyle w:val="TM3"/>
        <w:rPr>
          <w:rFonts w:eastAsiaTheme="minorEastAsia"/>
          <w:noProof/>
          <w:kern w:val="2"/>
          <w:sz w:val="22"/>
          <w:szCs w:val="22"/>
          <w:lang w:val="fr-CA" w:eastAsia="fr-CA"/>
          <w14:ligatures w14:val="standardContextual"/>
        </w:rPr>
      </w:pPr>
      <w:hyperlink w:anchor="_Toc154048947" w:history="1">
        <w:r w:rsidR="00DD1219" w:rsidRPr="0002721E">
          <w:rPr>
            <w:rStyle w:val="Lienhypertexte"/>
            <w:noProof/>
          </w:rPr>
          <w:t>P157 est à l’arrêt par rapport à (procure l’espace de référence pour)</w:t>
        </w:r>
        <w:r w:rsidR="00DD1219">
          <w:rPr>
            <w:noProof/>
            <w:webHidden/>
          </w:rPr>
          <w:tab/>
        </w:r>
        <w:r w:rsidR="00DD1219">
          <w:rPr>
            <w:noProof/>
            <w:webHidden/>
          </w:rPr>
          <w:fldChar w:fldCharType="begin"/>
        </w:r>
        <w:r w:rsidR="00DD1219">
          <w:rPr>
            <w:noProof/>
            <w:webHidden/>
          </w:rPr>
          <w:instrText xml:space="preserve"> PAGEREF _Toc154048947 \h </w:instrText>
        </w:r>
        <w:r w:rsidR="00DD1219">
          <w:rPr>
            <w:noProof/>
            <w:webHidden/>
          </w:rPr>
        </w:r>
        <w:r w:rsidR="00DD1219">
          <w:rPr>
            <w:noProof/>
            <w:webHidden/>
          </w:rPr>
          <w:fldChar w:fldCharType="separate"/>
        </w:r>
        <w:r>
          <w:rPr>
            <w:noProof/>
            <w:webHidden/>
          </w:rPr>
          <w:t>295</w:t>
        </w:r>
        <w:r w:rsidR="00DD1219">
          <w:rPr>
            <w:noProof/>
            <w:webHidden/>
          </w:rPr>
          <w:fldChar w:fldCharType="end"/>
        </w:r>
      </w:hyperlink>
    </w:p>
    <w:p w14:paraId="5D0C68C8" w14:textId="27B717F2" w:rsidR="00DD1219" w:rsidRDefault="00C738AA">
      <w:pPr>
        <w:pStyle w:val="TM3"/>
        <w:rPr>
          <w:rFonts w:eastAsiaTheme="minorEastAsia"/>
          <w:noProof/>
          <w:kern w:val="2"/>
          <w:sz w:val="22"/>
          <w:szCs w:val="22"/>
          <w:lang w:val="fr-CA" w:eastAsia="fr-CA"/>
          <w14:ligatures w14:val="standardContextual"/>
        </w:rPr>
      </w:pPr>
      <w:hyperlink w:anchor="_Toc154048948" w:history="1">
        <w:r w:rsidR="00DD1219" w:rsidRPr="0002721E">
          <w:rPr>
            <w:rStyle w:val="Lienhypertexte"/>
            <w:noProof/>
          </w:rPr>
          <w:t>P160 a pour projection temporelle (est la projection temporelle de)</w:t>
        </w:r>
        <w:r w:rsidR="00DD1219">
          <w:rPr>
            <w:noProof/>
            <w:webHidden/>
          </w:rPr>
          <w:tab/>
        </w:r>
        <w:r w:rsidR="00DD1219">
          <w:rPr>
            <w:noProof/>
            <w:webHidden/>
          </w:rPr>
          <w:fldChar w:fldCharType="begin"/>
        </w:r>
        <w:r w:rsidR="00DD1219">
          <w:rPr>
            <w:noProof/>
            <w:webHidden/>
          </w:rPr>
          <w:instrText xml:space="preserve"> PAGEREF _Toc154048948 \h </w:instrText>
        </w:r>
        <w:r w:rsidR="00DD1219">
          <w:rPr>
            <w:noProof/>
            <w:webHidden/>
          </w:rPr>
        </w:r>
        <w:r w:rsidR="00DD1219">
          <w:rPr>
            <w:noProof/>
            <w:webHidden/>
          </w:rPr>
          <w:fldChar w:fldCharType="separate"/>
        </w:r>
        <w:r>
          <w:rPr>
            <w:noProof/>
            <w:webHidden/>
          </w:rPr>
          <w:t>296</w:t>
        </w:r>
        <w:r w:rsidR="00DD1219">
          <w:rPr>
            <w:noProof/>
            <w:webHidden/>
          </w:rPr>
          <w:fldChar w:fldCharType="end"/>
        </w:r>
      </w:hyperlink>
    </w:p>
    <w:p w14:paraId="401CAA15" w14:textId="0D7DD405" w:rsidR="00DD1219" w:rsidRDefault="00C738AA">
      <w:pPr>
        <w:pStyle w:val="TM3"/>
        <w:rPr>
          <w:rFonts w:eastAsiaTheme="minorEastAsia"/>
          <w:noProof/>
          <w:kern w:val="2"/>
          <w:sz w:val="22"/>
          <w:szCs w:val="22"/>
          <w:lang w:val="fr-CA" w:eastAsia="fr-CA"/>
          <w14:ligatures w14:val="standardContextual"/>
        </w:rPr>
      </w:pPr>
      <w:hyperlink w:anchor="_Toc154048949" w:history="1">
        <w:r w:rsidR="00DD1219" w:rsidRPr="0002721E">
          <w:rPr>
            <w:rStyle w:val="Lienhypertexte"/>
            <w:noProof/>
          </w:rPr>
          <w:t>P161 a pour projection spatiale (est la projection spatiale de)</w:t>
        </w:r>
        <w:r w:rsidR="00DD1219">
          <w:rPr>
            <w:noProof/>
            <w:webHidden/>
          </w:rPr>
          <w:tab/>
        </w:r>
        <w:r w:rsidR="00DD1219">
          <w:rPr>
            <w:noProof/>
            <w:webHidden/>
          </w:rPr>
          <w:fldChar w:fldCharType="begin"/>
        </w:r>
        <w:r w:rsidR="00DD1219">
          <w:rPr>
            <w:noProof/>
            <w:webHidden/>
          </w:rPr>
          <w:instrText xml:space="preserve"> PAGEREF _Toc154048949 \h </w:instrText>
        </w:r>
        <w:r w:rsidR="00DD1219">
          <w:rPr>
            <w:noProof/>
            <w:webHidden/>
          </w:rPr>
        </w:r>
        <w:r w:rsidR="00DD1219">
          <w:rPr>
            <w:noProof/>
            <w:webHidden/>
          </w:rPr>
          <w:fldChar w:fldCharType="separate"/>
        </w:r>
        <w:r>
          <w:rPr>
            <w:noProof/>
            <w:webHidden/>
          </w:rPr>
          <w:t>297</w:t>
        </w:r>
        <w:r w:rsidR="00DD1219">
          <w:rPr>
            <w:noProof/>
            <w:webHidden/>
          </w:rPr>
          <w:fldChar w:fldCharType="end"/>
        </w:r>
      </w:hyperlink>
    </w:p>
    <w:p w14:paraId="26B5B0E9" w14:textId="0FC5D08C" w:rsidR="00DD1219" w:rsidRDefault="00C738AA">
      <w:pPr>
        <w:pStyle w:val="TM3"/>
        <w:rPr>
          <w:rFonts w:eastAsiaTheme="minorEastAsia"/>
          <w:noProof/>
          <w:kern w:val="2"/>
          <w:sz w:val="22"/>
          <w:szCs w:val="22"/>
          <w:lang w:val="fr-CA" w:eastAsia="fr-CA"/>
          <w14:ligatures w14:val="standardContextual"/>
        </w:rPr>
      </w:pPr>
      <w:hyperlink w:anchor="_Toc154048950" w:history="1">
        <w:r w:rsidR="00DD1219" w:rsidRPr="0002721E">
          <w:rPr>
            <w:rStyle w:val="Lienhypertexte"/>
            <w:noProof/>
          </w:rPr>
          <w:t>P164 est temporellement spécifié par (spécifie temporellement)</w:t>
        </w:r>
        <w:r w:rsidR="00DD1219">
          <w:rPr>
            <w:noProof/>
            <w:webHidden/>
          </w:rPr>
          <w:tab/>
        </w:r>
        <w:r w:rsidR="00DD1219">
          <w:rPr>
            <w:noProof/>
            <w:webHidden/>
          </w:rPr>
          <w:fldChar w:fldCharType="begin"/>
        </w:r>
        <w:r w:rsidR="00DD1219">
          <w:rPr>
            <w:noProof/>
            <w:webHidden/>
          </w:rPr>
          <w:instrText xml:space="preserve"> PAGEREF _Toc154048950 \h </w:instrText>
        </w:r>
        <w:r w:rsidR="00DD1219">
          <w:rPr>
            <w:noProof/>
            <w:webHidden/>
          </w:rPr>
        </w:r>
        <w:r w:rsidR="00DD1219">
          <w:rPr>
            <w:noProof/>
            <w:webHidden/>
          </w:rPr>
          <w:fldChar w:fldCharType="separate"/>
        </w:r>
        <w:r>
          <w:rPr>
            <w:noProof/>
            <w:webHidden/>
          </w:rPr>
          <w:t>298</w:t>
        </w:r>
        <w:r w:rsidR="00DD1219">
          <w:rPr>
            <w:noProof/>
            <w:webHidden/>
          </w:rPr>
          <w:fldChar w:fldCharType="end"/>
        </w:r>
      </w:hyperlink>
    </w:p>
    <w:p w14:paraId="2350A6D9" w14:textId="3906C07B" w:rsidR="00DD1219" w:rsidRDefault="00C738AA">
      <w:pPr>
        <w:pStyle w:val="TM3"/>
        <w:rPr>
          <w:rFonts w:eastAsiaTheme="minorEastAsia"/>
          <w:noProof/>
          <w:kern w:val="2"/>
          <w:sz w:val="22"/>
          <w:szCs w:val="22"/>
          <w:lang w:val="fr-CA" w:eastAsia="fr-CA"/>
          <w14:ligatures w14:val="standardContextual"/>
        </w:rPr>
      </w:pPr>
      <w:hyperlink w:anchor="_Toc154048951" w:history="1">
        <w:r w:rsidR="00DD1219" w:rsidRPr="0002721E">
          <w:rPr>
            <w:rStyle w:val="Lienhypertexte"/>
            <w:noProof/>
          </w:rPr>
          <w:t>P165 inclut (est inclus dans)</w:t>
        </w:r>
        <w:r w:rsidR="00DD1219">
          <w:rPr>
            <w:noProof/>
            <w:webHidden/>
          </w:rPr>
          <w:tab/>
        </w:r>
        <w:r w:rsidR="00DD1219">
          <w:rPr>
            <w:noProof/>
            <w:webHidden/>
          </w:rPr>
          <w:fldChar w:fldCharType="begin"/>
        </w:r>
        <w:r w:rsidR="00DD1219">
          <w:rPr>
            <w:noProof/>
            <w:webHidden/>
          </w:rPr>
          <w:instrText xml:space="preserve"> PAGEREF _Toc154048951 \h </w:instrText>
        </w:r>
        <w:r w:rsidR="00DD1219">
          <w:rPr>
            <w:noProof/>
            <w:webHidden/>
          </w:rPr>
        </w:r>
        <w:r w:rsidR="00DD1219">
          <w:rPr>
            <w:noProof/>
            <w:webHidden/>
          </w:rPr>
          <w:fldChar w:fldCharType="separate"/>
        </w:r>
        <w:r>
          <w:rPr>
            <w:noProof/>
            <w:webHidden/>
          </w:rPr>
          <w:t>299</w:t>
        </w:r>
        <w:r w:rsidR="00DD1219">
          <w:rPr>
            <w:noProof/>
            <w:webHidden/>
          </w:rPr>
          <w:fldChar w:fldCharType="end"/>
        </w:r>
      </w:hyperlink>
    </w:p>
    <w:p w14:paraId="681DA241" w14:textId="45391963" w:rsidR="00DD1219" w:rsidRDefault="00C738AA">
      <w:pPr>
        <w:pStyle w:val="TM3"/>
        <w:rPr>
          <w:rFonts w:eastAsiaTheme="minorEastAsia"/>
          <w:noProof/>
          <w:kern w:val="2"/>
          <w:sz w:val="22"/>
          <w:szCs w:val="22"/>
          <w:lang w:val="fr-CA" w:eastAsia="fr-CA"/>
          <w14:ligatures w14:val="standardContextual"/>
        </w:rPr>
      </w:pPr>
      <w:hyperlink w:anchor="_Toc154048952" w:history="1">
        <w:r w:rsidR="00DD1219" w:rsidRPr="0002721E">
          <w:rPr>
            <w:rStyle w:val="Lienhypertexte"/>
            <w:noProof/>
          </w:rPr>
          <w:t>P166 a été une présence de (a eu pour présence)</w:t>
        </w:r>
        <w:r w:rsidR="00DD1219">
          <w:rPr>
            <w:noProof/>
            <w:webHidden/>
          </w:rPr>
          <w:tab/>
        </w:r>
        <w:r w:rsidR="00DD1219">
          <w:rPr>
            <w:noProof/>
            <w:webHidden/>
          </w:rPr>
          <w:fldChar w:fldCharType="begin"/>
        </w:r>
        <w:r w:rsidR="00DD1219">
          <w:rPr>
            <w:noProof/>
            <w:webHidden/>
          </w:rPr>
          <w:instrText xml:space="preserve"> PAGEREF _Toc154048952 \h </w:instrText>
        </w:r>
        <w:r w:rsidR="00DD1219">
          <w:rPr>
            <w:noProof/>
            <w:webHidden/>
          </w:rPr>
        </w:r>
        <w:r w:rsidR="00DD1219">
          <w:rPr>
            <w:noProof/>
            <w:webHidden/>
          </w:rPr>
          <w:fldChar w:fldCharType="separate"/>
        </w:r>
        <w:r>
          <w:rPr>
            <w:noProof/>
            <w:webHidden/>
          </w:rPr>
          <w:t>301</w:t>
        </w:r>
        <w:r w:rsidR="00DD1219">
          <w:rPr>
            <w:noProof/>
            <w:webHidden/>
          </w:rPr>
          <w:fldChar w:fldCharType="end"/>
        </w:r>
      </w:hyperlink>
    </w:p>
    <w:p w14:paraId="53E68622" w14:textId="4CC29577" w:rsidR="00DD1219" w:rsidRDefault="00C738AA">
      <w:pPr>
        <w:pStyle w:val="TM3"/>
        <w:rPr>
          <w:rFonts w:eastAsiaTheme="minorEastAsia"/>
          <w:noProof/>
          <w:kern w:val="2"/>
          <w:sz w:val="22"/>
          <w:szCs w:val="22"/>
          <w:lang w:val="fr-CA" w:eastAsia="fr-CA"/>
          <w14:ligatures w14:val="standardContextual"/>
        </w:rPr>
      </w:pPr>
      <w:hyperlink w:anchor="_Toc154048953" w:history="1">
        <w:r w:rsidR="00DD1219" w:rsidRPr="0002721E">
          <w:rPr>
            <w:rStyle w:val="Lienhypertexte"/>
            <w:noProof/>
          </w:rPr>
          <w:t>P167 s’inscrivait dans (comporte)</w:t>
        </w:r>
        <w:r w:rsidR="00DD1219">
          <w:rPr>
            <w:noProof/>
            <w:webHidden/>
          </w:rPr>
          <w:tab/>
        </w:r>
        <w:r w:rsidR="00DD1219">
          <w:rPr>
            <w:noProof/>
            <w:webHidden/>
          </w:rPr>
          <w:fldChar w:fldCharType="begin"/>
        </w:r>
        <w:r w:rsidR="00DD1219">
          <w:rPr>
            <w:noProof/>
            <w:webHidden/>
          </w:rPr>
          <w:instrText xml:space="preserve"> PAGEREF _Toc154048953 \h </w:instrText>
        </w:r>
        <w:r w:rsidR="00DD1219">
          <w:rPr>
            <w:noProof/>
            <w:webHidden/>
          </w:rPr>
        </w:r>
        <w:r w:rsidR="00DD1219">
          <w:rPr>
            <w:noProof/>
            <w:webHidden/>
          </w:rPr>
          <w:fldChar w:fldCharType="separate"/>
        </w:r>
        <w:r>
          <w:rPr>
            <w:noProof/>
            <w:webHidden/>
          </w:rPr>
          <w:t>302</w:t>
        </w:r>
        <w:r w:rsidR="00DD1219">
          <w:rPr>
            <w:noProof/>
            <w:webHidden/>
          </w:rPr>
          <w:fldChar w:fldCharType="end"/>
        </w:r>
      </w:hyperlink>
    </w:p>
    <w:p w14:paraId="4DB49D1E" w14:textId="37DA558A" w:rsidR="00DD1219" w:rsidRDefault="00C738AA">
      <w:pPr>
        <w:pStyle w:val="TM3"/>
        <w:rPr>
          <w:rFonts w:eastAsiaTheme="minorEastAsia"/>
          <w:noProof/>
          <w:kern w:val="2"/>
          <w:sz w:val="22"/>
          <w:szCs w:val="22"/>
          <w:lang w:val="fr-CA" w:eastAsia="fr-CA"/>
          <w14:ligatures w14:val="standardContextual"/>
        </w:rPr>
      </w:pPr>
      <w:hyperlink w:anchor="_Toc154048954" w:history="1">
        <w:r w:rsidR="00DD1219" w:rsidRPr="0002721E">
          <w:rPr>
            <w:rStyle w:val="Lienhypertexte"/>
            <w:noProof/>
          </w:rPr>
          <w:t>P168 lieu défini par (définit le lieu)</w:t>
        </w:r>
        <w:r w:rsidR="00DD1219">
          <w:rPr>
            <w:noProof/>
            <w:webHidden/>
          </w:rPr>
          <w:tab/>
        </w:r>
        <w:r w:rsidR="00DD1219">
          <w:rPr>
            <w:noProof/>
            <w:webHidden/>
          </w:rPr>
          <w:fldChar w:fldCharType="begin"/>
        </w:r>
        <w:r w:rsidR="00DD1219">
          <w:rPr>
            <w:noProof/>
            <w:webHidden/>
          </w:rPr>
          <w:instrText xml:space="preserve"> PAGEREF _Toc154048954 \h </w:instrText>
        </w:r>
        <w:r w:rsidR="00DD1219">
          <w:rPr>
            <w:noProof/>
            <w:webHidden/>
          </w:rPr>
        </w:r>
        <w:r w:rsidR="00DD1219">
          <w:rPr>
            <w:noProof/>
            <w:webHidden/>
          </w:rPr>
          <w:fldChar w:fldCharType="separate"/>
        </w:r>
        <w:r>
          <w:rPr>
            <w:noProof/>
            <w:webHidden/>
          </w:rPr>
          <w:t>303</w:t>
        </w:r>
        <w:r w:rsidR="00DD1219">
          <w:rPr>
            <w:noProof/>
            <w:webHidden/>
          </w:rPr>
          <w:fldChar w:fldCharType="end"/>
        </w:r>
      </w:hyperlink>
    </w:p>
    <w:p w14:paraId="24FC6EC7" w14:textId="7CF6A30A" w:rsidR="00DD1219" w:rsidRDefault="00C738AA">
      <w:pPr>
        <w:pStyle w:val="TM3"/>
        <w:rPr>
          <w:rFonts w:eastAsiaTheme="minorEastAsia"/>
          <w:noProof/>
          <w:kern w:val="2"/>
          <w:sz w:val="22"/>
          <w:szCs w:val="22"/>
          <w:lang w:val="fr-CA" w:eastAsia="fr-CA"/>
          <w14:ligatures w14:val="standardContextual"/>
        </w:rPr>
      </w:pPr>
      <w:hyperlink w:anchor="_Toc154048955" w:history="1">
        <w:r w:rsidR="00DD1219" w:rsidRPr="0002721E">
          <w:rPr>
            <w:rStyle w:val="Lienhypertexte"/>
            <w:noProof/>
          </w:rPr>
          <w:t>P169 définit le volume spatio-temporel (volume spatio-temporel défini par)</w:t>
        </w:r>
        <w:r w:rsidR="00DD1219">
          <w:rPr>
            <w:noProof/>
            <w:webHidden/>
          </w:rPr>
          <w:tab/>
        </w:r>
        <w:r w:rsidR="00DD1219">
          <w:rPr>
            <w:noProof/>
            <w:webHidden/>
          </w:rPr>
          <w:fldChar w:fldCharType="begin"/>
        </w:r>
        <w:r w:rsidR="00DD1219">
          <w:rPr>
            <w:noProof/>
            <w:webHidden/>
          </w:rPr>
          <w:instrText xml:space="preserve"> PAGEREF _Toc154048955 \h </w:instrText>
        </w:r>
        <w:r w:rsidR="00DD1219">
          <w:rPr>
            <w:noProof/>
            <w:webHidden/>
          </w:rPr>
        </w:r>
        <w:r w:rsidR="00DD1219">
          <w:rPr>
            <w:noProof/>
            <w:webHidden/>
          </w:rPr>
          <w:fldChar w:fldCharType="separate"/>
        </w:r>
        <w:r>
          <w:rPr>
            <w:noProof/>
            <w:webHidden/>
          </w:rPr>
          <w:t>304</w:t>
        </w:r>
        <w:r w:rsidR="00DD1219">
          <w:rPr>
            <w:noProof/>
            <w:webHidden/>
          </w:rPr>
          <w:fldChar w:fldCharType="end"/>
        </w:r>
      </w:hyperlink>
    </w:p>
    <w:p w14:paraId="03328AD5" w14:textId="6FBCBBF2" w:rsidR="00DD1219" w:rsidRDefault="00C738AA">
      <w:pPr>
        <w:pStyle w:val="TM3"/>
        <w:rPr>
          <w:rFonts w:eastAsiaTheme="minorEastAsia"/>
          <w:noProof/>
          <w:kern w:val="2"/>
          <w:sz w:val="22"/>
          <w:szCs w:val="22"/>
          <w:lang w:val="fr-CA" w:eastAsia="fr-CA"/>
          <w14:ligatures w14:val="standardContextual"/>
        </w:rPr>
      </w:pPr>
      <w:hyperlink w:anchor="_Toc154048956" w:history="1">
        <w:r w:rsidR="00DD1219" w:rsidRPr="0002721E">
          <w:rPr>
            <w:rStyle w:val="Lienhypertexte"/>
            <w:noProof/>
          </w:rPr>
          <w:t>P170 définit le temps (temps défini par)</w:t>
        </w:r>
        <w:r w:rsidR="00DD1219">
          <w:rPr>
            <w:noProof/>
            <w:webHidden/>
          </w:rPr>
          <w:tab/>
        </w:r>
        <w:r w:rsidR="00DD1219">
          <w:rPr>
            <w:noProof/>
            <w:webHidden/>
          </w:rPr>
          <w:fldChar w:fldCharType="begin"/>
        </w:r>
        <w:r w:rsidR="00DD1219">
          <w:rPr>
            <w:noProof/>
            <w:webHidden/>
          </w:rPr>
          <w:instrText xml:space="preserve"> PAGEREF _Toc154048956 \h </w:instrText>
        </w:r>
        <w:r w:rsidR="00DD1219">
          <w:rPr>
            <w:noProof/>
            <w:webHidden/>
          </w:rPr>
        </w:r>
        <w:r w:rsidR="00DD1219">
          <w:rPr>
            <w:noProof/>
            <w:webHidden/>
          </w:rPr>
          <w:fldChar w:fldCharType="separate"/>
        </w:r>
        <w:r>
          <w:rPr>
            <w:noProof/>
            <w:webHidden/>
          </w:rPr>
          <w:t>304</w:t>
        </w:r>
        <w:r w:rsidR="00DD1219">
          <w:rPr>
            <w:noProof/>
            <w:webHidden/>
          </w:rPr>
          <w:fldChar w:fldCharType="end"/>
        </w:r>
      </w:hyperlink>
    </w:p>
    <w:p w14:paraId="4504CC3E" w14:textId="656C836C" w:rsidR="00DD1219" w:rsidRDefault="00C738AA">
      <w:pPr>
        <w:pStyle w:val="TM3"/>
        <w:rPr>
          <w:rFonts w:eastAsiaTheme="minorEastAsia"/>
          <w:noProof/>
          <w:kern w:val="2"/>
          <w:sz w:val="22"/>
          <w:szCs w:val="22"/>
          <w:lang w:val="fr-CA" w:eastAsia="fr-CA"/>
          <w14:ligatures w14:val="standardContextual"/>
        </w:rPr>
      </w:pPr>
      <w:hyperlink w:anchor="_Toc154048957" w:history="1">
        <w:r w:rsidR="00DD1219" w:rsidRPr="0002721E">
          <w:rPr>
            <w:rStyle w:val="Lienhypertexte"/>
            <w:noProof/>
          </w:rPr>
          <w:t>P171 quelque part dans</w:t>
        </w:r>
        <w:r w:rsidR="00DD1219">
          <w:rPr>
            <w:noProof/>
            <w:webHidden/>
          </w:rPr>
          <w:tab/>
        </w:r>
        <w:r w:rsidR="00DD1219">
          <w:rPr>
            <w:noProof/>
            <w:webHidden/>
          </w:rPr>
          <w:fldChar w:fldCharType="begin"/>
        </w:r>
        <w:r w:rsidR="00DD1219">
          <w:rPr>
            <w:noProof/>
            <w:webHidden/>
          </w:rPr>
          <w:instrText xml:space="preserve"> PAGEREF _Toc154048957 \h </w:instrText>
        </w:r>
        <w:r w:rsidR="00DD1219">
          <w:rPr>
            <w:noProof/>
            <w:webHidden/>
          </w:rPr>
        </w:r>
        <w:r w:rsidR="00DD1219">
          <w:rPr>
            <w:noProof/>
            <w:webHidden/>
          </w:rPr>
          <w:fldChar w:fldCharType="separate"/>
        </w:r>
        <w:r>
          <w:rPr>
            <w:noProof/>
            <w:webHidden/>
          </w:rPr>
          <w:t>305</w:t>
        </w:r>
        <w:r w:rsidR="00DD1219">
          <w:rPr>
            <w:noProof/>
            <w:webHidden/>
          </w:rPr>
          <w:fldChar w:fldCharType="end"/>
        </w:r>
      </w:hyperlink>
    </w:p>
    <w:p w14:paraId="641C4F93" w14:textId="0AA2DF04" w:rsidR="00DD1219" w:rsidRDefault="00C738AA">
      <w:pPr>
        <w:pStyle w:val="TM3"/>
        <w:rPr>
          <w:rFonts w:eastAsiaTheme="minorEastAsia"/>
          <w:noProof/>
          <w:kern w:val="2"/>
          <w:sz w:val="22"/>
          <w:szCs w:val="22"/>
          <w:lang w:val="fr-CA" w:eastAsia="fr-CA"/>
          <w14:ligatures w14:val="standardContextual"/>
        </w:rPr>
      </w:pPr>
      <w:hyperlink w:anchor="_Toc154048958" w:history="1">
        <w:r w:rsidR="00DD1219" w:rsidRPr="0002721E">
          <w:rPr>
            <w:rStyle w:val="Lienhypertexte"/>
            <w:noProof/>
          </w:rPr>
          <w:t>P172 contient</w:t>
        </w:r>
        <w:r w:rsidR="00DD1219">
          <w:rPr>
            <w:noProof/>
            <w:webHidden/>
          </w:rPr>
          <w:tab/>
        </w:r>
        <w:r w:rsidR="00DD1219">
          <w:rPr>
            <w:noProof/>
            <w:webHidden/>
          </w:rPr>
          <w:fldChar w:fldCharType="begin"/>
        </w:r>
        <w:r w:rsidR="00DD1219">
          <w:rPr>
            <w:noProof/>
            <w:webHidden/>
          </w:rPr>
          <w:instrText xml:space="preserve"> PAGEREF _Toc154048958 \h </w:instrText>
        </w:r>
        <w:r w:rsidR="00DD1219">
          <w:rPr>
            <w:noProof/>
            <w:webHidden/>
          </w:rPr>
        </w:r>
        <w:r w:rsidR="00DD1219">
          <w:rPr>
            <w:noProof/>
            <w:webHidden/>
          </w:rPr>
          <w:fldChar w:fldCharType="separate"/>
        </w:r>
        <w:r>
          <w:rPr>
            <w:noProof/>
            <w:webHidden/>
          </w:rPr>
          <w:t>306</w:t>
        </w:r>
        <w:r w:rsidR="00DD1219">
          <w:rPr>
            <w:noProof/>
            <w:webHidden/>
          </w:rPr>
          <w:fldChar w:fldCharType="end"/>
        </w:r>
      </w:hyperlink>
    </w:p>
    <w:p w14:paraId="2D259E35" w14:textId="26E37671" w:rsidR="00DD1219" w:rsidRDefault="00C738AA">
      <w:pPr>
        <w:pStyle w:val="TM3"/>
        <w:rPr>
          <w:rFonts w:eastAsiaTheme="minorEastAsia"/>
          <w:noProof/>
          <w:kern w:val="2"/>
          <w:sz w:val="22"/>
          <w:szCs w:val="22"/>
          <w:lang w:val="fr-CA" w:eastAsia="fr-CA"/>
          <w14:ligatures w14:val="standardContextual"/>
        </w:rPr>
      </w:pPr>
      <w:hyperlink w:anchor="_Toc154048959" w:history="1">
        <w:r w:rsidR="00DD1219" w:rsidRPr="0002721E">
          <w:rPr>
            <w:rStyle w:val="Lienhypertexte"/>
            <w:noProof/>
          </w:rPr>
          <w:t>P173 commence avant ou au moment de la fin de (se termine après ou au moment du début de)</w:t>
        </w:r>
        <w:r w:rsidR="00DD1219">
          <w:rPr>
            <w:noProof/>
            <w:webHidden/>
          </w:rPr>
          <w:tab/>
        </w:r>
        <w:r w:rsidR="00DD1219">
          <w:rPr>
            <w:noProof/>
            <w:webHidden/>
          </w:rPr>
          <w:fldChar w:fldCharType="begin"/>
        </w:r>
        <w:r w:rsidR="00DD1219">
          <w:rPr>
            <w:noProof/>
            <w:webHidden/>
          </w:rPr>
          <w:instrText xml:space="preserve"> PAGEREF _Toc154048959 \h </w:instrText>
        </w:r>
        <w:r w:rsidR="00DD1219">
          <w:rPr>
            <w:noProof/>
            <w:webHidden/>
          </w:rPr>
        </w:r>
        <w:r w:rsidR="00DD1219">
          <w:rPr>
            <w:noProof/>
            <w:webHidden/>
          </w:rPr>
          <w:fldChar w:fldCharType="separate"/>
        </w:r>
        <w:r>
          <w:rPr>
            <w:noProof/>
            <w:webHidden/>
          </w:rPr>
          <w:t>307</w:t>
        </w:r>
        <w:r w:rsidR="00DD1219">
          <w:rPr>
            <w:noProof/>
            <w:webHidden/>
          </w:rPr>
          <w:fldChar w:fldCharType="end"/>
        </w:r>
      </w:hyperlink>
    </w:p>
    <w:p w14:paraId="17332EFF" w14:textId="5CB25EC0" w:rsidR="00DD1219" w:rsidRDefault="00C738AA">
      <w:pPr>
        <w:pStyle w:val="TM3"/>
        <w:rPr>
          <w:rFonts w:eastAsiaTheme="minorEastAsia"/>
          <w:noProof/>
          <w:kern w:val="2"/>
          <w:sz w:val="22"/>
          <w:szCs w:val="22"/>
          <w:lang w:val="fr-CA" w:eastAsia="fr-CA"/>
          <w14:ligatures w14:val="standardContextual"/>
        </w:rPr>
      </w:pPr>
      <w:hyperlink w:anchor="_Toc154048960" w:history="1">
        <w:r w:rsidR="00DD1219" w:rsidRPr="0002721E">
          <w:rPr>
            <w:rStyle w:val="Lienhypertexte"/>
            <w:noProof/>
          </w:rPr>
          <w:t>P174 commence avant la fin de (se termine après le début de)</w:t>
        </w:r>
        <w:r w:rsidR="00DD1219">
          <w:rPr>
            <w:noProof/>
            <w:webHidden/>
          </w:rPr>
          <w:tab/>
        </w:r>
        <w:r w:rsidR="00DD1219">
          <w:rPr>
            <w:noProof/>
            <w:webHidden/>
          </w:rPr>
          <w:fldChar w:fldCharType="begin"/>
        </w:r>
        <w:r w:rsidR="00DD1219">
          <w:rPr>
            <w:noProof/>
            <w:webHidden/>
          </w:rPr>
          <w:instrText xml:space="preserve"> PAGEREF _Toc154048960 \h </w:instrText>
        </w:r>
        <w:r w:rsidR="00DD1219">
          <w:rPr>
            <w:noProof/>
            <w:webHidden/>
          </w:rPr>
        </w:r>
        <w:r w:rsidR="00DD1219">
          <w:rPr>
            <w:noProof/>
            <w:webHidden/>
          </w:rPr>
          <w:fldChar w:fldCharType="separate"/>
        </w:r>
        <w:r>
          <w:rPr>
            <w:noProof/>
            <w:webHidden/>
          </w:rPr>
          <w:t>309</w:t>
        </w:r>
        <w:r w:rsidR="00DD1219">
          <w:rPr>
            <w:noProof/>
            <w:webHidden/>
          </w:rPr>
          <w:fldChar w:fldCharType="end"/>
        </w:r>
      </w:hyperlink>
    </w:p>
    <w:p w14:paraId="219EBB04" w14:textId="5235C040" w:rsidR="00DD1219" w:rsidRDefault="00C738AA">
      <w:pPr>
        <w:pStyle w:val="TM3"/>
        <w:rPr>
          <w:rFonts w:eastAsiaTheme="minorEastAsia"/>
          <w:noProof/>
          <w:kern w:val="2"/>
          <w:sz w:val="22"/>
          <w:szCs w:val="22"/>
          <w:lang w:val="fr-CA" w:eastAsia="fr-CA"/>
          <w14:ligatures w14:val="standardContextual"/>
        </w:rPr>
      </w:pPr>
      <w:hyperlink w:anchor="_Toc154048961" w:history="1">
        <w:r w:rsidR="00DD1219" w:rsidRPr="0002721E">
          <w:rPr>
            <w:rStyle w:val="Lienhypertexte"/>
            <w:noProof/>
          </w:rPr>
          <w:t>P175 commence avant ou au moment du début de (commence après ou au moment du début de)</w:t>
        </w:r>
        <w:r w:rsidR="00DD1219">
          <w:rPr>
            <w:noProof/>
            <w:webHidden/>
          </w:rPr>
          <w:tab/>
        </w:r>
        <w:r w:rsidR="00DD1219">
          <w:rPr>
            <w:noProof/>
            <w:webHidden/>
          </w:rPr>
          <w:fldChar w:fldCharType="begin"/>
        </w:r>
        <w:r w:rsidR="00DD1219">
          <w:rPr>
            <w:noProof/>
            <w:webHidden/>
          </w:rPr>
          <w:instrText xml:space="preserve"> PAGEREF _Toc154048961 \h </w:instrText>
        </w:r>
        <w:r w:rsidR="00DD1219">
          <w:rPr>
            <w:noProof/>
            <w:webHidden/>
          </w:rPr>
        </w:r>
        <w:r w:rsidR="00DD1219">
          <w:rPr>
            <w:noProof/>
            <w:webHidden/>
          </w:rPr>
          <w:fldChar w:fldCharType="separate"/>
        </w:r>
        <w:r>
          <w:rPr>
            <w:noProof/>
            <w:webHidden/>
          </w:rPr>
          <w:t>312</w:t>
        </w:r>
        <w:r w:rsidR="00DD1219">
          <w:rPr>
            <w:noProof/>
            <w:webHidden/>
          </w:rPr>
          <w:fldChar w:fldCharType="end"/>
        </w:r>
      </w:hyperlink>
    </w:p>
    <w:p w14:paraId="61793BC7" w14:textId="19943356" w:rsidR="00DD1219" w:rsidRDefault="00C738AA">
      <w:pPr>
        <w:pStyle w:val="TM3"/>
        <w:rPr>
          <w:rFonts w:eastAsiaTheme="minorEastAsia"/>
          <w:noProof/>
          <w:kern w:val="2"/>
          <w:sz w:val="22"/>
          <w:szCs w:val="22"/>
          <w:lang w:val="fr-CA" w:eastAsia="fr-CA"/>
          <w14:ligatures w14:val="standardContextual"/>
        </w:rPr>
      </w:pPr>
      <w:hyperlink w:anchor="_Toc154048962" w:history="1">
        <w:r w:rsidR="00DD1219" w:rsidRPr="0002721E">
          <w:rPr>
            <w:rStyle w:val="Lienhypertexte"/>
            <w:noProof/>
          </w:rPr>
          <w:t>P176 commence avant le début de (commence après le début de)</w:t>
        </w:r>
        <w:r w:rsidR="00DD1219">
          <w:rPr>
            <w:noProof/>
            <w:webHidden/>
          </w:rPr>
          <w:tab/>
        </w:r>
        <w:r w:rsidR="00DD1219">
          <w:rPr>
            <w:noProof/>
            <w:webHidden/>
          </w:rPr>
          <w:fldChar w:fldCharType="begin"/>
        </w:r>
        <w:r w:rsidR="00DD1219">
          <w:rPr>
            <w:noProof/>
            <w:webHidden/>
          </w:rPr>
          <w:instrText xml:space="preserve"> PAGEREF _Toc154048962 \h </w:instrText>
        </w:r>
        <w:r w:rsidR="00DD1219">
          <w:rPr>
            <w:noProof/>
            <w:webHidden/>
          </w:rPr>
        </w:r>
        <w:r w:rsidR="00DD1219">
          <w:rPr>
            <w:noProof/>
            <w:webHidden/>
          </w:rPr>
          <w:fldChar w:fldCharType="separate"/>
        </w:r>
        <w:r>
          <w:rPr>
            <w:noProof/>
            <w:webHidden/>
          </w:rPr>
          <w:t>314</w:t>
        </w:r>
        <w:r w:rsidR="00DD1219">
          <w:rPr>
            <w:noProof/>
            <w:webHidden/>
          </w:rPr>
          <w:fldChar w:fldCharType="end"/>
        </w:r>
      </w:hyperlink>
    </w:p>
    <w:p w14:paraId="02F72B65" w14:textId="57F6F31B" w:rsidR="00DD1219" w:rsidRDefault="00C738AA">
      <w:pPr>
        <w:pStyle w:val="TM3"/>
        <w:rPr>
          <w:rFonts w:eastAsiaTheme="minorEastAsia"/>
          <w:noProof/>
          <w:kern w:val="2"/>
          <w:sz w:val="22"/>
          <w:szCs w:val="22"/>
          <w:lang w:val="fr-CA" w:eastAsia="fr-CA"/>
          <w14:ligatures w14:val="standardContextual"/>
        </w:rPr>
      </w:pPr>
      <w:hyperlink w:anchor="_Toc154048963" w:history="1">
        <w:r w:rsidR="00DD1219" w:rsidRPr="0002721E">
          <w:rPr>
            <w:rStyle w:val="Lienhypertexte"/>
            <w:noProof/>
          </w:rPr>
          <w:t>P177 a assigné le type de propriété (est le type de propriété assigné)</w:t>
        </w:r>
        <w:r w:rsidR="00DD1219">
          <w:rPr>
            <w:noProof/>
            <w:webHidden/>
          </w:rPr>
          <w:tab/>
        </w:r>
        <w:r w:rsidR="00DD1219">
          <w:rPr>
            <w:noProof/>
            <w:webHidden/>
          </w:rPr>
          <w:fldChar w:fldCharType="begin"/>
        </w:r>
        <w:r w:rsidR="00DD1219">
          <w:rPr>
            <w:noProof/>
            <w:webHidden/>
          </w:rPr>
          <w:instrText xml:space="preserve"> PAGEREF _Toc154048963 \h </w:instrText>
        </w:r>
        <w:r w:rsidR="00DD1219">
          <w:rPr>
            <w:noProof/>
            <w:webHidden/>
          </w:rPr>
        </w:r>
        <w:r w:rsidR="00DD1219">
          <w:rPr>
            <w:noProof/>
            <w:webHidden/>
          </w:rPr>
          <w:fldChar w:fldCharType="separate"/>
        </w:r>
        <w:r>
          <w:rPr>
            <w:noProof/>
            <w:webHidden/>
          </w:rPr>
          <w:t>316</w:t>
        </w:r>
        <w:r w:rsidR="00DD1219">
          <w:rPr>
            <w:noProof/>
            <w:webHidden/>
          </w:rPr>
          <w:fldChar w:fldCharType="end"/>
        </w:r>
      </w:hyperlink>
    </w:p>
    <w:p w14:paraId="5F487CF5" w14:textId="6AFD4E1F" w:rsidR="00DD1219" w:rsidRDefault="00C738AA">
      <w:pPr>
        <w:pStyle w:val="TM3"/>
        <w:rPr>
          <w:rFonts w:eastAsiaTheme="minorEastAsia"/>
          <w:noProof/>
          <w:kern w:val="2"/>
          <w:sz w:val="22"/>
          <w:szCs w:val="22"/>
          <w:lang w:val="fr-CA" w:eastAsia="fr-CA"/>
          <w14:ligatures w14:val="standardContextual"/>
        </w:rPr>
      </w:pPr>
      <w:hyperlink w:anchor="_Toc154048964" w:history="1">
        <w:r w:rsidR="00DD1219" w:rsidRPr="0002721E">
          <w:rPr>
            <w:rStyle w:val="Lienhypertexte"/>
            <w:noProof/>
          </w:rPr>
          <w:t>P179 a eu pour prix de vente (a été le prix de vente de)</w:t>
        </w:r>
        <w:r w:rsidR="00DD1219">
          <w:rPr>
            <w:noProof/>
            <w:webHidden/>
          </w:rPr>
          <w:tab/>
        </w:r>
        <w:r w:rsidR="00DD1219">
          <w:rPr>
            <w:noProof/>
            <w:webHidden/>
          </w:rPr>
          <w:fldChar w:fldCharType="begin"/>
        </w:r>
        <w:r w:rsidR="00DD1219">
          <w:rPr>
            <w:noProof/>
            <w:webHidden/>
          </w:rPr>
          <w:instrText xml:space="preserve"> PAGEREF _Toc154048964 \h </w:instrText>
        </w:r>
        <w:r w:rsidR="00DD1219">
          <w:rPr>
            <w:noProof/>
            <w:webHidden/>
          </w:rPr>
        </w:r>
        <w:r w:rsidR="00DD1219">
          <w:rPr>
            <w:noProof/>
            <w:webHidden/>
          </w:rPr>
          <w:fldChar w:fldCharType="separate"/>
        </w:r>
        <w:r>
          <w:rPr>
            <w:noProof/>
            <w:webHidden/>
          </w:rPr>
          <w:t>318</w:t>
        </w:r>
        <w:r w:rsidR="00DD1219">
          <w:rPr>
            <w:noProof/>
            <w:webHidden/>
          </w:rPr>
          <w:fldChar w:fldCharType="end"/>
        </w:r>
      </w:hyperlink>
    </w:p>
    <w:p w14:paraId="7AEEB6D8" w14:textId="4F760388" w:rsidR="00DD1219" w:rsidRDefault="00C738AA">
      <w:pPr>
        <w:pStyle w:val="TM3"/>
        <w:rPr>
          <w:rFonts w:eastAsiaTheme="minorEastAsia"/>
          <w:noProof/>
          <w:kern w:val="2"/>
          <w:sz w:val="22"/>
          <w:szCs w:val="22"/>
          <w:lang w:val="fr-CA" w:eastAsia="fr-CA"/>
          <w14:ligatures w14:val="standardContextual"/>
        </w:rPr>
      </w:pPr>
      <w:hyperlink w:anchor="_Toc154048965" w:history="1">
        <w:r w:rsidR="00DD1219" w:rsidRPr="0002721E">
          <w:rPr>
            <w:rStyle w:val="Lienhypertexte"/>
            <w:noProof/>
          </w:rPr>
          <w:t>P180 a pour unité monétaire (était l’unité monétaire de)</w:t>
        </w:r>
        <w:r w:rsidR="00DD1219">
          <w:rPr>
            <w:noProof/>
            <w:webHidden/>
          </w:rPr>
          <w:tab/>
        </w:r>
        <w:r w:rsidR="00DD1219">
          <w:rPr>
            <w:noProof/>
            <w:webHidden/>
          </w:rPr>
          <w:fldChar w:fldCharType="begin"/>
        </w:r>
        <w:r w:rsidR="00DD1219">
          <w:rPr>
            <w:noProof/>
            <w:webHidden/>
          </w:rPr>
          <w:instrText xml:space="preserve"> PAGEREF _Toc154048965 \h </w:instrText>
        </w:r>
        <w:r w:rsidR="00DD1219">
          <w:rPr>
            <w:noProof/>
            <w:webHidden/>
          </w:rPr>
        </w:r>
        <w:r w:rsidR="00DD1219">
          <w:rPr>
            <w:noProof/>
            <w:webHidden/>
          </w:rPr>
          <w:fldChar w:fldCharType="separate"/>
        </w:r>
        <w:r>
          <w:rPr>
            <w:noProof/>
            <w:webHidden/>
          </w:rPr>
          <w:t>319</w:t>
        </w:r>
        <w:r w:rsidR="00DD1219">
          <w:rPr>
            <w:noProof/>
            <w:webHidden/>
          </w:rPr>
          <w:fldChar w:fldCharType="end"/>
        </w:r>
      </w:hyperlink>
    </w:p>
    <w:p w14:paraId="32E96645" w14:textId="66809E92" w:rsidR="00DD1219" w:rsidRDefault="00C738AA">
      <w:pPr>
        <w:pStyle w:val="TM3"/>
        <w:rPr>
          <w:rFonts w:eastAsiaTheme="minorEastAsia"/>
          <w:noProof/>
          <w:kern w:val="2"/>
          <w:sz w:val="22"/>
          <w:szCs w:val="22"/>
          <w:lang w:val="fr-CA" w:eastAsia="fr-CA"/>
          <w14:ligatures w14:val="standardContextual"/>
        </w:rPr>
      </w:pPr>
      <w:hyperlink w:anchor="_Toc154048966" w:history="1">
        <w:r w:rsidR="00DD1219" w:rsidRPr="0002721E">
          <w:rPr>
            <w:rStyle w:val="Lienhypertexte"/>
            <w:noProof/>
          </w:rPr>
          <w:t>P182 se termine avant ou au moment du début de (commence après ou au moment de la fin de)</w:t>
        </w:r>
        <w:r w:rsidR="00DD1219">
          <w:rPr>
            <w:noProof/>
            <w:webHidden/>
          </w:rPr>
          <w:tab/>
        </w:r>
        <w:r w:rsidR="00DD1219">
          <w:rPr>
            <w:noProof/>
            <w:webHidden/>
          </w:rPr>
          <w:fldChar w:fldCharType="begin"/>
        </w:r>
        <w:r w:rsidR="00DD1219">
          <w:rPr>
            <w:noProof/>
            <w:webHidden/>
          </w:rPr>
          <w:instrText xml:space="preserve"> PAGEREF _Toc154048966 \h </w:instrText>
        </w:r>
        <w:r w:rsidR="00DD1219">
          <w:rPr>
            <w:noProof/>
            <w:webHidden/>
          </w:rPr>
        </w:r>
        <w:r w:rsidR="00DD1219">
          <w:rPr>
            <w:noProof/>
            <w:webHidden/>
          </w:rPr>
          <w:fldChar w:fldCharType="separate"/>
        </w:r>
        <w:r>
          <w:rPr>
            <w:noProof/>
            <w:webHidden/>
          </w:rPr>
          <w:t>319</w:t>
        </w:r>
        <w:r w:rsidR="00DD1219">
          <w:rPr>
            <w:noProof/>
            <w:webHidden/>
          </w:rPr>
          <w:fldChar w:fldCharType="end"/>
        </w:r>
      </w:hyperlink>
    </w:p>
    <w:p w14:paraId="3F052AD3" w14:textId="46E82713" w:rsidR="00DD1219" w:rsidRDefault="00C738AA">
      <w:pPr>
        <w:pStyle w:val="TM3"/>
        <w:rPr>
          <w:rFonts w:eastAsiaTheme="minorEastAsia"/>
          <w:noProof/>
          <w:kern w:val="2"/>
          <w:sz w:val="22"/>
          <w:szCs w:val="22"/>
          <w:lang w:val="fr-CA" w:eastAsia="fr-CA"/>
          <w14:ligatures w14:val="standardContextual"/>
        </w:rPr>
      </w:pPr>
      <w:hyperlink w:anchor="_Toc154048967" w:history="1">
        <w:r w:rsidR="00DD1219" w:rsidRPr="0002721E">
          <w:rPr>
            <w:rStyle w:val="Lienhypertexte"/>
            <w:noProof/>
          </w:rPr>
          <w:t>P183 se termine avant le début de (commence après la fin de)</w:t>
        </w:r>
        <w:r w:rsidR="00DD1219">
          <w:rPr>
            <w:noProof/>
            <w:webHidden/>
          </w:rPr>
          <w:tab/>
        </w:r>
        <w:r w:rsidR="00DD1219">
          <w:rPr>
            <w:noProof/>
            <w:webHidden/>
          </w:rPr>
          <w:fldChar w:fldCharType="begin"/>
        </w:r>
        <w:r w:rsidR="00DD1219">
          <w:rPr>
            <w:noProof/>
            <w:webHidden/>
          </w:rPr>
          <w:instrText xml:space="preserve"> PAGEREF _Toc154048967 \h </w:instrText>
        </w:r>
        <w:r w:rsidR="00DD1219">
          <w:rPr>
            <w:noProof/>
            <w:webHidden/>
          </w:rPr>
        </w:r>
        <w:r w:rsidR="00DD1219">
          <w:rPr>
            <w:noProof/>
            <w:webHidden/>
          </w:rPr>
          <w:fldChar w:fldCharType="separate"/>
        </w:r>
        <w:r>
          <w:rPr>
            <w:noProof/>
            <w:webHidden/>
          </w:rPr>
          <w:t>322</w:t>
        </w:r>
        <w:r w:rsidR="00DD1219">
          <w:rPr>
            <w:noProof/>
            <w:webHidden/>
          </w:rPr>
          <w:fldChar w:fldCharType="end"/>
        </w:r>
      </w:hyperlink>
    </w:p>
    <w:p w14:paraId="4448BE9D" w14:textId="41B06C0E" w:rsidR="00DD1219" w:rsidRDefault="00C738AA">
      <w:pPr>
        <w:pStyle w:val="TM3"/>
        <w:rPr>
          <w:rFonts w:eastAsiaTheme="minorEastAsia"/>
          <w:noProof/>
          <w:kern w:val="2"/>
          <w:sz w:val="22"/>
          <w:szCs w:val="22"/>
          <w:lang w:val="fr-CA" w:eastAsia="fr-CA"/>
          <w14:ligatures w14:val="standardContextual"/>
        </w:rPr>
      </w:pPr>
      <w:hyperlink w:anchor="_Toc154048968" w:history="1">
        <w:r w:rsidR="00DD1219" w:rsidRPr="0002721E">
          <w:rPr>
            <w:rStyle w:val="Lienhypertexte"/>
            <w:noProof/>
          </w:rPr>
          <w:t>P184 se termine avant ou au moment de la fin de (se termine au moment de ou après la fin de)</w:t>
        </w:r>
        <w:r w:rsidR="00DD1219">
          <w:rPr>
            <w:noProof/>
            <w:webHidden/>
          </w:rPr>
          <w:tab/>
        </w:r>
        <w:r w:rsidR="00DD1219">
          <w:rPr>
            <w:noProof/>
            <w:webHidden/>
          </w:rPr>
          <w:fldChar w:fldCharType="begin"/>
        </w:r>
        <w:r w:rsidR="00DD1219">
          <w:rPr>
            <w:noProof/>
            <w:webHidden/>
          </w:rPr>
          <w:instrText xml:space="preserve"> PAGEREF _Toc154048968 \h </w:instrText>
        </w:r>
        <w:r w:rsidR="00DD1219">
          <w:rPr>
            <w:noProof/>
            <w:webHidden/>
          </w:rPr>
        </w:r>
        <w:r w:rsidR="00DD1219">
          <w:rPr>
            <w:noProof/>
            <w:webHidden/>
          </w:rPr>
          <w:fldChar w:fldCharType="separate"/>
        </w:r>
        <w:r>
          <w:rPr>
            <w:noProof/>
            <w:webHidden/>
          </w:rPr>
          <w:t>324</w:t>
        </w:r>
        <w:r w:rsidR="00DD1219">
          <w:rPr>
            <w:noProof/>
            <w:webHidden/>
          </w:rPr>
          <w:fldChar w:fldCharType="end"/>
        </w:r>
      </w:hyperlink>
    </w:p>
    <w:p w14:paraId="35C55E55" w14:textId="1701D09C" w:rsidR="00DD1219" w:rsidRDefault="00C738AA">
      <w:pPr>
        <w:pStyle w:val="TM3"/>
        <w:rPr>
          <w:rFonts w:eastAsiaTheme="minorEastAsia"/>
          <w:noProof/>
          <w:kern w:val="2"/>
          <w:sz w:val="22"/>
          <w:szCs w:val="22"/>
          <w:lang w:val="fr-CA" w:eastAsia="fr-CA"/>
          <w14:ligatures w14:val="standardContextual"/>
        </w:rPr>
      </w:pPr>
      <w:hyperlink w:anchor="_Toc154048969" w:history="1">
        <w:r w:rsidR="00DD1219" w:rsidRPr="0002721E">
          <w:rPr>
            <w:rStyle w:val="Lienhypertexte"/>
            <w:noProof/>
          </w:rPr>
          <w:t>P185 se termine avant la fin de (se termine après la fin de)</w:t>
        </w:r>
        <w:r w:rsidR="00DD1219">
          <w:rPr>
            <w:noProof/>
            <w:webHidden/>
          </w:rPr>
          <w:tab/>
        </w:r>
        <w:r w:rsidR="00DD1219">
          <w:rPr>
            <w:noProof/>
            <w:webHidden/>
          </w:rPr>
          <w:fldChar w:fldCharType="begin"/>
        </w:r>
        <w:r w:rsidR="00DD1219">
          <w:rPr>
            <w:noProof/>
            <w:webHidden/>
          </w:rPr>
          <w:instrText xml:space="preserve"> PAGEREF _Toc154048969 \h </w:instrText>
        </w:r>
        <w:r w:rsidR="00DD1219">
          <w:rPr>
            <w:noProof/>
            <w:webHidden/>
          </w:rPr>
        </w:r>
        <w:r w:rsidR="00DD1219">
          <w:rPr>
            <w:noProof/>
            <w:webHidden/>
          </w:rPr>
          <w:fldChar w:fldCharType="separate"/>
        </w:r>
        <w:r>
          <w:rPr>
            <w:noProof/>
            <w:webHidden/>
          </w:rPr>
          <w:t>326</w:t>
        </w:r>
        <w:r w:rsidR="00DD1219">
          <w:rPr>
            <w:noProof/>
            <w:webHidden/>
          </w:rPr>
          <w:fldChar w:fldCharType="end"/>
        </w:r>
      </w:hyperlink>
    </w:p>
    <w:p w14:paraId="6FC0BFCA" w14:textId="58EE2E26" w:rsidR="00DD1219" w:rsidRDefault="00C738AA">
      <w:pPr>
        <w:pStyle w:val="TM3"/>
        <w:rPr>
          <w:rFonts w:eastAsiaTheme="minorEastAsia"/>
          <w:noProof/>
          <w:kern w:val="2"/>
          <w:sz w:val="22"/>
          <w:szCs w:val="22"/>
          <w:lang w:val="fr-CA" w:eastAsia="fr-CA"/>
          <w14:ligatures w14:val="standardContextual"/>
        </w:rPr>
      </w:pPr>
      <w:hyperlink w:anchor="_Toc154048970" w:history="1">
        <w:r w:rsidR="00DD1219" w:rsidRPr="0002721E">
          <w:rPr>
            <w:rStyle w:val="Lienhypertexte"/>
            <w:noProof/>
          </w:rPr>
          <w:t>P186 a produit la chose du type (est produit par)</w:t>
        </w:r>
        <w:r w:rsidR="00DD1219">
          <w:rPr>
            <w:noProof/>
            <w:webHidden/>
          </w:rPr>
          <w:tab/>
        </w:r>
        <w:r w:rsidR="00DD1219">
          <w:rPr>
            <w:noProof/>
            <w:webHidden/>
          </w:rPr>
          <w:fldChar w:fldCharType="begin"/>
        </w:r>
        <w:r w:rsidR="00DD1219">
          <w:rPr>
            <w:noProof/>
            <w:webHidden/>
          </w:rPr>
          <w:instrText xml:space="preserve"> PAGEREF _Toc154048970 \h </w:instrText>
        </w:r>
        <w:r w:rsidR="00DD1219">
          <w:rPr>
            <w:noProof/>
            <w:webHidden/>
          </w:rPr>
        </w:r>
        <w:r w:rsidR="00DD1219">
          <w:rPr>
            <w:noProof/>
            <w:webHidden/>
          </w:rPr>
          <w:fldChar w:fldCharType="separate"/>
        </w:r>
        <w:r>
          <w:rPr>
            <w:noProof/>
            <w:webHidden/>
          </w:rPr>
          <w:t>328</w:t>
        </w:r>
        <w:r w:rsidR="00DD1219">
          <w:rPr>
            <w:noProof/>
            <w:webHidden/>
          </w:rPr>
          <w:fldChar w:fldCharType="end"/>
        </w:r>
      </w:hyperlink>
    </w:p>
    <w:p w14:paraId="508A8B36" w14:textId="48C1AA38" w:rsidR="00DD1219" w:rsidRDefault="00C738AA">
      <w:pPr>
        <w:pStyle w:val="TM3"/>
        <w:rPr>
          <w:rFonts w:eastAsiaTheme="minorEastAsia"/>
          <w:noProof/>
          <w:kern w:val="2"/>
          <w:sz w:val="22"/>
          <w:szCs w:val="22"/>
          <w:lang w:val="fr-CA" w:eastAsia="fr-CA"/>
          <w14:ligatures w14:val="standardContextual"/>
        </w:rPr>
      </w:pPr>
      <w:hyperlink w:anchor="_Toc154048971" w:history="1">
        <w:r w:rsidR="00DD1219" w:rsidRPr="0002721E">
          <w:rPr>
            <w:rStyle w:val="Lienhypertexte"/>
            <w:noProof/>
          </w:rPr>
          <w:t>P187 a pour plan de production (est le plan de production de)</w:t>
        </w:r>
        <w:r w:rsidR="00DD1219">
          <w:rPr>
            <w:noProof/>
            <w:webHidden/>
          </w:rPr>
          <w:tab/>
        </w:r>
        <w:r w:rsidR="00DD1219">
          <w:rPr>
            <w:noProof/>
            <w:webHidden/>
          </w:rPr>
          <w:fldChar w:fldCharType="begin"/>
        </w:r>
        <w:r w:rsidR="00DD1219">
          <w:rPr>
            <w:noProof/>
            <w:webHidden/>
          </w:rPr>
          <w:instrText xml:space="preserve"> PAGEREF _Toc154048971 \h </w:instrText>
        </w:r>
        <w:r w:rsidR="00DD1219">
          <w:rPr>
            <w:noProof/>
            <w:webHidden/>
          </w:rPr>
        </w:r>
        <w:r w:rsidR="00DD1219">
          <w:rPr>
            <w:noProof/>
            <w:webHidden/>
          </w:rPr>
          <w:fldChar w:fldCharType="separate"/>
        </w:r>
        <w:r>
          <w:rPr>
            <w:noProof/>
            <w:webHidden/>
          </w:rPr>
          <w:t>329</w:t>
        </w:r>
        <w:r w:rsidR="00DD1219">
          <w:rPr>
            <w:noProof/>
            <w:webHidden/>
          </w:rPr>
          <w:fldChar w:fldCharType="end"/>
        </w:r>
      </w:hyperlink>
    </w:p>
    <w:p w14:paraId="6E0B86EF" w14:textId="7D726CE9" w:rsidR="00DD1219" w:rsidRDefault="00C738AA">
      <w:pPr>
        <w:pStyle w:val="TM3"/>
        <w:rPr>
          <w:rFonts w:eastAsiaTheme="minorEastAsia"/>
          <w:noProof/>
          <w:kern w:val="2"/>
          <w:sz w:val="22"/>
          <w:szCs w:val="22"/>
          <w:lang w:val="fr-CA" w:eastAsia="fr-CA"/>
          <w14:ligatures w14:val="standardContextual"/>
        </w:rPr>
      </w:pPr>
      <w:hyperlink w:anchor="_Toc154048972" w:history="1">
        <w:r w:rsidR="00DD1219" w:rsidRPr="0002721E">
          <w:rPr>
            <w:rStyle w:val="Lienhypertexte"/>
            <w:noProof/>
          </w:rPr>
          <w:t>P188 nécessite l’outil (est l’outil de production de)</w:t>
        </w:r>
        <w:r w:rsidR="00DD1219">
          <w:rPr>
            <w:noProof/>
            <w:webHidden/>
          </w:rPr>
          <w:tab/>
        </w:r>
        <w:r w:rsidR="00DD1219">
          <w:rPr>
            <w:noProof/>
            <w:webHidden/>
          </w:rPr>
          <w:fldChar w:fldCharType="begin"/>
        </w:r>
        <w:r w:rsidR="00DD1219">
          <w:rPr>
            <w:noProof/>
            <w:webHidden/>
          </w:rPr>
          <w:instrText xml:space="preserve"> PAGEREF _Toc154048972 \h </w:instrText>
        </w:r>
        <w:r w:rsidR="00DD1219">
          <w:rPr>
            <w:noProof/>
            <w:webHidden/>
          </w:rPr>
        </w:r>
        <w:r w:rsidR="00DD1219">
          <w:rPr>
            <w:noProof/>
            <w:webHidden/>
          </w:rPr>
          <w:fldChar w:fldCharType="separate"/>
        </w:r>
        <w:r>
          <w:rPr>
            <w:noProof/>
            <w:webHidden/>
          </w:rPr>
          <w:t>329</w:t>
        </w:r>
        <w:r w:rsidR="00DD1219">
          <w:rPr>
            <w:noProof/>
            <w:webHidden/>
          </w:rPr>
          <w:fldChar w:fldCharType="end"/>
        </w:r>
      </w:hyperlink>
    </w:p>
    <w:p w14:paraId="4B446361" w14:textId="57606608" w:rsidR="00DD1219" w:rsidRDefault="00C738AA">
      <w:pPr>
        <w:pStyle w:val="TM3"/>
        <w:rPr>
          <w:rFonts w:eastAsiaTheme="minorEastAsia"/>
          <w:noProof/>
          <w:kern w:val="2"/>
          <w:sz w:val="22"/>
          <w:szCs w:val="22"/>
          <w:lang w:val="fr-CA" w:eastAsia="fr-CA"/>
          <w14:ligatures w14:val="standardContextual"/>
        </w:rPr>
      </w:pPr>
      <w:hyperlink w:anchor="_Toc154048973" w:history="1">
        <w:r w:rsidR="00DD1219" w:rsidRPr="0002721E">
          <w:rPr>
            <w:rStyle w:val="Lienhypertexte"/>
            <w:noProof/>
          </w:rPr>
          <w:t>P189 approxime (est approximé par)</w:t>
        </w:r>
        <w:r w:rsidR="00DD1219">
          <w:rPr>
            <w:noProof/>
            <w:webHidden/>
          </w:rPr>
          <w:tab/>
        </w:r>
        <w:r w:rsidR="00DD1219">
          <w:rPr>
            <w:noProof/>
            <w:webHidden/>
          </w:rPr>
          <w:fldChar w:fldCharType="begin"/>
        </w:r>
        <w:r w:rsidR="00DD1219">
          <w:rPr>
            <w:noProof/>
            <w:webHidden/>
          </w:rPr>
          <w:instrText xml:space="preserve"> PAGEREF _Toc154048973 \h </w:instrText>
        </w:r>
        <w:r w:rsidR="00DD1219">
          <w:rPr>
            <w:noProof/>
            <w:webHidden/>
          </w:rPr>
        </w:r>
        <w:r w:rsidR="00DD1219">
          <w:rPr>
            <w:noProof/>
            <w:webHidden/>
          </w:rPr>
          <w:fldChar w:fldCharType="separate"/>
        </w:r>
        <w:r>
          <w:rPr>
            <w:noProof/>
            <w:webHidden/>
          </w:rPr>
          <w:t>330</w:t>
        </w:r>
        <w:r w:rsidR="00DD1219">
          <w:rPr>
            <w:noProof/>
            <w:webHidden/>
          </w:rPr>
          <w:fldChar w:fldCharType="end"/>
        </w:r>
      </w:hyperlink>
    </w:p>
    <w:p w14:paraId="19A55117" w14:textId="43BE61E7" w:rsidR="00DD1219" w:rsidRDefault="00C738AA">
      <w:pPr>
        <w:pStyle w:val="TM3"/>
        <w:rPr>
          <w:rFonts w:eastAsiaTheme="minorEastAsia"/>
          <w:noProof/>
          <w:kern w:val="2"/>
          <w:sz w:val="22"/>
          <w:szCs w:val="22"/>
          <w:lang w:val="fr-CA" w:eastAsia="fr-CA"/>
          <w14:ligatures w14:val="standardContextual"/>
        </w:rPr>
      </w:pPr>
      <w:hyperlink w:anchor="_Toc154048974" w:history="1">
        <w:r w:rsidR="00DD1219" w:rsidRPr="0002721E">
          <w:rPr>
            <w:rStyle w:val="Lienhypertexte"/>
            <w:noProof/>
          </w:rPr>
          <w:t>P190 a pour contenu symbolique</w:t>
        </w:r>
        <w:r w:rsidR="00DD1219">
          <w:rPr>
            <w:noProof/>
            <w:webHidden/>
          </w:rPr>
          <w:tab/>
        </w:r>
        <w:r w:rsidR="00DD1219">
          <w:rPr>
            <w:noProof/>
            <w:webHidden/>
          </w:rPr>
          <w:fldChar w:fldCharType="begin"/>
        </w:r>
        <w:r w:rsidR="00DD1219">
          <w:rPr>
            <w:noProof/>
            <w:webHidden/>
          </w:rPr>
          <w:instrText xml:space="preserve"> PAGEREF _Toc154048974 \h </w:instrText>
        </w:r>
        <w:r w:rsidR="00DD1219">
          <w:rPr>
            <w:noProof/>
            <w:webHidden/>
          </w:rPr>
        </w:r>
        <w:r w:rsidR="00DD1219">
          <w:rPr>
            <w:noProof/>
            <w:webHidden/>
          </w:rPr>
          <w:fldChar w:fldCharType="separate"/>
        </w:r>
        <w:r>
          <w:rPr>
            <w:noProof/>
            <w:webHidden/>
          </w:rPr>
          <w:t>332</w:t>
        </w:r>
        <w:r w:rsidR="00DD1219">
          <w:rPr>
            <w:noProof/>
            <w:webHidden/>
          </w:rPr>
          <w:fldChar w:fldCharType="end"/>
        </w:r>
      </w:hyperlink>
    </w:p>
    <w:p w14:paraId="76249274" w14:textId="6F9DD590" w:rsidR="00DD1219" w:rsidRDefault="00C738AA">
      <w:pPr>
        <w:pStyle w:val="TM3"/>
        <w:rPr>
          <w:rFonts w:eastAsiaTheme="minorEastAsia"/>
          <w:noProof/>
          <w:kern w:val="2"/>
          <w:sz w:val="22"/>
          <w:szCs w:val="22"/>
          <w:lang w:val="fr-CA" w:eastAsia="fr-CA"/>
          <w14:ligatures w14:val="standardContextual"/>
        </w:rPr>
      </w:pPr>
      <w:hyperlink w:anchor="_Toc154048975" w:history="1">
        <w:r w:rsidR="00DD1219" w:rsidRPr="0002721E">
          <w:rPr>
            <w:rStyle w:val="Lienhypertexte"/>
            <w:noProof/>
          </w:rPr>
          <w:t>P191 a eu pour durée (était la durée de)</w:t>
        </w:r>
        <w:r w:rsidR="00DD1219">
          <w:rPr>
            <w:noProof/>
            <w:webHidden/>
          </w:rPr>
          <w:tab/>
        </w:r>
        <w:r w:rsidR="00DD1219">
          <w:rPr>
            <w:noProof/>
            <w:webHidden/>
          </w:rPr>
          <w:fldChar w:fldCharType="begin"/>
        </w:r>
        <w:r w:rsidR="00DD1219">
          <w:rPr>
            <w:noProof/>
            <w:webHidden/>
          </w:rPr>
          <w:instrText xml:space="preserve"> PAGEREF _Toc154048975 \h </w:instrText>
        </w:r>
        <w:r w:rsidR="00DD1219">
          <w:rPr>
            <w:noProof/>
            <w:webHidden/>
          </w:rPr>
        </w:r>
        <w:r w:rsidR="00DD1219">
          <w:rPr>
            <w:noProof/>
            <w:webHidden/>
          </w:rPr>
          <w:fldChar w:fldCharType="separate"/>
        </w:r>
        <w:r>
          <w:rPr>
            <w:noProof/>
            <w:webHidden/>
          </w:rPr>
          <w:t>333</w:t>
        </w:r>
        <w:r w:rsidR="00DD1219">
          <w:rPr>
            <w:noProof/>
            <w:webHidden/>
          </w:rPr>
          <w:fldChar w:fldCharType="end"/>
        </w:r>
      </w:hyperlink>
    </w:p>
    <w:p w14:paraId="741367B2" w14:textId="272BEA1A" w:rsidR="00DD1219" w:rsidRDefault="00C738AA">
      <w:pPr>
        <w:pStyle w:val="TM3"/>
        <w:rPr>
          <w:rFonts w:eastAsiaTheme="minorEastAsia"/>
          <w:noProof/>
          <w:kern w:val="2"/>
          <w:sz w:val="22"/>
          <w:szCs w:val="22"/>
          <w:lang w:val="fr-CA" w:eastAsia="fr-CA"/>
          <w14:ligatures w14:val="standardContextual"/>
        </w:rPr>
      </w:pPr>
      <w:hyperlink w:anchor="_Toc154048976" w:history="1">
        <w:r w:rsidR="00DD1219" w:rsidRPr="0002721E">
          <w:rPr>
            <w:rStyle w:val="Lienhypertexte"/>
            <w:noProof/>
          </w:rPr>
          <w:t>P195 a été une présence de (a eu pour présence)</w:t>
        </w:r>
        <w:r w:rsidR="00DD1219">
          <w:rPr>
            <w:noProof/>
            <w:webHidden/>
          </w:rPr>
          <w:tab/>
        </w:r>
        <w:r w:rsidR="00DD1219">
          <w:rPr>
            <w:noProof/>
            <w:webHidden/>
          </w:rPr>
          <w:fldChar w:fldCharType="begin"/>
        </w:r>
        <w:r w:rsidR="00DD1219">
          <w:rPr>
            <w:noProof/>
            <w:webHidden/>
          </w:rPr>
          <w:instrText xml:space="preserve"> PAGEREF _Toc154048976 \h </w:instrText>
        </w:r>
        <w:r w:rsidR="00DD1219">
          <w:rPr>
            <w:noProof/>
            <w:webHidden/>
          </w:rPr>
        </w:r>
        <w:r w:rsidR="00DD1219">
          <w:rPr>
            <w:noProof/>
            <w:webHidden/>
          </w:rPr>
          <w:fldChar w:fldCharType="separate"/>
        </w:r>
        <w:r>
          <w:rPr>
            <w:noProof/>
            <w:webHidden/>
          </w:rPr>
          <w:t>334</w:t>
        </w:r>
        <w:r w:rsidR="00DD1219">
          <w:rPr>
            <w:noProof/>
            <w:webHidden/>
          </w:rPr>
          <w:fldChar w:fldCharType="end"/>
        </w:r>
      </w:hyperlink>
    </w:p>
    <w:p w14:paraId="277E05BC" w14:textId="6C3C624D" w:rsidR="00DD1219" w:rsidRDefault="00C738AA">
      <w:pPr>
        <w:pStyle w:val="TM3"/>
        <w:rPr>
          <w:rFonts w:eastAsiaTheme="minorEastAsia"/>
          <w:noProof/>
          <w:kern w:val="2"/>
          <w:sz w:val="22"/>
          <w:szCs w:val="22"/>
          <w:lang w:val="fr-CA" w:eastAsia="fr-CA"/>
          <w14:ligatures w14:val="standardContextual"/>
        </w:rPr>
      </w:pPr>
      <w:hyperlink w:anchor="_Toc154048977" w:history="1">
        <w:r w:rsidR="00DD1219" w:rsidRPr="0002721E">
          <w:rPr>
            <w:rStyle w:val="Lienhypertexte"/>
            <w:noProof/>
          </w:rPr>
          <w:t>P196 définit (est défini par)</w:t>
        </w:r>
        <w:r w:rsidR="00DD1219">
          <w:rPr>
            <w:noProof/>
            <w:webHidden/>
          </w:rPr>
          <w:tab/>
        </w:r>
        <w:r w:rsidR="00DD1219">
          <w:rPr>
            <w:noProof/>
            <w:webHidden/>
          </w:rPr>
          <w:fldChar w:fldCharType="begin"/>
        </w:r>
        <w:r w:rsidR="00DD1219">
          <w:rPr>
            <w:noProof/>
            <w:webHidden/>
          </w:rPr>
          <w:instrText xml:space="preserve"> PAGEREF _Toc154048977 \h </w:instrText>
        </w:r>
        <w:r w:rsidR="00DD1219">
          <w:rPr>
            <w:noProof/>
            <w:webHidden/>
          </w:rPr>
        </w:r>
        <w:r w:rsidR="00DD1219">
          <w:rPr>
            <w:noProof/>
            <w:webHidden/>
          </w:rPr>
          <w:fldChar w:fldCharType="separate"/>
        </w:r>
        <w:r>
          <w:rPr>
            <w:noProof/>
            <w:webHidden/>
          </w:rPr>
          <w:t>335</w:t>
        </w:r>
        <w:r w:rsidR="00DD1219">
          <w:rPr>
            <w:noProof/>
            <w:webHidden/>
          </w:rPr>
          <w:fldChar w:fldCharType="end"/>
        </w:r>
      </w:hyperlink>
    </w:p>
    <w:p w14:paraId="28AED0B2" w14:textId="2B485B2D" w:rsidR="00DD1219" w:rsidRDefault="00C738AA">
      <w:pPr>
        <w:pStyle w:val="TM3"/>
        <w:rPr>
          <w:rFonts w:eastAsiaTheme="minorEastAsia"/>
          <w:noProof/>
          <w:kern w:val="2"/>
          <w:sz w:val="22"/>
          <w:szCs w:val="22"/>
          <w:lang w:val="fr-CA" w:eastAsia="fr-CA"/>
          <w14:ligatures w14:val="standardContextual"/>
        </w:rPr>
      </w:pPr>
      <w:hyperlink w:anchor="_Toc154048978" w:history="1">
        <w:r w:rsidR="00DD1219" w:rsidRPr="0002721E">
          <w:rPr>
            <w:rStyle w:val="Lienhypertexte"/>
            <w:noProof/>
          </w:rPr>
          <w:t>P197 a couvert des parties de (a été partiellement couvert par)</w:t>
        </w:r>
        <w:r w:rsidR="00DD1219">
          <w:rPr>
            <w:noProof/>
            <w:webHidden/>
          </w:rPr>
          <w:tab/>
        </w:r>
        <w:r w:rsidR="00DD1219">
          <w:rPr>
            <w:noProof/>
            <w:webHidden/>
          </w:rPr>
          <w:fldChar w:fldCharType="begin"/>
        </w:r>
        <w:r w:rsidR="00DD1219">
          <w:rPr>
            <w:noProof/>
            <w:webHidden/>
          </w:rPr>
          <w:instrText xml:space="preserve"> PAGEREF _Toc154048978 \h </w:instrText>
        </w:r>
        <w:r w:rsidR="00DD1219">
          <w:rPr>
            <w:noProof/>
            <w:webHidden/>
          </w:rPr>
        </w:r>
        <w:r w:rsidR="00DD1219">
          <w:rPr>
            <w:noProof/>
            <w:webHidden/>
          </w:rPr>
          <w:fldChar w:fldCharType="separate"/>
        </w:r>
        <w:r>
          <w:rPr>
            <w:noProof/>
            <w:webHidden/>
          </w:rPr>
          <w:t>336</w:t>
        </w:r>
        <w:r w:rsidR="00DD1219">
          <w:rPr>
            <w:noProof/>
            <w:webHidden/>
          </w:rPr>
          <w:fldChar w:fldCharType="end"/>
        </w:r>
      </w:hyperlink>
    </w:p>
    <w:p w14:paraId="5588F682" w14:textId="628F044A" w:rsidR="00DD1219" w:rsidRDefault="00C738AA">
      <w:pPr>
        <w:pStyle w:val="TM3"/>
        <w:rPr>
          <w:rFonts w:eastAsiaTheme="minorEastAsia"/>
          <w:noProof/>
          <w:kern w:val="2"/>
          <w:sz w:val="22"/>
          <w:szCs w:val="22"/>
          <w:lang w:val="fr-CA" w:eastAsia="fr-CA"/>
          <w14:ligatures w14:val="standardContextual"/>
        </w:rPr>
      </w:pPr>
      <w:hyperlink w:anchor="_Toc154048979" w:history="1">
        <w:r w:rsidR="00DD1219" w:rsidRPr="0002721E">
          <w:rPr>
            <w:rStyle w:val="Lienhypertexte"/>
            <w:noProof/>
          </w:rPr>
          <w:t>P198 contient ou soutient (est contenu ou soutenu par)</w:t>
        </w:r>
        <w:r w:rsidR="00DD1219">
          <w:rPr>
            <w:noProof/>
            <w:webHidden/>
          </w:rPr>
          <w:tab/>
        </w:r>
        <w:r w:rsidR="00DD1219">
          <w:rPr>
            <w:noProof/>
            <w:webHidden/>
          </w:rPr>
          <w:fldChar w:fldCharType="begin"/>
        </w:r>
        <w:r w:rsidR="00DD1219">
          <w:rPr>
            <w:noProof/>
            <w:webHidden/>
          </w:rPr>
          <w:instrText xml:space="preserve"> PAGEREF _Toc154048979 \h </w:instrText>
        </w:r>
        <w:r w:rsidR="00DD1219">
          <w:rPr>
            <w:noProof/>
            <w:webHidden/>
          </w:rPr>
        </w:r>
        <w:r w:rsidR="00DD1219">
          <w:rPr>
            <w:noProof/>
            <w:webHidden/>
          </w:rPr>
          <w:fldChar w:fldCharType="separate"/>
        </w:r>
        <w:r>
          <w:rPr>
            <w:noProof/>
            <w:webHidden/>
          </w:rPr>
          <w:t>337</w:t>
        </w:r>
        <w:r w:rsidR="00DD1219">
          <w:rPr>
            <w:noProof/>
            <w:webHidden/>
          </w:rPr>
          <w:fldChar w:fldCharType="end"/>
        </w:r>
      </w:hyperlink>
    </w:p>
    <w:p w14:paraId="0265BBC3" w14:textId="5D3DBD05" w:rsidR="00DD1219" w:rsidRDefault="00C738AA">
      <w:pPr>
        <w:pStyle w:val="TM2"/>
        <w:rPr>
          <w:rFonts w:eastAsiaTheme="minorEastAsia"/>
          <w:noProof/>
          <w:kern w:val="2"/>
          <w:sz w:val="22"/>
          <w:szCs w:val="22"/>
          <w:lang w:val="fr-CA" w:eastAsia="fr-CA"/>
          <w14:ligatures w14:val="standardContextual"/>
        </w:rPr>
      </w:pPr>
      <w:hyperlink w:anchor="_Toc154048980" w:history="1">
        <w:r w:rsidR="00DD1219" w:rsidRPr="0002721E">
          <w:rPr>
            <w:rStyle w:val="Lienhypertexte"/>
            <w:noProof/>
          </w:rPr>
          <w:t>Bibliographie du CIDOC CRM</w:t>
        </w:r>
        <w:r w:rsidR="00DD1219">
          <w:rPr>
            <w:noProof/>
            <w:webHidden/>
          </w:rPr>
          <w:tab/>
        </w:r>
        <w:r w:rsidR="00DD1219">
          <w:rPr>
            <w:noProof/>
            <w:webHidden/>
          </w:rPr>
          <w:fldChar w:fldCharType="begin"/>
        </w:r>
        <w:r w:rsidR="00DD1219">
          <w:rPr>
            <w:noProof/>
            <w:webHidden/>
          </w:rPr>
          <w:instrText xml:space="preserve"> PAGEREF _Toc154048980 \h </w:instrText>
        </w:r>
        <w:r w:rsidR="00DD1219">
          <w:rPr>
            <w:noProof/>
            <w:webHidden/>
          </w:rPr>
        </w:r>
        <w:r w:rsidR="00DD1219">
          <w:rPr>
            <w:noProof/>
            <w:webHidden/>
          </w:rPr>
          <w:fldChar w:fldCharType="separate"/>
        </w:r>
        <w:r>
          <w:rPr>
            <w:noProof/>
            <w:webHidden/>
          </w:rPr>
          <w:t>339</w:t>
        </w:r>
        <w:r w:rsidR="00DD1219">
          <w:rPr>
            <w:noProof/>
            <w:webHidden/>
          </w:rPr>
          <w:fldChar w:fldCharType="end"/>
        </w:r>
      </w:hyperlink>
    </w:p>
    <w:p w14:paraId="13E0D5D9" w14:textId="5925F3E3" w:rsidR="00DD1219" w:rsidRDefault="00C738AA">
      <w:pPr>
        <w:pStyle w:val="TM2"/>
        <w:rPr>
          <w:rFonts w:eastAsiaTheme="minorEastAsia"/>
          <w:noProof/>
          <w:kern w:val="2"/>
          <w:sz w:val="22"/>
          <w:szCs w:val="22"/>
          <w:lang w:val="fr-CA" w:eastAsia="fr-CA"/>
          <w14:ligatures w14:val="standardContextual"/>
        </w:rPr>
      </w:pPr>
      <w:hyperlink w:anchor="_Toc154048981" w:history="1">
        <w:r w:rsidR="00DD1219" w:rsidRPr="0002721E">
          <w:rPr>
            <w:rStyle w:val="Lienhypertexte"/>
            <w:noProof/>
            <w:lang w:val="fr-CA"/>
          </w:rPr>
          <w:t>Annexe</w:t>
        </w:r>
        <w:r w:rsidR="00DD1219">
          <w:rPr>
            <w:noProof/>
            <w:webHidden/>
          </w:rPr>
          <w:tab/>
        </w:r>
        <w:r w:rsidR="00DD1219">
          <w:rPr>
            <w:noProof/>
            <w:webHidden/>
          </w:rPr>
          <w:fldChar w:fldCharType="begin"/>
        </w:r>
        <w:r w:rsidR="00DD1219">
          <w:rPr>
            <w:noProof/>
            <w:webHidden/>
          </w:rPr>
          <w:instrText xml:space="preserve"> PAGEREF _Toc154048981 \h </w:instrText>
        </w:r>
        <w:r w:rsidR="00DD1219">
          <w:rPr>
            <w:noProof/>
            <w:webHidden/>
          </w:rPr>
        </w:r>
        <w:r w:rsidR="00DD1219">
          <w:rPr>
            <w:noProof/>
            <w:webHidden/>
          </w:rPr>
          <w:fldChar w:fldCharType="separate"/>
        </w:r>
        <w:r>
          <w:rPr>
            <w:noProof/>
            <w:webHidden/>
          </w:rPr>
          <w:t>352</w:t>
        </w:r>
        <w:r w:rsidR="00DD1219">
          <w:rPr>
            <w:noProof/>
            <w:webHidden/>
          </w:rPr>
          <w:fldChar w:fldCharType="end"/>
        </w:r>
      </w:hyperlink>
    </w:p>
    <w:p w14:paraId="3378AD8B" w14:textId="43960DCF" w:rsidR="00DD1219" w:rsidRDefault="00C738AA">
      <w:pPr>
        <w:pStyle w:val="TM3"/>
        <w:rPr>
          <w:rFonts w:eastAsiaTheme="minorEastAsia"/>
          <w:noProof/>
          <w:kern w:val="2"/>
          <w:sz w:val="22"/>
          <w:szCs w:val="22"/>
          <w:lang w:val="fr-CA" w:eastAsia="fr-CA"/>
          <w14:ligatures w14:val="standardContextual"/>
        </w:rPr>
      </w:pPr>
      <w:hyperlink w:anchor="_Toc154048982" w:history="1">
        <w:r w:rsidR="00DD1219" w:rsidRPr="0002721E">
          <w:rPr>
            <w:rStyle w:val="Lienhypertexte"/>
            <w:noProof/>
            <w:lang w:val="fr-CA"/>
          </w:rPr>
          <w:t>Classes et propriétés dépréciées</w:t>
        </w:r>
        <w:r w:rsidR="00DD1219">
          <w:rPr>
            <w:noProof/>
            <w:webHidden/>
          </w:rPr>
          <w:tab/>
        </w:r>
        <w:r w:rsidR="00DD1219">
          <w:rPr>
            <w:noProof/>
            <w:webHidden/>
          </w:rPr>
          <w:fldChar w:fldCharType="begin"/>
        </w:r>
        <w:r w:rsidR="00DD1219">
          <w:rPr>
            <w:noProof/>
            <w:webHidden/>
          </w:rPr>
          <w:instrText xml:space="preserve"> PAGEREF _Toc154048982 \h </w:instrText>
        </w:r>
        <w:r w:rsidR="00DD1219">
          <w:rPr>
            <w:noProof/>
            <w:webHidden/>
          </w:rPr>
        </w:r>
        <w:r w:rsidR="00DD1219">
          <w:rPr>
            <w:noProof/>
            <w:webHidden/>
          </w:rPr>
          <w:fldChar w:fldCharType="separate"/>
        </w:r>
        <w:r>
          <w:rPr>
            <w:noProof/>
            <w:webHidden/>
          </w:rPr>
          <w:t>352</w:t>
        </w:r>
        <w:r w:rsidR="00DD1219">
          <w:rPr>
            <w:noProof/>
            <w:webHidden/>
          </w:rPr>
          <w:fldChar w:fldCharType="end"/>
        </w:r>
      </w:hyperlink>
    </w:p>
    <w:p w14:paraId="37A67175" w14:textId="3BC87CD4" w:rsidR="00DD1219" w:rsidRDefault="00C738AA">
      <w:pPr>
        <w:pStyle w:val="TM4"/>
        <w:tabs>
          <w:tab w:val="right" w:leader="dot" w:pos="10790"/>
        </w:tabs>
        <w:rPr>
          <w:noProof/>
          <w:lang w:val="fr-CA" w:eastAsia="fr-CA"/>
        </w:rPr>
      </w:pPr>
      <w:hyperlink w:anchor="_Toc154048983" w:history="1">
        <w:r w:rsidR="00DD1219" w:rsidRPr="0002721E">
          <w:rPr>
            <w:rStyle w:val="Lienhypertexte"/>
            <w:noProof/>
          </w:rPr>
          <w:t>Instructions de migration des classes dépréciées</w:t>
        </w:r>
        <w:r w:rsidR="00DD1219">
          <w:rPr>
            <w:noProof/>
            <w:webHidden/>
          </w:rPr>
          <w:tab/>
        </w:r>
        <w:r w:rsidR="00DD1219">
          <w:rPr>
            <w:noProof/>
            <w:webHidden/>
          </w:rPr>
          <w:fldChar w:fldCharType="begin"/>
        </w:r>
        <w:r w:rsidR="00DD1219">
          <w:rPr>
            <w:noProof/>
            <w:webHidden/>
          </w:rPr>
          <w:instrText xml:space="preserve"> PAGEREF _Toc154048983 \h </w:instrText>
        </w:r>
        <w:r w:rsidR="00DD1219">
          <w:rPr>
            <w:noProof/>
            <w:webHidden/>
          </w:rPr>
        </w:r>
        <w:r w:rsidR="00DD1219">
          <w:rPr>
            <w:noProof/>
            <w:webHidden/>
          </w:rPr>
          <w:fldChar w:fldCharType="separate"/>
        </w:r>
        <w:r>
          <w:rPr>
            <w:noProof/>
            <w:webHidden/>
          </w:rPr>
          <w:t>352</w:t>
        </w:r>
        <w:r w:rsidR="00DD1219">
          <w:rPr>
            <w:noProof/>
            <w:webHidden/>
          </w:rPr>
          <w:fldChar w:fldCharType="end"/>
        </w:r>
      </w:hyperlink>
    </w:p>
    <w:p w14:paraId="075B65AE" w14:textId="2C881E86" w:rsidR="00DD1219" w:rsidRDefault="00C738AA">
      <w:pPr>
        <w:pStyle w:val="TM4"/>
        <w:tabs>
          <w:tab w:val="right" w:leader="dot" w:pos="10790"/>
        </w:tabs>
        <w:rPr>
          <w:noProof/>
          <w:lang w:val="fr-CA" w:eastAsia="fr-CA"/>
        </w:rPr>
      </w:pPr>
      <w:hyperlink w:anchor="_Toc154048984" w:history="1">
        <w:r w:rsidR="00DD1219" w:rsidRPr="0002721E">
          <w:rPr>
            <w:rStyle w:val="Lienhypertexte"/>
            <w:noProof/>
          </w:rPr>
          <w:t>Instructions de migration des propriétés dépréciées</w:t>
        </w:r>
        <w:r w:rsidR="00DD1219">
          <w:rPr>
            <w:noProof/>
            <w:webHidden/>
          </w:rPr>
          <w:tab/>
        </w:r>
        <w:r w:rsidR="00DD1219">
          <w:rPr>
            <w:noProof/>
            <w:webHidden/>
          </w:rPr>
          <w:fldChar w:fldCharType="begin"/>
        </w:r>
        <w:r w:rsidR="00DD1219">
          <w:rPr>
            <w:noProof/>
            <w:webHidden/>
          </w:rPr>
          <w:instrText xml:space="preserve"> PAGEREF _Toc154048984 \h </w:instrText>
        </w:r>
        <w:r w:rsidR="00DD1219">
          <w:rPr>
            <w:noProof/>
            <w:webHidden/>
          </w:rPr>
        </w:r>
        <w:r w:rsidR="00DD1219">
          <w:rPr>
            <w:noProof/>
            <w:webHidden/>
          </w:rPr>
          <w:fldChar w:fldCharType="separate"/>
        </w:r>
        <w:r>
          <w:rPr>
            <w:noProof/>
            <w:webHidden/>
          </w:rPr>
          <w:t>353</w:t>
        </w:r>
        <w:r w:rsidR="00DD1219">
          <w:rPr>
            <w:noProof/>
            <w:webHidden/>
          </w:rPr>
          <w:fldChar w:fldCharType="end"/>
        </w:r>
      </w:hyperlink>
    </w:p>
    <w:p w14:paraId="58588553" w14:textId="4C6CB26B" w:rsidR="00DD1219" w:rsidRDefault="00C738AA">
      <w:pPr>
        <w:pStyle w:val="TM3"/>
        <w:rPr>
          <w:rFonts w:eastAsiaTheme="minorEastAsia"/>
          <w:noProof/>
          <w:kern w:val="2"/>
          <w:sz w:val="22"/>
          <w:szCs w:val="22"/>
          <w:lang w:val="fr-CA" w:eastAsia="fr-CA"/>
          <w14:ligatures w14:val="standardContextual"/>
        </w:rPr>
      </w:pPr>
      <w:hyperlink w:anchor="_Toc154048985" w:history="1">
        <w:r w:rsidR="00DD1219" w:rsidRPr="0002721E">
          <w:rPr>
            <w:rStyle w:val="Lienhypertexte"/>
            <w:noProof/>
          </w:rPr>
          <w:t>Modifications</w:t>
        </w:r>
        <w:r w:rsidR="00DD1219">
          <w:rPr>
            <w:noProof/>
            <w:webHidden/>
          </w:rPr>
          <w:tab/>
        </w:r>
        <w:r w:rsidR="00DD1219">
          <w:rPr>
            <w:noProof/>
            <w:webHidden/>
          </w:rPr>
          <w:fldChar w:fldCharType="begin"/>
        </w:r>
        <w:r w:rsidR="00DD1219">
          <w:rPr>
            <w:noProof/>
            <w:webHidden/>
          </w:rPr>
          <w:instrText xml:space="preserve"> PAGEREF _Toc154048985 \h </w:instrText>
        </w:r>
        <w:r w:rsidR="00DD1219">
          <w:rPr>
            <w:noProof/>
            <w:webHidden/>
          </w:rPr>
        </w:r>
        <w:r w:rsidR="00DD1219">
          <w:rPr>
            <w:noProof/>
            <w:webHidden/>
          </w:rPr>
          <w:fldChar w:fldCharType="separate"/>
        </w:r>
        <w:r>
          <w:rPr>
            <w:noProof/>
            <w:webHidden/>
          </w:rPr>
          <w:t>357</w:t>
        </w:r>
        <w:r w:rsidR="00DD1219">
          <w:rPr>
            <w:noProof/>
            <w:webHidden/>
          </w:rPr>
          <w:fldChar w:fldCharType="end"/>
        </w:r>
      </w:hyperlink>
    </w:p>
    <w:p w14:paraId="56FF9512" w14:textId="29F47DEC" w:rsidR="00DD1219" w:rsidRDefault="00C738AA">
      <w:pPr>
        <w:pStyle w:val="TM2"/>
        <w:rPr>
          <w:rFonts w:eastAsiaTheme="minorEastAsia"/>
          <w:noProof/>
          <w:kern w:val="2"/>
          <w:sz w:val="22"/>
          <w:szCs w:val="22"/>
          <w:lang w:val="fr-CA" w:eastAsia="fr-CA"/>
          <w14:ligatures w14:val="standardContextual"/>
        </w:rPr>
      </w:pPr>
      <w:hyperlink w:anchor="_Toc154048986" w:history="1">
        <w:r w:rsidR="00DD1219" w:rsidRPr="0002721E">
          <w:rPr>
            <w:rStyle w:val="Lienhypertexte"/>
            <w:noProof/>
          </w:rPr>
          <w:t>Bibliographie de la traduction</w:t>
        </w:r>
        <w:r w:rsidR="00DD1219">
          <w:rPr>
            <w:noProof/>
            <w:webHidden/>
          </w:rPr>
          <w:tab/>
        </w:r>
        <w:r w:rsidR="00DD1219">
          <w:rPr>
            <w:noProof/>
            <w:webHidden/>
          </w:rPr>
          <w:fldChar w:fldCharType="begin"/>
        </w:r>
        <w:r w:rsidR="00DD1219">
          <w:rPr>
            <w:noProof/>
            <w:webHidden/>
          </w:rPr>
          <w:instrText xml:space="preserve"> PAGEREF _Toc154048986 \h </w:instrText>
        </w:r>
        <w:r w:rsidR="00DD1219">
          <w:rPr>
            <w:noProof/>
            <w:webHidden/>
          </w:rPr>
        </w:r>
        <w:r w:rsidR="00DD1219">
          <w:rPr>
            <w:noProof/>
            <w:webHidden/>
          </w:rPr>
          <w:fldChar w:fldCharType="separate"/>
        </w:r>
        <w:r>
          <w:rPr>
            <w:noProof/>
            <w:webHidden/>
          </w:rPr>
          <w:t>358</w:t>
        </w:r>
        <w:r w:rsidR="00DD1219">
          <w:rPr>
            <w:noProof/>
            <w:webHidden/>
          </w:rPr>
          <w:fldChar w:fldCharType="end"/>
        </w:r>
      </w:hyperlink>
    </w:p>
    <w:p w14:paraId="2606BE2A" w14:textId="2B25EB06" w:rsidR="00DD1219" w:rsidRDefault="00C738AA">
      <w:pPr>
        <w:pStyle w:val="TM2"/>
        <w:rPr>
          <w:rFonts w:eastAsiaTheme="minorEastAsia"/>
          <w:noProof/>
          <w:kern w:val="2"/>
          <w:sz w:val="22"/>
          <w:szCs w:val="22"/>
          <w:lang w:val="fr-CA" w:eastAsia="fr-CA"/>
          <w14:ligatures w14:val="standardContextual"/>
        </w:rPr>
      </w:pPr>
      <w:hyperlink w:anchor="_Toc154048987" w:history="1">
        <w:r w:rsidR="00DD1219" w:rsidRPr="0002721E">
          <w:rPr>
            <w:rStyle w:val="Lienhypertexte"/>
            <w:noProof/>
          </w:rPr>
          <w:t>Mentions de source des figures</w:t>
        </w:r>
        <w:r w:rsidR="00DD1219">
          <w:rPr>
            <w:noProof/>
            <w:webHidden/>
          </w:rPr>
          <w:tab/>
        </w:r>
        <w:r w:rsidR="00DD1219">
          <w:rPr>
            <w:noProof/>
            <w:webHidden/>
          </w:rPr>
          <w:fldChar w:fldCharType="begin"/>
        </w:r>
        <w:r w:rsidR="00DD1219">
          <w:rPr>
            <w:noProof/>
            <w:webHidden/>
          </w:rPr>
          <w:instrText xml:space="preserve"> PAGEREF _Toc154048987 \h </w:instrText>
        </w:r>
        <w:r w:rsidR="00DD1219">
          <w:rPr>
            <w:noProof/>
            <w:webHidden/>
          </w:rPr>
        </w:r>
        <w:r w:rsidR="00DD1219">
          <w:rPr>
            <w:noProof/>
            <w:webHidden/>
          </w:rPr>
          <w:fldChar w:fldCharType="separate"/>
        </w:r>
        <w:r>
          <w:rPr>
            <w:noProof/>
            <w:webHidden/>
          </w:rPr>
          <w:t>364</w:t>
        </w:r>
        <w:r w:rsidR="00DD1219">
          <w:rPr>
            <w:noProof/>
            <w:webHidden/>
          </w:rPr>
          <w:fldChar w:fldCharType="end"/>
        </w:r>
      </w:hyperlink>
    </w:p>
    <w:p w14:paraId="672E644E" w14:textId="6BBA16F0" w:rsidR="00861E1B" w:rsidRPr="007A45AC" w:rsidRDefault="007A45AC" w:rsidP="00861E1B">
      <w:pPr>
        <w:spacing w:after="0"/>
        <w:rPr>
          <w:rFonts w:ascii="Calibri" w:hAnsi="Calibri" w:cs="Calibri"/>
          <w:lang w:val="en-CA"/>
        </w:rPr>
      </w:pPr>
      <w:r w:rsidRPr="007A45AC">
        <w:rPr>
          <w:rFonts w:ascii="Calibri" w:hAnsi="Calibri" w:cs="Calibri"/>
          <w:lang w:val="en-CA"/>
        </w:rPr>
        <w:fldChar w:fldCharType="end"/>
      </w:r>
      <w:r w:rsidR="00861E1B" w:rsidRPr="007A45AC">
        <w:rPr>
          <w:rFonts w:ascii="Calibri" w:hAnsi="Calibri" w:cs="Calibri"/>
          <w:lang w:val="en-CA"/>
        </w:rPr>
        <w:br w:type="page"/>
      </w:r>
    </w:p>
    <w:p w14:paraId="6655E41C" w14:textId="643B1D88" w:rsidR="00065317" w:rsidRDefault="005C7BF7" w:rsidP="00E84B0E">
      <w:pPr>
        <w:pStyle w:val="Titre2"/>
      </w:pPr>
      <w:bookmarkStart w:id="3" w:name="_Toc154048702"/>
      <w:r>
        <w:lastRenderedPageBreak/>
        <w:t>Préface des traducteur·trice·s</w:t>
      </w:r>
      <w:bookmarkEnd w:id="3"/>
    </w:p>
    <w:p w14:paraId="081CFF69" w14:textId="57297E4E" w:rsidR="00065317" w:rsidRDefault="005C7BF7">
      <w:pPr>
        <w:pStyle w:val="FirstParagraph"/>
      </w:pPr>
      <w:r>
        <w:t>Le Modèle conceptuel de référence du Comité international pour la documentation du Conseil international des musées (ci-après « </w:t>
      </w:r>
      <w:r w:rsidR="00C8288F">
        <w:t>CIDOC CRM</w:t>
      </w:r>
      <w:r>
        <w:t> ») est la norme qu</w:t>
      </w:r>
      <w:r w:rsidR="00E84B0E">
        <w:t>’</w:t>
      </w:r>
      <w:r>
        <w:t>utilisent de nombreuses organisations patrimoniales pour l</w:t>
      </w:r>
      <w:r w:rsidR="00E84B0E">
        <w:t>’</w:t>
      </w:r>
      <w:r>
        <w:t>échange et l</w:t>
      </w:r>
      <w:r w:rsidR="00E84B0E">
        <w:t>’</w:t>
      </w:r>
      <w:r>
        <w:t>intégration des jeux de données et des spécifications relatifs aux collections muséales. À l</w:t>
      </w:r>
      <w:r w:rsidR="00E84B0E">
        <w:t>’</w:t>
      </w:r>
      <w:r>
        <w:t xml:space="preserve">heure actuelle, il est développé et maintenu à jour exclusivement en anglais par le </w:t>
      </w:r>
      <w:r w:rsidR="008B430C">
        <w:t>CRM SIG</w:t>
      </w:r>
      <w:r>
        <w:t>, un sous-groupe du Conseil international des musées (ICOM). Or, une réutilisation de contenus sémantiques francophones repose en grande partie, et pour beaucoup d</w:t>
      </w:r>
      <w:r w:rsidR="00E84B0E">
        <w:t>’</w:t>
      </w:r>
      <w:r>
        <w:t>organisations, sur la disponibilité d</w:t>
      </w:r>
      <w:r w:rsidR="00E84B0E">
        <w:t>’</w:t>
      </w:r>
      <w:r>
        <w:t xml:space="preserve">une version traduite à jour et réutilisable du </w:t>
      </w:r>
      <w:r w:rsidR="00C8288F">
        <w:t>CIDOC CRM</w:t>
      </w:r>
      <w:r>
        <w:t>.</w:t>
      </w:r>
    </w:p>
    <w:p w14:paraId="5B7F0E93" w14:textId="3128A566" w:rsidR="00065317" w:rsidRDefault="005C7BF7">
      <w:pPr>
        <w:pStyle w:val="Corpsdetexte"/>
      </w:pPr>
      <w:r>
        <w:t>C</w:t>
      </w:r>
      <w:r w:rsidR="00E84B0E">
        <w:t>’</w:t>
      </w:r>
      <w:r>
        <w:t>est l</w:t>
      </w:r>
      <w:r w:rsidR="00E84B0E">
        <w:t>’</w:t>
      </w:r>
      <w:r>
        <w:t>objectif de cette traduction que d</w:t>
      </w:r>
      <w:r w:rsidR="00E84B0E">
        <w:t>’</w:t>
      </w:r>
      <w:r>
        <w:t>offrir une version en français stable, rigoureuse et accessible à la communauté patrimoniale. Elle a été réalisée par un regroupement de professionnels dont l</w:t>
      </w:r>
      <w:r w:rsidR="00E84B0E">
        <w:t>’</w:t>
      </w:r>
      <w:r>
        <w:t>expertise porte sur les données ouvertes et liées, le patrimoine, la traduction, le catalogage ainsi que l</w:t>
      </w:r>
      <w:r w:rsidR="00E84B0E">
        <w:t>’</w:t>
      </w:r>
      <w:r>
        <w:t>analyse de données muséales.</w:t>
      </w:r>
    </w:p>
    <w:p w14:paraId="345EF66B" w14:textId="65717201" w:rsidR="00065317" w:rsidRDefault="005C7BF7">
      <w:pPr>
        <w:pStyle w:val="Corpsdetexte"/>
      </w:pPr>
      <w:r>
        <w:t>Les termes et formulations choisis font l</w:t>
      </w:r>
      <w:r w:rsidR="00E84B0E">
        <w:t>’</w:t>
      </w:r>
      <w:r>
        <w:t>objet de recherches et de discussions exhaustives qui sont, lorsque c</w:t>
      </w:r>
      <w:r w:rsidR="00E84B0E">
        <w:t>’</w:t>
      </w:r>
      <w:r>
        <w:t>est pertinent, recensées dans les sections consacrées aux notes de traduction de chaque tableau. Ces choix ne sont donc pas arbitraires et reposent d</w:t>
      </w:r>
      <w:r w:rsidR="00E84B0E">
        <w:t>’</w:t>
      </w:r>
      <w:r>
        <w:t>abord et avant tout sur les quatre principes suivants :</w:t>
      </w:r>
    </w:p>
    <w:p w14:paraId="3A20389E" w14:textId="547422C2" w:rsidR="00065317" w:rsidRDefault="00DF0D31">
      <w:pPr>
        <w:numPr>
          <w:ilvl w:val="0"/>
          <w:numId w:val="1"/>
        </w:numPr>
      </w:pPr>
      <w:r>
        <w:t>s</w:t>
      </w:r>
      <w:r w:rsidR="005C7BF7">
        <w:t>ignification (c.-à-d. transmission du sens initial du texte plutôt que reproduction d</w:t>
      </w:r>
      <w:r w:rsidR="00E84B0E">
        <w:t>’</w:t>
      </w:r>
      <w:r w:rsidR="005C7BF7">
        <w:t>un équivalent littéral en français);</w:t>
      </w:r>
    </w:p>
    <w:p w14:paraId="0128E5C3" w14:textId="1C064A37" w:rsidR="00065317" w:rsidRDefault="00DF0D31">
      <w:pPr>
        <w:numPr>
          <w:ilvl w:val="0"/>
          <w:numId w:val="1"/>
        </w:numPr>
      </w:pPr>
      <w:r>
        <w:t>p</w:t>
      </w:r>
      <w:r w:rsidR="005C7BF7">
        <w:t>récision (c.-à-d. choix des termes les plus appropriés de manière uniforme et ajout de notes explicatives au sein du texte lorsque cela s</w:t>
      </w:r>
      <w:r w:rsidR="00E84B0E">
        <w:t>’</w:t>
      </w:r>
      <w:r w:rsidR="005C7BF7">
        <w:t>avère nécessaire);</w:t>
      </w:r>
    </w:p>
    <w:p w14:paraId="19030D95" w14:textId="3EBDFFBE" w:rsidR="00065317" w:rsidRDefault="00DF0D31">
      <w:pPr>
        <w:numPr>
          <w:ilvl w:val="0"/>
          <w:numId w:val="1"/>
        </w:numPr>
      </w:pPr>
      <w:r>
        <w:t>s</w:t>
      </w:r>
      <w:r w:rsidR="005C7BF7">
        <w:t>implicité (c.-à-d. formulations les plus simples et courtes possibles);</w:t>
      </w:r>
    </w:p>
    <w:p w14:paraId="252CD942" w14:textId="6879A807" w:rsidR="00065317" w:rsidRDefault="00E22D0C">
      <w:pPr>
        <w:numPr>
          <w:ilvl w:val="0"/>
          <w:numId w:val="1"/>
        </w:numPr>
      </w:pPr>
      <w:r>
        <w:t>i</w:t>
      </w:r>
      <w:r w:rsidR="005C7BF7">
        <w:t>nclusivité (c.-à-d. formulations non</w:t>
      </w:r>
      <w:r w:rsidR="00CA5F1E">
        <w:t xml:space="preserve"> </w:t>
      </w:r>
      <w:r w:rsidR="005C7BF7">
        <w:t>genrées autant que possible et usage du point médian à des fins d</w:t>
      </w:r>
      <w:r w:rsidR="00E84B0E">
        <w:t>’</w:t>
      </w:r>
      <w:r w:rsidR="005C7BF7">
        <w:t>inclusivité).</w:t>
      </w:r>
    </w:p>
    <w:p w14:paraId="44978CEF" w14:textId="6C393DC9" w:rsidR="00065317" w:rsidRDefault="005C7BF7">
      <w:pPr>
        <w:pStyle w:val="FirstParagraph"/>
      </w:pPr>
      <w:r>
        <w:t xml:space="preserve">Des précisions méthodologiques, gabarits et contenus pédagogiques sont disponibles sur le site web de la Traduction en français du </w:t>
      </w:r>
      <w:r w:rsidR="00C8288F">
        <w:t>CIDOC CRM</w:t>
      </w:r>
      <w:r>
        <w:t xml:space="preserve"> au https://chin-rcip.github.io/cidoc_crm_fr/.</w:t>
      </w:r>
    </w:p>
    <w:p w14:paraId="050687C1" w14:textId="4E6641CF" w:rsidR="00065317" w:rsidRDefault="005C7BF7">
      <w:pPr>
        <w:pStyle w:val="Corpsdetexte"/>
      </w:pPr>
      <w:r>
        <w:t>Depuis la publication de la version 7.1, les entités ayant subi des changements substantiels incluent</w:t>
      </w:r>
      <w:r w:rsidR="007F43A3">
        <w:t> </w:t>
      </w:r>
      <w:r>
        <w:t>:</w:t>
      </w:r>
    </w:p>
    <w:p w14:paraId="6692A784" w14:textId="77777777" w:rsidR="00065317" w:rsidRDefault="005C7BF7">
      <w:pPr>
        <w:numPr>
          <w:ilvl w:val="0"/>
          <w:numId w:val="2"/>
        </w:numPr>
      </w:pPr>
      <w:r>
        <w:rPr>
          <w:rStyle w:val="VerbatimChar"/>
        </w:rPr>
        <w:t>E4_Période;</w:t>
      </w:r>
    </w:p>
    <w:p w14:paraId="233159D5" w14:textId="77777777" w:rsidR="00065317" w:rsidRDefault="005C7BF7">
      <w:pPr>
        <w:numPr>
          <w:ilvl w:val="0"/>
          <w:numId w:val="2"/>
        </w:numPr>
      </w:pPr>
      <w:r>
        <w:rPr>
          <w:rStyle w:val="VerbatimChar"/>
        </w:rPr>
        <w:t>E10_Transfert_de_la_garde;</w:t>
      </w:r>
    </w:p>
    <w:p w14:paraId="375002EB" w14:textId="77777777" w:rsidR="00065317" w:rsidRDefault="005C7BF7">
      <w:pPr>
        <w:numPr>
          <w:ilvl w:val="0"/>
          <w:numId w:val="2"/>
        </w:numPr>
      </w:pPr>
      <w:r>
        <w:rPr>
          <w:rStyle w:val="VerbatimChar"/>
        </w:rPr>
        <w:t>E16_Mesurage;</w:t>
      </w:r>
    </w:p>
    <w:p w14:paraId="138CB03D" w14:textId="77777777" w:rsidR="00065317" w:rsidRDefault="005C7BF7">
      <w:pPr>
        <w:numPr>
          <w:ilvl w:val="0"/>
          <w:numId w:val="2"/>
        </w:numPr>
      </w:pPr>
      <w:r>
        <w:rPr>
          <w:rStyle w:val="VerbatimChar"/>
        </w:rPr>
        <w:t>E36_Entité_visuelle;</w:t>
      </w:r>
    </w:p>
    <w:p w14:paraId="1751D6D9" w14:textId="77777777" w:rsidR="00065317" w:rsidRDefault="005C7BF7">
      <w:pPr>
        <w:numPr>
          <w:ilvl w:val="0"/>
          <w:numId w:val="2"/>
        </w:numPr>
      </w:pPr>
      <w:r>
        <w:rPr>
          <w:rStyle w:val="VerbatimChar"/>
        </w:rPr>
        <w:t>E53_Lieu;</w:t>
      </w:r>
    </w:p>
    <w:p w14:paraId="39AC0FA2" w14:textId="33C42A24" w:rsidR="00065317" w:rsidRDefault="005C7BF7">
      <w:pPr>
        <w:numPr>
          <w:ilvl w:val="0"/>
          <w:numId w:val="2"/>
        </w:numPr>
      </w:pPr>
      <w:r>
        <w:rPr>
          <w:rStyle w:val="VerbatimChar"/>
        </w:rPr>
        <w:t>E79_Ajout_d</w:t>
      </w:r>
      <w:r w:rsidR="00E84B0E">
        <w:rPr>
          <w:rStyle w:val="VerbatimChar"/>
        </w:rPr>
        <w:t>’</w:t>
      </w:r>
      <w:r>
        <w:rPr>
          <w:rStyle w:val="VerbatimChar"/>
        </w:rPr>
        <w:t>élément;</w:t>
      </w:r>
    </w:p>
    <w:p w14:paraId="18E09AA9" w14:textId="77777777" w:rsidR="00065317" w:rsidRDefault="005C7BF7">
      <w:pPr>
        <w:numPr>
          <w:ilvl w:val="0"/>
          <w:numId w:val="2"/>
        </w:numPr>
      </w:pPr>
      <w:r>
        <w:rPr>
          <w:rStyle w:val="VerbatimChar"/>
        </w:rPr>
        <w:t>P39_a_mesuré (a_été_mesuré_par);</w:t>
      </w:r>
    </w:p>
    <w:p w14:paraId="7B9A12F1" w14:textId="77777777" w:rsidR="00065317" w:rsidRDefault="005C7BF7">
      <w:pPr>
        <w:numPr>
          <w:ilvl w:val="0"/>
          <w:numId w:val="2"/>
        </w:numPr>
      </w:pPr>
      <w:r>
        <w:rPr>
          <w:rStyle w:val="VerbatimChar"/>
        </w:rPr>
        <w:t>P43_a_pour_dimension (est_la_dimension_de);</w:t>
      </w:r>
    </w:p>
    <w:p w14:paraId="60D5A7AD" w14:textId="77777777" w:rsidR="00065317" w:rsidRDefault="005C7BF7">
      <w:pPr>
        <w:numPr>
          <w:ilvl w:val="0"/>
          <w:numId w:val="2"/>
        </w:numPr>
      </w:pPr>
      <w:r>
        <w:rPr>
          <w:rStyle w:val="VerbatimChar"/>
        </w:rPr>
        <w:t>P110_a_augmenté (a_été_augmenté_par);</w:t>
      </w:r>
    </w:p>
    <w:p w14:paraId="7F8E8910" w14:textId="77777777" w:rsidR="00065317" w:rsidRDefault="005C7BF7">
      <w:pPr>
        <w:numPr>
          <w:ilvl w:val="0"/>
          <w:numId w:val="2"/>
        </w:numPr>
      </w:pPr>
      <w:r>
        <w:rPr>
          <w:rStyle w:val="VerbatimChar"/>
        </w:rPr>
        <w:t>P139_a_pour_forme_alternative (est_la_forme_alternative_de);</w:t>
      </w:r>
    </w:p>
    <w:p w14:paraId="1A2D1643" w14:textId="3BEE2FB5" w:rsidR="00065317" w:rsidRDefault="005C7BF7">
      <w:pPr>
        <w:numPr>
          <w:ilvl w:val="0"/>
          <w:numId w:val="2"/>
        </w:numPr>
      </w:pPr>
      <w:r>
        <w:rPr>
          <w:rStyle w:val="VerbatimChar"/>
        </w:rPr>
        <w:t>P173_commence_avant_ou_au_moment_de_la_fin_de (se_termine_après_ou_au_moment_du_début_de);</w:t>
      </w:r>
    </w:p>
    <w:p w14:paraId="4EBBCE19" w14:textId="4F40C39A" w:rsidR="00065317" w:rsidRDefault="005C7BF7">
      <w:pPr>
        <w:numPr>
          <w:ilvl w:val="0"/>
          <w:numId w:val="2"/>
        </w:numPr>
      </w:pPr>
      <w:r>
        <w:rPr>
          <w:rStyle w:val="VerbatimChar"/>
        </w:rPr>
        <w:lastRenderedPageBreak/>
        <w:t>P175_commence_avant_ou_au_moment_du_début_de (commence_après_ou_au_moment_du_début_de);</w:t>
      </w:r>
    </w:p>
    <w:p w14:paraId="15DE730C" w14:textId="3DE0936F" w:rsidR="00065317" w:rsidRDefault="005C7BF7">
      <w:pPr>
        <w:numPr>
          <w:ilvl w:val="0"/>
          <w:numId w:val="2"/>
        </w:numPr>
      </w:pPr>
      <w:r>
        <w:rPr>
          <w:rStyle w:val="VerbatimChar"/>
        </w:rPr>
        <w:t>P182_se_termine_avant_ou_au_moment_du_début_de (commence_après_ou_au_moment_de_la_fin_de);</w:t>
      </w:r>
    </w:p>
    <w:p w14:paraId="11F03E4C" w14:textId="77777777" w:rsidR="00065317" w:rsidRDefault="005C7BF7">
      <w:pPr>
        <w:numPr>
          <w:ilvl w:val="0"/>
          <w:numId w:val="2"/>
        </w:numPr>
      </w:pPr>
      <w:r>
        <w:rPr>
          <w:rStyle w:val="VerbatimChar"/>
        </w:rPr>
        <w:t>P183_se_termine_avant_le_début_de (commence_après_la_fin_de);</w:t>
      </w:r>
    </w:p>
    <w:p w14:paraId="4892A028" w14:textId="77777777" w:rsidR="00065317" w:rsidRDefault="005C7BF7">
      <w:pPr>
        <w:numPr>
          <w:ilvl w:val="0"/>
          <w:numId w:val="2"/>
        </w:numPr>
      </w:pPr>
      <w:r>
        <w:rPr>
          <w:rStyle w:val="VerbatimChar"/>
        </w:rPr>
        <w:t>P189_approxime (est_approximé_par).</w:t>
      </w:r>
    </w:p>
    <w:p w14:paraId="4F010A3E" w14:textId="77777777" w:rsidR="003D3C4F" w:rsidRDefault="003D3C4F">
      <w:pPr>
        <w:spacing w:after="0"/>
        <w:rPr>
          <w:rFonts w:eastAsiaTheme="majorEastAsia" w:cstheme="majorBidi"/>
          <w:b/>
          <w:bCs/>
          <w:color w:val="000000"/>
          <w:sz w:val="36"/>
          <w:szCs w:val="36"/>
        </w:rPr>
      </w:pPr>
      <w:bookmarkStart w:id="4" w:name="X320c53a66ab821ca8a7abb0e20fe5057b3e6114"/>
      <w:bookmarkEnd w:id="1"/>
      <w:r>
        <w:br w:type="page"/>
      </w:r>
    </w:p>
    <w:p w14:paraId="3C17015D" w14:textId="4BB3E265" w:rsidR="00065317" w:rsidRDefault="005C7BF7" w:rsidP="000E44D0">
      <w:pPr>
        <w:pStyle w:val="Titre2"/>
      </w:pPr>
      <w:bookmarkStart w:id="5" w:name="_Toc154048703"/>
      <w:r>
        <w:lastRenderedPageBreak/>
        <w:t>Comment interpréter les tableaux et les interventions des traducteur·trice·s</w:t>
      </w:r>
      <w:bookmarkEnd w:id="5"/>
    </w:p>
    <w:p w14:paraId="599C16AA" w14:textId="77777777" w:rsidR="00065317" w:rsidRDefault="005C7BF7">
      <w:pPr>
        <w:pStyle w:val="FirstParagraph"/>
      </w:pPr>
      <w:r>
        <w:t>Les classes et propriétés sont signalées par une police et un surlignage qui permet de rapidement les distinguer (voir exemple ci-bas). La mise en page par tableau est utilisée pour définir en sections des ensembles de textes traduits.</w:t>
      </w:r>
    </w:p>
    <w:p w14:paraId="541E5558" w14:textId="46C36E2D" w:rsidR="00065317" w:rsidRDefault="005C7BF7">
      <w:pPr>
        <w:pStyle w:val="Corpsdetexte"/>
      </w:pPr>
      <w:r>
        <w:t>Les lignes intitulées « Notes de traduction » et « Références » sont utilisées pour bonifier la traduction de précisions ou de références utilisées lors de celle-ci. De plus, il arrive que l</w:t>
      </w:r>
      <w:r w:rsidR="00E84B0E">
        <w:t>’</w:t>
      </w:r>
      <w:r>
        <w:t>ajout de notes explicatives dans le texte soit nécessaire à sa compréhension. Lorsque c</w:t>
      </w:r>
      <w:r w:rsidR="00E84B0E">
        <w:t>’</w:t>
      </w:r>
      <w:r>
        <w:t>est le cas, celles-ci sont ajoutées entre crochets et précédées de la mention « n.d.t. ».</w:t>
      </w:r>
    </w:p>
    <w:p w14:paraId="2ABCE5CA" w14:textId="2926D528" w:rsidR="00065317" w:rsidRDefault="005C7BF7">
      <w:pPr>
        <w:pStyle w:val="Corpsdetexte"/>
      </w:pPr>
      <w:r>
        <w:t>À titre d</w:t>
      </w:r>
      <w:r w:rsidR="00E84B0E">
        <w:t>’</w:t>
      </w:r>
      <w:r>
        <w:t>exemple, dans l</w:t>
      </w:r>
      <w:r w:rsidR="00E84B0E">
        <w:t>’</w:t>
      </w:r>
      <w:r w:rsidR="00A4401A">
        <w:t>enregistrement</w:t>
      </w:r>
      <w:r>
        <w:t xml:space="preserve"> suivant, les éléments</w:t>
      </w:r>
      <w:r w:rsidR="00A4401A">
        <w:t xml:space="preserve"> en bleu et</w:t>
      </w:r>
      <w:r>
        <w:t xml:space="preserve"> en caractères gras sont des additions des traducteur·trice·s (</w:t>
      </w:r>
      <w:r w:rsidR="00724F8E">
        <w:t>N</w:t>
      </w:r>
      <w:r>
        <w:t>.</w:t>
      </w:r>
      <w:r w:rsidR="00724F8E">
        <w:t xml:space="preserve"> B</w:t>
      </w:r>
      <w:r>
        <w:t xml:space="preserve">. une partie du texte a été retirée </w:t>
      </w:r>
      <w:r w:rsidR="00806228">
        <w:t xml:space="preserve">aux </w:t>
      </w:r>
      <w:r>
        <w:t>fins de simplification, la définition complète se trouve en corps de texte)</w:t>
      </w:r>
      <w:r w:rsidR="00C424A5">
        <w:t> </w:t>
      </w:r>
      <w:r>
        <w:t>:</w:t>
      </w:r>
    </w:p>
    <w:p w14:paraId="1A2C7C3F" w14:textId="77777777" w:rsidR="008A1385" w:rsidRPr="00AD0D6D" w:rsidRDefault="005C7BF7" w:rsidP="008A1385">
      <w:pPr>
        <w:pStyle w:val="Corpsdetexte"/>
        <w:spacing w:before="0"/>
        <w:rPr>
          <w:b/>
          <w:bCs/>
          <w:sz w:val="28"/>
          <w:szCs w:val="28"/>
        </w:rPr>
      </w:pPr>
      <w:r w:rsidRPr="00AD0D6D">
        <w:rPr>
          <w:b/>
          <w:bCs/>
          <w:sz w:val="28"/>
          <w:szCs w:val="28"/>
        </w:rPr>
        <w:t>E18 Chose matérielle</w:t>
      </w:r>
    </w:p>
    <w:p w14:paraId="0631054C" w14:textId="4AB84499" w:rsidR="008A1385" w:rsidRDefault="005C7BF7" w:rsidP="008A1385">
      <w:pPr>
        <w:pStyle w:val="Corpsdetexte"/>
        <w:spacing w:before="0" w:after="0"/>
      </w:pPr>
      <w:r>
        <w:t>Sous-classe de</w:t>
      </w:r>
    </w:p>
    <w:p w14:paraId="7EE0D148" w14:textId="1984B132" w:rsidR="00DF0D31" w:rsidRDefault="005C7BF7" w:rsidP="00AD0D6D">
      <w:pPr>
        <w:pStyle w:val="Corpsdetexte"/>
        <w:spacing w:before="0" w:after="100"/>
        <w:ind w:firstLine="720"/>
        <w:rPr>
          <w:rStyle w:val="VerbatimChar"/>
        </w:rPr>
      </w:pPr>
      <w:r>
        <w:rPr>
          <w:rStyle w:val="VerbatimChar"/>
        </w:rPr>
        <w:t>E72_Objet_juridique</w:t>
      </w:r>
      <w:r w:rsidR="00DF0D31">
        <w:rPr>
          <w:rStyle w:val="VerbatimChar"/>
        </w:rPr>
        <w:t xml:space="preserve"> </w:t>
      </w:r>
    </w:p>
    <w:p w14:paraId="29542700" w14:textId="7BAB78E8" w:rsidR="008A1385" w:rsidRDefault="005C7BF7" w:rsidP="00AD0D6D">
      <w:pPr>
        <w:pStyle w:val="Corpsdetexte"/>
        <w:spacing w:before="0" w:after="0"/>
      </w:pPr>
      <w:r>
        <w:t>Super-classe de</w:t>
      </w:r>
    </w:p>
    <w:p w14:paraId="7E4B15DA" w14:textId="20FB979F" w:rsidR="008A1385" w:rsidRDefault="005C7BF7" w:rsidP="008A1385">
      <w:pPr>
        <w:pStyle w:val="Corpsdetexte"/>
        <w:spacing w:before="0" w:after="0"/>
        <w:ind w:firstLine="720"/>
      </w:pPr>
      <w:r>
        <w:rPr>
          <w:rStyle w:val="VerbatimChar"/>
        </w:rPr>
        <w:t>E19_Objet_matérielE24_Chose_matérielle_élaborée_par_l</w:t>
      </w:r>
      <w:r w:rsidR="00E84B0E">
        <w:rPr>
          <w:rStyle w:val="VerbatimChar"/>
        </w:rPr>
        <w:t>’</w:t>
      </w:r>
      <w:r>
        <w:rPr>
          <w:rStyle w:val="VerbatimChar"/>
        </w:rPr>
        <w:t>humain</w:t>
      </w:r>
    </w:p>
    <w:p w14:paraId="122ADC31" w14:textId="03982188" w:rsidR="00065317" w:rsidRPr="008A1385" w:rsidRDefault="005C7BF7" w:rsidP="008A1385">
      <w:pPr>
        <w:pStyle w:val="Corpsdetexte"/>
        <w:spacing w:before="0" w:after="0"/>
        <w:ind w:firstLine="720"/>
      </w:pPr>
      <w:r>
        <w:rPr>
          <w:rStyle w:val="VerbatimChar"/>
        </w:rPr>
        <w:t>E26_Caractéristique_physique</w:t>
      </w:r>
    </w:p>
    <w:p w14:paraId="65C392D3" w14:textId="3030126B" w:rsidR="008A1385" w:rsidRDefault="005C7BF7" w:rsidP="008A1385">
      <w:pPr>
        <w:pStyle w:val="Corpsdetexte"/>
        <w:spacing w:after="0"/>
      </w:pPr>
      <w:r>
        <w:t>Note d</w:t>
      </w:r>
      <w:r w:rsidR="00E84B0E">
        <w:t>’</w:t>
      </w:r>
      <w:r>
        <w:t>application</w:t>
      </w:r>
    </w:p>
    <w:p w14:paraId="75E65E0B" w14:textId="7770FAF6" w:rsidR="00065317" w:rsidRDefault="005C7BF7" w:rsidP="008A1385">
      <w:pPr>
        <w:pStyle w:val="Corpsdetexte"/>
        <w:spacing w:before="0" w:after="0"/>
        <w:ind w:left="709"/>
      </w:pPr>
      <w:r>
        <w:t xml:space="preserve">Cette classe comprend toutes les entités physiques persistantes présentant une forme raisonnablement stable, </w:t>
      </w:r>
      <w:r w:rsidRPr="00A4401A">
        <w:rPr>
          <w:b/>
          <w:bCs/>
          <w:color w:val="4F81BD" w:themeColor="accent1"/>
        </w:rPr>
        <w:t>[n.d.</w:t>
      </w:r>
      <w:r w:rsidR="0094375D">
        <w:rPr>
          <w:b/>
          <w:bCs/>
          <w:color w:val="4F81BD" w:themeColor="accent1"/>
        </w:rPr>
        <w:t>t</w:t>
      </w:r>
      <w:r w:rsidRPr="00A4401A">
        <w:rPr>
          <w:b/>
          <w:bCs/>
          <w:color w:val="4F81BD" w:themeColor="accent1"/>
        </w:rPr>
        <w:t>.</w:t>
      </w:r>
      <w:r w:rsidR="0094375D">
        <w:rPr>
          <w:b/>
          <w:bCs/>
          <w:color w:val="4F81BD" w:themeColor="accent1"/>
        </w:rPr>
        <w:t xml:space="preserve"> </w:t>
      </w:r>
      <w:r w:rsidRPr="00A4401A">
        <w:rPr>
          <w:b/>
          <w:bCs/>
          <w:color w:val="4F81BD" w:themeColor="accent1"/>
        </w:rPr>
        <w:t>qu</w:t>
      </w:r>
      <w:r w:rsidR="00E84B0E">
        <w:rPr>
          <w:b/>
          <w:bCs/>
          <w:color w:val="4F81BD" w:themeColor="accent1"/>
        </w:rPr>
        <w:t>’</w:t>
      </w:r>
      <w:r w:rsidRPr="00A4401A">
        <w:rPr>
          <w:b/>
          <w:bCs/>
          <w:color w:val="4F81BD" w:themeColor="accent1"/>
        </w:rPr>
        <w:t>elles aient été]</w:t>
      </w:r>
      <w:r>
        <w:t xml:space="preserve"> élaborées par l</w:t>
      </w:r>
      <w:r w:rsidR="00E84B0E">
        <w:t>’</w:t>
      </w:r>
      <w:r>
        <w:t xml:space="preserve">humain ou </w:t>
      </w:r>
      <w:r w:rsidRPr="00A4401A">
        <w:rPr>
          <w:b/>
          <w:bCs/>
          <w:color w:val="4F81BD" w:themeColor="accent1"/>
        </w:rPr>
        <w:t>[</w:t>
      </w:r>
      <w:r w:rsidR="0094375D">
        <w:rPr>
          <w:b/>
          <w:bCs/>
          <w:color w:val="4F81BD" w:themeColor="accent1"/>
        </w:rPr>
        <w:t xml:space="preserve">n.d.t. </w:t>
      </w:r>
      <w:r w:rsidRPr="00A4401A">
        <w:rPr>
          <w:b/>
          <w:bCs/>
          <w:color w:val="4F81BD" w:themeColor="accent1"/>
        </w:rPr>
        <w:t>qu</w:t>
      </w:r>
      <w:r w:rsidR="00E84B0E">
        <w:rPr>
          <w:b/>
          <w:bCs/>
          <w:color w:val="4F81BD" w:themeColor="accent1"/>
        </w:rPr>
        <w:t>’</w:t>
      </w:r>
      <w:r w:rsidRPr="00A4401A">
        <w:rPr>
          <w:b/>
          <w:bCs/>
          <w:color w:val="4F81BD" w:themeColor="accent1"/>
        </w:rPr>
        <w:t>elles soient]</w:t>
      </w:r>
      <w:r>
        <w:t xml:space="preserve"> naturelles.</w:t>
      </w:r>
    </w:p>
    <w:p w14:paraId="21B2B01A" w14:textId="77777777" w:rsidR="00065317" w:rsidRDefault="005C7BF7">
      <w:pPr>
        <w:pStyle w:val="Corpsdetexte"/>
      </w:pPr>
      <w:r>
        <w:t>Exemples</w:t>
      </w:r>
    </w:p>
    <w:p w14:paraId="35AEBB85" w14:textId="77777777" w:rsidR="00A4401A" w:rsidRDefault="005C7BF7" w:rsidP="00A4401A">
      <w:pPr>
        <w:numPr>
          <w:ilvl w:val="0"/>
          <w:numId w:val="3"/>
        </w:numPr>
        <w:spacing w:after="0"/>
      </w:pPr>
      <w:r>
        <w:t>Le diamant Cullinan (E19_Objet_matériel) (Scarratt et Shor, 2006)</w:t>
      </w:r>
    </w:p>
    <w:p w14:paraId="1BE06AEC" w14:textId="71DEE2B8" w:rsidR="00065317" w:rsidRDefault="005C7BF7" w:rsidP="00A4401A">
      <w:pPr>
        <w:numPr>
          <w:ilvl w:val="0"/>
          <w:numId w:val="3"/>
        </w:numPr>
        <w:spacing w:after="0"/>
      </w:pPr>
      <w:r>
        <w:t xml:space="preserve">La grotte </w:t>
      </w:r>
      <w:r w:rsidRPr="00A4401A">
        <w:rPr>
          <w:i/>
          <w:iCs/>
        </w:rPr>
        <w:t>Ideon Andron</w:t>
      </w:r>
      <w:r>
        <w:t xml:space="preserve"> en Crète (E26_Caractéristique_physique) (Smith, 1844-49)</w:t>
      </w:r>
    </w:p>
    <w:p w14:paraId="63009DAF" w14:textId="18F28A30" w:rsidR="00A4401A" w:rsidRDefault="005C7BF7" w:rsidP="00A4401A">
      <w:pPr>
        <w:numPr>
          <w:ilvl w:val="0"/>
          <w:numId w:val="3"/>
        </w:numPr>
        <w:spacing w:after="0"/>
      </w:pPr>
      <w:r>
        <w:t xml:space="preserve">La </w:t>
      </w:r>
      <w:r>
        <w:rPr>
          <w:i/>
          <w:iCs/>
        </w:rPr>
        <w:t>Monna Lisa</w:t>
      </w:r>
      <w:r>
        <w:t xml:space="preserve"> (E22_Objet_élaboré_par_l</w:t>
      </w:r>
      <w:r w:rsidR="00E84B0E">
        <w:t>’</w:t>
      </w:r>
      <w:r>
        <w:t>humain) (Mohem, 2006)</w:t>
      </w:r>
    </w:p>
    <w:p w14:paraId="0DB6724F" w14:textId="74C28BEC" w:rsidR="00065317" w:rsidRDefault="005C7BF7" w:rsidP="008A1385">
      <w:pPr>
        <w:pStyle w:val="FirstParagraph"/>
        <w:ind w:left="709" w:hanging="709"/>
      </w:pPr>
      <w:r>
        <w:t>Logique</w:t>
      </w:r>
      <w:r w:rsidR="00A4401A">
        <w:br/>
      </w:r>
      <w:r>
        <w:t>E18(x) ⇒ E72(x)</w:t>
      </w:r>
    </w:p>
    <w:p w14:paraId="766E9A4F" w14:textId="008C7C74" w:rsidR="00065317" w:rsidRDefault="005C7BF7" w:rsidP="008A1385">
      <w:pPr>
        <w:pStyle w:val="Corpsdetexte"/>
        <w:ind w:left="709" w:hanging="709"/>
      </w:pPr>
      <w:r>
        <w:t>Propriétés</w:t>
      </w:r>
      <w:r w:rsidR="00A4401A">
        <w:br/>
      </w:r>
      <w:r>
        <w:rPr>
          <w:rStyle w:val="VerbatimChar"/>
        </w:rPr>
        <w:t>P44_a_pour_état_matériel (est_l</w:t>
      </w:r>
      <w:r w:rsidR="00E84B0E">
        <w:rPr>
          <w:rStyle w:val="VerbatimChar"/>
        </w:rPr>
        <w:t>’</w:t>
      </w:r>
      <w:r>
        <w:rPr>
          <w:rStyle w:val="VerbatimChar"/>
        </w:rPr>
        <w:t>état_matériel_de)</w:t>
      </w:r>
      <w:r>
        <w:t xml:space="preserve"> : </w:t>
      </w:r>
      <w:r>
        <w:rPr>
          <w:rStyle w:val="VerbatimChar"/>
        </w:rPr>
        <w:t>E3_État_matériel</w:t>
      </w:r>
      <w:r w:rsidR="00A4401A">
        <w:br/>
      </w:r>
      <w:r>
        <w:rPr>
          <w:rStyle w:val="VerbatimChar"/>
        </w:rPr>
        <w:t>P45_comprend (est_inclus_dans)</w:t>
      </w:r>
      <w:r>
        <w:t xml:space="preserve"> : </w:t>
      </w:r>
      <w:r>
        <w:rPr>
          <w:rStyle w:val="VerbatimChar"/>
        </w:rPr>
        <w:t>E57_Matériau</w:t>
      </w:r>
    </w:p>
    <w:p w14:paraId="0C22CB4D" w14:textId="77777777" w:rsidR="00065317" w:rsidRPr="0095094B" w:rsidRDefault="005C7BF7" w:rsidP="0095094B">
      <w:pPr>
        <w:pStyle w:val="Corpsdetexte"/>
        <w:spacing w:before="0" w:after="100"/>
        <w:ind w:firstLine="709"/>
        <w:rPr>
          <w:color w:val="4F81BD" w:themeColor="accent1"/>
          <w:sz w:val="22"/>
          <w:szCs w:val="22"/>
        </w:rPr>
      </w:pPr>
      <w:r w:rsidRPr="0095094B">
        <w:rPr>
          <w:b/>
          <w:bCs/>
          <w:i/>
          <w:iCs/>
          <w:color w:val="4F81BD" w:themeColor="accent1"/>
          <w:sz w:val="22"/>
          <w:szCs w:val="22"/>
        </w:rPr>
        <w:t>Note de traduction</w:t>
      </w:r>
    </w:p>
    <w:p w14:paraId="2DDE1387" w14:textId="2A0EB449" w:rsidR="00065317" w:rsidRPr="0095094B" w:rsidRDefault="005C7BF7" w:rsidP="008A1385">
      <w:pPr>
        <w:pStyle w:val="Corpsdetexte"/>
        <w:spacing w:before="0" w:after="0"/>
        <w:ind w:left="709"/>
        <w:rPr>
          <w:color w:val="4F81BD" w:themeColor="accent1"/>
          <w:sz w:val="22"/>
          <w:szCs w:val="22"/>
        </w:rPr>
      </w:pPr>
      <w:r w:rsidRPr="0095094B">
        <w:rPr>
          <w:color w:val="4F81BD" w:themeColor="accent1"/>
          <w:sz w:val="22"/>
          <w:szCs w:val="22"/>
        </w:rPr>
        <w:t>Dans la première phrase de la note d</w:t>
      </w:r>
      <w:r w:rsidR="00E84B0E">
        <w:rPr>
          <w:color w:val="4F81BD" w:themeColor="accent1"/>
          <w:sz w:val="22"/>
          <w:szCs w:val="22"/>
        </w:rPr>
        <w:t>’</w:t>
      </w:r>
      <w:r w:rsidRPr="0095094B">
        <w:rPr>
          <w:color w:val="4F81BD" w:themeColor="accent1"/>
          <w:sz w:val="22"/>
          <w:szCs w:val="22"/>
        </w:rPr>
        <w:t>application, il existe une incertitude à savoir si « human-made » et « natural » font référence aux « items » ou à la « stable form ». Cette incertitude n</w:t>
      </w:r>
      <w:r w:rsidR="00E84B0E">
        <w:rPr>
          <w:color w:val="4F81BD" w:themeColor="accent1"/>
          <w:sz w:val="22"/>
          <w:szCs w:val="22"/>
        </w:rPr>
        <w:t>’</w:t>
      </w:r>
      <w:r w:rsidRPr="0095094B">
        <w:rPr>
          <w:color w:val="4F81BD" w:themeColor="accent1"/>
          <w:sz w:val="22"/>
          <w:szCs w:val="22"/>
        </w:rPr>
        <w:t>empêche pas la compréhension de la phrase, mais la décision a été prise de faire référence aux « items » par l</w:t>
      </w:r>
      <w:r w:rsidR="00E84B0E">
        <w:rPr>
          <w:color w:val="4F81BD" w:themeColor="accent1"/>
          <w:sz w:val="22"/>
          <w:szCs w:val="22"/>
        </w:rPr>
        <w:t>’</w:t>
      </w:r>
      <w:r w:rsidRPr="0095094B">
        <w:rPr>
          <w:color w:val="4F81BD" w:themeColor="accent1"/>
          <w:sz w:val="22"/>
          <w:szCs w:val="22"/>
        </w:rPr>
        <w:t>ajout de « qu</w:t>
      </w:r>
      <w:r w:rsidR="00E84B0E">
        <w:rPr>
          <w:color w:val="4F81BD" w:themeColor="accent1"/>
          <w:sz w:val="22"/>
          <w:szCs w:val="22"/>
        </w:rPr>
        <w:t>’</w:t>
      </w:r>
      <w:r w:rsidRPr="0095094B">
        <w:rPr>
          <w:color w:val="4F81BD" w:themeColor="accent1"/>
          <w:sz w:val="22"/>
          <w:szCs w:val="22"/>
        </w:rPr>
        <w:t>elles soient ».</w:t>
      </w:r>
    </w:p>
    <w:p w14:paraId="3B9FF19E" w14:textId="77777777" w:rsidR="00065317" w:rsidRPr="0095094B" w:rsidRDefault="005C7BF7" w:rsidP="0095094B">
      <w:pPr>
        <w:pStyle w:val="Corpsdetexte"/>
        <w:ind w:firstLine="709"/>
        <w:rPr>
          <w:color w:val="4F81BD" w:themeColor="accent1"/>
          <w:sz w:val="22"/>
          <w:szCs w:val="22"/>
        </w:rPr>
      </w:pPr>
      <w:r w:rsidRPr="0095094B">
        <w:rPr>
          <w:b/>
          <w:bCs/>
          <w:i/>
          <w:iCs/>
          <w:color w:val="4F81BD" w:themeColor="accent1"/>
          <w:sz w:val="22"/>
          <w:szCs w:val="22"/>
        </w:rPr>
        <w:t>Références</w:t>
      </w:r>
    </w:p>
    <w:p w14:paraId="0205107F" w14:textId="33CEB926" w:rsidR="00065317" w:rsidRPr="0095094B" w:rsidRDefault="005C7BF7" w:rsidP="008A1385">
      <w:pPr>
        <w:pStyle w:val="Corpsdetexte"/>
        <w:ind w:left="709"/>
        <w:rPr>
          <w:b/>
          <w:bCs/>
          <w:color w:val="4F81BD" w:themeColor="accent1"/>
          <w:sz w:val="22"/>
          <w:szCs w:val="22"/>
        </w:rPr>
      </w:pPr>
      <w:r w:rsidRPr="0095094B">
        <w:rPr>
          <w:color w:val="4F81BD" w:themeColor="accent1"/>
          <w:sz w:val="22"/>
          <w:szCs w:val="22"/>
        </w:rPr>
        <w:t xml:space="preserve">De Vinci, Léonard. </w:t>
      </w:r>
      <w:r w:rsidRPr="0095094B">
        <w:rPr>
          <w:i/>
          <w:iCs/>
          <w:color w:val="4F81BD" w:themeColor="accent1"/>
          <w:sz w:val="22"/>
          <w:szCs w:val="22"/>
        </w:rPr>
        <w:t>Portrait de Lisa Gherardini, épouse de Francesco del Giocondo, dit La Joconde ou Monna Lisa</w:t>
      </w:r>
      <w:r w:rsidRPr="0095094B">
        <w:rPr>
          <w:color w:val="4F81BD" w:themeColor="accent1"/>
          <w:sz w:val="22"/>
          <w:szCs w:val="22"/>
        </w:rPr>
        <w:t xml:space="preserve">. 1503. Huile sur bois (peuplier), 77 x 53 cm. Salle 711. Musée du Louvre. </w:t>
      </w:r>
      <w:hyperlink r:id="rId8">
        <w:r w:rsidRPr="0095094B">
          <w:rPr>
            <w:rStyle w:val="Lienhypertexte"/>
            <w:sz w:val="22"/>
            <w:szCs w:val="22"/>
          </w:rPr>
          <w:t>https://collections.louvre.fr/en/ark:/53355/cl010062370</w:t>
        </w:r>
      </w:hyperlink>
      <w:r w:rsidRPr="0095094B">
        <w:rPr>
          <w:color w:val="4F81BD" w:themeColor="accent1"/>
          <w:sz w:val="22"/>
          <w:szCs w:val="22"/>
        </w:rPr>
        <w:t>.</w:t>
      </w:r>
    </w:p>
    <w:p w14:paraId="64B950F1" w14:textId="77777777" w:rsidR="00F3506A" w:rsidRDefault="00F3506A">
      <w:pPr>
        <w:pStyle w:val="Corpsdetexte"/>
        <w:sectPr w:rsidR="00F3506A" w:rsidSect="00F3506A">
          <w:footerReference w:type="default" r:id="rId9"/>
          <w:pgSz w:w="12240" w:h="15840"/>
          <w:pgMar w:top="720" w:right="720" w:bottom="720" w:left="720" w:header="0" w:footer="0" w:gutter="0"/>
          <w:pgNumType w:fmt="lowerRoman" w:start="1"/>
          <w:cols w:space="720"/>
          <w:formProt w:val="0"/>
          <w:docGrid w:linePitch="326"/>
        </w:sectPr>
      </w:pPr>
    </w:p>
    <w:p w14:paraId="5CB13764" w14:textId="19D17736" w:rsidR="00ED5D84" w:rsidRDefault="005C7BF7" w:rsidP="00C42A84">
      <w:pPr>
        <w:pStyle w:val="Titre2"/>
      </w:pPr>
      <w:bookmarkStart w:id="6" w:name="_Toc154048704"/>
      <w:bookmarkStart w:id="7" w:name="contenus-traduits"/>
      <w:bookmarkEnd w:id="4"/>
      <w:r w:rsidRPr="00C42A84">
        <w:lastRenderedPageBreak/>
        <w:t>Contenus</w:t>
      </w:r>
      <w:r>
        <w:t xml:space="preserve"> traduits</w:t>
      </w:r>
      <w:bookmarkEnd w:id="6"/>
    </w:p>
    <w:p w14:paraId="5B49CFE4" w14:textId="2441D297" w:rsidR="00ED5D84" w:rsidRPr="00ED5D84" w:rsidRDefault="00ED5D84" w:rsidP="00ED5D84">
      <w:pPr>
        <w:pStyle w:val="Corpsdetexte"/>
      </w:pPr>
      <w:r>
        <w:t>Les sections suivantes jusqu</w:t>
      </w:r>
      <w:r w:rsidR="00E84B0E">
        <w:t>’</w:t>
      </w:r>
      <w:r>
        <w:t>à la « Bibliographie de la traduction » ont été traduites à partir de la version originale en anglais.</w:t>
      </w:r>
    </w:p>
    <w:p w14:paraId="6C84CB3C" w14:textId="77777777" w:rsidR="00065317" w:rsidRDefault="005C7BF7" w:rsidP="00C42A84">
      <w:pPr>
        <w:pStyle w:val="Titre2"/>
      </w:pPr>
      <w:bookmarkStart w:id="8" w:name="_Toc154048705"/>
      <w:bookmarkStart w:id="9" w:name="introduction"/>
      <w:bookmarkEnd w:id="7"/>
      <w:r>
        <w:t>Introduction</w:t>
      </w:r>
      <w:bookmarkEnd w:id="8"/>
    </w:p>
    <w:p w14:paraId="3D75B5A8" w14:textId="74CCE598" w:rsidR="00065317" w:rsidRDefault="005C7BF7">
      <w:pPr>
        <w:pStyle w:val="FirstParagraph"/>
      </w:pPr>
      <w:r>
        <w:t xml:space="preserve">Ce document constitue la définition du </w:t>
      </w:r>
      <w:r>
        <w:rPr>
          <w:b/>
          <w:bCs/>
        </w:rPr>
        <w:t>Modèle conceptuel de référence du Comité international pour la documentation du Conseil international des musées (« </w:t>
      </w:r>
      <w:r w:rsidR="00C8288F">
        <w:rPr>
          <w:b/>
          <w:bCs/>
        </w:rPr>
        <w:t>CIDOC CRM</w:t>
      </w:r>
      <w:r>
        <w:rPr>
          <w:b/>
          <w:bCs/>
        </w:rPr>
        <w:t> »)</w:t>
      </w:r>
      <w:r>
        <w:t>, une ontologie formelle qui a pour objectif de faciliter l</w:t>
      </w:r>
      <w:r w:rsidR="00E84B0E">
        <w:t>’</w:t>
      </w:r>
      <w:r>
        <w:t>intégration, la médiation et l</w:t>
      </w:r>
      <w:r w:rsidR="00E84B0E">
        <w:t>’</w:t>
      </w:r>
      <w:r>
        <w:t>échange d</w:t>
      </w:r>
      <w:r w:rsidR="00E84B0E">
        <w:t>’</w:t>
      </w:r>
      <w:r>
        <w:t>informations patrimoniales hétérogènes (ainsi que d</w:t>
      </w:r>
      <w:r w:rsidR="00E84B0E">
        <w:t>’</w:t>
      </w:r>
      <w:r>
        <w:t>information comparable issue d</w:t>
      </w:r>
      <w:r w:rsidR="00E84B0E">
        <w:t>’</w:t>
      </w:r>
      <w:r>
        <w:t xml:space="preserve">autres domaines pertinents détaillés plus bas). Le </w:t>
      </w:r>
      <w:r w:rsidR="00C8288F">
        <w:t>CIDOC CRM</w:t>
      </w:r>
      <w:r>
        <w:t xml:space="preserve"> est le résultat du développement de standards par le Comité pour la documentation (CIDOC) du Conseil international des musées (ICOM), un travail qui a commencé en 1996 sous les auspices du Groupe de travail pour les standards en documentation. En 2000, ICOM-CIDOC a officiellement délégué les tâches de développement du </w:t>
      </w:r>
      <w:r w:rsidR="00C8288F">
        <w:t>CIDOC CRM</w:t>
      </w:r>
      <w:r>
        <w:t xml:space="preserve"> au Groupe de travail spécial pour </w:t>
      </w:r>
      <w:r w:rsidR="00C8288F">
        <w:t>CIDOC CRM</w:t>
      </w:r>
      <w:r>
        <w:t xml:space="preserve"> (</w:t>
      </w:r>
      <w:r w:rsidR="008B430C">
        <w:t>CRM SIG</w:t>
      </w:r>
      <w:r>
        <w:t xml:space="preserve">), lequel travaille en collaboration avec le Groupe de travail ISO/TC46/SC4/WG9 afin de veiller à ce que le </w:t>
      </w:r>
      <w:r w:rsidR="00C8288F">
        <w:t>CIDOC CRM</w:t>
      </w:r>
      <w:r>
        <w:t xml:space="preserve"> respecte les normes internationales en matière de standards.</w:t>
      </w:r>
    </w:p>
    <w:p w14:paraId="67C6C76B" w14:textId="48A53A93" w:rsidR="00065317" w:rsidRDefault="005C7BF7">
      <w:pPr>
        <w:pStyle w:val="Corpsdetexte"/>
      </w:pPr>
      <w:r>
        <w:t>Ces collaborations ont mené à la publication des documents ISO21127:2004 et ISO21127:2014, les normes ISO (</w:t>
      </w:r>
      <w:r w:rsidR="00ED5D84">
        <w:t>Organisation internationale de normalisation</w:t>
      </w:r>
      <w:r>
        <w:t xml:space="preserve">) du </w:t>
      </w:r>
      <w:r w:rsidR="00C8288F">
        <w:t>CIDOC CRM</w:t>
      </w:r>
      <w:r>
        <w:t xml:space="preserve"> qui continueront d</w:t>
      </w:r>
      <w:r w:rsidR="00E84B0E">
        <w:t>’</w:t>
      </w:r>
      <w:r>
        <w:t>être mises à jour. Ce document s</w:t>
      </w:r>
      <w:r w:rsidR="00E84B0E">
        <w:t>’</w:t>
      </w:r>
      <w:r>
        <w:t xml:space="preserve">inscrit dans une série de versions évolutives de la définition formelle du </w:t>
      </w:r>
      <w:r w:rsidR="00C8288F">
        <w:t>CIDOC CRM</w:t>
      </w:r>
      <w:r>
        <w:t xml:space="preserve"> qui servent de fondements au groupe de travail ISO. Des différences mineures de sémantique et de notation entre les formes ISO et communautaire de cette définition formelle seront harmonisées dans ses versions futures.</w:t>
      </w:r>
    </w:p>
    <w:p w14:paraId="4FDD4875" w14:textId="77777777" w:rsidR="00065317" w:rsidRDefault="005C7BF7" w:rsidP="0095094B">
      <w:pPr>
        <w:pStyle w:val="Normalcentr"/>
        <w:ind w:left="482" w:right="482"/>
      </w:pPr>
      <w:r>
        <w:rPr>
          <w:b/>
          <w:bCs/>
          <w:i/>
          <w:iCs/>
        </w:rPr>
        <w:t>Note de traduction</w:t>
      </w:r>
    </w:p>
    <w:p w14:paraId="7731A29E" w14:textId="6F94C49E" w:rsidR="00065317" w:rsidRDefault="005C7BF7">
      <w:pPr>
        <w:pStyle w:val="Normalcentr"/>
      </w:pPr>
      <w:r>
        <w:t>L</w:t>
      </w:r>
      <w:r w:rsidR="00E84B0E">
        <w:t>’</w:t>
      </w:r>
      <w:r>
        <w:t>abréviation la plus utilisée dans le monde francophone pour le modèle demeure son acronyme anglophone (</w:t>
      </w:r>
      <w:r w:rsidR="00C8288F">
        <w:t>CIDOC CRM</w:t>
      </w:r>
      <w:r>
        <w:t>) et c</w:t>
      </w:r>
      <w:r w:rsidR="00E84B0E">
        <w:t>’</w:t>
      </w:r>
      <w:r>
        <w:t>est celle qui est utilisée dans ce document. Les titres francophones des groupes de travail sont tirés des appellations trouvées sur le site francophone de CIDOC.</w:t>
      </w:r>
    </w:p>
    <w:p w14:paraId="463879BD" w14:textId="77777777" w:rsidR="00065317" w:rsidRDefault="005C7BF7">
      <w:pPr>
        <w:pStyle w:val="Normalcentr"/>
      </w:pPr>
      <w:r>
        <w:rPr>
          <w:b/>
          <w:bCs/>
          <w:i/>
          <w:iCs/>
        </w:rPr>
        <w:t>Références</w:t>
      </w:r>
    </w:p>
    <w:p w14:paraId="7FA328B0" w14:textId="7DE78A13" w:rsidR="00065317" w:rsidRPr="00C424A5" w:rsidRDefault="005C7BF7">
      <w:pPr>
        <w:pStyle w:val="Normalcentr"/>
      </w:pPr>
      <w:r w:rsidRPr="0094375D">
        <w:rPr>
          <w:i/>
          <w:iCs/>
        </w:rPr>
        <w:t xml:space="preserve">Comité International pour la </w:t>
      </w:r>
      <w:r w:rsidR="0094375D">
        <w:t>D</w:t>
      </w:r>
      <w:r w:rsidRPr="0094375D">
        <w:rPr>
          <w:i/>
          <w:iCs/>
        </w:rPr>
        <w:t>ocumentation de l</w:t>
      </w:r>
      <w:r w:rsidR="00E84B0E">
        <w:rPr>
          <w:i/>
          <w:iCs/>
        </w:rPr>
        <w:t>’</w:t>
      </w:r>
      <w:r w:rsidRPr="0094375D">
        <w:rPr>
          <w:i/>
          <w:iCs/>
        </w:rPr>
        <w:t>ICOM. 2021. « CIDOC ». ICOM CIDOC. 24</w:t>
      </w:r>
      <w:r w:rsidR="00056DCD">
        <w:rPr>
          <w:i/>
          <w:iCs/>
        </w:rPr>
        <w:t> février </w:t>
      </w:r>
      <w:r w:rsidRPr="0094375D">
        <w:rPr>
          <w:i/>
          <w:iCs/>
        </w:rPr>
        <w:t>2021.</w:t>
      </w:r>
      <w:r w:rsidR="0094375D">
        <w:t xml:space="preserve"> </w:t>
      </w:r>
      <w:hyperlink r:id="rId10" w:history="1">
        <w:r w:rsidR="0094375D" w:rsidRPr="00A2778D">
          <w:rPr>
            <w:rStyle w:val="Lienhypertexte"/>
            <w:i/>
            <w:iCs/>
          </w:rPr>
          <w:t>http://cidoc.mini.icom.museum/fr/</w:t>
        </w:r>
      </w:hyperlink>
      <w:r w:rsidRPr="0094375D">
        <w:rPr>
          <w:i/>
          <w:iCs/>
        </w:rPr>
        <w:t>.</w:t>
      </w:r>
    </w:p>
    <w:p w14:paraId="315CF0C2" w14:textId="10E0F9BC" w:rsidR="00065317" w:rsidRDefault="005C7BF7" w:rsidP="00C42A84">
      <w:pPr>
        <w:pStyle w:val="Titre3"/>
      </w:pPr>
      <w:bookmarkStart w:id="10" w:name="_Toc154048706"/>
      <w:bookmarkStart w:id="11" w:name="objectifs-du-cidoc-crm"/>
      <w:r>
        <w:t xml:space="preserve">Objectifs </w:t>
      </w:r>
      <w:r w:rsidRPr="00C42A84">
        <w:t>du</w:t>
      </w:r>
      <w:r>
        <w:t xml:space="preserve"> </w:t>
      </w:r>
      <w:r w:rsidR="00C8288F">
        <w:t>CIDOC CRM</w:t>
      </w:r>
      <w:bookmarkEnd w:id="10"/>
    </w:p>
    <w:p w14:paraId="558D1007" w14:textId="7ABD8413" w:rsidR="00065317" w:rsidRDefault="00C8288F">
      <w:pPr>
        <w:pStyle w:val="FirstParagraph"/>
      </w:pPr>
      <w:r>
        <w:t>CIDOC CRM</w:t>
      </w:r>
      <w:r w:rsidR="005C7BF7">
        <w:t xml:space="preserve"> a pour principale fonction de favoriser l</w:t>
      </w:r>
      <w:r w:rsidR="00E84B0E">
        <w:t>’</w:t>
      </w:r>
      <w:r w:rsidR="005C7BF7">
        <w:t>échange d</w:t>
      </w:r>
      <w:r w:rsidR="00E84B0E">
        <w:t>’</w:t>
      </w:r>
      <w:r w:rsidR="005C7BF7">
        <w:t>informations et leur intégration parmi des sources hétérogènes d</w:t>
      </w:r>
      <w:r w:rsidR="00E84B0E">
        <w:t>’</w:t>
      </w:r>
      <w:r w:rsidR="005C7BF7">
        <w:t>informations dédiées à la reconstruction et l</w:t>
      </w:r>
      <w:r w:rsidR="00E84B0E">
        <w:t>’</w:t>
      </w:r>
      <w:r w:rsidR="005C7BF7">
        <w:t>interprétation du passé à échelle humaine sur la base de preuves matérielles incluant des textes, du matériel audio-visuel et des traditions orales. Il émane des besoins de documentation et de recherche des musées sur les objets de leurs collections sans pour autant s</w:t>
      </w:r>
      <w:r w:rsidR="00E84B0E">
        <w:t>’</w:t>
      </w:r>
      <w:r w:rsidR="005C7BF7">
        <w:t>y limiter. Il fournit les définitions sémantiques et clarifications nécessaires à la transformation d</w:t>
      </w:r>
      <w:r w:rsidR="00E84B0E">
        <w:t>’</w:t>
      </w:r>
      <w:r w:rsidR="005C7BF7">
        <w:t>informations localisées et disparates grâce à une ressource globale et cohérente [</w:t>
      </w:r>
      <w:r w:rsidR="0094375D">
        <w:t xml:space="preserve">n.d.t. </w:t>
      </w:r>
      <w:r w:rsidR="005C7BF7">
        <w:t>prenant la forme d</w:t>
      </w:r>
      <w:r w:rsidR="00E84B0E">
        <w:t>’</w:t>
      </w:r>
      <w:r w:rsidR="005C7BF7">
        <w:t>une norme de documentation], que ce soit au sein d</w:t>
      </w:r>
      <w:r w:rsidR="00E84B0E">
        <w:t>’</w:t>
      </w:r>
      <w:r w:rsidR="005C7BF7">
        <w:t>une institution de plus grande envergure, d</w:t>
      </w:r>
      <w:r w:rsidR="00E84B0E">
        <w:t>’</w:t>
      </w:r>
      <w:r w:rsidR="005C7BF7">
        <w:t>intranets ou sur Internet pour les rendre utilisables à des fins d</w:t>
      </w:r>
      <w:r w:rsidR="00E84B0E">
        <w:t>’</w:t>
      </w:r>
      <w:r w:rsidR="005C7BF7">
        <w:t>interprétation experte et d</w:t>
      </w:r>
      <w:r w:rsidR="00E84B0E">
        <w:t>’</w:t>
      </w:r>
      <w:r w:rsidR="005C7BF7">
        <w:t xml:space="preserve">évaluation scientifique. Ces objectifs déterminent le niveau de détail et les construits du </w:t>
      </w:r>
      <w:r>
        <w:t>CIDOC CRM</w:t>
      </w:r>
      <w:r w:rsidR="005C7BF7">
        <w:t>.</w:t>
      </w:r>
    </w:p>
    <w:p w14:paraId="1FACB64F" w14:textId="08A91634" w:rsidR="00065317" w:rsidRDefault="005C7BF7">
      <w:pPr>
        <w:pStyle w:val="Corpsdetexte"/>
      </w:pPr>
      <w:r>
        <w:t xml:space="preserve">Plus spécifiquement, ce modèle définit par une ontologie formelle la </w:t>
      </w:r>
      <w:r>
        <w:rPr>
          <w:b/>
          <w:bCs/>
        </w:rPr>
        <w:t>sémantique</w:t>
      </w:r>
      <w:r>
        <w:t xml:space="preserve"> qui sous-tend les schèmes de base de données et les </w:t>
      </w:r>
      <w:r>
        <w:rPr>
          <w:b/>
          <w:bCs/>
        </w:rPr>
        <w:t>documents structurés</w:t>
      </w:r>
      <w:r>
        <w:t xml:space="preserve"> utilisés dans le cadre de la documentation en milieu patrimonial ou scientifique. Il définit particulièrement la sémantique portant sur l</w:t>
      </w:r>
      <w:r w:rsidR="00E84B0E">
        <w:t>’</w:t>
      </w:r>
      <w:r>
        <w:t>étude du passé et sur l</w:t>
      </w:r>
      <w:r w:rsidR="00E84B0E">
        <w:t>’</w:t>
      </w:r>
      <w:r>
        <w:t>état actuel du monde, une approche caractéristique des musées et d</w:t>
      </w:r>
      <w:r w:rsidR="00E84B0E">
        <w:t>’</w:t>
      </w:r>
      <w:r>
        <w:t xml:space="preserve">autres institutions et disciplines culturelles. Le </w:t>
      </w:r>
      <w:r w:rsidR="00C8288F">
        <w:t>CIDOC CRM</w:t>
      </w:r>
      <w:r>
        <w:t xml:space="preserve"> ne définit pas la </w:t>
      </w:r>
      <w:r>
        <w:rPr>
          <w:b/>
          <w:bCs/>
        </w:rPr>
        <w:t>terminologie</w:t>
      </w:r>
      <w:r>
        <w:t xml:space="preserve"> qui se trouve typiquement dans les structures de données sous forme de valeurs, bien qu</w:t>
      </w:r>
      <w:r w:rsidR="00E84B0E">
        <w:t>’</w:t>
      </w:r>
      <w:r>
        <w:t>il entrevoi</w:t>
      </w:r>
      <w:r w:rsidR="0094375D">
        <w:t>e</w:t>
      </w:r>
      <w:r>
        <w:t xml:space="preserve"> les relations caractéristiques </w:t>
      </w:r>
      <w:r>
        <w:lastRenderedPageBreak/>
        <w:t>nécessaires à son usage [</w:t>
      </w:r>
      <w:r w:rsidR="0094375D">
        <w:t>n.d.t.</w:t>
      </w:r>
      <w:r>
        <w:t xml:space="preserve"> de sorte que le </w:t>
      </w:r>
      <w:r w:rsidR="00C8288F">
        <w:t>CIDOC CRM</w:t>
      </w:r>
      <w:r>
        <w:t xml:space="preserve"> précise comment utiliser une classe, mais pas les valeurs qu</w:t>
      </w:r>
      <w:r w:rsidR="00E84B0E">
        <w:t>’</w:t>
      </w:r>
      <w:r>
        <w:t>elle comprend lorsqu</w:t>
      </w:r>
      <w:r w:rsidR="00E84B0E">
        <w:t>’</w:t>
      </w:r>
      <w:r>
        <w:t xml:space="preserve">elle est implémentée]. Il </w:t>
      </w:r>
      <w:r>
        <w:rPr>
          <w:b/>
          <w:bCs/>
        </w:rPr>
        <w:t>n</w:t>
      </w:r>
      <w:r w:rsidR="00E84B0E">
        <w:rPr>
          <w:b/>
          <w:bCs/>
        </w:rPr>
        <w:t>’</w:t>
      </w:r>
      <w:r>
        <w:rPr>
          <w:b/>
          <w:bCs/>
        </w:rPr>
        <w:t>a pas</w:t>
      </w:r>
      <w:r>
        <w:t xml:space="preserve"> pour objectif d</w:t>
      </w:r>
      <w:r w:rsidR="00E84B0E">
        <w:t>’</w:t>
      </w:r>
      <w:r>
        <w:t xml:space="preserve">indiquer ce que les institutions culturelles patrimoniales </w:t>
      </w:r>
      <w:r>
        <w:rPr>
          <w:b/>
          <w:bCs/>
        </w:rPr>
        <w:t>devraient</w:t>
      </w:r>
      <w:r>
        <w:t xml:space="preserve"> documenter, mais bien d</w:t>
      </w:r>
      <w:r w:rsidR="00E84B0E">
        <w:t>’</w:t>
      </w:r>
      <w:r>
        <w:t>expliquer la logique de ce qu</w:t>
      </w:r>
      <w:r w:rsidR="00E84B0E">
        <w:t>’</w:t>
      </w:r>
      <w:r>
        <w:t>elles documentent afin de favoriser l</w:t>
      </w:r>
      <w:r w:rsidR="00E84B0E">
        <w:t>’</w:t>
      </w:r>
      <w:hyperlink w:anchor="terminologie-interoperabilite-semantique">
        <w:r>
          <w:rPr>
            <w:rStyle w:val="Lienhypertexte"/>
            <w:b/>
            <w:bCs/>
          </w:rPr>
          <w:t>interopérabilité sémantique</w:t>
        </w:r>
      </w:hyperlink>
      <w:r>
        <w:t>.</w:t>
      </w:r>
    </w:p>
    <w:p w14:paraId="3FDABF67" w14:textId="307665EB" w:rsidR="00065317" w:rsidRDefault="005C7BF7">
      <w:pPr>
        <w:pStyle w:val="Corpsdetexte"/>
      </w:pPr>
      <w:r>
        <w:t xml:space="preserve">Le </w:t>
      </w:r>
      <w:r w:rsidR="00C8288F">
        <w:t>CIDOC CRM</w:t>
      </w:r>
      <w:r>
        <w:t xml:space="preserve"> propose un modèle des structures intellectuelles de la documentation susmentionnée en termes logiques et n</w:t>
      </w:r>
      <w:r w:rsidR="00E84B0E">
        <w:t>’</w:t>
      </w:r>
      <w:r>
        <w:t>est donc pas optimisé pour une implémentation spécifique, en particulier en ce qui a trait au stockage et au traitement des données. L</w:t>
      </w:r>
      <w:r w:rsidR="00E84B0E">
        <w:t>’</w:t>
      </w:r>
      <w:r>
        <w:t xml:space="preserve">implémentation peut en outre mener à ce que certains éléments des conceptualisations du </w:t>
      </w:r>
      <w:r w:rsidR="00C8288F">
        <w:t>CIDOC CRM</w:t>
      </w:r>
      <w:r>
        <w:t xml:space="preserve"> ne soient plus explicites dans le contexte d</w:t>
      </w:r>
      <w:r w:rsidR="00E84B0E">
        <w:t>’</w:t>
      </w:r>
      <w:r>
        <w:t>une base de données ou d</w:t>
      </w:r>
      <w:r w:rsidR="00E84B0E">
        <w:t>’</w:t>
      </w:r>
      <w:r>
        <w:t>un système de stockage structuré. Par exemple, un évènement de naissance reliant des éléments tels que le père, la mère, la date et le lieu de naissance peut ne pas être apparent dans une base de données afin de préserver l</w:t>
      </w:r>
      <w:r w:rsidR="00E84B0E">
        <w:t>’</w:t>
      </w:r>
      <w:r>
        <w:t>espace de stockage et le temps de réponse d</w:t>
      </w:r>
      <w:r w:rsidR="00E84B0E">
        <w:t>’</w:t>
      </w:r>
      <w:r>
        <w:t xml:space="preserve">un système. Le </w:t>
      </w:r>
      <w:r w:rsidR="00C8288F">
        <w:t>CIDOC CRM</w:t>
      </w:r>
      <w:r>
        <w:t xml:space="preserve"> offre les moyens conceptuels et techniques pour expliquer en quoi ces entités à première vue disparates sont sémantiquement et logiquement interconnectées et comment la capacité d</w:t>
      </w:r>
      <w:r w:rsidR="00E84B0E">
        <w:t>’</w:t>
      </w:r>
      <w:r>
        <w:t>une base de données à fournir des réponses à des questions de nature intellectuelle est limitée par l</w:t>
      </w:r>
      <w:r w:rsidR="00E84B0E">
        <w:t>’</w:t>
      </w:r>
      <w:r>
        <w:t>omission de tels liens et éléments.</w:t>
      </w:r>
    </w:p>
    <w:p w14:paraId="45EDAFEE" w14:textId="6B390A16" w:rsidR="00065317" w:rsidRDefault="005C7BF7">
      <w:pPr>
        <w:pStyle w:val="Corpsdetexte"/>
      </w:pPr>
      <w:r>
        <w:t xml:space="preserve">Le </w:t>
      </w:r>
      <w:r w:rsidR="00C8288F">
        <w:t>CIDOC CRM</w:t>
      </w:r>
      <w:r>
        <w:t xml:space="preserve"> a pour objectif de soutenir les fonctionnalités spécifiques suivantes :</w:t>
      </w:r>
    </w:p>
    <w:p w14:paraId="4A830B50" w14:textId="77777777" w:rsidR="00065317" w:rsidRDefault="005C7BF7">
      <w:pPr>
        <w:numPr>
          <w:ilvl w:val="0"/>
          <w:numId w:val="4"/>
        </w:numPr>
      </w:pPr>
      <w:r>
        <w:t>Informer les développeurs de systèmes informatiques grâce à un guide de pratiques exemplaires de la modélisation conceptuelle, et ce, afin de structurer et de lier différents avoirs informationnels de la documentation culturelle.</w:t>
      </w:r>
    </w:p>
    <w:p w14:paraId="2055CB57" w14:textId="50AC6A93" w:rsidR="00065317" w:rsidRDefault="005C7BF7">
      <w:pPr>
        <w:numPr>
          <w:ilvl w:val="0"/>
          <w:numId w:val="4"/>
        </w:numPr>
      </w:pPr>
      <w:r>
        <w:t>Servir de langage commun entre les experts et les développeurs informatiques afin qu</w:t>
      </w:r>
      <w:r w:rsidR="00E84B0E">
        <w:t>’</w:t>
      </w:r>
      <w:r>
        <w:t>ils puissent identifier leurs besoins et s</w:t>
      </w:r>
      <w:r w:rsidR="00E84B0E">
        <w:t>’</w:t>
      </w:r>
      <w:r>
        <w:t>entendre sur les fonctionnalités nécessaires à la bonne gestion des contenus culturels.</w:t>
      </w:r>
    </w:p>
    <w:p w14:paraId="166682D4" w14:textId="5E9A9F6E" w:rsidR="00065317" w:rsidRDefault="005C7BF7">
      <w:pPr>
        <w:numPr>
          <w:ilvl w:val="0"/>
          <w:numId w:val="4"/>
        </w:numPr>
      </w:pPr>
      <w:r>
        <w:t>Servir de langage formel pour l</w:t>
      </w:r>
      <w:r w:rsidR="00E84B0E">
        <w:t>’</w:t>
      </w:r>
      <w:r>
        <w:t>identification de contenus informationnels communs même lorsqu</w:t>
      </w:r>
      <w:r w:rsidR="00E84B0E">
        <w:t>’</w:t>
      </w:r>
      <w:r>
        <w:t>ils ont initialement des formats de données disparates. Cela s</w:t>
      </w:r>
      <w:r w:rsidR="00E84B0E">
        <w:t>’</w:t>
      </w:r>
      <w:r>
        <w:t>applique particulièrement à la transformation automatique de données locales en données globales par l</w:t>
      </w:r>
      <w:r w:rsidR="00E84B0E">
        <w:t>’</w:t>
      </w:r>
      <w:r>
        <w:t>implémentation d</w:t>
      </w:r>
      <w:r w:rsidR="00E84B0E">
        <w:t>’</w:t>
      </w:r>
      <w:r>
        <w:t>algorithmes permettant ce transfert sans perte de sens ou de savoirs émanant desdites données. De tels algorithmes s</w:t>
      </w:r>
      <w:r w:rsidR="00E84B0E">
        <w:t>’</w:t>
      </w:r>
      <w:r>
        <w:t>avèrent particulièrement utiles lors de l</w:t>
      </w:r>
      <w:r w:rsidR="00E84B0E">
        <w:t>’</w:t>
      </w:r>
      <w:r>
        <w:t>échange ou de la migration de données depuis des systèmes (pré)existants, lors de l</w:t>
      </w:r>
      <w:r w:rsidR="00E84B0E">
        <w:t>’</w:t>
      </w:r>
      <w:r>
        <w:t>intégration de données informationnelles ou lors de la médiation de données issues de sources disparates.</w:t>
      </w:r>
    </w:p>
    <w:p w14:paraId="75B5B7A9" w14:textId="53C8CD48" w:rsidR="00065317" w:rsidRDefault="005C7BF7">
      <w:pPr>
        <w:numPr>
          <w:ilvl w:val="0"/>
          <w:numId w:val="4"/>
        </w:numPr>
      </w:pPr>
      <w:r>
        <w:t>Faciliter les requêtes d</w:t>
      </w:r>
      <w:r w:rsidR="00E84B0E">
        <w:t>’</w:t>
      </w:r>
      <w:r>
        <w:t>association dans des ressources intégrées en offrant un modèle global de classes de base et d</w:t>
      </w:r>
      <w:r w:rsidR="00E84B0E">
        <w:t>’</w:t>
      </w:r>
      <w:r>
        <w:t>associations entre elles qui permettent de formuler de telles requêtes.</w:t>
      </w:r>
    </w:p>
    <w:p w14:paraId="5753B485" w14:textId="3B436AF5" w:rsidR="00065317" w:rsidRDefault="005C7BF7">
      <w:pPr>
        <w:numPr>
          <w:ilvl w:val="0"/>
          <w:numId w:val="4"/>
        </w:numPr>
      </w:pPr>
      <w:r>
        <w:t>Les algorithmes avancés de traitement automatique du langage naturel ainsi que les méthodes heuristiques (dans des cas spécifiques) peuvent aussi grandement bénéficier de l</w:t>
      </w:r>
      <w:r w:rsidR="00E84B0E">
        <w:t>’</w:t>
      </w:r>
      <w:r>
        <w:t xml:space="preserve">usage du </w:t>
      </w:r>
      <w:r w:rsidR="00C8288F">
        <w:t>CIDOC CRM</w:t>
      </w:r>
      <w:r>
        <w:t xml:space="preserve"> dans le passage d</w:t>
      </w:r>
      <w:r w:rsidR="00E84B0E">
        <w:t>’</w:t>
      </w:r>
      <w:r>
        <w:t xml:space="preserve">une forme textuelle libre à une logique formelle. Le </w:t>
      </w:r>
      <w:r w:rsidR="00C8288F">
        <w:t>CIDOC CRM</w:t>
      </w:r>
      <w:r>
        <w:t xml:space="preserve"> n</w:t>
      </w:r>
      <w:r w:rsidR="00E84B0E">
        <w:t>’</w:t>
      </w:r>
      <w:r>
        <w:t xml:space="preserve">a cependant pas pour objectif de remplacer des textes experts riches de sens par une logique formelle, mais plutôt </w:t>
      </w:r>
      <w:r w:rsidR="000E44D0">
        <w:t>de désigner l</w:t>
      </w:r>
      <w:r>
        <w:t>es données pertinentes liées à de tels textes.</w:t>
      </w:r>
    </w:p>
    <w:p w14:paraId="41414256" w14:textId="5A905A93" w:rsidR="00065317" w:rsidRDefault="005C7BF7">
      <w:pPr>
        <w:pStyle w:val="FirstParagraph"/>
      </w:pPr>
      <w:r>
        <w:t xml:space="preserve">Les utilisateurs du </w:t>
      </w:r>
      <w:r w:rsidR="00C8288F">
        <w:t>CIDOC CRM</w:t>
      </w:r>
      <w:r>
        <w:t xml:space="preserve"> auront besoin de l</w:t>
      </w:r>
      <w:r w:rsidR="00E84B0E">
        <w:t>’</w:t>
      </w:r>
      <w:r>
        <w:t>intégration d</w:t>
      </w:r>
      <w:r w:rsidR="00E84B0E">
        <w:t>’</w:t>
      </w:r>
      <w:r>
        <w:t>une terminologie particulière à leur domaine ainsi que de l</w:t>
      </w:r>
      <w:r w:rsidR="00E84B0E">
        <w:t>’</w:t>
      </w:r>
      <w:r>
        <w:t>apport de leur communauté de pratique dans la sélection de ce qui doit être documenté, de la séquence dans laquelle ce doit être documenté ainsi que dans l</w:t>
      </w:r>
      <w:r w:rsidR="00E84B0E">
        <w:t>’</w:t>
      </w:r>
      <w:r>
        <w:t xml:space="preserve">application de protocoles de contrôle et de validation. Le </w:t>
      </w:r>
      <w:r w:rsidR="00C8288F">
        <w:t>CIDOC CRM</w:t>
      </w:r>
      <w:r>
        <w:t xml:space="preserve"> ne documente pas ces aspects.</w:t>
      </w:r>
    </w:p>
    <w:p w14:paraId="18E51B03" w14:textId="468E55B9" w:rsidR="00784AE7" w:rsidRDefault="005C7BF7" w:rsidP="0094375D">
      <w:pPr>
        <w:pStyle w:val="Corpsdetexte"/>
      </w:pPr>
      <w:r>
        <w:t xml:space="preserve">Par sa structure et son formalisme, le </w:t>
      </w:r>
      <w:r w:rsidR="00C8288F">
        <w:t>CIDOC CRM</w:t>
      </w:r>
      <w:r>
        <w:t xml:space="preserve"> est extensible et ses utilisateurs sont encouragés à créer des extensions dédiées à des communautés de pratique et des applications spécialisées.</w:t>
      </w:r>
    </w:p>
    <w:p w14:paraId="5D7B68E1" w14:textId="77777777" w:rsidR="00784AE7" w:rsidRDefault="00784AE7">
      <w:pPr>
        <w:spacing w:after="0"/>
      </w:pPr>
      <w:r>
        <w:br w:type="page"/>
      </w:r>
    </w:p>
    <w:p w14:paraId="6ADC2FEA" w14:textId="6F9A98CE" w:rsidR="00065317" w:rsidRDefault="005C7BF7">
      <w:pPr>
        <w:pStyle w:val="Normalcentr"/>
      </w:pPr>
      <w:r>
        <w:rPr>
          <w:b/>
          <w:bCs/>
          <w:i/>
          <w:iCs/>
        </w:rPr>
        <w:lastRenderedPageBreak/>
        <w:t>Note de traduction</w:t>
      </w:r>
    </w:p>
    <w:p w14:paraId="1C27147A" w14:textId="1CFC07F3" w:rsidR="00065317" w:rsidRDefault="005C7BF7">
      <w:pPr>
        <w:pStyle w:val="Normalcentr"/>
      </w:pPr>
      <w:r>
        <w:t>Le terme « construct » n</w:t>
      </w:r>
      <w:r w:rsidR="00E84B0E">
        <w:t>’</w:t>
      </w:r>
      <w:r>
        <w:t>a pas d</w:t>
      </w:r>
      <w:r w:rsidR="00E84B0E">
        <w:t>’</w:t>
      </w:r>
      <w:r>
        <w:t>équivalent français parfait, mais une recherche sommaire révèle que le terme « construit » (n.m.) semble répandu dans les domaines de la philosophie et de la sociologie et est celui dont le sens se rapproche le plus de la forme originale.</w:t>
      </w:r>
    </w:p>
    <w:p w14:paraId="22495886" w14:textId="77777777" w:rsidR="00065317" w:rsidRDefault="005C7BF7">
      <w:pPr>
        <w:pStyle w:val="Normalcentr"/>
      </w:pPr>
      <w:r>
        <w:t xml:space="preserve">Le terme « use » (« foresees use of ») a été traduit par « usage » en adéquation avec la traduction de </w:t>
      </w:r>
      <w:r>
        <w:rPr>
          <w:rStyle w:val="VerbatimChar"/>
        </w:rPr>
        <w:t>P68_foresees_use_of</w:t>
      </w:r>
      <w:r>
        <w:t>.</w:t>
      </w:r>
    </w:p>
    <w:p w14:paraId="72D5DC1A" w14:textId="77777777" w:rsidR="00065317" w:rsidRDefault="005C7BF7">
      <w:pPr>
        <w:pStyle w:val="Normalcentr"/>
      </w:pPr>
      <w:r>
        <w:rPr>
          <w:b/>
          <w:bCs/>
          <w:i/>
          <w:iCs/>
        </w:rPr>
        <w:t>Références</w:t>
      </w:r>
    </w:p>
    <w:p w14:paraId="1169BFF8" w14:textId="3457FF89" w:rsidR="00065317" w:rsidRDefault="005C7BF7">
      <w:pPr>
        <w:pStyle w:val="Normalcentr"/>
      </w:pPr>
      <w:r>
        <w:t xml:space="preserve">Termium. « construct ». Dans </w:t>
      </w:r>
      <w:r>
        <w:rPr>
          <w:i/>
          <w:iCs/>
        </w:rPr>
        <w:t>Termium Plus</w:t>
      </w:r>
      <w:r>
        <w:t>. Ottawa, CA-ON: Gouvernement du Canada, 8</w:t>
      </w:r>
      <w:r w:rsidR="00056DCD">
        <w:t> octobre </w:t>
      </w:r>
      <w:r>
        <w:t>2009.</w:t>
      </w:r>
      <w:hyperlink r:id="rId11" w:anchor="resultrecs">
        <w:r w:rsidRPr="0094375D">
          <w:rPr>
            <w:rStyle w:val="Lienhypertexte"/>
          </w:rPr>
          <w:t xml:space="preserve"> </w:t>
        </w:r>
      </w:hyperlink>
      <w:hyperlink r:id="rId12" w:anchor="resultrecs">
        <w:r>
          <w:rPr>
            <w:rStyle w:val="Lienhypertexte"/>
          </w:rPr>
          <w:t>https://www.btb.termiumplus.gc.ca/tpv2alpha/alpha-fra.html?lang=fra&amp;i=1&amp;srchtxt=construct&amp;index=ent&amp;codom2nd_wet=1#resultrecs</w:t>
        </w:r>
      </w:hyperlink>
      <w:r>
        <w:t>.</w:t>
      </w:r>
    </w:p>
    <w:p w14:paraId="20F63D93" w14:textId="1447DDFD" w:rsidR="00065317" w:rsidRDefault="005C7BF7" w:rsidP="00C42A84">
      <w:pPr>
        <w:pStyle w:val="Titre3"/>
      </w:pPr>
      <w:bookmarkStart w:id="12" w:name="_Toc154048707"/>
      <w:bookmarkStart w:id="13" w:name="portee-du-cidoc-crm"/>
      <w:bookmarkEnd w:id="11"/>
      <w:r>
        <w:t xml:space="preserve">Portée du </w:t>
      </w:r>
      <w:r w:rsidR="00C8288F">
        <w:t>CIDOC CRM</w:t>
      </w:r>
      <w:bookmarkEnd w:id="12"/>
    </w:p>
    <w:p w14:paraId="50C67DE1" w14:textId="61646777" w:rsidR="00065317" w:rsidRDefault="005C7BF7" w:rsidP="0094375D">
      <w:pPr>
        <w:pStyle w:val="FirstParagraph"/>
      </w:pPr>
      <w:r>
        <w:t>Le domaine d</w:t>
      </w:r>
      <w:r w:rsidR="00E84B0E">
        <w:t>’</w:t>
      </w:r>
      <w:r>
        <w:t xml:space="preserve">application global du </w:t>
      </w:r>
      <w:r w:rsidR="00C8288F">
        <w:t>CIDOC CRM</w:t>
      </w:r>
      <w:r>
        <w:t xml:space="preserve"> peut être résumé, en termes simples, aux connaissances factuelles au sujet du passé à échelle humaine [</w:t>
      </w:r>
      <w:r w:rsidR="0094375D">
        <w:t>n.d.t.</w:t>
      </w:r>
      <w:r>
        <w:t xml:space="preserve"> c.-à-d. les informations recensées dans les bases de données d</w:t>
      </w:r>
      <w:r w:rsidR="00E84B0E">
        <w:t>’</w:t>
      </w:r>
      <w:r>
        <w:t>institutions patrimoniales].</w:t>
      </w:r>
    </w:p>
    <w:p w14:paraId="69D80657" w14:textId="15451B61" w:rsidR="00065317" w:rsidRDefault="005C7BF7">
      <w:pPr>
        <w:pStyle w:val="Corpsdetexte"/>
      </w:pPr>
      <w:r>
        <w:t>Cependant, une définition plus détaillée et utile peut être articulée en définissant à la fois</w:t>
      </w:r>
      <w:r w:rsidR="00A95C7F">
        <w:t> </w:t>
      </w:r>
      <w:r>
        <w:t>:</w:t>
      </w:r>
    </w:p>
    <w:p w14:paraId="1F781D23" w14:textId="0B72069E" w:rsidR="00065317" w:rsidRDefault="005C7BF7">
      <w:pPr>
        <w:numPr>
          <w:ilvl w:val="0"/>
          <w:numId w:val="5"/>
        </w:numPr>
      </w:pPr>
      <w:r>
        <w:t>le Domaine d</w:t>
      </w:r>
      <w:r w:rsidR="00E84B0E">
        <w:t>’</w:t>
      </w:r>
      <w:r>
        <w:t>application prévu, une définition large et maximalement inclusive des principes généraux d</w:t>
      </w:r>
      <w:r w:rsidR="00E84B0E">
        <w:t>’</w:t>
      </w:r>
      <w:r>
        <w:t>application</w:t>
      </w:r>
      <w:r w:rsidR="00DF0D31">
        <w:t>;</w:t>
      </w:r>
    </w:p>
    <w:p w14:paraId="5E027FE9" w14:textId="77BAEBEB" w:rsidR="00065317" w:rsidRDefault="005C7BF7">
      <w:pPr>
        <w:numPr>
          <w:ilvl w:val="0"/>
          <w:numId w:val="5"/>
        </w:numPr>
      </w:pPr>
      <w:r>
        <w:t>et le Domaine d</w:t>
      </w:r>
      <w:r w:rsidR="00E84B0E">
        <w:t>’</w:t>
      </w:r>
      <w:r>
        <w:t>application pratique, qui est exprimé par le domaine d</w:t>
      </w:r>
      <w:r w:rsidR="00E84B0E">
        <w:t>’</w:t>
      </w:r>
      <w:r>
        <w:t>application d</w:t>
      </w:r>
      <w:r w:rsidR="00E84B0E">
        <w:t>’</w:t>
      </w:r>
      <w:r>
        <w:t xml:space="preserve">un ensemble de référence croissant comprenant des normes et des pratiques spécifiques et identifiables en matière de documentation, normes et pratiques que le </w:t>
      </w:r>
      <w:r w:rsidR="00C8288F">
        <w:t>CIDOC CRM</w:t>
      </w:r>
      <w:r>
        <w:t xml:space="preserve"> vise à décrire sémantiquement, même si ses détails sont toujours restreints aux contraintes du Domaine d</w:t>
      </w:r>
      <w:r w:rsidR="00E84B0E">
        <w:t>’</w:t>
      </w:r>
      <w:r>
        <w:t>application prévu.</w:t>
      </w:r>
    </w:p>
    <w:p w14:paraId="20F1F054" w14:textId="25AEC63A" w:rsidR="00065317" w:rsidRDefault="005C7BF7">
      <w:pPr>
        <w:pStyle w:val="FirstParagraph"/>
      </w:pPr>
      <w:r>
        <w:t>La distinction entre les domaines d</w:t>
      </w:r>
      <w:r w:rsidR="00E84B0E">
        <w:t>’</w:t>
      </w:r>
      <w:r>
        <w:t xml:space="preserve">application prévu et pratique est attribuable à deux éléments. En premier lieu, le </w:t>
      </w:r>
      <w:r w:rsidR="00C8288F">
        <w:t>CIDOC CRM</w:t>
      </w:r>
      <w:r>
        <w:t xml:space="preserve"> est développé avec une approche ascendante (« </w:t>
      </w:r>
      <w:r>
        <w:rPr>
          <w:i/>
          <w:iCs/>
        </w:rPr>
        <w:t>bottom up</w:t>
      </w:r>
      <w:r>
        <w:t> ») fondée sur des concepts établis, réels et bien compris des expert·e·s, lesquels sont ensuite désambiguïsés et généralisés de manière graduelle au fur et à mesure que de nouvelles formes d</w:t>
      </w:r>
      <w:r w:rsidR="00E84B0E">
        <w:t>’</w:t>
      </w:r>
      <w:r>
        <w:t>encodage émergent. Cette distinction confère à ces concepts une certaine stabilité et a pour objectif d</w:t>
      </w:r>
      <w:r w:rsidR="00E84B0E">
        <w:t>’</w:t>
      </w:r>
      <w:r>
        <w:t>éviter le flou et les erreurs qui peuvent s</w:t>
      </w:r>
      <w:r w:rsidR="00E84B0E">
        <w:t>’</w:t>
      </w:r>
      <w:r>
        <w:t>immiscer avec des approches plus introspectives visant à trouver des concepts englobant un domaine aussi large. En second lieu, cette distinction permet d</w:t>
      </w:r>
      <w:r w:rsidR="000E44D0">
        <w:t>e désigner</w:t>
      </w:r>
      <w:r>
        <w:t xml:space="preserve"> les concepts essentiels aux communautés du domaine du </w:t>
      </w:r>
      <w:r w:rsidR="00C8288F">
        <w:t>CIDOC CRM</w:t>
      </w:r>
      <w:r>
        <w:t>, d</w:t>
      </w:r>
      <w:r w:rsidR="00E84B0E">
        <w:t>’</w:t>
      </w:r>
      <w:r>
        <w:t>y accorder une attention particulière et soutenue, et de planifier leur évolution de manière ordonnée.</w:t>
      </w:r>
    </w:p>
    <w:p w14:paraId="7C9D8274" w14:textId="7A1A9484" w:rsidR="00065317" w:rsidRDefault="005C7BF7">
      <w:pPr>
        <w:pStyle w:val="Corpsdetexte"/>
      </w:pPr>
      <w:r>
        <w:t>Le Domaine d</w:t>
      </w:r>
      <w:r w:rsidR="00E84B0E">
        <w:t>’</w:t>
      </w:r>
      <w:r>
        <w:t xml:space="preserve">application prévu du </w:t>
      </w:r>
      <w:r w:rsidR="00C8288F">
        <w:t>CIDOC CRM</w:t>
      </w:r>
      <w:r>
        <w:t xml:space="preserve"> peut être défini comme l</w:t>
      </w:r>
      <w:r w:rsidR="00E84B0E">
        <w:t>’</w:t>
      </w:r>
      <w:r>
        <w:t>ensemble des informations nécessaires à l</w:t>
      </w:r>
      <w:r w:rsidR="00E84B0E">
        <w:t>’</w:t>
      </w:r>
      <w:r>
        <w:t>échange et à l</w:t>
      </w:r>
      <w:r w:rsidR="00E84B0E">
        <w:t>’</w:t>
      </w:r>
      <w:r>
        <w:t>intégration de la documentation hétérogène scientifique et experte au sujet du passé à l</w:t>
      </w:r>
      <w:r w:rsidR="00E84B0E">
        <w:t>’</w:t>
      </w:r>
      <w:r>
        <w:t>échelle humaine ainsi que des preuves empiriques et documentées disponibles la soutenant. Cette définition requiert une élaboration plus approfondie</w:t>
      </w:r>
      <w:r w:rsidR="00A95C7F">
        <w:t> </w:t>
      </w:r>
      <w:r>
        <w:t>:</w:t>
      </w:r>
    </w:p>
    <w:p w14:paraId="41A2A855" w14:textId="7728ED01" w:rsidR="00065317" w:rsidRDefault="005C7BF7">
      <w:pPr>
        <w:numPr>
          <w:ilvl w:val="0"/>
          <w:numId w:val="6"/>
        </w:numPr>
      </w:pPr>
      <w:r>
        <w:t>Le terme « documentation scientifique et experte » est destiné à exprimer l</w:t>
      </w:r>
      <w:r w:rsidR="00E84B0E">
        <w:t>’</w:t>
      </w:r>
      <w:r>
        <w:t xml:space="preserve">exigence selon laquelle la profondeur et la qualité des informations descriptives qui peuvent être traitées par le </w:t>
      </w:r>
      <w:r w:rsidR="00C8288F">
        <w:t>CIDOC CRM</w:t>
      </w:r>
      <w:r>
        <w:t xml:space="preserve"> doivent être suffisantes pour une recherche académique sérieuse. Cela ne signifie pas que les informations destinées à être présentées aux membres du grand public sont exclues, mais plutôt que le </w:t>
      </w:r>
      <w:r w:rsidR="00C8288F">
        <w:t>CIDOC CRM</w:t>
      </w:r>
      <w:r>
        <w:t xml:space="preserve"> est prévu pour fournir le niveau de détail et de précision attendu et requis par les professionnels des musées et les chercheurs du domaine [</w:t>
      </w:r>
      <w:r w:rsidR="00B07C0D">
        <w:t>n.d.t.</w:t>
      </w:r>
      <w:r>
        <w:t xml:space="preserve"> patrimonial].</w:t>
      </w:r>
    </w:p>
    <w:p w14:paraId="69B18684" w14:textId="5A825A0E" w:rsidR="00784AE7" w:rsidRDefault="00784AE7" w:rsidP="00784AE7">
      <w:pPr>
        <w:spacing w:after="0"/>
      </w:pPr>
      <w:r>
        <w:br w:type="page"/>
      </w:r>
    </w:p>
    <w:p w14:paraId="18209907" w14:textId="0F92BF96" w:rsidR="00065317" w:rsidRDefault="005C7BF7">
      <w:pPr>
        <w:numPr>
          <w:ilvl w:val="0"/>
          <w:numId w:val="6"/>
        </w:numPr>
      </w:pPr>
      <w:r>
        <w:lastRenderedPageBreak/>
        <w:t>Le terme « preuves documentées et matérielles disponibles » désigne tous les types de matériaux conservés et exposés par les musées et les institutions qui y sont associées telles que définies par l</w:t>
      </w:r>
      <w:r w:rsidR="00E84B0E">
        <w:t>’</w:t>
      </w:r>
      <w:r>
        <w:t>ICO</w:t>
      </w:r>
      <w:r w:rsidR="0047759F">
        <w:t>M</w:t>
      </w:r>
      <w:r w:rsidR="0047759F">
        <w:rPr>
          <w:rStyle w:val="Appelnotedebasdep"/>
        </w:rPr>
        <w:footnoteReference w:id="1"/>
      </w:r>
      <w:r>
        <w:t>, ainsi que les collections, objets in situ, sites, monuments, et patrimoines intangibles liés à des domaines tels que l</w:t>
      </w:r>
      <w:r w:rsidR="00E84B0E">
        <w:t>’</w:t>
      </w:r>
      <w:r>
        <w:t>histoire sociale, l</w:t>
      </w:r>
      <w:r w:rsidR="00E84B0E">
        <w:t>’</w:t>
      </w:r>
      <w:r>
        <w:t>ethnographie, l</w:t>
      </w:r>
      <w:r w:rsidR="00E84B0E">
        <w:t>’</w:t>
      </w:r>
      <w:r>
        <w:t>archéologie, les beaux-arts et les arts appliqués, l</w:t>
      </w:r>
      <w:r w:rsidR="00E84B0E">
        <w:t>’</w:t>
      </w:r>
      <w:r>
        <w:t>histoire naturelle, ainsi que l</w:t>
      </w:r>
      <w:r w:rsidR="00E84B0E">
        <w:t>’</w:t>
      </w:r>
      <w:r>
        <w:t>histoire des sciences et de la technologie.</w:t>
      </w:r>
    </w:p>
    <w:p w14:paraId="359B5458" w14:textId="7BD0AD9C" w:rsidR="00065317" w:rsidRDefault="005C7BF7">
      <w:pPr>
        <w:numPr>
          <w:ilvl w:val="0"/>
          <w:numId w:val="6"/>
        </w:numPr>
      </w:pPr>
      <w:r>
        <w:t>Le concept de « documentation » inclut la description détaillée d</w:t>
      </w:r>
      <w:r w:rsidR="00E84B0E">
        <w:t>’</w:t>
      </w:r>
      <w:r>
        <w:t>entités individuelles, in situ ou au sein des collections, de groupes d</w:t>
      </w:r>
      <w:r w:rsidR="00E84B0E">
        <w:t>’</w:t>
      </w:r>
      <w:r>
        <w:t xml:space="preserve">entités et de collections dans leur ensemble, et de pratiques culturelles intangibles que ce soit au sujet de leur état actuel ou passé. Le </w:t>
      </w:r>
      <w:r w:rsidR="00C8288F">
        <w:t>CIDOC CRM</w:t>
      </w:r>
      <w:r>
        <w:t xml:space="preserve"> est spécifiquement destiné à couvrir les informations contextuelles, à savoir le contexte historique, géographique et théorique qui confère aux collections du patrimoine culturel une grande partie de leur signification et valeur culturelles.</w:t>
      </w:r>
    </w:p>
    <w:p w14:paraId="22FF93A7" w14:textId="0AC38466" w:rsidR="00065317" w:rsidRDefault="005C7BF7">
      <w:pPr>
        <w:numPr>
          <w:ilvl w:val="0"/>
          <w:numId w:val="6"/>
        </w:numPr>
      </w:pPr>
      <w:r>
        <w:t>L</w:t>
      </w:r>
      <w:r w:rsidR="00E84B0E">
        <w:t>’</w:t>
      </w:r>
      <w:r>
        <w:t>échange d</w:t>
      </w:r>
      <w:r w:rsidR="00E84B0E">
        <w:t>’</w:t>
      </w:r>
      <w:r>
        <w:t>informations pertinentes avec les bibliothèques et les archives, et l</w:t>
      </w:r>
      <w:r w:rsidR="00E84B0E">
        <w:t>’</w:t>
      </w:r>
      <w:r>
        <w:t xml:space="preserve">harmonisation du </w:t>
      </w:r>
      <w:r w:rsidR="00C8288F">
        <w:t>CIDOC CRM</w:t>
      </w:r>
      <w:r>
        <w:t xml:space="preserve"> avec leurs modèles, s</w:t>
      </w:r>
      <w:r w:rsidR="00E84B0E">
        <w:t>’</w:t>
      </w:r>
      <w:r>
        <w:t>inscrit dans le Domaine d</w:t>
      </w:r>
      <w:r w:rsidR="00E84B0E">
        <w:t>’</w:t>
      </w:r>
      <w:r>
        <w:t xml:space="preserve">application prévu du </w:t>
      </w:r>
      <w:r w:rsidR="00C8288F">
        <w:t>CIDOC CRM</w:t>
      </w:r>
      <w:r>
        <w:t>.</w:t>
      </w:r>
    </w:p>
    <w:p w14:paraId="41D045C9" w14:textId="7AD0143C" w:rsidR="00065317" w:rsidRDefault="005C7BF7">
      <w:pPr>
        <w:numPr>
          <w:ilvl w:val="0"/>
          <w:numId w:val="6"/>
        </w:numPr>
      </w:pPr>
      <w:r>
        <w:t>Les informations requises uniquement pour l</w:t>
      </w:r>
      <w:r w:rsidR="00E84B0E">
        <w:t>’</w:t>
      </w:r>
      <w:r>
        <w:t>administration et la gestion des institutions culturelles, telles que les informations relatives au personnel, à la comptabilité et aux statistiques des visiteurs, n</w:t>
      </w:r>
      <w:r w:rsidR="00E84B0E">
        <w:t>’</w:t>
      </w:r>
      <w:r>
        <w:t>entrent pas dans le Domaine d</w:t>
      </w:r>
      <w:r w:rsidR="00E84B0E">
        <w:t>’</w:t>
      </w:r>
      <w:r>
        <w:t>application prévu du CRM CIDOC.</w:t>
      </w:r>
    </w:p>
    <w:p w14:paraId="6E11FADF" w14:textId="75A9D79D" w:rsidR="00065317" w:rsidRDefault="005C7BF7">
      <w:pPr>
        <w:pStyle w:val="FirstParagraph"/>
      </w:pPr>
      <w:r>
        <w:t>Le Domaine d</w:t>
      </w:r>
      <w:r w:rsidR="00E84B0E">
        <w:t>’</w:t>
      </w:r>
      <w:r>
        <w:t>application pratiqu</w:t>
      </w:r>
      <w:r w:rsidR="0047759F">
        <w:t>e</w:t>
      </w:r>
      <w:r w:rsidR="0047759F">
        <w:rPr>
          <w:rStyle w:val="Appelnotedebasdep"/>
        </w:rPr>
        <w:footnoteReference w:id="2"/>
      </w:r>
      <w:r>
        <w:t xml:space="preserve"> du </w:t>
      </w:r>
      <w:r w:rsidR="00C8288F">
        <w:t>CIDOC CRM</w:t>
      </w:r>
      <w:r>
        <w:t xml:space="preserve"> est exprimé en termes d</w:t>
      </w:r>
      <w:r w:rsidR="00E84B0E">
        <w:t>’</w:t>
      </w:r>
      <w:r>
        <w:t>ensembles de normes de références et d</w:t>
      </w:r>
      <w:r w:rsidR="00E84B0E">
        <w:t>’</w:t>
      </w:r>
      <w:r>
        <w:t xml:space="preserve">usage pour documenter les connaissances factuelles qui ont été utilisées pour guider et valider le développement du </w:t>
      </w:r>
      <w:r w:rsidR="00C8288F">
        <w:t>CIDOC CRM</w:t>
      </w:r>
      <w:r>
        <w:t xml:space="preserve"> ainsi que son évolution. Le </w:t>
      </w:r>
      <w:r w:rsidR="00C8288F">
        <w:t>CIDOC CRM</w:t>
      </w:r>
      <w:r>
        <w:t xml:space="preserve"> couvre le même domaine de discours que l</w:t>
      </w:r>
      <w:r w:rsidR="00E84B0E">
        <w:t>’</w:t>
      </w:r>
      <w:r>
        <w:t xml:space="preserve">union de ces référentiels; cela signifie que pour les données correctement encodées conformément à ces formats de documentation, il peut y avoir une expression </w:t>
      </w:r>
      <w:r w:rsidR="00C8288F">
        <w:t>CIDOC CRM</w:t>
      </w:r>
      <w:r>
        <w:t xml:space="preserve"> compatible qui transmet la même signification. Dans le cadre du travail continu visant à maintenir la norme à jour, des discussions sur les types de biais présents dans le </w:t>
      </w:r>
      <w:r w:rsidR="00C8288F">
        <w:t>CIDOC CRM</w:t>
      </w:r>
      <w:r>
        <w:t xml:space="preserve"> sont en cours au sein de la communauté </w:t>
      </w:r>
      <w:r w:rsidR="00C8288F">
        <w:t>CIDOC CRM</w:t>
      </w:r>
      <w:r>
        <w:t>.</w:t>
      </w:r>
    </w:p>
    <w:p w14:paraId="376A714A" w14:textId="77777777" w:rsidR="00065317" w:rsidRDefault="005C7BF7">
      <w:pPr>
        <w:pStyle w:val="Normalcentr"/>
      </w:pPr>
      <w:r>
        <w:rPr>
          <w:b/>
          <w:bCs/>
          <w:i/>
          <w:iCs/>
        </w:rPr>
        <w:t>Note de traduction</w:t>
      </w:r>
    </w:p>
    <w:p w14:paraId="67F32E72" w14:textId="6780EEAD" w:rsidR="00065317" w:rsidRDefault="005C7BF7" w:rsidP="00A95C7F">
      <w:pPr>
        <w:pStyle w:val="Normalcentr"/>
      </w:pPr>
      <w:r>
        <w:rPr>
          <w:b/>
          <w:bCs/>
          <w:i/>
          <w:iCs/>
        </w:rPr>
        <w:t>Références</w:t>
      </w:r>
    </w:p>
    <w:p w14:paraId="7749B788" w14:textId="129C4E5C" w:rsidR="00065317" w:rsidRDefault="005C7BF7" w:rsidP="00C42A84">
      <w:pPr>
        <w:pStyle w:val="Titre3"/>
      </w:pPr>
      <w:bookmarkStart w:id="14" w:name="_Toc154048708"/>
      <w:bookmarkStart w:id="15" w:name="compatibilite-avec-le-cidoc-crm"/>
      <w:bookmarkEnd w:id="13"/>
      <w:r>
        <w:t xml:space="preserve">Compatibilité avec le </w:t>
      </w:r>
      <w:r w:rsidR="00C8288F">
        <w:t>CIDOC CRM</w:t>
      </w:r>
      <w:bookmarkEnd w:id="14"/>
    </w:p>
    <w:p w14:paraId="6212E0BA" w14:textId="15D63B1E" w:rsidR="00065317" w:rsidRDefault="005C7BF7">
      <w:pPr>
        <w:pStyle w:val="FirstParagraph"/>
      </w:pPr>
      <w:r>
        <w:t>Les utilisateurs voulant tirer avantage de l</w:t>
      </w:r>
      <w:r w:rsidR="00E84B0E">
        <w:t>’</w:t>
      </w:r>
      <w:r>
        <w:t xml:space="preserve">interopérabilité sémantique du </w:t>
      </w:r>
      <w:r w:rsidR="00C8288F">
        <w:t>CIDOC CRM</w:t>
      </w:r>
      <w:r>
        <w:t xml:space="preserve"> devraient s</w:t>
      </w:r>
      <w:r w:rsidR="00E84B0E">
        <w:t>’</w:t>
      </w:r>
      <w:r>
        <w:t>assurer de la conformité de leurs structures de données avec celui-ci. La conformité des données réfère à leur accessibilité dans le contexte d</w:t>
      </w:r>
      <w:r w:rsidR="00E84B0E">
        <w:t>’</w:t>
      </w:r>
      <w:r>
        <w:t>un environnement [n.d.t.</w:t>
      </w:r>
      <w:r w:rsidR="00B07C0D">
        <w:t xml:space="preserve"> </w:t>
      </w:r>
      <w:r>
        <w:t>d</w:t>
      </w:r>
      <w:r w:rsidR="00E84B0E">
        <w:t>’</w:t>
      </w:r>
      <w:r>
        <w:t>utilisateur] intégré ou de leur transfert vers d</w:t>
      </w:r>
      <w:r w:rsidR="00E84B0E">
        <w:t>’</w:t>
      </w:r>
      <w:r>
        <w:t>autres environnements.</w:t>
      </w:r>
    </w:p>
    <w:p w14:paraId="09443762" w14:textId="75374E57" w:rsidR="00784AE7" w:rsidRDefault="005C7BF7">
      <w:pPr>
        <w:pStyle w:val="Corpsdetexte"/>
      </w:pPr>
      <w:r>
        <w:t>Tout encodage de données dans un langage formel qui maintient les relations des classes, des propriétés, ainsi que des règles d</w:t>
      </w:r>
      <w:r w:rsidR="00E84B0E">
        <w:t>’</w:t>
      </w:r>
      <w:hyperlink w:anchor="terminologie-heritage">
        <w:r>
          <w:rPr>
            <w:rStyle w:val="Lienhypertexte"/>
          </w:rPr>
          <w:t>héritage</w:t>
        </w:r>
      </w:hyperlink>
      <w:r>
        <w:t xml:space="preserve"> définies par le </w:t>
      </w:r>
      <w:r w:rsidR="00C8288F">
        <w:t>CIDOC CRM</w:t>
      </w:r>
      <w:r>
        <w:t xml:space="preserve"> est considéré y être conforme. Ce</w:t>
      </w:r>
      <w:r w:rsidR="00714434">
        <w:t>la</w:t>
      </w:r>
      <w:r>
        <w:t xml:space="preserve"> dit, cette conformité ne requiert pas une équivalence complète de toutes les structures de documentation locales, ni que tous les concepts et structures du </w:t>
      </w:r>
      <w:r w:rsidR="00C8288F">
        <w:t>CIDOC CRM</w:t>
      </w:r>
      <w:r>
        <w:t xml:space="preserve"> ne soient implémentés.</w:t>
      </w:r>
    </w:p>
    <w:p w14:paraId="65C561FB" w14:textId="77777777" w:rsidR="00784AE7" w:rsidRDefault="00784AE7">
      <w:pPr>
        <w:spacing w:after="0"/>
      </w:pPr>
      <w:r>
        <w:br w:type="page"/>
      </w:r>
    </w:p>
    <w:p w14:paraId="190D6F17" w14:textId="13D82566" w:rsidR="00065317" w:rsidRDefault="005C7BF7">
      <w:pPr>
        <w:pStyle w:val="Corpsdetexte"/>
      </w:pPr>
      <w:r>
        <w:lastRenderedPageBreak/>
        <w:t>Ce standard international a pour objectif de permettre la mise en place d</w:t>
      </w:r>
      <w:r w:rsidR="00E84B0E">
        <w:t>’</w:t>
      </w:r>
      <w:r>
        <w:t>extensions nécessaires pour saisir la richesse des phénomènes culturels et de leur documentation, et ce, tout en prônant la parcimonie. Un système est considéré partiellement conforme s</w:t>
      </w:r>
      <w:r w:rsidR="00E84B0E">
        <w:t>’</w:t>
      </w:r>
      <w:r>
        <w:t xml:space="preserve">il soutient un sous-ensemble des </w:t>
      </w:r>
      <w:hyperlink w:anchor="terminologie-sous-classe">
        <w:r>
          <w:rPr>
            <w:rStyle w:val="Lienhypertexte"/>
          </w:rPr>
          <w:t>sous-classes</w:t>
        </w:r>
      </w:hyperlink>
      <w:r>
        <w:t xml:space="preserve"> et </w:t>
      </w:r>
      <w:hyperlink w:anchor="terminologie-sous-propriete">
        <w:r>
          <w:rPr>
            <w:rStyle w:val="Lienhypertexte"/>
          </w:rPr>
          <w:t xml:space="preserve">sous-propriétés </w:t>
        </w:r>
      </w:hyperlink>
      <w:r>
        <w:t>définies par ce standard. Les concepteurs de systèmes devraient publier le détail des construits qui sont supportés par leur système.</w:t>
      </w:r>
    </w:p>
    <w:p w14:paraId="336B7995" w14:textId="2CAA762F" w:rsidR="00065317" w:rsidRDefault="005C7BF7">
      <w:pPr>
        <w:pStyle w:val="Corpsdetexte"/>
      </w:pPr>
      <w:r>
        <w:t xml:space="preserve">Le </w:t>
      </w:r>
      <w:r w:rsidR="00C8288F">
        <w:t>CIDOC CRM</w:t>
      </w:r>
      <w:r>
        <w:t xml:space="preserve"> porte principalement sur l</w:t>
      </w:r>
      <w:r w:rsidR="00E84B0E">
        <w:t>’</w:t>
      </w:r>
      <w:r>
        <w:t>échange et la médiation d</w:t>
      </w:r>
      <w:r w:rsidR="00E84B0E">
        <w:t>’</w:t>
      </w:r>
      <w:r>
        <w:t>information structurée et n</w:t>
      </w:r>
      <w:r w:rsidR="00E84B0E">
        <w:t>’</w:t>
      </w:r>
      <w:r>
        <w:t>exige pas l</w:t>
      </w:r>
      <w:r w:rsidR="00E84B0E">
        <w:t>’</w:t>
      </w:r>
      <w:r>
        <w:t>interprétation d</w:t>
      </w:r>
      <w:r w:rsidR="00E84B0E">
        <w:t>’</w:t>
      </w:r>
      <w:r>
        <w:t>information non structurée dans une forme logique. L</w:t>
      </w:r>
      <w:r w:rsidR="00E84B0E">
        <w:t>’</w:t>
      </w:r>
      <w:r>
        <w:t xml:space="preserve">information non structurée peut être traitée par le </w:t>
      </w:r>
      <w:r w:rsidR="00C8288F">
        <w:t>CIDOC CRM</w:t>
      </w:r>
      <w:r>
        <w:t>, mais les résultats qui en découlent ne sont pas pris en compte dans l</w:t>
      </w:r>
      <w:r w:rsidR="00E84B0E">
        <w:t>’</w:t>
      </w:r>
      <w:r>
        <w:t>évaluation de la conformité d</w:t>
      </w:r>
      <w:r w:rsidR="00E84B0E">
        <w:t>’</w:t>
      </w:r>
      <w:r>
        <w:t>un système.</w:t>
      </w:r>
    </w:p>
    <w:p w14:paraId="3D2413C2" w14:textId="3B9AD070" w:rsidR="00065317" w:rsidRDefault="005C7BF7">
      <w:pPr>
        <w:pStyle w:val="Corpsdetexte"/>
      </w:pPr>
      <w:r>
        <w:t xml:space="preserve">Tout système documentaire sera considéré conforme [n.d.t. avec les règles du </w:t>
      </w:r>
      <w:r w:rsidR="00C8288F">
        <w:t>CIDOC CRM</w:t>
      </w:r>
      <w:r>
        <w:t>], peu importe les structures de données internes qu</w:t>
      </w:r>
      <w:r w:rsidR="00E84B0E">
        <w:t>’</w:t>
      </w:r>
      <w:r>
        <w:t xml:space="preserve">il utilise, si des algorithmes peuvent transformer les données non structurées du système en une forme compatible avec le </w:t>
      </w:r>
      <w:r w:rsidR="00C8288F">
        <w:t>CIDOC CRM</w:t>
      </w:r>
      <w:r>
        <w:t xml:space="preserve"> sans que la signification n</w:t>
      </w:r>
      <w:r w:rsidR="00E84B0E">
        <w:t>’</w:t>
      </w:r>
      <w:r>
        <w:t>en soit affectée.</w:t>
      </w:r>
    </w:p>
    <w:p w14:paraId="2C16D005" w14:textId="18E2C1E3" w:rsidR="00065317" w:rsidRDefault="005C7BF7">
      <w:pPr>
        <w:pStyle w:val="Corpsdetexte"/>
      </w:pPr>
      <w:r>
        <w:t>« Sans que la signification n</w:t>
      </w:r>
      <w:r w:rsidR="00E84B0E">
        <w:t>’</w:t>
      </w:r>
      <w:r>
        <w:t>en soit affectée » signifie que les concepteurs et les utilisateurs du système considèrent que la représentation résultant de l</w:t>
      </w:r>
      <w:r w:rsidR="00E84B0E">
        <w:t>’</w:t>
      </w:r>
      <w:r>
        <w:t>utilisation de cet algorithme correspond aux définitions sémantiques fournies dans ce standard.</w:t>
      </w:r>
    </w:p>
    <w:p w14:paraId="023721CB" w14:textId="77777777" w:rsidR="00065317" w:rsidRDefault="005C7BF7">
      <w:pPr>
        <w:pStyle w:val="Normalcentr"/>
      </w:pPr>
      <w:r>
        <w:rPr>
          <w:b/>
          <w:bCs/>
          <w:i/>
          <w:iCs/>
        </w:rPr>
        <w:t>Note de traduction</w:t>
      </w:r>
    </w:p>
    <w:p w14:paraId="18181149" w14:textId="40D1DAB1" w:rsidR="00065317" w:rsidRDefault="005C7BF7">
      <w:pPr>
        <w:pStyle w:val="Normalcentr"/>
      </w:pPr>
      <w:r>
        <w:t xml:space="preserve">Certains paragraphes ont été édités dans la version francophone </w:t>
      </w:r>
      <w:r w:rsidR="00806228">
        <w:t>aux</w:t>
      </w:r>
      <w:r>
        <w:t xml:space="preserve"> fins de compréhension. Les sections concernées sont indiquées de [n.d.t. texte concerné].</w:t>
      </w:r>
    </w:p>
    <w:p w14:paraId="6E5BDB43" w14:textId="7BC32B96" w:rsidR="00065317" w:rsidRDefault="005C7BF7">
      <w:pPr>
        <w:pStyle w:val="Normalcentr"/>
      </w:pPr>
      <w:r>
        <w:t>Le terme « construct » n</w:t>
      </w:r>
      <w:r w:rsidR="00E84B0E">
        <w:t>’</w:t>
      </w:r>
      <w:r>
        <w:t>a pas d</w:t>
      </w:r>
      <w:r w:rsidR="00E84B0E">
        <w:t>’</w:t>
      </w:r>
      <w:r>
        <w:t>équivalent français parfait, mais une recherche sommaire révèle que le terme « construit » (n.m.) semble répandu dans les domaines de la philosophie et de la sociologie et est celui dont le sens se rapproche le plus de la forme originale.</w:t>
      </w:r>
    </w:p>
    <w:p w14:paraId="54F77D98" w14:textId="77777777" w:rsidR="00065317" w:rsidRDefault="005C7BF7">
      <w:pPr>
        <w:pStyle w:val="Normalcentr"/>
      </w:pPr>
      <w:r>
        <w:rPr>
          <w:b/>
          <w:bCs/>
          <w:i/>
          <w:iCs/>
        </w:rPr>
        <w:t>Références</w:t>
      </w:r>
    </w:p>
    <w:p w14:paraId="359A0B8F" w14:textId="3C43E380" w:rsidR="00065317" w:rsidRDefault="005C7BF7">
      <w:pPr>
        <w:pStyle w:val="Normalcentr"/>
      </w:pPr>
      <w:r>
        <w:t xml:space="preserve">Termium. « construct ». Dans </w:t>
      </w:r>
      <w:r>
        <w:rPr>
          <w:i/>
          <w:iCs/>
        </w:rPr>
        <w:t>Termium Plus</w:t>
      </w:r>
      <w:r>
        <w:t>. Ottawa, CA-ON: Gouvernement du Canada, 8</w:t>
      </w:r>
      <w:r w:rsidR="00056DCD">
        <w:t> octobre </w:t>
      </w:r>
      <w:r>
        <w:t>2009.</w:t>
      </w:r>
      <w:hyperlink r:id="rId13" w:anchor="resultrecs">
        <w:r>
          <w:rPr>
            <w:rStyle w:val="Lienhypertexte"/>
          </w:rPr>
          <w:t xml:space="preserve"> </w:t>
        </w:r>
      </w:hyperlink>
      <w:hyperlink r:id="rId14" w:anchor="resultrecs">
        <w:r>
          <w:rPr>
            <w:rStyle w:val="Lienhypertexte"/>
          </w:rPr>
          <w:t>https://www.btb.termiumplus.gc.ca/tpv2alpha/alpha-fra.html?lang=fra&amp;i=1&amp;srchtxt=construct&amp;index=ent&amp;codom2nd_wet=1#resultrecs</w:t>
        </w:r>
      </w:hyperlink>
      <w:r>
        <w:t>.</w:t>
      </w:r>
    </w:p>
    <w:p w14:paraId="71BA3088" w14:textId="77777777" w:rsidR="00065317" w:rsidRDefault="005C7BF7" w:rsidP="00C42A84">
      <w:pPr>
        <w:pStyle w:val="Titre3"/>
      </w:pPr>
      <w:bookmarkStart w:id="16" w:name="_Toc154048709"/>
      <w:bookmarkStart w:id="17" w:name="terminologie"/>
      <w:bookmarkEnd w:id="15"/>
      <w:r>
        <w:t>Terminologie</w:t>
      </w:r>
      <w:bookmarkEnd w:id="16"/>
    </w:p>
    <w:p w14:paraId="0EE4CB78" w14:textId="2347B421" w:rsidR="00065317" w:rsidRDefault="005C7BF7">
      <w:pPr>
        <w:pStyle w:val="FirstParagraph"/>
      </w:pPr>
      <w:r>
        <w:t>Les définitions suivantes ont pour objectif d</w:t>
      </w:r>
      <w:r w:rsidR="00E84B0E">
        <w:t>’</w:t>
      </w:r>
      <w:r>
        <w:t>aider le lecteur qui ne serait pas familier avec la terminologie de la modélisation orientée-objet ainsi que de préciser l</w:t>
      </w:r>
      <w:r w:rsidR="00E84B0E">
        <w:t>’</w:t>
      </w:r>
      <w:r>
        <w:t>usage de termes qui ne sont parfois pas utilisés de manière uniforme par cette communauté de modélisation. Les éditeurs ont tenté d</w:t>
      </w:r>
      <w:r w:rsidR="00E84B0E">
        <w:t>’</w:t>
      </w:r>
      <w:r>
        <w:t>utiliser une terminologie compatible avec les recommandations du World Wide Web Consortium quant au Resource Description Framework (RDF</w:t>
      </w:r>
      <w:r w:rsidR="0047759F">
        <w:t>)</w:t>
      </w:r>
      <w:r w:rsidR="0047759F">
        <w:rPr>
          <w:rStyle w:val="Appelnotedebasdep"/>
        </w:rPr>
        <w:footnoteReference w:id="3"/>
      </w:r>
      <w:r>
        <w:t>. Les éditeurs ont utilisé un langage compréhensible pour le lecteur qui ne serait pas un expert informatique tout en préconisant une précision suffisante pour servir les besoins d</w:t>
      </w:r>
      <w:r w:rsidR="00E84B0E">
        <w:t>’</w:t>
      </w:r>
      <w:r>
        <w:t>un tel expert de manière à ce que l</w:t>
      </w:r>
      <w:r w:rsidR="00E84B0E">
        <w:t>’</w:t>
      </w:r>
      <w:r>
        <w:t>un comme l</w:t>
      </w:r>
      <w:r w:rsidR="00E84B0E">
        <w:t>’</w:t>
      </w:r>
      <w:r>
        <w:t xml:space="preserve">autre comprenne le sens du </w:t>
      </w:r>
      <w:r w:rsidR="00C8288F">
        <w:t>CIDOC CRM</w:t>
      </w:r>
      <w:r>
        <w:t>.</w:t>
      </w:r>
    </w:p>
    <w:p w14:paraId="57CFECE9" w14:textId="77777777" w:rsidR="00065317" w:rsidRDefault="005C7BF7">
      <w:pPr>
        <w:pStyle w:val="Normalcentr"/>
      </w:pPr>
      <w:r>
        <w:rPr>
          <w:b/>
          <w:bCs/>
          <w:i/>
          <w:iCs/>
        </w:rPr>
        <w:t>Note de traduction</w:t>
      </w:r>
    </w:p>
    <w:p w14:paraId="5EC08700" w14:textId="1123E887" w:rsidR="00784AE7" w:rsidRDefault="005C7BF7">
      <w:pPr>
        <w:pStyle w:val="Normalcentr"/>
      </w:pPr>
      <w:r>
        <w:t>Une recherche sommaire de la documentation technique traduite sur le site du World Wide Web Consortium ne révèle pas de traduction francophone de « Resource Description Framework (RDF) », de sorte que l</w:t>
      </w:r>
      <w:r w:rsidR="00E84B0E">
        <w:t>’</w:t>
      </w:r>
      <w:r>
        <w:t>appellation anglophone est préconisée dans la présente traduction.</w:t>
      </w:r>
    </w:p>
    <w:p w14:paraId="79F3983A" w14:textId="68BC1FCC" w:rsidR="00065317" w:rsidRPr="00784AE7" w:rsidRDefault="00784AE7" w:rsidP="00784AE7">
      <w:pPr>
        <w:spacing w:after="0"/>
        <w:rPr>
          <w:sz w:val="22"/>
        </w:rPr>
      </w:pPr>
      <w:r>
        <w:br w:type="page"/>
      </w:r>
    </w:p>
    <w:p w14:paraId="1B07FB78" w14:textId="77777777" w:rsidR="00065317" w:rsidRPr="00EC2D6E" w:rsidRDefault="005C7BF7">
      <w:pPr>
        <w:pStyle w:val="Normalcentr"/>
        <w:rPr>
          <w:lang w:val="en-CA"/>
        </w:rPr>
      </w:pPr>
      <w:r w:rsidRPr="00EC2D6E">
        <w:rPr>
          <w:b/>
          <w:bCs/>
          <w:i/>
          <w:iCs/>
          <w:lang w:val="en-CA"/>
        </w:rPr>
        <w:lastRenderedPageBreak/>
        <w:t>Références</w:t>
      </w:r>
    </w:p>
    <w:p w14:paraId="1C46F6B9" w14:textId="765E8E38" w:rsidR="00065317" w:rsidRPr="008B10DC" w:rsidRDefault="005C7BF7">
      <w:pPr>
        <w:pStyle w:val="Normalcentr"/>
        <w:rPr>
          <w:lang w:val="fr-CA"/>
        </w:rPr>
      </w:pPr>
      <w:r w:rsidRPr="00EC2D6E">
        <w:rPr>
          <w:lang w:val="en-CA"/>
        </w:rPr>
        <w:t>Berners-Lee, Tim, Tim Bray, Dan Connolly, Paul Cotton, Roy Fielding, Mario Jeckle, Chris Lilley, et al. «</w:t>
      </w:r>
      <w:r w:rsidR="001A5982">
        <w:rPr>
          <w:lang w:val="en-CA"/>
        </w:rPr>
        <w:t> </w:t>
      </w:r>
      <w:r w:rsidRPr="00EC2D6E">
        <w:rPr>
          <w:lang w:val="en-CA"/>
        </w:rPr>
        <w:t>Architecture du World Wide Web: Volume Un ». Recommandation. 2005. Reprint, Cambridge, USA-MA: World Wide Web Consortium (W3C), 2006.</w:t>
      </w:r>
      <w:hyperlink r:id="rId15">
        <w:r w:rsidRPr="00EC2D6E">
          <w:rPr>
            <w:rStyle w:val="Lienhypertexte"/>
            <w:lang w:val="en-CA"/>
          </w:rPr>
          <w:t xml:space="preserve"> </w:t>
        </w:r>
      </w:hyperlink>
      <w:hyperlink r:id="rId16">
        <w:r w:rsidRPr="008B10DC">
          <w:rPr>
            <w:rStyle w:val="Lienhypertexte"/>
            <w:lang w:val="fr-CA"/>
          </w:rPr>
          <w:t>http://www.opikanoba.org/tr/w3c/webarch/</w:t>
        </w:r>
      </w:hyperlink>
      <w:r w:rsidRPr="008B10DC">
        <w:rPr>
          <w:lang w:val="fr-CA"/>
        </w:rPr>
        <w:t>.</w:t>
      </w:r>
    </w:p>
    <w:p w14:paraId="6973DFA9" w14:textId="4D125E5E" w:rsidR="00065317" w:rsidRPr="00EC2D6E" w:rsidRDefault="005C7BF7">
      <w:pPr>
        <w:pStyle w:val="Normalcentr"/>
        <w:rPr>
          <w:lang w:val="en-CA"/>
        </w:rPr>
      </w:pPr>
      <w:r>
        <w:t>Berrueta, Diego, et Jon Phipps. « Méthodes exemplaires pour la publication des vocabulaires RDF</w:t>
      </w:r>
      <w:r w:rsidR="001A5982">
        <w:t> </w:t>
      </w:r>
      <w:r>
        <w:t xml:space="preserve">». Meilleures pratiques. </w:t>
      </w:r>
      <w:r w:rsidRPr="008B10DC">
        <w:rPr>
          <w:lang w:val="fr-CA"/>
        </w:rPr>
        <w:t>Cambridge, USA-MA: World Wide Web Consortium (W3C), 28</w:t>
      </w:r>
      <w:r w:rsidR="00056DCD">
        <w:rPr>
          <w:lang w:val="fr-CA"/>
        </w:rPr>
        <w:t> août </w:t>
      </w:r>
      <w:r w:rsidRPr="008B10DC">
        <w:rPr>
          <w:lang w:val="fr-CA"/>
        </w:rPr>
        <w:t>2008.</w:t>
      </w:r>
      <w:hyperlink r:id="rId17">
        <w:r w:rsidRPr="008B10DC">
          <w:rPr>
            <w:rStyle w:val="Lienhypertexte"/>
            <w:lang w:val="fr-CA"/>
          </w:rPr>
          <w:t xml:space="preserve"> </w:t>
        </w:r>
      </w:hyperlink>
      <w:hyperlink r:id="rId18">
        <w:r w:rsidRPr="00EC2D6E">
          <w:rPr>
            <w:rStyle w:val="Lienhypertexte"/>
            <w:lang w:val="en-CA"/>
          </w:rPr>
          <w:t>http://www.yoyodesign.org/doc/w3c/swbp-vocab-pub/</w:t>
        </w:r>
      </w:hyperlink>
      <w:r w:rsidRPr="00EC2D6E">
        <w:rPr>
          <w:lang w:val="en-CA"/>
        </w:rPr>
        <w:t>.</w:t>
      </w:r>
    </w:p>
    <w:p w14:paraId="5EF6B4A9" w14:textId="568DCEA3" w:rsidR="00065317" w:rsidRPr="00EC2D6E" w:rsidRDefault="005C7BF7" w:rsidP="002D31B1">
      <w:pPr>
        <w:pStyle w:val="Normalcentr"/>
        <w:rPr>
          <w:lang w:val="en-CA"/>
        </w:rPr>
      </w:pPr>
      <w:r w:rsidRPr="00EC2D6E">
        <w:rPr>
          <w:lang w:val="en-CA"/>
        </w:rPr>
        <w:t>World Wide Web Consortium (W3C). « Translations of W3C Technical Reports ». World Wide Web Consortium (W3C), 8</w:t>
      </w:r>
      <w:r w:rsidR="00056DCD">
        <w:rPr>
          <w:lang w:val="en-CA"/>
        </w:rPr>
        <w:t> mars </w:t>
      </w:r>
      <w:r w:rsidRPr="00EC2D6E">
        <w:rPr>
          <w:lang w:val="en-CA"/>
        </w:rPr>
        <w:t>2021.</w:t>
      </w:r>
      <w:hyperlink r:id="rId19">
        <w:r w:rsidRPr="00EC2D6E">
          <w:rPr>
            <w:rStyle w:val="Lienhypertexte"/>
            <w:lang w:val="en-CA"/>
          </w:rPr>
          <w:t xml:space="preserve"> </w:t>
        </w:r>
      </w:hyperlink>
      <w:hyperlink r:id="rId20">
        <w:r w:rsidRPr="00EC2D6E">
          <w:rPr>
            <w:rStyle w:val="Lienhypertexte"/>
            <w:lang w:val="en-CA"/>
          </w:rPr>
          <w:t>https://www.w3.org/Translations/</w:t>
        </w:r>
      </w:hyperlink>
      <w:r w:rsidRPr="00EC2D6E">
        <w:rPr>
          <w:lang w:val="en-CA"/>
        </w:rPr>
        <w:t>.</w:t>
      </w:r>
      <w:bookmarkStart w:id="18" w:name="terminologie-classe"/>
      <w:bookmarkEnd w:id="18"/>
    </w:p>
    <w:p w14:paraId="397DA1CB" w14:textId="77777777" w:rsidR="00065317" w:rsidRDefault="005C7BF7">
      <w:pPr>
        <w:pStyle w:val="Corpsdetexte"/>
      </w:pPr>
      <w:r>
        <w:rPr>
          <w:b/>
          <w:bCs/>
        </w:rPr>
        <w:t>Classe</w:t>
      </w:r>
    </w:p>
    <w:p w14:paraId="23B4BFE4" w14:textId="3C386CB0" w:rsidR="00065317" w:rsidRDefault="005C7BF7">
      <w:pPr>
        <w:pStyle w:val="Corpsdetexte"/>
      </w:pPr>
      <w:r>
        <w:t>Une classe est une catégorie d</w:t>
      </w:r>
      <w:r w:rsidR="00E84B0E">
        <w:t>’</w:t>
      </w:r>
      <w:r>
        <w:t xml:space="preserve">éléments qui partagent un ou plusieurs traits communs servant de critères pour </w:t>
      </w:r>
      <w:r w:rsidR="0047759F">
        <w:t>désigner</w:t>
      </w:r>
      <w:r>
        <w:t xml:space="preserve"> les éléments appartenant à cette classe. Ces traits communs n</w:t>
      </w:r>
      <w:r w:rsidR="00E84B0E">
        <w:t>’</w:t>
      </w:r>
      <w:r>
        <w:t>ont pas besoin d</w:t>
      </w:r>
      <w:r w:rsidR="00E84B0E">
        <w:t>’</w:t>
      </w:r>
      <w:r>
        <w:t>être explicitement formulés en termes logiques (appelés ici</w:t>
      </w:r>
      <w:hyperlink w:anchor="terminologie-propriete">
        <w:r>
          <w:rPr>
            <w:rStyle w:val="Lienhypertexte"/>
          </w:rPr>
          <w:t xml:space="preserve"> </w:t>
        </w:r>
      </w:hyperlink>
      <w:hyperlink w:anchor="terminologie-propriete">
        <w:r>
          <w:rPr>
            <w:rStyle w:val="Lienhypertexte"/>
            <w:b/>
            <w:bCs/>
          </w:rPr>
          <w:t>propriétés</w:t>
        </w:r>
      </w:hyperlink>
      <w:r>
        <w:t>), mais peuvent être décrits dans un texte faisant référence à une conceptualisation commune des experts du domaine (texte appelé ici</w:t>
      </w:r>
      <w:hyperlink w:anchor="terminologie-note-dapplication">
        <w:r>
          <w:rPr>
            <w:rStyle w:val="Lienhypertexte"/>
          </w:rPr>
          <w:t xml:space="preserve"> </w:t>
        </w:r>
      </w:hyperlink>
      <w:hyperlink w:anchor="terminologie-note-dapplication">
        <w:r>
          <w:rPr>
            <w:rStyle w:val="Lienhypertexte"/>
            <w:b/>
            <w:bCs/>
          </w:rPr>
          <w:t>note d</w:t>
        </w:r>
        <w:r w:rsidR="00E84B0E">
          <w:rPr>
            <w:rStyle w:val="Lienhypertexte"/>
            <w:b/>
            <w:bCs/>
          </w:rPr>
          <w:t>’</w:t>
        </w:r>
        <w:r>
          <w:rPr>
            <w:rStyle w:val="Lienhypertexte"/>
            <w:b/>
            <w:bCs/>
          </w:rPr>
          <w:t>application</w:t>
        </w:r>
      </w:hyperlink>
      <w:r>
        <w:t>). La somme de ces traits s</w:t>
      </w:r>
      <w:r w:rsidR="00E84B0E">
        <w:t>’</w:t>
      </w:r>
      <w:r>
        <w:t>appelle l</w:t>
      </w:r>
      <w:r w:rsidR="00E84B0E">
        <w:t>’</w:t>
      </w:r>
      <w:hyperlink w:anchor="terminologie-intension">
        <w:r>
          <w:rPr>
            <w:rStyle w:val="Lienhypertexte"/>
            <w:b/>
            <w:bCs/>
          </w:rPr>
          <w:t>intension</w:t>
        </w:r>
      </w:hyperlink>
      <w:r>
        <w:t xml:space="preserve"> de la classe. Une classe peut être le </w:t>
      </w:r>
      <w:hyperlink w:anchor="terminologie-domaine">
        <w:r>
          <w:rPr>
            <w:rStyle w:val="Lienhypertexte"/>
            <w:b/>
            <w:bCs/>
          </w:rPr>
          <w:t>domaine</w:t>
        </w:r>
      </w:hyperlink>
      <w:r>
        <w:t xml:space="preserve"> ou la </w:t>
      </w:r>
      <w:hyperlink w:anchor="terminologie-portee">
        <w:r>
          <w:rPr>
            <w:rStyle w:val="Lienhypertexte"/>
            <w:b/>
            <w:bCs/>
          </w:rPr>
          <w:t>portée</w:t>
        </w:r>
      </w:hyperlink>
      <w:r>
        <w:t xml:space="preserve"> d</w:t>
      </w:r>
      <w:r w:rsidR="00E84B0E">
        <w:t>’</w:t>
      </w:r>
      <w:r>
        <w:t>aucune, d</w:t>
      </w:r>
      <w:r w:rsidR="00E84B0E">
        <w:t>’</w:t>
      </w:r>
      <w:r>
        <w:t>une ou de plusieurs propriétés formellement définies dans un modèle. Les propriétés formellement définies n</w:t>
      </w:r>
      <w:r w:rsidR="00E84B0E">
        <w:t>’</w:t>
      </w:r>
      <w:r>
        <w:t>ont pas besoin de faire partie de l</w:t>
      </w:r>
      <w:r w:rsidR="00E84B0E">
        <w:t>’</w:t>
      </w:r>
      <w:r>
        <w:t xml:space="preserve">intension de leurs domaines ou portées : ces propriétés sont facultatives. Un élément qui appartient à une classe est appelé une </w:t>
      </w:r>
      <w:hyperlink w:anchor="terminologie-instance">
        <w:r>
          <w:rPr>
            <w:rStyle w:val="Lienhypertexte"/>
            <w:b/>
            <w:bCs/>
          </w:rPr>
          <w:t>instance</w:t>
        </w:r>
      </w:hyperlink>
      <w:r>
        <w:t xml:space="preserve"> de cette classe. Une classe est associée à un ensemble ouvert d</w:t>
      </w:r>
      <w:r w:rsidR="00E84B0E">
        <w:t>’</w:t>
      </w:r>
      <w:r>
        <w:t>instances réelles (l</w:t>
      </w:r>
      <w:r w:rsidR="00E84B0E">
        <w:t>’</w:t>
      </w:r>
      <w:hyperlink w:anchor="terminologie-extension">
        <w:r>
          <w:rPr>
            <w:rStyle w:val="Lienhypertexte"/>
            <w:b/>
            <w:bCs/>
          </w:rPr>
          <w:t>extension</w:t>
        </w:r>
      </w:hyperlink>
      <w:r>
        <w:t xml:space="preserve"> de la classe), ce qui veut dire qu</w:t>
      </w:r>
      <w:r w:rsidR="00E84B0E">
        <w:t>’</w:t>
      </w:r>
      <w:r>
        <w:t>une capacité humaine normale ne permet pas de connaître toutes les instances d</w:t>
      </w:r>
      <w:r w:rsidR="00E84B0E">
        <w:t>’</w:t>
      </w:r>
      <w:r>
        <w:t xml:space="preserve">une classe existant dans le « monde » à un moment donné, ni de prendre en compte les instances qui pourraient émerger dans le futur (voir </w:t>
      </w:r>
      <w:hyperlink w:anchor="terminologie-monde-ouvert">
        <w:r>
          <w:rPr>
            <w:rStyle w:val="Lienhypertexte"/>
            <w:b/>
            <w:bCs/>
          </w:rPr>
          <w:t>Monde Ouvert</w:t>
        </w:r>
      </w:hyperlink>
      <w:r>
        <w:t>). Par conséquent, une classe ne peut pas être définie en énumérant ses instances.</w:t>
      </w:r>
    </w:p>
    <w:p w14:paraId="68324AD1" w14:textId="074E2AF1" w:rsidR="00065317" w:rsidRDefault="005C7BF7">
      <w:pPr>
        <w:pStyle w:val="Corpsdetexte"/>
      </w:pPr>
      <w:r>
        <w:t>Une classe joue un rôle analogue à un nom grammatical [n.d.t.</w:t>
      </w:r>
      <w:r w:rsidR="002D31B1">
        <w:t xml:space="preserve"> </w:t>
      </w:r>
      <w:r>
        <w:t>dans le contexte d</w:t>
      </w:r>
      <w:r w:rsidR="00E84B0E">
        <w:t>’</w:t>
      </w:r>
      <w:r>
        <w:t>une langue SVO, c.-à-d. une langue comme le français dont les phrases suivent généralement l</w:t>
      </w:r>
      <w:r w:rsidR="00E84B0E">
        <w:t>’</w:t>
      </w:r>
      <w:r>
        <w:t>ordre sujet-verbe-objet] et peut être complètement définie sans référence à aucun autre construit (contrairement aux propriétés, qui doivent avoir un domaine et une portée définis sans ambiguïté).</w:t>
      </w:r>
    </w:p>
    <w:p w14:paraId="6C6D2E95" w14:textId="77777777" w:rsidR="00065317" w:rsidRDefault="005C7BF7">
      <w:pPr>
        <w:pStyle w:val="Corpsdetexte"/>
      </w:pPr>
      <w:r>
        <w:t>Dans certains contextes, les termes classe individuelle, entité ou nœud sont utilisés comme synonymes de classe.</w:t>
      </w:r>
    </w:p>
    <w:p w14:paraId="33A0F13B" w14:textId="77777777" w:rsidR="00065317" w:rsidRDefault="005C7BF7">
      <w:pPr>
        <w:pStyle w:val="Corpsdetexte"/>
      </w:pPr>
      <w:r>
        <w:t>Par exemple :</w:t>
      </w:r>
    </w:p>
    <w:p w14:paraId="40533BE0" w14:textId="31E5AE3C" w:rsidR="00065317" w:rsidRDefault="005C7BF7">
      <w:pPr>
        <w:pStyle w:val="Corpsdetexte"/>
      </w:pPr>
      <w:r>
        <w:rPr>
          <w:rStyle w:val="VerbatimChar"/>
        </w:rPr>
        <w:t>E21_Personne</w:t>
      </w:r>
      <w:r>
        <w:t xml:space="preserve"> est une classe [</w:t>
      </w:r>
      <w:r w:rsidR="002D31B1">
        <w:t xml:space="preserve">n.d.t. </w:t>
      </w:r>
      <w:r>
        <w:t>désignant] ce que « nous » comprenons collectivement être une « personne », laquelle peut être déterminée par des caractéristiques de l</w:t>
      </w:r>
      <w:r w:rsidR="00E84B0E">
        <w:t>’</w:t>
      </w:r>
      <w:r>
        <w:t xml:space="preserve">ADN par exemple. Une instance de </w:t>
      </w:r>
      <w:r>
        <w:rPr>
          <w:rStyle w:val="VerbatimChar"/>
        </w:rPr>
        <w:t>E21_Personne</w:t>
      </w:r>
      <w:r>
        <w:t xml:space="preserve"> peut avoir la propriété d</w:t>
      </w:r>
      <w:r w:rsidR="00E84B0E">
        <w:t>’</w:t>
      </w:r>
      <w:r>
        <w:t>être membre d</w:t>
      </w:r>
      <w:r w:rsidR="00E84B0E">
        <w:t>’</w:t>
      </w:r>
      <w:r>
        <w:t>un groupe (</w:t>
      </w:r>
      <w:r>
        <w:rPr>
          <w:rStyle w:val="VerbatimChar"/>
        </w:rPr>
        <w:t>E74_Groupe</w:t>
      </w:r>
      <w:r>
        <w:t>), mais il n</w:t>
      </w:r>
      <w:r w:rsidR="00E84B0E">
        <w:t>’</w:t>
      </w:r>
      <w:r>
        <w:t>est pas nécessaire d</w:t>
      </w:r>
      <w:r w:rsidR="00E84B0E">
        <w:t>’</w:t>
      </w:r>
      <w:r>
        <w:t>être membre d</w:t>
      </w:r>
      <w:r w:rsidR="00E84B0E">
        <w:t>’</w:t>
      </w:r>
      <w:r>
        <w:t xml:space="preserve">une </w:t>
      </w:r>
      <w:r>
        <w:rPr>
          <w:rStyle w:val="VerbatimChar"/>
        </w:rPr>
        <w:t>E74_Groupe</w:t>
      </w:r>
      <w:r>
        <w:t xml:space="preserve"> pour être une </w:t>
      </w:r>
      <w:r>
        <w:rPr>
          <w:rStyle w:val="VerbatimChar"/>
        </w:rPr>
        <w:t>E21_Personne</w:t>
      </w:r>
      <w:r>
        <w:t xml:space="preserve"> et il n</w:t>
      </w:r>
      <w:r w:rsidR="00E84B0E">
        <w:t>’</w:t>
      </w:r>
      <w:r>
        <w:t>est pas possible de connaître toutes les personnes du passé tout comme il y aura plus de personnes dans le futur.</w:t>
      </w:r>
    </w:p>
    <w:p w14:paraId="542CD93D" w14:textId="77777777" w:rsidR="00065317" w:rsidRDefault="005C7BF7">
      <w:pPr>
        <w:pStyle w:val="Normalcentr"/>
      </w:pPr>
      <w:r>
        <w:rPr>
          <w:b/>
          <w:bCs/>
          <w:i/>
          <w:iCs/>
        </w:rPr>
        <w:t>Note de traduction</w:t>
      </w:r>
    </w:p>
    <w:p w14:paraId="5796E355" w14:textId="77777777" w:rsidR="00065317" w:rsidRDefault="005C7BF7">
      <w:pPr>
        <w:pStyle w:val="Normalcentr"/>
      </w:pPr>
      <w:r>
        <w:rPr>
          <w:b/>
          <w:bCs/>
          <w:i/>
          <w:iCs/>
        </w:rPr>
        <w:t>Références</w:t>
      </w:r>
    </w:p>
    <w:p w14:paraId="49FD640A" w14:textId="21208D1E" w:rsidR="00784AE7" w:rsidRDefault="005C7BF7" w:rsidP="002D31B1">
      <w:pPr>
        <w:pStyle w:val="Normalcentr"/>
      </w:pPr>
      <w:r>
        <w:t xml:space="preserve">Wikipédia. « Langue SVO ». Dans </w:t>
      </w:r>
      <w:r>
        <w:rPr>
          <w:i/>
          <w:iCs/>
        </w:rPr>
        <w:t>Wikipédia</w:t>
      </w:r>
      <w:r>
        <w:t xml:space="preserve">. </w:t>
      </w:r>
      <w:r w:rsidRPr="001A5982">
        <w:t>San Francisco, US-CA: Wikipédia, 31</w:t>
      </w:r>
      <w:r w:rsidR="00056DCD" w:rsidRPr="001A5982">
        <w:t> octobre </w:t>
      </w:r>
      <w:r w:rsidRPr="001A5982">
        <w:t>2020.</w:t>
      </w:r>
      <w:hyperlink r:id="rId21">
        <w:r w:rsidRPr="001A5982">
          <w:rPr>
            <w:rStyle w:val="Lienhypertexte"/>
          </w:rPr>
          <w:t xml:space="preserve"> </w:t>
        </w:r>
      </w:hyperlink>
      <w:hyperlink r:id="rId22">
        <w:r>
          <w:rPr>
            <w:rStyle w:val="Lienhypertexte"/>
          </w:rPr>
          <w:t>https://fr.wikipedia.org/w/index.php?title=Langue_SVO&amp;oldid=176099662</w:t>
        </w:r>
      </w:hyperlink>
      <w:r>
        <w:t>.</w:t>
      </w:r>
      <w:bookmarkStart w:id="19" w:name="terminologie-sous-classe"/>
      <w:bookmarkEnd w:id="19"/>
    </w:p>
    <w:p w14:paraId="2E44D15C" w14:textId="3C56E912" w:rsidR="00065317" w:rsidRPr="00784AE7" w:rsidRDefault="00784AE7" w:rsidP="00784AE7">
      <w:pPr>
        <w:spacing w:after="0"/>
        <w:rPr>
          <w:sz w:val="22"/>
        </w:rPr>
      </w:pPr>
      <w:r>
        <w:br w:type="page"/>
      </w:r>
    </w:p>
    <w:p w14:paraId="18F3A6CE" w14:textId="77777777" w:rsidR="00065317" w:rsidRDefault="005C7BF7">
      <w:pPr>
        <w:pStyle w:val="Corpsdetexte"/>
      </w:pPr>
      <w:r>
        <w:rPr>
          <w:b/>
          <w:bCs/>
        </w:rPr>
        <w:lastRenderedPageBreak/>
        <w:t>Sous-classe</w:t>
      </w:r>
    </w:p>
    <w:p w14:paraId="5652F823" w14:textId="3DC1DACE" w:rsidR="00065317" w:rsidRDefault="005C7BF7">
      <w:pPr>
        <w:pStyle w:val="Corpsdetexte"/>
      </w:pPr>
      <w:r>
        <w:t xml:space="preserve">Une sous-classe est une </w:t>
      </w:r>
      <w:hyperlink w:anchor="terminologie-classe">
        <w:r>
          <w:rPr>
            <w:rStyle w:val="Lienhypertexte"/>
          </w:rPr>
          <w:t>classe</w:t>
        </w:r>
      </w:hyperlink>
      <w:r>
        <w:t xml:space="preserve"> qui est une spécialisation d</w:t>
      </w:r>
      <w:r w:rsidR="00E84B0E">
        <w:t>’</w:t>
      </w:r>
      <w:r>
        <w:t xml:space="preserve">une autre classe (sa </w:t>
      </w:r>
      <w:hyperlink w:anchor="terminologie-super-classe">
        <w:r>
          <w:rPr>
            <w:rStyle w:val="Lienhypertexte"/>
          </w:rPr>
          <w:t>super-classe</w:t>
        </w:r>
      </w:hyperlink>
      <w:r>
        <w:t xml:space="preserve">). La spécialisation ou la relation </w:t>
      </w:r>
      <w:r>
        <w:rPr>
          <w:rStyle w:val="VerbatimChar"/>
        </w:rPr>
        <w:t>estUn</w:t>
      </w:r>
      <w:r>
        <w:t xml:space="preserve"> signifie que :</w:t>
      </w:r>
    </w:p>
    <w:p w14:paraId="4806459C" w14:textId="77777777" w:rsidR="00065317" w:rsidRDefault="005C7BF7">
      <w:pPr>
        <w:numPr>
          <w:ilvl w:val="0"/>
          <w:numId w:val="7"/>
        </w:numPr>
      </w:pPr>
      <w:r>
        <w:t>toutes les instances de la sous-classe sont également des instances de sa superclasse;</w:t>
      </w:r>
    </w:p>
    <w:p w14:paraId="33A944EB" w14:textId="3C80379D" w:rsidR="00065317" w:rsidRDefault="005C7BF7">
      <w:pPr>
        <w:numPr>
          <w:ilvl w:val="0"/>
          <w:numId w:val="7"/>
        </w:numPr>
      </w:pPr>
      <w:r>
        <w:t>l</w:t>
      </w:r>
      <w:hyperlink w:anchor="terminologie-intension">
        <w:r w:rsidR="00E84B0E">
          <w:rPr>
            <w:rStyle w:val="Lienhypertexte"/>
          </w:rPr>
          <w:t>‘</w:t>
        </w:r>
        <w:r>
          <w:rPr>
            <w:rStyle w:val="Lienhypertexte"/>
          </w:rPr>
          <w:t>intension</w:t>
        </w:r>
      </w:hyperlink>
      <w:r>
        <w:t xml:space="preserve"> de la sous-classe étend l</w:t>
      </w:r>
      <w:r w:rsidR="00E84B0E">
        <w:t>’</w:t>
      </w:r>
      <w:r>
        <w:t>intension de sa super-classe, c</w:t>
      </w:r>
      <w:r w:rsidR="00E84B0E">
        <w:t>’</w:t>
      </w:r>
      <w:r>
        <w:t>est-à-dire que ses traits sont plus restrictifs que celui de sa super-classe;</w:t>
      </w:r>
    </w:p>
    <w:p w14:paraId="7FC5BDA4" w14:textId="10E586CC" w:rsidR="00065317" w:rsidRDefault="005C7BF7">
      <w:pPr>
        <w:numPr>
          <w:ilvl w:val="0"/>
          <w:numId w:val="7"/>
        </w:numPr>
      </w:pPr>
      <w:r>
        <w:t xml:space="preserve">la sous-classe </w:t>
      </w:r>
      <w:hyperlink w:anchor="terminologie-heritage">
        <w:r>
          <w:rPr>
            <w:rStyle w:val="Lienhypertexte"/>
          </w:rPr>
          <w:t>hérite</w:t>
        </w:r>
      </w:hyperlink>
      <w:r>
        <w:t xml:space="preserve"> de la définition de toutes les propriétés déclarées pour sa super-classe, et ce sans exception (</w:t>
      </w:r>
      <w:hyperlink w:anchor="terminologie-heritage-strict">
        <w:r>
          <w:rPr>
            <w:rStyle w:val="Lienhypertexte"/>
          </w:rPr>
          <w:t>héritage strict</w:t>
        </w:r>
      </w:hyperlink>
      <w:r>
        <w:t>), en plus de n</w:t>
      </w:r>
      <w:r w:rsidR="00E84B0E">
        <w:t>’</w:t>
      </w:r>
      <w:r>
        <w:t>avoir aucune, une ou plusieurs propriétés qui lui sont propres.</w:t>
      </w:r>
    </w:p>
    <w:p w14:paraId="60092759" w14:textId="3064403E" w:rsidR="00065317" w:rsidRDefault="005C7BF7">
      <w:pPr>
        <w:pStyle w:val="FirstParagraph"/>
      </w:pPr>
      <w:r>
        <w:t>Une sous-classe peut relever directement de plus d</w:t>
      </w:r>
      <w:r w:rsidR="00E84B0E">
        <w:t>’</w:t>
      </w:r>
      <w:r>
        <w:t>une super-classe et hériter par conséquent des propriétés de toutes ses super-classes (</w:t>
      </w:r>
      <w:hyperlink w:anchor="terminologie-heritage-multiple">
        <w:r>
          <w:rPr>
            <w:rStyle w:val="Lienhypertexte"/>
            <w:b/>
            <w:bCs/>
          </w:rPr>
          <w:t>héritage multiple</w:t>
        </w:r>
      </w:hyperlink>
      <w:r>
        <w:t xml:space="preserve">). La relation </w:t>
      </w:r>
      <w:r>
        <w:rPr>
          <w:rStyle w:val="VerbatimChar"/>
        </w:rPr>
        <w:t>estUn</w:t>
      </w:r>
      <w:r>
        <w:t xml:space="preserve"> (ou la spécialisation entre deux ou plusieurs classes) résulte en une hiérarchie de classes. C</w:t>
      </w:r>
      <w:r w:rsidR="00E84B0E">
        <w:t>’</w:t>
      </w:r>
      <w:r>
        <w:t>est une relation transitive qui peut ne pas être cyclique. Dans certains contextes (p. ex. le langage de programmation C ++), le terme « classe dérivée » est utilisé comme synonyme de sous-classe.</w:t>
      </w:r>
    </w:p>
    <w:p w14:paraId="5A377B64" w14:textId="77777777" w:rsidR="00065317" w:rsidRDefault="005C7BF7">
      <w:pPr>
        <w:pStyle w:val="Corpsdetexte"/>
      </w:pPr>
      <w:r>
        <w:t>Par exemple :</w:t>
      </w:r>
    </w:p>
    <w:p w14:paraId="1D85810C" w14:textId="77777777" w:rsidR="00065317" w:rsidRDefault="005C7BF7">
      <w:pPr>
        <w:pStyle w:val="Corpsdetexte"/>
      </w:pPr>
      <w:r>
        <w:t xml:space="preserve">Chaque </w:t>
      </w:r>
      <w:r>
        <w:rPr>
          <w:rStyle w:val="VerbatimChar"/>
        </w:rPr>
        <w:t>E21_Personne</w:t>
      </w:r>
      <w:r>
        <w:t xml:space="preserve"> </w:t>
      </w:r>
      <w:r>
        <w:rPr>
          <w:rStyle w:val="VerbatimChar"/>
        </w:rPr>
        <w:t>estUn</w:t>
      </w:r>
      <w:r>
        <w:t xml:space="preserve"> </w:t>
      </w:r>
      <w:r>
        <w:rPr>
          <w:rStyle w:val="VerbatimChar"/>
        </w:rPr>
        <w:t>E20_Objet_biologique</w:t>
      </w:r>
      <w:r>
        <w:t xml:space="preserve">, où </w:t>
      </w:r>
      <w:r>
        <w:rPr>
          <w:rStyle w:val="VerbatimChar"/>
        </w:rPr>
        <w:t>E21_Personne</w:t>
      </w:r>
      <w:r>
        <w:t xml:space="preserve"> est une sous-classe de </w:t>
      </w:r>
      <w:r>
        <w:rPr>
          <w:rStyle w:val="VerbatimChar"/>
        </w:rPr>
        <w:t>E20_Objet_biologique</w:t>
      </w:r>
      <w:r>
        <w:t>.</w:t>
      </w:r>
    </w:p>
    <w:p w14:paraId="25B47B68" w14:textId="1684AE90" w:rsidR="00065317" w:rsidRDefault="005C7BF7">
      <w:pPr>
        <w:pStyle w:val="Corpsdetexte"/>
      </w:pPr>
      <w:r>
        <w:t xml:space="preserve">De plus, chaque </w:t>
      </w:r>
      <w:r>
        <w:rPr>
          <w:rStyle w:val="VerbatimChar"/>
        </w:rPr>
        <w:t>E21_Personne</w:t>
      </w:r>
      <w:r>
        <w:t xml:space="preserve"> </w:t>
      </w:r>
      <w:r>
        <w:rPr>
          <w:rStyle w:val="VerbatimChar"/>
        </w:rPr>
        <w:t>estUn</w:t>
      </w:r>
      <w:r>
        <w:t xml:space="preserve"> </w:t>
      </w:r>
      <w:r>
        <w:rPr>
          <w:rStyle w:val="VerbatimChar"/>
        </w:rPr>
        <w:t>E39_Actant</w:t>
      </w:r>
      <w:r>
        <w:t xml:space="preserve">. Une </w:t>
      </w:r>
      <w:r>
        <w:rPr>
          <w:rStyle w:val="VerbatimChar"/>
        </w:rPr>
        <w:t>E21_Personne</w:t>
      </w:r>
      <w:r>
        <w:t xml:space="preserve"> peut mourir, bien que d</w:t>
      </w:r>
      <w:r w:rsidR="00E84B0E">
        <w:t>’</w:t>
      </w:r>
      <w:r>
        <w:t>autres types [n.d.t. d</w:t>
      </w:r>
      <w:r w:rsidR="00E84B0E">
        <w:t>’</w:t>
      </w:r>
      <w:r>
        <w:t xml:space="preserve">instances] de </w:t>
      </w:r>
      <w:r>
        <w:rPr>
          <w:rStyle w:val="VerbatimChar"/>
        </w:rPr>
        <w:t>E39_Actant</w:t>
      </w:r>
      <w:r>
        <w:t>, comme les entreprises, ne meurent pas (cf. 2).</w:t>
      </w:r>
    </w:p>
    <w:p w14:paraId="17EF1AA7" w14:textId="05DEF11D" w:rsidR="00065317" w:rsidRDefault="005C7BF7">
      <w:pPr>
        <w:pStyle w:val="Corpsdetexte"/>
      </w:pPr>
      <w:r>
        <w:t xml:space="preserve">Chaque </w:t>
      </w:r>
      <w:r>
        <w:rPr>
          <w:rStyle w:val="VerbatimChar"/>
        </w:rPr>
        <w:t>E20_Objet_biologique</w:t>
      </w:r>
      <w:r>
        <w:t xml:space="preserve"> </w:t>
      </w:r>
      <w:r>
        <w:rPr>
          <w:rStyle w:val="VerbatimChar"/>
        </w:rPr>
        <w:t>estUn</w:t>
      </w:r>
      <w:r>
        <w:t xml:space="preserve"> </w:t>
      </w:r>
      <w:r>
        <w:rPr>
          <w:rStyle w:val="VerbatimChar"/>
        </w:rPr>
        <w:t>E19_Objet_matériel</w:t>
      </w:r>
      <w:r>
        <w:t xml:space="preserve">. Un </w:t>
      </w:r>
      <w:r>
        <w:rPr>
          <w:rStyle w:val="VerbatimChar"/>
        </w:rPr>
        <w:t>E19_Objet_matériel</w:t>
      </w:r>
      <w:r>
        <w:t xml:space="preserve"> peut être déplacé, ce qui implique qu</w:t>
      </w:r>
      <w:r w:rsidR="00E84B0E">
        <w:t>’</w:t>
      </w:r>
      <w:r>
        <w:t xml:space="preserve">une </w:t>
      </w:r>
      <w:r>
        <w:rPr>
          <w:rStyle w:val="VerbatimChar"/>
        </w:rPr>
        <w:t>E21_Personne</w:t>
      </w:r>
      <w:r>
        <w:t xml:space="preserve"> peut également être déplacée (c.f. 3).</w:t>
      </w:r>
    </w:p>
    <w:p w14:paraId="4ADE324A" w14:textId="77777777" w:rsidR="00065317" w:rsidRDefault="005C7BF7">
      <w:pPr>
        <w:pStyle w:val="Normalcentr"/>
      </w:pPr>
      <w:r>
        <w:rPr>
          <w:b/>
          <w:bCs/>
          <w:i/>
          <w:iCs/>
        </w:rPr>
        <w:t>Note de traduction</w:t>
      </w:r>
    </w:p>
    <w:p w14:paraId="0BF1B0F4" w14:textId="64491CB6" w:rsidR="00065317" w:rsidRDefault="005C7BF7" w:rsidP="002D31B1">
      <w:pPr>
        <w:pStyle w:val="Normalcentr"/>
      </w:pPr>
      <w:r>
        <w:rPr>
          <w:b/>
          <w:bCs/>
          <w:i/>
          <w:iCs/>
        </w:rPr>
        <w:t>Références</w:t>
      </w:r>
      <w:bookmarkStart w:id="20" w:name="terminologie-super-classe"/>
      <w:bookmarkEnd w:id="20"/>
    </w:p>
    <w:p w14:paraId="521E3829" w14:textId="77777777" w:rsidR="00065317" w:rsidRDefault="005C7BF7">
      <w:pPr>
        <w:pStyle w:val="Corpsdetexte"/>
      </w:pPr>
      <w:r>
        <w:rPr>
          <w:b/>
          <w:bCs/>
        </w:rPr>
        <w:t>Super-classe</w:t>
      </w:r>
    </w:p>
    <w:p w14:paraId="6C5D6D96" w14:textId="17B0BC82" w:rsidR="00065317" w:rsidRDefault="005C7BF7">
      <w:pPr>
        <w:pStyle w:val="Corpsdetexte"/>
      </w:pPr>
      <w:r>
        <w:t xml:space="preserve">Une super-classe est une </w:t>
      </w:r>
      <w:hyperlink w:anchor="terminologie-classe">
        <w:r>
          <w:rPr>
            <w:rStyle w:val="Lienhypertexte"/>
            <w:b/>
            <w:bCs/>
          </w:rPr>
          <w:t>classe</w:t>
        </w:r>
      </w:hyperlink>
      <w:r>
        <w:t xml:space="preserve"> qui est une généralisation d</w:t>
      </w:r>
      <w:r w:rsidR="00E84B0E">
        <w:t>’</w:t>
      </w:r>
      <w:r>
        <w:t xml:space="preserve">une ou de plusieurs autres classes (ses </w:t>
      </w:r>
      <w:hyperlink w:anchor="terminologie-sous-classe">
        <w:r>
          <w:rPr>
            <w:rStyle w:val="Lienhypertexte"/>
            <w:b/>
            <w:bCs/>
          </w:rPr>
          <w:t>sous-classes</w:t>
        </w:r>
      </w:hyperlink>
      <w:r>
        <w:t>), ce qui signifie qu</w:t>
      </w:r>
      <w:r w:rsidR="00E84B0E">
        <w:t>’</w:t>
      </w:r>
      <w:r>
        <w:t xml:space="preserve">elle englobe toutes les </w:t>
      </w:r>
      <w:hyperlink w:anchor="terminologie-instance">
        <w:r>
          <w:rPr>
            <w:rStyle w:val="Lienhypertexte"/>
            <w:b/>
            <w:bCs/>
          </w:rPr>
          <w:t>instances</w:t>
        </w:r>
      </w:hyperlink>
      <w:r>
        <w:t xml:space="preserve"> de ses sous-classes et qu</w:t>
      </w:r>
      <w:r w:rsidR="00E84B0E">
        <w:t>’</w:t>
      </w:r>
      <w:r>
        <w:t>elle peut également avoir des instances supplémentaires qui n</w:t>
      </w:r>
      <w:r w:rsidR="00E84B0E">
        <w:t>’</w:t>
      </w:r>
      <w:r>
        <w:t>appartiennent à aucune de ses sous-classes. L</w:t>
      </w:r>
      <w:r w:rsidR="00E84B0E">
        <w:t>’</w:t>
      </w:r>
      <w:hyperlink w:anchor="terminologie-intension">
        <w:r>
          <w:rPr>
            <w:rStyle w:val="Lienhypertexte"/>
            <w:b/>
            <w:bCs/>
          </w:rPr>
          <w:t>intension</w:t>
        </w:r>
      </w:hyperlink>
      <w:r>
        <w:t xml:space="preserve"> de la super-classe est moins restrictive que n</w:t>
      </w:r>
      <w:r w:rsidR="00E84B0E">
        <w:t>’</w:t>
      </w:r>
      <w:r>
        <w:t>importe laquelle de ses sous-classes. Cette relation de subsomption ou de généralisation est l</w:t>
      </w:r>
      <w:r w:rsidR="00E84B0E">
        <w:t>’</w:t>
      </w:r>
      <w:r>
        <w:t xml:space="preserve">inverse de la relation ou de la spécialisation </w:t>
      </w:r>
      <w:r>
        <w:rPr>
          <w:rStyle w:val="VerbatimChar"/>
        </w:rPr>
        <w:t>estUn</w:t>
      </w:r>
      <w:r>
        <w:t>.</w:t>
      </w:r>
    </w:p>
    <w:p w14:paraId="5741F486" w14:textId="77777777" w:rsidR="00065317" w:rsidRDefault="005C7BF7">
      <w:pPr>
        <w:pStyle w:val="Corpsdetexte"/>
      </w:pPr>
      <w:r>
        <w:t>Par exemple :</w:t>
      </w:r>
    </w:p>
    <w:p w14:paraId="184E9B37" w14:textId="5AF91A37" w:rsidR="00065317" w:rsidRDefault="005C7BF7">
      <w:pPr>
        <w:pStyle w:val="Corpsdetexte"/>
      </w:pPr>
      <w:r>
        <w:t>« </w:t>
      </w:r>
      <w:r>
        <w:rPr>
          <w:rStyle w:val="VerbatimChar"/>
        </w:rPr>
        <w:t>E20_Objet_biologique</w:t>
      </w:r>
      <w:r>
        <w:t xml:space="preserve"> subsume </w:t>
      </w:r>
      <w:r>
        <w:rPr>
          <w:rStyle w:val="VerbatimChar"/>
        </w:rPr>
        <w:t>E21_Personne</w:t>
      </w:r>
      <w:r>
        <w:t> » est synonyme de « </w:t>
      </w:r>
      <w:r>
        <w:rPr>
          <w:rStyle w:val="VerbatimChar"/>
        </w:rPr>
        <w:t>E20_Objet_biologique</w:t>
      </w:r>
      <w:r>
        <w:t xml:space="preserve"> est une super-classe de </w:t>
      </w:r>
      <w:r>
        <w:rPr>
          <w:rStyle w:val="VerbatimChar"/>
        </w:rPr>
        <w:t>E21_Personne</w:t>
      </w:r>
      <w:r>
        <w:t> ». Il faut en effet moins de traits [n.d.t. tels qu</w:t>
      </w:r>
      <w:r w:rsidR="00E84B0E">
        <w:t>’</w:t>
      </w:r>
      <w:r>
        <w:t xml:space="preserve">ils sont définis dans la </w:t>
      </w:r>
      <w:hyperlink w:anchor="terminologie-note-dapplication">
        <w:r>
          <w:rPr>
            <w:rStyle w:val="Lienhypertexte"/>
          </w:rPr>
          <w:t>note d</w:t>
        </w:r>
        <w:r w:rsidR="00E84B0E">
          <w:rPr>
            <w:rStyle w:val="Lienhypertexte"/>
          </w:rPr>
          <w:t>’</w:t>
        </w:r>
        <w:r>
          <w:rPr>
            <w:rStyle w:val="Lienhypertexte"/>
          </w:rPr>
          <w:t>application</w:t>
        </w:r>
      </w:hyperlink>
      <w:r>
        <w:t xml:space="preserve">] pour identifier un élément en tant que </w:t>
      </w:r>
      <w:r>
        <w:rPr>
          <w:rStyle w:val="VerbatimChar"/>
        </w:rPr>
        <w:t>E20_Objet_biologique</w:t>
      </w:r>
      <w:r>
        <w:t xml:space="preserve"> que pour l</w:t>
      </w:r>
      <w:r w:rsidR="00E84B0E">
        <w:t>’</w:t>
      </w:r>
      <w:r>
        <w:t xml:space="preserve">identifier en tant que </w:t>
      </w:r>
      <w:r>
        <w:rPr>
          <w:rStyle w:val="VerbatimChar"/>
        </w:rPr>
        <w:t>E21_Personne</w:t>
      </w:r>
      <w:r>
        <w:t>.</w:t>
      </w:r>
    </w:p>
    <w:p w14:paraId="1AA53AFD" w14:textId="77777777" w:rsidR="00065317" w:rsidRDefault="005C7BF7">
      <w:pPr>
        <w:pStyle w:val="Normalcentr"/>
      </w:pPr>
      <w:r>
        <w:rPr>
          <w:b/>
          <w:bCs/>
          <w:i/>
          <w:iCs/>
        </w:rPr>
        <w:t>Note de traduction</w:t>
      </w:r>
    </w:p>
    <w:p w14:paraId="216F0716" w14:textId="107C2701" w:rsidR="00784AE7" w:rsidRDefault="005C7BF7" w:rsidP="002D31B1">
      <w:pPr>
        <w:pStyle w:val="Normalcentr"/>
        <w:rPr>
          <w:b/>
          <w:bCs/>
          <w:i/>
          <w:iCs/>
        </w:rPr>
      </w:pPr>
      <w:r>
        <w:rPr>
          <w:b/>
          <w:bCs/>
          <w:i/>
          <w:iCs/>
        </w:rPr>
        <w:t>Références</w:t>
      </w:r>
      <w:bookmarkStart w:id="21" w:name="terminologie-intension"/>
      <w:bookmarkEnd w:id="21"/>
    </w:p>
    <w:p w14:paraId="217494C6" w14:textId="0D3BFC49" w:rsidR="00065317" w:rsidRPr="00784AE7" w:rsidRDefault="00784AE7" w:rsidP="00784AE7">
      <w:pPr>
        <w:spacing w:after="0"/>
        <w:rPr>
          <w:b/>
          <w:bCs/>
          <w:i/>
          <w:iCs/>
          <w:sz w:val="22"/>
        </w:rPr>
      </w:pPr>
      <w:r>
        <w:rPr>
          <w:b/>
          <w:bCs/>
          <w:i/>
          <w:iCs/>
        </w:rPr>
        <w:br w:type="page"/>
      </w:r>
    </w:p>
    <w:p w14:paraId="3B6F9748" w14:textId="77777777" w:rsidR="00065317" w:rsidRDefault="005C7BF7">
      <w:pPr>
        <w:pStyle w:val="Corpsdetexte"/>
      </w:pPr>
      <w:r>
        <w:rPr>
          <w:b/>
          <w:bCs/>
        </w:rPr>
        <w:lastRenderedPageBreak/>
        <w:t>Intension</w:t>
      </w:r>
    </w:p>
    <w:p w14:paraId="430B7927" w14:textId="0309F44C" w:rsidR="00065317" w:rsidRDefault="005C7BF7">
      <w:pPr>
        <w:pStyle w:val="Corpsdetexte"/>
      </w:pPr>
      <w:r>
        <w:t>L</w:t>
      </w:r>
      <w:r w:rsidR="00E84B0E">
        <w:t>’</w:t>
      </w:r>
      <w:r>
        <w:t>intension d</w:t>
      </w:r>
      <w:r w:rsidR="00E84B0E">
        <w:t>’</w:t>
      </w:r>
      <w:r>
        <w:t xml:space="preserve">une </w:t>
      </w:r>
      <w:hyperlink w:anchor="terminologie-classe">
        <w:r>
          <w:rPr>
            <w:rStyle w:val="Lienhypertexte"/>
            <w:b/>
            <w:bCs/>
          </w:rPr>
          <w:t>classe</w:t>
        </w:r>
      </w:hyperlink>
      <w:r>
        <w:t xml:space="preserve"> ou d</w:t>
      </w:r>
      <w:r w:rsidR="00E84B0E">
        <w:t>’</w:t>
      </w:r>
      <w:r>
        <w:t xml:space="preserve">une </w:t>
      </w:r>
      <w:hyperlink w:anchor="terminologie-propriete">
        <w:r>
          <w:rPr>
            <w:rStyle w:val="Lienhypertexte"/>
            <w:b/>
            <w:bCs/>
          </w:rPr>
          <w:t>propriété</w:t>
        </w:r>
      </w:hyperlink>
      <w:r>
        <w:t xml:space="preserve"> est sa signification prévue. Elle est composée d</w:t>
      </w:r>
      <w:r w:rsidR="00E84B0E">
        <w:t>’</w:t>
      </w:r>
      <w:r>
        <w:t xml:space="preserve">un ou de plusieurs traits communs partagés par toutes les </w:t>
      </w:r>
      <w:hyperlink w:anchor="terminologie-instance">
        <w:r>
          <w:rPr>
            <w:rStyle w:val="Lienhypertexte"/>
            <w:b/>
            <w:bCs/>
          </w:rPr>
          <w:t>instances</w:t>
        </w:r>
      </w:hyperlink>
      <w:r>
        <w:t xml:space="preserve"> de la classe ou de la propriété. Ces traits n</w:t>
      </w:r>
      <w:r w:rsidR="00E84B0E">
        <w:t>’</w:t>
      </w:r>
      <w:r>
        <w:t>ont pas besoin d</w:t>
      </w:r>
      <w:r w:rsidR="00E84B0E">
        <w:t>’</w:t>
      </w:r>
      <w:r>
        <w:t xml:space="preserve">être explicitement formulés en termes logiques, mais peuvent simplement être décrits dans un texte (appelé ici </w:t>
      </w:r>
      <w:hyperlink w:anchor="terminologie-note-dapplication">
        <w:r>
          <w:rPr>
            <w:rStyle w:val="Lienhypertexte"/>
            <w:b/>
            <w:bCs/>
          </w:rPr>
          <w:t>note d</w:t>
        </w:r>
        <w:r w:rsidR="00E84B0E">
          <w:rPr>
            <w:rStyle w:val="Lienhypertexte"/>
            <w:b/>
            <w:bCs/>
          </w:rPr>
          <w:t>’</w:t>
        </w:r>
        <w:r>
          <w:rPr>
            <w:rStyle w:val="Lienhypertexte"/>
            <w:b/>
            <w:bCs/>
          </w:rPr>
          <w:t>application</w:t>
        </w:r>
      </w:hyperlink>
      <w:r>
        <w:t xml:space="preserve">) qui réfère à une conceptualisation commune aux experts du domaine. En particulier, les concepts dits </w:t>
      </w:r>
      <w:hyperlink w:anchor="terminologie-primitive">
        <w:r>
          <w:rPr>
            <w:rStyle w:val="Lienhypertexte"/>
            <w:b/>
            <w:bCs/>
          </w:rPr>
          <w:t>primitifs</w:t>
        </w:r>
      </w:hyperlink>
      <w:r>
        <w:t>, qui constituent l</w:t>
      </w:r>
      <w:r w:rsidR="00E84B0E">
        <w:t>’</w:t>
      </w:r>
      <w:r>
        <w:t xml:space="preserve">essentiel du </w:t>
      </w:r>
      <w:r w:rsidR="00C8288F">
        <w:t>CIDOC CRM</w:t>
      </w:r>
      <w:r>
        <w:t>, ne peuvent être davantage réduits à d</w:t>
      </w:r>
      <w:r w:rsidR="00E84B0E">
        <w:t>’</w:t>
      </w:r>
      <w:r>
        <w:t>autres concepts par des termes logiques.</w:t>
      </w:r>
    </w:p>
    <w:p w14:paraId="2A339866" w14:textId="77777777" w:rsidR="00065317" w:rsidRDefault="005C7BF7">
      <w:pPr>
        <w:pStyle w:val="Normalcentr"/>
      </w:pPr>
      <w:r>
        <w:rPr>
          <w:b/>
          <w:bCs/>
          <w:i/>
          <w:iCs/>
        </w:rPr>
        <w:t>Note de traduction</w:t>
      </w:r>
    </w:p>
    <w:p w14:paraId="3F2DF71A" w14:textId="103D9B4F" w:rsidR="00065317" w:rsidRDefault="005C7BF7" w:rsidP="005D35B3">
      <w:pPr>
        <w:pStyle w:val="Normalcentr"/>
      </w:pPr>
      <w:r>
        <w:rPr>
          <w:b/>
          <w:bCs/>
          <w:i/>
          <w:iCs/>
        </w:rPr>
        <w:t>Références</w:t>
      </w:r>
      <w:bookmarkStart w:id="22" w:name="terminologie-extension"/>
      <w:bookmarkEnd w:id="22"/>
    </w:p>
    <w:p w14:paraId="616D6860" w14:textId="77777777" w:rsidR="00065317" w:rsidRDefault="005C7BF7">
      <w:pPr>
        <w:pStyle w:val="Corpsdetexte"/>
      </w:pPr>
      <w:r>
        <w:rPr>
          <w:b/>
          <w:bCs/>
        </w:rPr>
        <w:t>Extension</w:t>
      </w:r>
    </w:p>
    <w:p w14:paraId="3D4A131A" w14:textId="77B829A9" w:rsidR="00065317" w:rsidRDefault="005C7BF7">
      <w:pPr>
        <w:pStyle w:val="Corpsdetexte"/>
      </w:pPr>
      <w:r>
        <w:t>L</w:t>
      </w:r>
      <w:r w:rsidR="00E84B0E">
        <w:t>’</w:t>
      </w:r>
      <w:r>
        <w:t>extension d</w:t>
      </w:r>
      <w:r w:rsidR="00E84B0E">
        <w:t>’</w:t>
      </w:r>
      <w:r>
        <w:t xml:space="preserve">une </w:t>
      </w:r>
      <w:hyperlink w:anchor="terminologie-classe">
        <w:r>
          <w:rPr>
            <w:rStyle w:val="Lienhypertexte"/>
            <w:b/>
            <w:bCs/>
          </w:rPr>
          <w:t>classe</w:t>
        </w:r>
      </w:hyperlink>
      <w:r>
        <w:t xml:space="preserve"> est l</w:t>
      </w:r>
      <w:r w:rsidR="00E84B0E">
        <w:t>’</w:t>
      </w:r>
      <w:r>
        <w:t xml:space="preserve">ensemble de toutes les </w:t>
      </w:r>
      <w:hyperlink w:anchor="terminologie-instance">
        <w:r>
          <w:rPr>
            <w:rStyle w:val="Lienhypertexte"/>
            <w:b/>
            <w:bCs/>
          </w:rPr>
          <w:t>instances</w:t>
        </w:r>
      </w:hyperlink>
      <w:r>
        <w:t xml:space="preserve"> « réelles » appartenant à la classe [n.d.t. du fait qu</w:t>
      </w:r>
      <w:r w:rsidR="00E84B0E">
        <w:t>’</w:t>
      </w:r>
      <w:r>
        <w:t xml:space="preserve">elles] remplissent les critères de son </w:t>
      </w:r>
      <w:hyperlink w:anchor="terminologie-intension">
        <w:r>
          <w:rPr>
            <w:rStyle w:val="Lienhypertexte"/>
            <w:b/>
            <w:bCs/>
          </w:rPr>
          <w:t>intension</w:t>
        </w:r>
      </w:hyperlink>
      <w:r>
        <w:t>. Cet ensemble est « ouvert », ce qui veut dire qu</w:t>
      </w:r>
      <w:r w:rsidR="00E84B0E">
        <w:t>’</w:t>
      </w:r>
      <w:r>
        <w:t>une capacité humaine normale ne permet pas de connaître toutes les instances d</w:t>
      </w:r>
      <w:r w:rsidR="00E84B0E">
        <w:t>’</w:t>
      </w:r>
      <w:r>
        <w:t xml:space="preserve">une classe existant dans le « monde » à un moment donné, ni de prendre en compte les instances qui pourraient émerger dans le futur (voir </w:t>
      </w:r>
      <w:hyperlink w:anchor="terminologie-monde-ouvert">
        <w:r>
          <w:rPr>
            <w:rStyle w:val="Lienhypertexte"/>
            <w:b/>
            <w:bCs/>
          </w:rPr>
          <w:t>Monde Ouvert</w:t>
        </w:r>
      </w:hyperlink>
      <w:r>
        <w:t>). Un système d</w:t>
      </w:r>
      <w:r w:rsidR="00E84B0E">
        <w:t>’</w:t>
      </w:r>
      <w:r>
        <w:t>information peut à n</w:t>
      </w:r>
      <w:r w:rsidR="00E84B0E">
        <w:t>’</w:t>
      </w:r>
      <w:r>
        <w:t>importe quel moment faire référence à certaines instances d</w:t>
      </w:r>
      <w:r w:rsidR="00E84B0E">
        <w:t>’</w:t>
      </w:r>
      <w:r>
        <w:t>une classe, lesquelles forment un sous-ensemble de son extension.</w:t>
      </w:r>
    </w:p>
    <w:p w14:paraId="5DCB9952" w14:textId="77777777" w:rsidR="00065317" w:rsidRDefault="005C7BF7">
      <w:pPr>
        <w:pStyle w:val="Normalcentr"/>
      </w:pPr>
      <w:r>
        <w:rPr>
          <w:b/>
          <w:bCs/>
          <w:i/>
          <w:iCs/>
        </w:rPr>
        <w:t>Note de traduction</w:t>
      </w:r>
    </w:p>
    <w:p w14:paraId="04A94FF4" w14:textId="1CEFD37E" w:rsidR="00065317" w:rsidRDefault="005C7BF7" w:rsidP="005D35B3">
      <w:pPr>
        <w:pStyle w:val="Normalcentr"/>
      </w:pPr>
      <w:r>
        <w:rPr>
          <w:b/>
          <w:bCs/>
          <w:i/>
          <w:iCs/>
        </w:rPr>
        <w:t>Références</w:t>
      </w:r>
      <w:bookmarkStart w:id="23" w:name="terminologie-note-dapplication"/>
      <w:bookmarkEnd w:id="23"/>
    </w:p>
    <w:p w14:paraId="6E6CE475" w14:textId="322E5AB6" w:rsidR="00065317" w:rsidRDefault="005C7BF7">
      <w:pPr>
        <w:pStyle w:val="Corpsdetexte"/>
      </w:pPr>
      <w:r>
        <w:rPr>
          <w:b/>
          <w:bCs/>
        </w:rPr>
        <w:t>Note d</w:t>
      </w:r>
      <w:r w:rsidR="00E84B0E">
        <w:rPr>
          <w:b/>
          <w:bCs/>
        </w:rPr>
        <w:t>’</w:t>
      </w:r>
      <w:r>
        <w:rPr>
          <w:b/>
          <w:bCs/>
        </w:rPr>
        <w:t>application</w:t>
      </w:r>
    </w:p>
    <w:p w14:paraId="62854BC5" w14:textId="0CA33A1E" w:rsidR="00065317" w:rsidRDefault="005C7BF7">
      <w:pPr>
        <w:pStyle w:val="Corpsdetexte"/>
      </w:pPr>
      <w:r>
        <w:t>Une note d</w:t>
      </w:r>
      <w:r w:rsidR="00E84B0E">
        <w:t>’</w:t>
      </w:r>
      <w:r>
        <w:t>application est une description textuelle de l</w:t>
      </w:r>
      <w:r w:rsidR="00E84B0E">
        <w:t>’</w:t>
      </w:r>
      <w:hyperlink w:anchor="terminologie-intension">
        <w:r>
          <w:rPr>
            <w:rStyle w:val="Lienhypertexte"/>
            <w:b/>
            <w:bCs/>
          </w:rPr>
          <w:t>intension</w:t>
        </w:r>
      </w:hyperlink>
      <w:r>
        <w:t xml:space="preserve"> d</w:t>
      </w:r>
      <w:r w:rsidR="00E84B0E">
        <w:t>’</w:t>
      </w:r>
      <w:r>
        <w:t xml:space="preserve">une </w:t>
      </w:r>
      <w:hyperlink w:anchor="terminologie-classe">
        <w:r>
          <w:rPr>
            <w:rStyle w:val="Lienhypertexte"/>
            <w:b/>
            <w:bCs/>
          </w:rPr>
          <w:t>classe</w:t>
        </w:r>
      </w:hyperlink>
      <w:r>
        <w:t xml:space="preserve"> ou d</w:t>
      </w:r>
      <w:r w:rsidR="00E84B0E">
        <w:t>’</w:t>
      </w:r>
      <w:r>
        <w:t xml:space="preserve">une </w:t>
      </w:r>
      <w:hyperlink w:anchor="terminologie-propriete">
        <w:r>
          <w:rPr>
            <w:rStyle w:val="Lienhypertexte"/>
            <w:b/>
            <w:bCs/>
          </w:rPr>
          <w:t>propriété</w:t>
        </w:r>
      </w:hyperlink>
      <w:r>
        <w:t>.</w:t>
      </w:r>
    </w:p>
    <w:p w14:paraId="2EB8BABB" w14:textId="4D041A1E" w:rsidR="00065317" w:rsidRDefault="005C7BF7">
      <w:pPr>
        <w:pStyle w:val="Corpsdetexte"/>
      </w:pPr>
      <w:r>
        <w:t>Les notes d</w:t>
      </w:r>
      <w:r w:rsidR="00E84B0E">
        <w:t>’</w:t>
      </w:r>
      <w:r>
        <w:t>application ne sont pas des construits de modélisation formels, elles sont plutôt fournies pour expliquer la signification et l</w:t>
      </w:r>
      <w:r w:rsidR="00E84B0E">
        <w:t>’</w:t>
      </w:r>
      <w:r>
        <w:t xml:space="preserve">application prévues des classes et des propriétés du </w:t>
      </w:r>
      <w:r w:rsidR="00C8288F">
        <w:t>CIDOC CRM</w:t>
      </w:r>
      <w:r>
        <w:t>. Fondamentalement, elles renvoient à une conceptualisation commune aux experts du domaine [n.d.t</w:t>
      </w:r>
      <w:r w:rsidR="005D35B3">
        <w:t>.</w:t>
      </w:r>
      <w:r>
        <w:t xml:space="preserve"> qu</w:t>
      </w:r>
      <w:r w:rsidR="00E84B0E">
        <w:t>’</w:t>
      </w:r>
      <w:r>
        <w:t>elles concernent] et clarifient les différentes interprétations possibles. Des exemples d</w:t>
      </w:r>
      <w:r w:rsidR="00E84B0E">
        <w:t>’</w:t>
      </w:r>
      <w:hyperlink w:anchor="terminologie-instance">
        <w:r>
          <w:rPr>
            <w:rStyle w:val="Lienhypertexte"/>
            <w:b/>
            <w:bCs/>
          </w:rPr>
          <w:t>instances</w:t>
        </w:r>
      </w:hyperlink>
      <w:r>
        <w:t xml:space="preserve"> de classes et de propriétés sont régulièrement fournis dans les notes d</w:t>
      </w:r>
      <w:r w:rsidR="00E84B0E">
        <w:t>’</w:t>
      </w:r>
      <w:r>
        <w:t>application à des fins d</w:t>
      </w:r>
      <w:r w:rsidR="00E84B0E">
        <w:t>’</w:t>
      </w:r>
      <w:r>
        <w:t>explication.</w:t>
      </w:r>
    </w:p>
    <w:p w14:paraId="7FE05C90" w14:textId="77777777" w:rsidR="00065317" w:rsidRDefault="005C7BF7">
      <w:pPr>
        <w:pStyle w:val="Normalcentr"/>
      </w:pPr>
      <w:r>
        <w:rPr>
          <w:b/>
          <w:bCs/>
          <w:i/>
          <w:iCs/>
        </w:rPr>
        <w:t>Note de traduction</w:t>
      </w:r>
    </w:p>
    <w:p w14:paraId="174A5AF5" w14:textId="3C14F169" w:rsidR="00065317" w:rsidRDefault="005C7BF7" w:rsidP="005D35B3">
      <w:pPr>
        <w:pStyle w:val="Normalcentr"/>
      </w:pPr>
      <w:r>
        <w:rPr>
          <w:b/>
          <w:bCs/>
          <w:i/>
          <w:iCs/>
        </w:rPr>
        <w:t>Références</w:t>
      </w:r>
      <w:bookmarkStart w:id="24" w:name="terminologie-instance"/>
      <w:bookmarkEnd w:id="24"/>
    </w:p>
    <w:p w14:paraId="1A902FD0" w14:textId="77777777" w:rsidR="00065317" w:rsidRDefault="005C7BF7">
      <w:pPr>
        <w:pStyle w:val="Corpsdetexte"/>
      </w:pPr>
      <w:r>
        <w:rPr>
          <w:b/>
          <w:bCs/>
        </w:rPr>
        <w:t>Instance</w:t>
      </w:r>
    </w:p>
    <w:p w14:paraId="28870AFE" w14:textId="678EF63D" w:rsidR="00065317" w:rsidRDefault="005C7BF7">
      <w:pPr>
        <w:pStyle w:val="Corpsdetexte"/>
      </w:pPr>
      <w:r>
        <w:t>L</w:t>
      </w:r>
      <w:r w:rsidR="00E84B0E">
        <w:t>’</w:t>
      </w:r>
      <w:r>
        <w:t>instance d</w:t>
      </w:r>
      <w:r w:rsidR="00E84B0E">
        <w:t>’</w:t>
      </w:r>
      <w:r>
        <w:t xml:space="preserve">une </w:t>
      </w:r>
      <w:hyperlink w:anchor="terminologie-classe">
        <w:r>
          <w:rPr>
            <w:rStyle w:val="Lienhypertexte"/>
          </w:rPr>
          <w:t>classe</w:t>
        </w:r>
      </w:hyperlink>
      <w:r>
        <w:t xml:space="preserve"> est un élément du monde réel [n.d.t. voir </w:t>
      </w:r>
      <w:hyperlink w:anchor="Xbb1d3bf6b8161f4ecfb4a0675c11d5718d532f5">
        <w:r>
          <w:rPr>
            <w:rStyle w:val="Lienhypertexte"/>
          </w:rPr>
          <w:t xml:space="preserve">De la réalité, des bases de connaissance et du </w:t>
        </w:r>
        <w:r w:rsidR="00C8288F">
          <w:rPr>
            <w:rStyle w:val="Lienhypertexte"/>
          </w:rPr>
          <w:t>CIDOC CRM</w:t>
        </w:r>
      </w:hyperlink>
      <w:r>
        <w:t>] qui correspond à l</w:t>
      </w:r>
      <w:r w:rsidR="00E84B0E">
        <w:t>’</w:t>
      </w:r>
      <w:hyperlink w:anchor="terminologie-intension">
        <w:r>
          <w:rPr>
            <w:rStyle w:val="Lienhypertexte"/>
          </w:rPr>
          <w:t>intension</w:t>
        </w:r>
      </w:hyperlink>
      <w:r>
        <w:t xml:space="preserve"> d</w:t>
      </w:r>
      <w:r w:rsidR="00E84B0E">
        <w:t>’</w:t>
      </w:r>
      <w:r>
        <w:t>une classe [</w:t>
      </w:r>
      <w:r w:rsidR="005D35B3">
        <w:t xml:space="preserve">n.d.t. </w:t>
      </w:r>
      <w:r>
        <w:t>telle qu</w:t>
      </w:r>
      <w:r w:rsidR="00E84B0E">
        <w:t>’</w:t>
      </w:r>
      <w:r>
        <w:t xml:space="preserve">elle est exprimée dans sa </w:t>
      </w:r>
      <w:hyperlink w:anchor="terminologie-note-dapplication">
        <w:r>
          <w:rPr>
            <w:rStyle w:val="Lienhypertexte"/>
          </w:rPr>
          <w:t>note d</w:t>
        </w:r>
        <w:r w:rsidR="00E84B0E">
          <w:rPr>
            <w:rStyle w:val="Lienhypertexte"/>
          </w:rPr>
          <w:t>’</w:t>
        </w:r>
        <w:r>
          <w:rPr>
            <w:rStyle w:val="Lienhypertexte"/>
          </w:rPr>
          <w:t>application</w:t>
        </w:r>
      </w:hyperlink>
      <w:r>
        <w:t>]. Le nombre d</w:t>
      </w:r>
      <w:r w:rsidR="00E84B0E">
        <w:t>’</w:t>
      </w:r>
      <w:r>
        <w:t>instances déclarées pour une classe dans un système d</w:t>
      </w:r>
      <w:r w:rsidR="00E84B0E">
        <w:t>’</w:t>
      </w:r>
      <w:r>
        <w:t>information est typiquement moins que la totalité [</w:t>
      </w:r>
      <w:r w:rsidR="005D35B3">
        <w:t>n.d.t.</w:t>
      </w:r>
      <w:r>
        <w:t xml:space="preserve"> qui existe] dans le monde réel. Par exemple, un individu est une instance de </w:t>
      </w:r>
      <w:r>
        <w:rPr>
          <w:rStyle w:val="VerbatimChar"/>
        </w:rPr>
        <w:t>E21_Personne</w:t>
      </w:r>
      <w:r>
        <w:t>, mais cet individu n</w:t>
      </w:r>
      <w:r w:rsidR="00E84B0E">
        <w:t>’</w:t>
      </w:r>
      <w:r>
        <w:t>est pas mentionné dans tous les systèmes d</w:t>
      </w:r>
      <w:r w:rsidR="00E84B0E">
        <w:t>’</w:t>
      </w:r>
      <w:r>
        <w:t xml:space="preserve">information décrivant des </w:t>
      </w:r>
      <w:r>
        <w:rPr>
          <w:rStyle w:val="VerbatimChar"/>
        </w:rPr>
        <w:t>E21_Personne</w:t>
      </w:r>
      <w:r>
        <w:t>.</w:t>
      </w:r>
    </w:p>
    <w:p w14:paraId="5FBD703D" w14:textId="77777777" w:rsidR="00065317" w:rsidRDefault="005C7BF7">
      <w:pPr>
        <w:pStyle w:val="Corpsdetexte"/>
      </w:pPr>
      <w:r>
        <w:t>Par exemple :</w:t>
      </w:r>
    </w:p>
    <w:p w14:paraId="0187B652" w14:textId="1E0CEDF7" w:rsidR="00065317" w:rsidRDefault="005C7BF7">
      <w:pPr>
        <w:pStyle w:val="Corpsdetexte"/>
      </w:pPr>
      <w:r>
        <w:t xml:space="preserve">La peinture connue sous le nom de « Mona Lisa » est une instance de la classe </w:t>
      </w:r>
      <w:r>
        <w:rPr>
          <w:rStyle w:val="VerbatimChar"/>
        </w:rPr>
        <w:t>E22_Objet_élaboré_par_l</w:t>
      </w:r>
      <w:r w:rsidR="00E84B0E">
        <w:rPr>
          <w:rStyle w:val="VerbatimChar"/>
        </w:rPr>
        <w:t>’</w:t>
      </w:r>
      <w:r>
        <w:rPr>
          <w:rStyle w:val="VerbatimChar"/>
        </w:rPr>
        <w:t>humain</w:t>
      </w:r>
      <w:r>
        <w:t>.</w:t>
      </w:r>
    </w:p>
    <w:p w14:paraId="4E6A1951" w14:textId="772A14DE" w:rsidR="00065317" w:rsidRDefault="005C7BF7">
      <w:pPr>
        <w:pStyle w:val="Corpsdetexte"/>
      </w:pPr>
      <w:r>
        <w:t>L</w:t>
      </w:r>
      <w:r w:rsidR="00E84B0E">
        <w:t>’</w:t>
      </w:r>
      <w:r>
        <w:t>instance d</w:t>
      </w:r>
      <w:r w:rsidR="00E84B0E">
        <w:t>’</w:t>
      </w:r>
      <w:r>
        <w:t>une propriété est une relation factuelle entre une instance de son domaine et une instance de sa portée, relation qui correspond à l</w:t>
      </w:r>
      <w:r w:rsidR="00E84B0E">
        <w:t>’</w:t>
      </w:r>
      <w:r>
        <w:t>intension de cette propriété [n.d.t. telle qu</w:t>
      </w:r>
      <w:r w:rsidR="00E84B0E">
        <w:t>’</w:t>
      </w:r>
      <w:r>
        <w:t>elle est exprimée dans sa note d</w:t>
      </w:r>
      <w:r w:rsidR="00E84B0E">
        <w:t>’</w:t>
      </w:r>
      <w:r>
        <w:t>application].</w:t>
      </w:r>
    </w:p>
    <w:p w14:paraId="575A14BD" w14:textId="77777777" w:rsidR="00065317" w:rsidRDefault="005C7BF7">
      <w:pPr>
        <w:pStyle w:val="Corpsdetexte"/>
      </w:pPr>
      <w:r>
        <w:lastRenderedPageBreak/>
        <w:t>Par exemple :</w:t>
      </w:r>
    </w:p>
    <w:p w14:paraId="35DA7392" w14:textId="7061269D" w:rsidR="00065317" w:rsidRDefault="005C7BF7">
      <w:pPr>
        <w:pStyle w:val="Corpsdetexte"/>
      </w:pPr>
      <w:r>
        <w:t>[n.d.t. Dans l</w:t>
      </w:r>
      <w:r w:rsidR="00E84B0E">
        <w:t>’</w:t>
      </w:r>
      <w:r>
        <w:t xml:space="preserve">affirmation] « La </w:t>
      </w:r>
      <w:r>
        <w:rPr>
          <w:i/>
          <w:iCs/>
        </w:rPr>
        <w:t>Mona Lisa</w:t>
      </w:r>
      <w:r>
        <w:t xml:space="preserve"> a pour propriétaire actuel ou antérieur le Louvre » « a pour propriétaire actuel ou antérieur » est une instance de la propriété </w:t>
      </w:r>
      <w:r>
        <w:rPr>
          <w:rStyle w:val="VerbatimChar"/>
        </w:rPr>
        <w:t>P51_a_pour_propriétaire_actuel_ou_antérieur (est_l</w:t>
      </w:r>
      <w:r w:rsidR="00E84B0E">
        <w:rPr>
          <w:rStyle w:val="VerbatimChar"/>
        </w:rPr>
        <w:t>’</w:t>
      </w:r>
      <w:r>
        <w:rPr>
          <w:rStyle w:val="VerbatimChar"/>
        </w:rPr>
        <w:t>actant_propriétaire_actuel_ou_antérieur_de)</w:t>
      </w:r>
      <w:r>
        <w:t>.</w:t>
      </w:r>
    </w:p>
    <w:p w14:paraId="18908ADF" w14:textId="77777777" w:rsidR="00065317" w:rsidRDefault="005C7BF7">
      <w:pPr>
        <w:pStyle w:val="Normalcentr"/>
      </w:pPr>
      <w:r>
        <w:rPr>
          <w:b/>
          <w:bCs/>
          <w:i/>
          <w:iCs/>
        </w:rPr>
        <w:t>Note de traduction</w:t>
      </w:r>
    </w:p>
    <w:p w14:paraId="5AB02566" w14:textId="1B12134F" w:rsidR="00065317" w:rsidRDefault="005C7BF7" w:rsidP="005D35B3">
      <w:pPr>
        <w:pStyle w:val="Normalcentr"/>
      </w:pPr>
      <w:r>
        <w:rPr>
          <w:b/>
          <w:bCs/>
          <w:i/>
          <w:iCs/>
        </w:rPr>
        <w:t>Références</w:t>
      </w:r>
      <w:bookmarkStart w:id="25" w:name="terminologie-propriete"/>
      <w:bookmarkEnd w:id="25"/>
    </w:p>
    <w:p w14:paraId="3297B28A" w14:textId="77777777" w:rsidR="00065317" w:rsidRDefault="005C7BF7">
      <w:pPr>
        <w:pStyle w:val="Corpsdetexte"/>
      </w:pPr>
      <w:r>
        <w:rPr>
          <w:b/>
          <w:bCs/>
        </w:rPr>
        <w:t>Propriété</w:t>
      </w:r>
    </w:p>
    <w:p w14:paraId="00A934F9" w14:textId="664EB128" w:rsidR="00065317" w:rsidRDefault="005C7BF7">
      <w:pPr>
        <w:pStyle w:val="Corpsdetexte"/>
      </w:pPr>
      <w:r>
        <w:t xml:space="preserve">Une propriété définit une relation spécifique entre deux </w:t>
      </w:r>
      <w:hyperlink w:anchor="terminologie-classe">
        <w:r>
          <w:rPr>
            <w:rStyle w:val="Lienhypertexte"/>
          </w:rPr>
          <w:t>classes</w:t>
        </w:r>
      </w:hyperlink>
      <w:r>
        <w:t xml:space="preserve"> et est caractérisée par son </w:t>
      </w:r>
      <w:hyperlink w:anchor="terminologie-intension">
        <w:r>
          <w:rPr>
            <w:rStyle w:val="Lienhypertexte"/>
          </w:rPr>
          <w:t>intension</w:t>
        </w:r>
      </w:hyperlink>
      <w:r>
        <w:t xml:space="preserve"> (laquelle est exprimée par la </w:t>
      </w:r>
      <w:hyperlink w:anchor="terminologie-note-dapplication">
        <w:r>
          <w:rPr>
            <w:rStyle w:val="Lienhypertexte"/>
          </w:rPr>
          <w:t>note d</w:t>
        </w:r>
        <w:r w:rsidR="00E84B0E">
          <w:rPr>
            <w:rStyle w:val="Lienhypertexte"/>
          </w:rPr>
          <w:t>’</w:t>
        </w:r>
        <w:r>
          <w:rPr>
            <w:rStyle w:val="Lienhypertexte"/>
          </w:rPr>
          <w:t xml:space="preserve">application </w:t>
        </w:r>
      </w:hyperlink>
      <w:r>
        <w:t>de la propriété). Une propriété est l</w:t>
      </w:r>
      <w:r w:rsidR="00E84B0E">
        <w:t>’</w:t>
      </w:r>
      <w:r>
        <w:t>équivalent grammatical d</w:t>
      </w:r>
      <w:r w:rsidR="00E84B0E">
        <w:t>’</w:t>
      </w:r>
      <w:r>
        <w:t xml:space="preserve">un verbe dans la mesure où elle est définie par son renvoi à son </w:t>
      </w:r>
      <w:hyperlink w:anchor="terminologie-domaine">
        <w:r>
          <w:rPr>
            <w:rStyle w:val="Lienhypertexte"/>
          </w:rPr>
          <w:t>domaine</w:t>
        </w:r>
      </w:hyperlink>
      <w:r>
        <w:t xml:space="preserve"> et à sa </w:t>
      </w:r>
      <w:hyperlink w:anchor="terminologie-portee">
        <w:r>
          <w:rPr>
            <w:rStyle w:val="Lienhypertexte"/>
          </w:rPr>
          <w:t>portée</w:t>
        </w:r>
      </w:hyperlink>
      <w:r>
        <w:t>, lesquels sont comparables au sujet et à l</w:t>
      </w:r>
      <w:r w:rsidR="00E84B0E">
        <w:t>’</w:t>
      </w:r>
      <w:r>
        <w:t>objet d</w:t>
      </w:r>
      <w:r w:rsidR="00E84B0E">
        <w:t>’</w:t>
      </w:r>
      <w:r>
        <w:t>une phrase [n.d.t. dans le contexte d</w:t>
      </w:r>
      <w:r w:rsidR="00E84B0E">
        <w:t>’</w:t>
      </w:r>
      <w:r>
        <w:t>une langue SVO, c.-à-d. une langue comme le français dont les phrases suivent généralement l</w:t>
      </w:r>
      <w:r w:rsidR="00E84B0E">
        <w:t>’</w:t>
      </w:r>
      <w:r>
        <w:t>ordre sujet-verbe-objet], et ce contrairement aux classes qui peuvent être définies de manière indépendante. De même que le choix qu</w:t>
      </w:r>
      <w:r w:rsidR="00E84B0E">
        <w:t>’</w:t>
      </w:r>
      <w:r>
        <w:t>une forme grammaticale active ou passive est arbitraire, le choix de la classe sélectionnée pour le domaine et pour la portée l</w:t>
      </w:r>
      <w:r w:rsidR="00E84B0E">
        <w:t>’</w:t>
      </w:r>
      <w:r>
        <w:t>est aussi. En d</w:t>
      </w:r>
      <w:r w:rsidR="00E84B0E">
        <w:t>’</w:t>
      </w:r>
      <w:r>
        <w:t>autres termes, l</w:t>
      </w:r>
      <w:r w:rsidR="00E84B0E">
        <w:t>’</w:t>
      </w:r>
      <w:r>
        <w:t>interprétation d</w:t>
      </w:r>
      <w:r w:rsidR="00E84B0E">
        <w:t>’</w:t>
      </w:r>
      <w:r>
        <w:t>une propriété serait distincte selon le sens dans lequel elle est lue [n.d.t. c.-à-d. depuis le domaine vers la portée ou depuis la portée vers le domaine].</w:t>
      </w:r>
    </w:p>
    <w:p w14:paraId="7661E9F4" w14:textId="1BC3505B" w:rsidR="00065317" w:rsidRDefault="005C7BF7">
      <w:pPr>
        <w:pStyle w:val="Corpsdetexte"/>
      </w:pPr>
      <w:r>
        <w:t>Certaines propriétés s</w:t>
      </w:r>
      <w:r w:rsidR="00E84B0E">
        <w:t>’</w:t>
      </w:r>
      <w:r>
        <w:t>appliquent sur d</w:t>
      </w:r>
      <w:r w:rsidR="00E84B0E">
        <w:t>’</w:t>
      </w:r>
      <w:r>
        <w:t>autres propriétés [n.d.t. et peuvent donc avoir comme portée des instances] d</w:t>
      </w:r>
      <w:r w:rsidR="00E84B0E">
        <w:t>’</w:t>
      </w:r>
      <w:r>
        <w:t xml:space="preserve">autres classes, une fonctionnalité qui est mobilisée par le </w:t>
      </w:r>
      <w:r w:rsidR="00C8288F">
        <w:t>CIDOC CRM</w:t>
      </w:r>
      <w:r>
        <w:t xml:space="preserve"> afin de décrire le sous-typage dynamique de propriétés [n.d.t. voir </w:t>
      </w:r>
      <w:hyperlink w:anchor="des-types">
        <w:r>
          <w:rPr>
            <w:rStyle w:val="Lienhypertexte"/>
          </w:rPr>
          <w:t>Des types</w:t>
        </w:r>
      </w:hyperlink>
      <w:r>
        <w:t>; ces propriétés sont signalées par l</w:t>
      </w:r>
      <w:r w:rsidR="00E84B0E">
        <w:t>’</w:t>
      </w:r>
      <w:r>
        <w:t>usage d</w:t>
      </w:r>
      <w:r w:rsidR="00E84B0E">
        <w:t>’</w:t>
      </w:r>
      <w:r>
        <w:t xml:space="preserve">un </w:t>
      </w:r>
      <w:r>
        <w:rPr>
          <w:rStyle w:val="VerbatimChar"/>
        </w:rPr>
        <w:t>.1</w:t>
      </w:r>
      <w:r>
        <w:t xml:space="preserve">, par exemple </w:t>
      </w:r>
      <w:r>
        <w:rPr>
          <w:rStyle w:val="VerbatimChar"/>
        </w:rPr>
        <w:t>P14.1_dans_le_rôle_de</w:t>
      </w:r>
      <w:r>
        <w:t xml:space="preserve"> qui est associée à </w:t>
      </w:r>
      <w:r>
        <w:rPr>
          <w:rStyle w:val="VerbatimChar"/>
        </w:rPr>
        <w:t>P14_a_été_effectué_par (a_effectué)</w:t>
      </w:r>
      <w:r>
        <w:t xml:space="preserve"> et qui a pour objet </w:t>
      </w:r>
      <w:r>
        <w:rPr>
          <w:rStyle w:val="VerbatimChar"/>
        </w:rPr>
        <w:t>E55_Type</w:t>
      </w:r>
      <w:r>
        <w:t xml:space="preserve"> plutôt que </w:t>
      </w:r>
      <w:r>
        <w:rPr>
          <w:rStyle w:val="VerbatimChar"/>
        </w:rPr>
        <w:t>E21_Personne</w:t>
      </w:r>
      <w:r>
        <w:t xml:space="preserve"> comme portée].</w:t>
      </w:r>
    </w:p>
    <w:p w14:paraId="25592A02" w14:textId="0D7E99D6" w:rsidR="00065317" w:rsidRDefault="005C7BF7">
      <w:pPr>
        <w:pStyle w:val="Corpsdetexte"/>
      </w:pPr>
      <w:r>
        <w:t>Les propriétés peuvent aussi être spécialisées (comme c</w:t>
      </w:r>
      <w:r w:rsidR="00E84B0E">
        <w:t>’</w:t>
      </w:r>
      <w:r>
        <w:t xml:space="preserve">est le cas des classes) par des relations </w:t>
      </w:r>
      <w:r>
        <w:rPr>
          <w:rStyle w:val="VerbatimChar"/>
        </w:rPr>
        <w:t>estUn</w:t>
      </w:r>
      <w:r>
        <w:t xml:space="preserve"> entre des sous-propriétés et leurs super-propriétés.</w:t>
      </w:r>
    </w:p>
    <w:p w14:paraId="68AD5130" w14:textId="77777777" w:rsidR="00065317" w:rsidRDefault="005C7BF7">
      <w:pPr>
        <w:pStyle w:val="Corpsdetexte"/>
      </w:pPr>
      <w:r>
        <w:t>Dans certains contextes, les termes attribut, référence, lien, rôle ou créneau peuvent être synonymes de propriété.</w:t>
      </w:r>
    </w:p>
    <w:p w14:paraId="5C107CB2" w14:textId="77777777" w:rsidR="00065317" w:rsidRDefault="005C7BF7">
      <w:pPr>
        <w:pStyle w:val="Corpsdetexte"/>
      </w:pPr>
      <w:r>
        <w:t>Par exemple :</w:t>
      </w:r>
    </w:p>
    <w:p w14:paraId="7F8CA5D5" w14:textId="19C2B51A" w:rsidR="00065317" w:rsidRDefault="005C7BF7">
      <w:pPr>
        <w:pStyle w:val="Corpsdetexte"/>
      </w:pPr>
      <w:r>
        <w:rPr>
          <w:rStyle w:val="VerbatimChar"/>
        </w:rPr>
        <w:t>E24_Chose_matérielle_élaborée_par_l</w:t>
      </w:r>
      <w:r w:rsidR="00E84B0E">
        <w:rPr>
          <w:rStyle w:val="VerbatimChar"/>
        </w:rPr>
        <w:t>’</w:t>
      </w:r>
      <w:r>
        <w:rPr>
          <w:rStyle w:val="VerbatimChar"/>
        </w:rPr>
        <w:t>humain</w:t>
      </w:r>
      <w:r>
        <w:t xml:space="preserve"> </w:t>
      </w:r>
      <w:r>
        <w:rPr>
          <w:rStyle w:val="VerbatimChar"/>
        </w:rPr>
        <w:t>P62_illustre</w:t>
      </w:r>
      <w:r>
        <w:t xml:space="preserve"> </w:t>
      </w:r>
      <w:r>
        <w:rPr>
          <w:rStyle w:val="VerbatimChar"/>
        </w:rPr>
        <w:t>E1_Entité_CRM</w:t>
      </w:r>
      <w:r>
        <w:t xml:space="preserve"> est l</w:t>
      </w:r>
      <w:r w:rsidR="00E84B0E">
        <w:t>’</w:t>
      </w:r>
      <w:r>
        <w:t xml:space="preserve">équivalent de </w:t>
      </w:r>
      <w:r>
        <w:rPr>
          <w:rStyle w:val="VerbatimChar"/>
        </w:rPr>
        <w:t>E1_Entité_CRM</w:t>
      </w:r>
      <w:r>
        <w:t xml:space="preserve"> </w:t>
      </w:r>
      <w:r>
        <w:rPr>
          <w:rStyle w:val="VerbatimChar"/>
        </w:rPr>
        <w:t>P62i_est_illustré_par</w:t>
      </w:r>
      <w:r>
        <w:t xml:space="preserve"> </w:t>
      </w:r>
      <w:r>
        <w:rPr>
          <w:rStyle w:val="VerbatimChar"/>
        </w:rPr>
        <w:t>E24_Chose_matérielle_élaborée_par_l</w:t>
      </w:r>
      <w:r w:rsidR="00E84B0E">
        <w:rPr>
          <w:rStyle w:val="VerbatimChar"/>
        </w:rPr>
        <w:t>’</w:t>
      </w:r>
      <w:r>
        <w:rPr>
          <w:rStyle w:val="VerbatimChar"/>
        </w:rPr>
        <w:t>humain</w:t>
      </w:r>
      <w:r>
        <w:t>.</w:t>
      </w:r>
    </w:p>
    <w:p w14:paraId="51C2CF2B" w14:textId="77777777" w:rsidR="00065317" w:rsidRDefault="005C7BF7">
      <w:pPr>
        <w:pStyle w:val="Normalcentr"/>
      </w:pPr>
      <w:r>
        <w:rPr>
          <w:b/>
          <w:bCs/>
          <w:i/>
          <w:iCs/>
        </w:rPr>
        <w:t>Note de traduction</w:t>
      </w:r>
    </w:p>
    <w:p w14:paraId="399288F3" w14:textId="77777777" w:rsidR="00065317" w:rsidRDefault="005C7BF7">
      <w:pPr>
        <w:pStyle w:val="Normalcentr"/>
      </w:pPr>
      <w:r>
        <w:rPr>
          <w:b/>
          <w:bCs/>
          <w:i/>
          <w:iCs/>
        </w:rPr>
        <w:t>Références</w:t>
      </w:r>
    </w:p>
    <w:p w14:paraId="3ABFF1EE" w14:textId="5625A7CB" w:rsidR="00784AE7" w:rsidRDefault="005C7BF7" w:rsidP="005D35B3">
      <w:pPr>
        <w:pStyle w:val="Normalcentr"/>
      </w:pPr>
      <w:r>
        <w:t xml:space="preserve">Wikipédia. « Langue SVO ». Dans </w:t>
      </w:r>
      <w:r>
        <w:rPr>
          <w:i/>
          <w:iCs/>
        </w:rPr>
        <w:t>Wikipédia</w:t>
      </w:r>
      <w:r>
        <w:t xml:space="preserve">. </w:t>
      </w:r>
      <w:r w:rsidRPr="001A5982">
        <w:t>San Francisco, US-CA: Wikipédia, 31</w:t>
      </w:r>
      <w:r w:rsidR="00056DCD" w:rsidRPr="001A5982">
        <w:t> octobre </w:t>
      </w:r>
      <w:r w:rsidRPr="001A5982">
        <w:t>2020.</w:t>
      </w:r>
      <w:hyperlink r:id="rId23">
        <w:r w:rsidRPr="001A5982">
          <w:rPr>
            <w:rStyle w:val="Lienhypertexte"/>
          </w:rPr>
          <w:t xml:space="preserve"> </w:t>
        </w:r>
      </w:hyperlink>
      <w:hyperlink r:id="rId24">
        <w:r>
          <w:rPr>
            <w:rStyle w:val="Lienhypertexte"/>
          </w:rPr>
          <w:t>https://fr.wikipedia.org/w/index.php?title=Langue_SVO&amp;oldid=176099662</w:t>
        </w:r>
      </w:hyperlink>
      <w:r>
        <w:t>.</w:t>
      </w:r>
      <w:bookmarkStart w:id="26" w:name="terminologie-inverse-de"/>
      <w:bookmarkEnd w:id="26"/>
    </w:p>
    <w:p w14:paraId="27147051" w14:textId="71FC993E" w:rsidR="003D3C4F" w:rsidRPr="00784AE7" w:rsidRDefault="00784AE7" w:rsidP="00784AE7">
      <w:pPr>
        <w:spacing w:after="0"/>
        <w:rPr>
          <w:sz w:val="22"/>
        </w:rPr>
      </w:pPr>
      <w:r>
        <w:br w:type="page"/>
      </w:r>
    </w:p>
    <w:p w14:paraId="79D3C04A" w14:textId="284A0574" w:rsidR="00065317" w:rsidRDefault="005C7BF7">
      <w:pPr>
        <w:pStyle w:val="Corpsdetexte"/>
      </w:pPr>
      <w:r>
        <w:rPr>
          <w:b/>
          <w:bCs/>
        </w:rPr>
        <w:lastRenderedPageBreak/>
        <w:t>Inverse de</w:t>
      </w:r>
    </w:p>
    <w:p w14:paraId="4B84CEB1" w14:textId="0A732C5C" w:rsidR="00065317" w:rsidRDefault="005C7BF7">
      <w:pPr>
        <w:pStyle w:val="Corpsdetexte"/>
      </w:pPr>
      <w:r>
        <w:t>L</w:t>
      </w:r>
      <w:r w:rsidR="00E84B0E">
        <w:t>’</w:t>
      </w:r>
      <w:r>
        <w:t>inverse d</w:t>
      </w:r>
      <w:r w:rsidR="00E84B0E">
        <w:t>’</w:t>
      </w:r>
      <w:r>
        <w:t xml:space="preserve">une </w:t>
      </w:r>
      <w:hyperlink w:anchor="terminologie-propriete">
        <w:r>
          <w:rPr>
            <w:rStyle w:val="Lienhypertexte"/>
          </w:rPr>
          <w:t>propriété</w:t>
        </w:r>
      </w:hyperlink>
      <w:r>
        <w:t xml:space="preserve"> est la réinterprétation de cette propriété depuis sa </w:t>
      </w:r>
      <w:hyperlink w:anchor="terminologie-portee">
        <w:r>
          <w:rPr>
            <w:rStyle w:val="Lienhypertexte"/>
          </w:rPr>
          <w:t>portée</w:t>
        </w:r>
      </w:hyperlink>
      <w:r>
        <w:t xml:space="preserve"> vers son </w:t>
      </w:r>
      <w:hyperlink w:anchor="terminologie-domaine">
        <w:r>
          <w:rPr>
            <w:rStyle w:val="Lienhypertexte"/>
          </w:rPr>
          <w:t>domaine</w:t>
        </w:r>
      </w:hyperlink>
      <w:r>
        <w:t xml:space="preserve"> sans généralisation ou spécialisation de sa signification supplémentaire. De même que le choix d</w:t>
      </w:r>
      <w:r w:rsidR="00E84B0E">
        <w:t>’</w:t>
      </w:r>
      <w:r>
        <w:t>une forme grammaticale active ou passive est arbitraire [n.d.t. le choix de la classe sélectionnée pour le domaine et pour la portée l</w:t>
      </w:r>
      <w:r w:rsidR="00E84B0E">
        <w:t>’</w:t>
      </w:r>
      <w:r>
        <w:t xml:space="preserve">est aussi]. Contrairement à certains langages de représentation tels que </w:t>
      </w:r>
      <w:hyperlink r:id="rId25">
        <w:r>
          <w:rPr>
            <w:rStyle w:val="Lienhypertexte"/>
          </w:rPr>
          <w:t>RDF</w:t>
        </w:r>
      </w:hyperlink>
      <w:r>
        <w:t xml:space="preserve"> et OWL, le </w:t>
      </w:r>
      <w:r w:rsidR="00C8288F">
        <w:t>CIDOC CRM</w:t>
      </w:r>
      <w:r>
        <w:t xml:space="preserve"> considère que l</w:t>
      </w:r>
      <w:r w:rsidR="00E84B0E">
        <w:t>’</w:t>
      </w:r>
      <w:r>
        <w:t>inverse d</w:t>
      </w:r>
      <w:r w:rsidR="00E84B0E">
        <w:t>’</w:t>
      </w:r>
      <w:r>
        <w:t>une propriété n</w:t>
      </w:r>
      <w:r w:rsidR="00E84B0E">
        <w:t>’</w:t>
      </w:r>
      <w:r>
        <w:t>est pas une propriété en soi qui nécessiterait la déclaration explicite du fait qu</w:t>
      </w:r>
      <w:r w:rsidR="00E84B0E">
        <w:t>’</w:t>
      </w:r>
      <w:r>
        <w:t>elle en inverse une autre; il s</w:t>
      </w:r>
      <w:r w:rsidR="00E84B0E">
        <w:t>’</w:t>
      </w:r>
      <w:r>
        <w:t>agit plutôt d</w:t>
      </w:r>
      <w:r w:rsidR="00E84B0E">
        <w:t>’</w:t>
      </w:r>
      <w:r>
        <w:t>une interprétation implicite à chaque propriété. L</w:t>
      </w:r>
      <w:r w:rsidR="00E84B0E">
        <w:t>’</w:t>
      </w:r>
      <w:r>
        <w:t>inverse de l</w:t>
      </w:r>
      <w:r w:rsidR="00E84B0E">
        <w:t>’</w:t>
      </w:r>
      <w:r>
        <w:t>inverse d</w:t>
      </w:r>
      <w:r w:rsidR="00E84B0E">
        <w:t>’</w:t>
      </w:r>
      <w:r>
        <w:t>une propriété est identique à la propriété elle-même, à savoir identique à sa direction primaire.</w:t>
      </w:r>
    </w:p>
    <w:p w14:paraId="40FA4739" w14:textId="77777777" w:rsidR="00065317" w:rsidRDefault="005C7BF7">
      <w:pPr>
        <w:pStyle w:val="Corpsdetexte"/>
      </w:pPr>
      <w:r>
        <w:t>Par exemple :</w:t>
      </w:r>
    </w:p>
    <w:p w14:paraId="5C8B3743" w14:textId="446BB1CD" w:rsidR="00065317" w:rsidRDefault="005C7BF7">
      <w:pPr>
        <w:pStyle w:val="Corpsdetexte"/>
      </w:pPr>
      <w:r>
        <w:rPr>
          <w:rStyle w:val="VerbatimChar"/>
        </w:rPr>
        <w:t>E1_Entité_CRM</w:t>
      </w:r>
      <w:r>
        <w:t xml:space="preserve"> </w:t>
      </w:r>
      <w:r>
        <w:rPr>
          <w:rStyle w:val="VerbatimChar"/>
        </w:rPr>
        <w:t>P62.i_est_illustré_par</w:t>
      </w:r>
      <w:r>
        <w:t xml:space="preserve"> </w:t>
      </w:r>
      <w:r>
        <w:rPr>
          <w:rStyle w:val="VerbatimChar"/>
        </w:rPr>
        <w:t>E24_Chose_matérielle_élaborée_par_l</w:t>
      </w:r>
      <w:r w:rsidR="00E84B0E">
        <w:rPr>
          <w:rStyle w:val="VerbatimChar"/>
        </w:rPr>
        <w:t>’</w:t>
      </w:r>
      <w:r>
        <w:rPr>
          <w:rStyle w:val="VerbatimChar"/>
        </w:rPr>
        <w:t>humain</w:t>
      </w:r>
      <w:r>
        <w:t xml:space="preserve"> est l</w:t>
      </w:r>
      <w:r w:rsidR="00E84B0E">
        <w:t>’</w:t>
      </w:r>
      <w:r>
        <w:t xml:space="preserve">inverse de </w:t>
      </w:r>
      <w:r>
        <w:rPr>
          <w:rStyle w:val="VerbatimChar"/>
        </w:rPr>
        <w:t>E24_Chose_matérielle_élaborée_par_l</w:t>
      </w:r>
      <w:r w:rsidR="00E84B0E">
        <w:rPr>
          <w:rStyle w:val="VerbatimChar"/>
        </w:rPr>
        <w:t>’</w:t>
      </w:r>
      <w:r>
        <w:rPr>
          <w:rStyle w:val="VerbatimChar"/>
        </w:rPr>
        <w:t>humain</w:t>
      </w:r>
      <w:r>
        <w:t xml:space="preserve"> </w:t>
      </w:r>
      <w:r>
        <w:rPr>
          <w:rStyle w:val="VerbatimChar"/>
        </w:rPr>
        <w:t>P62_illustre</w:t>
      </w:r>
      <w:r>
        <w:t xml:space="preserve"> </w:t>
      </w:r>
      <w:r>
        <w:rPr>
          <w:rStyle w:val="VerbatimChar"/>
        </w:rPr>
        <w:t>E1_Entité_CRM</w:t>
      </w:r>
      <w:r>
        <w:t>.</w:t>
      </w:r>
    </w:p>
    <w:p w14:paraId="63D3F235" w14:textId="77777777" w:rsidR="00065317" w:rsidRDefault="005C7BF7">
      <w:pPr>
        <w:pStyle w:val="Normalcentr"/>
      </w:pPr>
      <w:r>
        <w:rPr>
          <w:b/>
          <w:bCs/>
          <w:i/>
          <w:iCs/>
        </w:rPr>
        <w:t>Note de traduction</w:t>
      </w:r>
    </w:p>
    <w:p w14:paraId="304E1B01" w14:textId="6C68007A" w:rsidR="00065317" w:rsidRDefault="005C7BF7" w:rsidP="005D35B3">
      <w:pPr>
        <w:pStyle w:val="Normalcentr"/>
      </w:pPr>
      <w:r>
        <w:rPr>
          <w:b/>
          <w:bCs/>
          <w:i/>
          <w:iCs/>
        </w:rPr>
        <w:t>Références</w:t>
      </w:r>
      <w:bookmarkStart w:id="27" w:name="terminologie-sous-propriete"/>
      <w:bookmarkEnd w:id="27"/>
    </w:p>
    <w:p w14:paraId="3F6EB521" w14:textId="77777777" w:rsidR="00065317" w:rsidRDefault="005C7BF7">
      <w:pPr>
        <w:pStyle w:val="Corpsdetexte"/>
      </w:pPr>
      <w:r>
        <w:rPr>
          <w:b/>
          <w:bCs/>
        </w:rPr>
        <w:t>Sous-propriété</w:t>
      </w:r>
    </w:p>
    <w:p w14:paraId="15277C92" w14:textId="77777777" w:rsidR="00065317" w:rsidRDefault="005C7BF7">
      <w:pPr>
        <w:pStyle w:val="Corpsdetexte"/>
      </w:pPr>
      <w:r>
        <w:t xml:space="preserve">Une sous-propriété est une </w:t>
      </w:r>
      <w:hyperlink w:anchor="terminologie-propriete">
        <w:r>
          <w:rPr>
            <w:rStyle w:val="Lienhypertexte"/>
          </w:rPr>
          <w:t>propriété</w:t>
        </w:r>
      </w:hyperlink>
      <w:r>
        <w:t xml:space="preserve"> spécialisant une autre propriété (sa </w:t>
      </w:r>
      <w:hyperlink w:anchor="terminologie-super-propriete">
        <w:r>
          <w:rPr>
            <w:rStyle w:val="Lienhypertexte"/>
          </w:rPr>
          <w:t>super-propriété</w:t>
        </w:r>
      </w:hyperlink>
      <w:r>
        <w:t xml:space="preserve">); une spécialisation (ou relation </w:t>
      </w:r>
      <w:r>
        <w:rPr>
          <w:rStyle w:val="VerbatimChar"/>
        </w:rPr>
        <w:t>estUn</w:t>
      </w:r>
      <w:r>
        <w:t>) implique que :</w:t>
      </w:r>
    </w:p>
    <w:p w14:paraId="26E2AEC1" w14:textId="388C4BFD" w:rsidR="00065317" w:rsidRDefault="005C7BF7">
      <w:pPr>
        <w:numPr>
          <w:ilvl w:val="0"/>
          <w:numId w:val="8"/>
        </w:numPr>
      </w:pPr>
      <w:r>
        <w:t xml:space="preserve">toutes les </w:t>
      </w:r>
      <w:hyperlink w:anchor="terminologie-instance">
        <w:r>
          <w:rPr>
            <w:rStyle w:val="Lienhypertexte"/>
            <w:b/>
            <w:bCs/>
          </w:rPr>
          <w:t>instances</w:t>
        </w:r>
      </w:hyperlink>
      <w:r>
        <w:t xml:space="preserve"> d</w:t>
      </w:r>
      <w:r w:rsidR="00E84B0E">
        <w:t>’</w:t>
      </w:r>
      <w:r>
        <w:t>une sous-propriété sont aussi des instances de sa super-propriété;</w:t>
      </w:r>
    </w:p>
    <w:p w14:paraId="6156E10D" w14:textId="7B14C455" w:rsidR="00065317" w:rsidRDefault="005C7BF7">
      <w:pPr>
        <w:numPr>
          <w:ilvl w:val="0"/>
          <w:numId w:val="8"/>
        </w:numPr>
      </w:pPr>
      <w:r>
        <w:t>l</w:t>
      </w:r>
      <w:r w:rsidR="00E84B0E">
        <w:t>’</w:t>
      </w:r>
      <w:hyperlink w:anchor="terminologie-intension">
        <w:r>
          <w:rPr>
            <w:rStyle w:val="Lienhypertexte"/>
            <w:b/>
            <w:bCs/>
          </w:rPr>
          <w:t>intension</w:t>
        </w:r>
      </w:hyperlink>
      <w:r>
        <w:t xml:space="preserve"> d</w:t>
      </w:r>
      <w:r w:rsidR="00E84B0E">
        <w:t>’</w:t>
      </w:r>
      <w:r>
        <w:t>une sous-propriété extensionne l</w:t>
      </w:r>
      <w:r w:rsidR="00E84B0E">
        <w:t>’</w:t>
      </w:r>
      <w:r>
        <w:t xml:space="preserve">intension de sa super-propriété, c.-à-d. que les traits [n.d.t. décrits dans la </w:t>
      </w:r>
      <w:hyperlink w:anchor="terminologie-note-dapplication">
        <w:r>
          <w:rPr>
            <w:rStyle w:val="Lienhypertexte"/>
          </w:rPr>
          <w:t>note d</w:t>
        </w:r>
        <w:r w:rsidR="00E84B0E">
          <w:rPr>
            <w:rStyle w:val="Lienhypertexte"/>
          </w:rPr>
          <w:t>’</w:t>
        </w:r>
        <w:r>
          <w:rPr>
            <w:rStyle w:val="Lienhypertexte"/>
          </w:rPr>
          <w:t>application</w:t>
        </w:r>
      </w:hyperlink>
      <w:r>
        <w:t xml:space="preserve"> de la sous-propriété] sont plus restrictifs que ceux de sa super-propriété;</w:t>
      </w:r>
    </w:p>
    <w:p w14:paraId="5D049FBD" w14:textId="7806B521" w:rsidR="00065317" w:rsidRDefault="005C7BF7">
      <w:pPr>
        <w:numPr>
          <w:ilvl w:val="0"/>
          <w:numId w:val="8"/>
        </w:numPr>
      </w:pPr>
      <w:r>
        <w:t xml:space="preserve">le </w:t>
      </w:r>
      <w:hyperlink w:anchor="terminologie-domaine">
        <w:r>
          <w:rPr>
            <w:rStyle w:val="Lienhypertexte"/>
            <w:b/>
            <w:bCs/>
          </w:rPr>
          <w:t>domaine</w:t>
        </w:r>
      </w:hyperlink>
      <w:r>
        <w:t xml:space="preserve"> de la sous-propriété est le même que le domaine de sa super-propriété ou d</w:t>
      </w:r>
      <w:r w:rsidR="00E84B0E">
        <w:t>’</w:t>
      </w:r>
      <w:r>
        <w:t xml:space="preserve">une </w:t>
      </w:r>
      <w:hyperlink w:anchor="terminologie-sous-classe">
        <w:r>
          <w:rPr>
            <w:rStyle w:val="Lienhypertexte"/>
          </w:rPr>
          <w:t>sous-classe</w:t>
        </w:r>
      </w:hyperlink>
      <w:r>
        <w:t xml:space="preserve"> de ce domaine;</w:t>
      </w:r>
    </w:p>
    <w:p w14:paraId="157104B5" w14:textId="579DC2C9" w:rsidR="00065317" w:rsidRDefault="005C7BF7">
      <w:pPr>
        <w:numPr>
          <w:ilvl w:val="0"/>
          <w:numId w:val="8"/>
        </w:numPr>
      </w:pPr>
      <w:r>
        <w:t xml:space="preserve">la </w:t>
      </w:r>
      <w:hyperlink w:anchor="terminologie-portee">
        <w:r>
          <w:rPr>
            <w:rStyle w:val="Lienhypertexte"/>
            <w:b/>
            <w:bCs/>
          </w:rPr>
          <w:t>portée</w:t>
        </w:r>
      </w:hyperlink>
      <w:r>
        <w:t xml:space="preserve"> de la sous-propriété est la même que la portée de sa super-propriété ou d</w:t>
      </w:r>
      <w:r w:rsidR="00E84B0E">
        <w:t>’</w:t>
      </w:r>
      <w:r>
        <w:t>une sous-classe de cette portée;</w:t>
      </w:r>
    </w:p>
    <w:p w14:paraId="2BCE4E93" w14:textId="5ADF5D08" w:rsidR="00065317" w:rsidRDefault="005C7BF7">
      <w:pPr>
        <w:numPr>
          <w:ilvl w:val="0"/>
          <w:numId w:val="8"/>
        </w:numPr>
      </w:pPr>
      <w:r>
        <w:t xml:space="preserve">la sous-propriété </w:t>
      </w:r>
      <w:hyperlink w:anchor="terminologie-heritage">
        <w:r>
          <w:rPr>
            <w:rStyle w:val="Lienhypertexte"/>
          </w:rPr>
          <w:t>hérite</w:t>
        </w:r>
      </w:hyperlink>
      <w:r>
        <w:t xml:space="preserve"> la définition de toutes les propriétés déclarées pour sa super-propriété, et ce sans exception (</w:t>
      </w:r>
      <w:hyperlink w:anchor="terminologie-heritage-strict">
        <w:r>
          <w:rPr>
            <w:rStyle w:val="Lienhypertexte"/>
          </w:rPr>
          <w:t>héritage strict</w:t>
        </w:r>
      </w:hyperlink>
      <w:r>
        <w:t>) en plus de n</w:t>
      </w:r>
      <w:r w:rsidR="00E84B0E">
        <w:t>’</w:t>
      </w:r>
      <w:r>
        <w:t>avoir aucune, une seule ou plusieurs propriétés qui lui est/sont propre(s).</w:t>
      </w:r>
    </w:p>
    <w:p w14:paraId="24A9276F" w14:textId="41B12E11" w:rsidR="00065317" w:rsidRDefault="005C7BF7">
      <w:pPr>
        <w:pStyle w:val="FirstParagraph"/>
      </w:pPr>
      <w:r>
        <w:t>Une sous-propriété peut relever directement de plus d</w:t>
      </w:r>
      <w:r w:rsidR="00E84B0E">
        <w:t>’</w:t>
      </w:r>
      <w:r>
        <w:t>une super-propriété et ainsi hériter les propriétés de toutes ces super-propriétés (</w:t>
      </w:r>
      <w:hyperlink w:anchor="terminologie-heritage-multiple">
        <w:r>
          <w:rPr>
            <w:rStyle w:val="Lienhypertexte"/>
          </w:rPr>
          <w:t>héritage multiple</w:t>
        </w:r>
      </w:hyperlink>
      <w:r>
        <w:t xml:space="preserve">). La relation </w:t>
      </w:r>
      <w:r>
        <w:rPr>
          <w:rStyle w:val="VerbatimChar"/>
        </w:rPr>
        <w:t>estUn</w:t>
      </w:r>
      <w:r>
        <w:t xml:space="preserve"> (spécialisation) entre deux propriétés ou plus établit une hiérarchie des propriétés; c</w:t>
      </w:r>
      <w:r w:rsidR="00E84B0E">
        <w:t>’</w:t>
      </w:r>
      <w:r>
        <w:t xml:space="preserve">est une relation </w:t>
      </w:r>
      <w:hyperlink w:anchor="terminologie-transitivite">
        <w:r>
          <w:rPr>
            <w:rStyle w:val="Lienhypertexte"/>
          </w:rPr>
          <w:t>transitive</w:t>
        </w:r>
      </w:hyperlink>
      <w:r>
        <w:t xml:space="preserve"> qui peut ne pas être cyclique. Certains langages de programmation comme C++ n</w:t>
      </w:r>
      <w:r w:rsidR="00E84B0E">
        <w:t>’</w:t>
      </w:r>
      <w:r>
        <w:t>ont pas de construits qui expriment la spécialisation de propriétés en sous-propriétés.</w:t>
      </w:r>
    </w:p>
    <w:p w14:paraId="085A927D" w14:textId="68CB90FC" w:rsidR="00065317" w:rsidRDefault="005C7BF7">
      <w:pPr>
        <w:pStyle w:val="Corpsdetexte"/>
      </w:pPr>
      <w:r>
        <w:t>Une propriété peut aussi être une sous-propriété de l</w:t>
      </w:r>
      <w:r w:rsidR="00E84B0E">
        <w:t>’</w:t>
      </w:r>
      <w:hyperlink w:anchor="terminologie-inverse-de">
        <w:r>
          <w:rPr>
            <w:rStyle w:val="Lienhypertexte"/>
          </w:rPr>
          <w:t>inverse</w:t>
        </w:r>
      </w:hyperlink>
      <w:r>
        <w:t xml:space="preserve"> d</w:t>
      </w:r>
      <w:r w:rsidR="00E84B0E">
        <w:t>’</w:t>
      </w:r>
      <w:r>
        <w:t>une autre propriété [n.d.t. (la propriété initiale non</w:t>
      </w:r>
      <w:r w:rsidR="003773B9">
        <w:t xml:space="preserve"> </w:t>
      </w:r>
      <w:r>
        <w:t>inversée)], c.-à-d. que lire la propriété depuis la portée vers le domaine implique que :</w:t>
      </w:r>
    </w:p>
    <w:p w14:paraId="15B26BA0" w14:textId="236206F1" w:rsidR="00065317" w:rsidRDefault="005C7BF7">
      <w:pPr>
        <w:numPr>
          <w:ilvl w:val="0"/>
          <w:numId w:val="9"/>
        </w:numPr>
      </w:pPr>
      <w:r>
        <w:t>toutes les instances d</w:t>
      </w:r>
      <w:r w:rsidR="00E84B0E">
        <w:t>’</w:t>
      </w:r>
      <w:r>
        <w:t>une sous-propriété sont aussi des instances de l</w:t>
      </w:r>
      <w:r w:rsidR="00E84B0E">
        <w:t>’</w:t>
      </w:r>
      <w:r>
        <w:t>inverse de l</w:t>
      </w:r>
      <w:r w:rsidR="00E84B0E">
        <w:t>’</w:t>
      </w:r>
      <w:r>
        <w:t>autre propriété;</w:t>
      </w:r>
    </w:p>
    <w:p w14:paraId="78D7A506" w14:textId="3B53F443" w:rsidR="00065317" w:rsidRDefault="005C7BF7">
      <w:pPr>
        <w:numPr>
          <w:ilvl w:val="0"/>
          <w:numId w:val="9"/>
        </w:numPr>
      </w:pPr>
      <w:r>
        <w:t>l</w:t>
      </w:r>
      <w:r w:rsidR="00E84B0E">
        <w:t>’</w:t>
      </w:r>
      <w:r>
        <w:t>intension d</w:t>
      </w:r>
      <w:r w:rsidR="00E84B0E">
        <w:t>’</w:t>
      </w:r>
      <w:r>
        <w:t>une sous-propriété extensionne l</w:t>
      </w:r>
      <w:r w:rsidR="00E84B0E">
        <w:t>’</w:t>
      </w:r>
      <w:r>
        <w:t>intension de l</w:t>
      </w:r>
      <w:r w:rsidR="00E84B0E">
        <w:t>’</w:t>
      </w:r>
      <w:r>
        <w:t>inverse de l</w:t>
      </w:r>
      <w:r w:rsidR="00E84B0E">
        <w:t>’</w:t>
      </w:r>
      <w:r>
        <w:t>autre propriété, c.-à-d. que les traits [n.d.t. décrits dans la note d</w:t>
      </w:r>
      <w:r w:rsidR="00E84B0E">
        <w:t>’</w:t>
      </w:r>
      <w:r>
        <w:t>application de la sous-propriété] sont plus restrictifs que ceux de l</w:t>
      </w:r>
      <w:r w:rsidR="00E84B0E">
        <w:t>’</w:t>
      </w:r>
      <w:r>
        <w:t>inverse de l</w:t>
      </w:r>
      <w:r w:rsidR="00E84B0E">
        <w:t>’</w:t>
      </w:r>
      <w:r>
        <w:t>autre propriété;</w:t>
      </w:r>
    </w:p>
    <w:p w14:paraId="03E2D776" w14:textId="6B1607BA" w:rsidR="00065317" w:rsidRDefault="005C7BF7">
      <w:pPr>
        <w:numPr>
          <w:ilvl w:val="0"/>
          <w:numId w:val="9"/>
        </w:numPr>
      </w:pPr>
      <w:r>
        <w:lastRenderedPageBreak/>
        <w:t>le domaine de la sous-propriété est le même que la portée de l</w:t>
      </w:r>
      <w:r w:rsidR="00E84B0E">
        <w:t>’</w:t>
      </w:r>
      <w:r>
        <w:t>autre propriété ou d</w:t>
      </w:r>
      <w:r w:rsidR="00E84B0E">
        <w:t>’</w:t>
      </w:r>
      <w:r>
        <w:t>une sous-classe de cette portée;</w:t>
      </w:r>
    </w:p>
    <w:p w14:paraId="30707C25" w14:textId="157DDA57" w:rsidR="00065317" w:rsidRDefault="005C7BF7">
      <w:pPr>
        <w:numPr>
          <w:ilvl w:val="0"/>
          <w:numId w:val="9"/>
        </w:numPr>
      </w:pPr>
      <w:r>
        <w:t>la portée de la sous-propriété est la même que le domaine de l</w:t>
      </w:r>
      <w:r w:rsidR="00E84B0E">
        <w:t>’</w:t>
      </w:r>
      <w:r>
        <w:t>autre propriété ou une sous-classe de ce domaine</w:t>
      </w:r>
    </w:p>
    <w:p w14:paraId="66576CB5" w14:textId="5340806E" w:rsidR="00065317" w:rsidRDefault="005C7BF7">
      <w:pPr>
        <w:numPr>
          <w:ilvl w:val="0"/>
          <w:numId w:val="9"/>
        </w:numPr>
      </w:pPr>
      <w:r>
        <w:t>la sous-propriété hérite la définition de toutes les propriétés déclarées pour l</w:t>
      </w:r>
      <w:r w:rsidR="00E84B0E">
        <w:t>’</w:t>
      </w:r>
      <w:r>
        <w:t>autre propriété, et ce sans exception (héritage strict) en plus de n</w:t>
      </w:r>
      <w:r w:rsidR="00E84B0E">
        <w:t>’</w:t>
      </w:r>
      <w:r>
        <w:t>avoir aucune, une seule ou plusieurs propriétés qui lui est/sont propre(s). Les définitions des propriétés héritées doivent être interprétées dans le sens inverse de la direction de la sous-propriété, à savoir depuis la portée vers le domaine.</w:t>
      </w:r>
    </w:p>
    <w:p w14:paraId="42F250B8" w14:textId="72875C91" w:rsidR="00065317" w:rsidRDefault="005C7BF7">
      <w:pPr>
        <w:pStyle w:val="FirstParagraph"/>
      </w:pPr>
      <w:r>
        <w:t xml:space="preserve">[n.d.t. voir </w:t>
      </w:r>
      <w:hyperlink w:anchor="declaration-des-proprietes-du-cidoc-crm">
        <w:r>
          <w:rPr>
            <w:rStyle w:val="Lienhypertexte"/>
          </w:rPr>
          <w:t xml:space="preserve">Déclaration des propriétés du </w:t>
        </w:r>
        <w:r w:rsidR="00C8288F">
          <w:rPr>
            <w:rStyle w:val="Lienhypertexte"/>
          </w:rPr>
          <w:t>CIDOC CRM</w:t>
        </w:r>
      </w:hyperlink>
      <w:r>
        <w:t>].</w:t>
      </w:r>
    </w:p>
    <w:p w14:paraId="650F6B13" w14:textId="77777777" w:rsidR="00065317" w:rsidRDefault="005C7BF7">
      <w:pPr>
        <w:pStyle w:val="Normalcentr"/>
      </w:pPr>
      <w:r>
        <w:rPr>
          <w:b/>
          <w:bCs/>
          <w:i/>
          <w:iCs/>
        </w:rPr>
        <w:t>Note de traduction</w:t>
      </w:r>
    </w:p>
    <w:p w14:paraId="1B8B95A4" w14:textId="776CDF75" w:rsidR="00065317" w:rsidRDefault="005C7BF7">
      <w:pPr>
        <w:pStyle w:val="Normalcentr"/>
      </w:pPr>
      <w:r>
        <w:t>Le terme « construct » n</w:t>
      </w:r>
      <w:r w:rsidR="00E84B0E">
        <w:t>’</w:t>
      </w:r>
      <w:r>
        <w:t>a pas d</w:t>
      </w:r>
      <w:r w:rsidR="00E84B0E">
        <w:t>’</w:t>
      </w:r>
      <w:r>
        <w:t>équivalent français parfait, mais une recherche sommaire révèle que le terme « construit » (n.m.) semble répandu dans les domaines de la philosophie et de la sociologie et est celui dont le sens se rapproche le plus de la forme originale.</w:t>
      </w:r>
    </w:p>
    <w:p w14:paraId="54F870F8" w14:textId="77777777" w:rsidR="00065317" w:rsidRDefault="005C7BF7">
      <w:pPr>
        <w:pStyle w:val="Normalcentr"/>
      </w:pPr>
      <w:r>
        <w:rPr>
          <w:b/>
          <w:bCs/>
          <w:i/>
          <w:iCs/>
        </w:rPr>
        <w:t>Références</w:t>
      </w:r>
    </w:p>
    <w:p w14:paraId="1CDDCEDB" w14:textId="715C5AB9" w:rsidR="00065317" w:rsidRDefault="005C7BF7" w:rsidP="00E34F91">
      <w:pPr>
        <w:pStyle w:val="Normalcentr"/>
      </w:pPr>
      <w:r>
        <w:t xml:space="preserve">Termium. « construct ». Dans </w:t>
      </w:r>
      <w:r>
        <w:rPr>
          <w:i/>
          <w:iCs/>
        </w:rPr>
        <w:t>Termium Plus</w:t>
      </w:r>
      <w:r>
        <w:t>. Ottawa, CA-ON: Gouvernement du Canada, 8</w:t>
      </w:r>
      <w:r w:rsidR="00056DCD">
        <w:t> octobre </w:t>
      </w:r>
      <w:r>
        <w:t>2009.</w:t>
      </w:r>
      <w:hyperlink r:id="rId26" w:anchor="resultrecs">
        <w:r>
          <w:rPr>
            <w:rStyle w:val="Lienhypertexte"/>
          </w:rPr>
          <w:t xml:space="preserve"> </w:t>
        </w:r>
      </w:hyperlink>
      <w:hyperlink r:id="rId27" w:anchor="resultrecs">
        <w:r>
          <w:rPr>
            <w:rStyle w:val="Lienhypertexte"/>
          </w:rPr>
          <w:t>https://www.btb.termiumplus.gc.ca/tpv2alpha/alpha-fra.html?lang=fra&amp;i=1&amp;srchtxt=construct&amp;index=ent&amp;codom2nd_wet=1#resultrecs</w:t>
        </w:r>
      </w:hyperlink>
      <w:r>
        <w:t>.</w:t>
      </w:r>
      <w:bookmarkStart w:id="28" w:name="terminologie-super-propriete"/>
      <w:bookmarkEnd w:id="28"/>
    </w:p>
    <w:p w14:paraId="04557C02" w14:textId="77777777" w:rsidR="00065317" w:rsidRDefault="005C7BF7">
      <w:pPr>
        <w:pStyle w:val="Corpsdetexte"/>
      </w:pPr>
      <w:r>
        <w:rPr>
          <w:b/>
          <w:bCs/>
        </w:rPr>
        <w:t>Super-propriété</w:t>
      </w:r>
    </w:p>
    <w:p w14:paraId="5E830109" w14:textId="453F22D0" w:rsidR="00065317" w:rsidRDefault="005C7BF7">
      <w:pPr>
        <w:pStyle w:val="Corpsdetexte"/>
      </w:pPr>
      <w:r>
        <w:t xml:space="preserve">Une super-propriété est une </w:t>
      </w:r>
      <w:hyperlink w:anchor="terminologie-propriete">
        <w:r>
          <w:rPr>
            <w:rStyle w:val="Lienhypertexte"/>
            <w:b/>
            <w:bCs/>
          </w:rPr>
          <w:t>propriété</w:t>
        </w:r>
      </w:hyperlink>
      <w:r>
        <w:t xml:space="preserve"> qui est une généralisation de l</w:t>
      </w:r>
      <w:r w:rsidR="00E84B0E">
        <w:t>’</w:t>
      </w:r>
      <w:r>
        <w:t xml:space="preserve">une ou plusieurs autres propriétés (ses </w:t>
      </w:r>
      <w:hyperlink w:anchor="terminologie-sous-propriete">
        <w:r>
          <w:rPr>
            <w:rStyle w:val="Lienhypertexte"/>
            <w:b/>
            <w:bCs/>
          </w:rPr>
          <w:t>sous-propriétés</w:t>
        </w:r>
      </w:hyperlink>
      <w:r>
        <w:t xml:space="preserve">) : elle subsume toutes les </w:t>
      </w:r>
      <w:hyperlink w:anchor="terminologie-instance">
        <w:r>
          <w:rPr>
            <w:rStyle w:val="Lienhypertexte"/>
            <w:b/>
            <w:bCs/>
          </w:rPr>
          <w:t>instances</w:t>
        </w:r>
      </w:hyperlink>
      <w:r>
        <w:t xml:space="preserve"> de toutes ses sous-propriétés et peut de surcroît avoir des instances qui ne relèvent d</w:t>
      </w:r>
      <w:r w:rsidR="00E84B0E">
        <w:t>’</w:t>
      </w:r>
      <w:r>
        <w:t>aucune de ces sous-propriétés. L</w:t>
      </w:r>
      <w:r w:rsidR="00E84B0E">
        <w:t>’</w:t>
      </w:r>
      <w:hyperlink w:anchor="terminologie-intension">
        <w:r>
          <w:rPr>
            <w:rStyle w:val="Lienhypertexte"/>
            <w:b/>
            <w:bCs/>
          </w:rPr>
          <w:t>intension</w:t>
        </w:r>
      </w:hyperlink>
      <w:r>
        <w:t xml:space="preserve"> d</w:t>
      </w:r>
      <w:r w:rsidR="00E84B0E">
        <w:t>’</w:t>
      </w:r>
      <w:r>
        <w:t>une super-propriété est moins restrictive que celle de n</w:t>
      </w:r>
      <w:r w:rsidR="00E84B0E">
        <w:t>’</w:t>
      </w:r>
      <w:r>
        <w:t>importe laquelle de ses sous-propriétés. La relation de subsomption (généralisation) est l</w:t>
      </w:r>
      <w:r w:rsidR="00E84B0E">
        <w:t>’</w:t>
      </w:r>
      <w:r>
        <w:t>inverse d</w:t>
      </w:r>
      <w:r w:rsidR="00E84B0E">
        <w:t>’</w:t>
      </w:r>
      <w:r>
        <w:t xml:space="preserve">une relation </w:t>
      </w:r>
      <w:r>
        <w:rPr>
          <w:rStyle w:val="VerbatimChar"/>
        </w:rPr>
        <w:t>estUn</w:t>
      </w:r>
      <w:r>
        <w:t xml:space="preserve"> (spécialisation). Une super-propriété peut être une généralisation de l</w:t>
      </w:r>
      <w:r w:rsidR="00E84B0E">
        <w:t>’</w:t>
      </w:r>
      <w:hyperlink w:anchor="terminologie-inverse-de">
        <w:r>
          <w:rPr>
            <w:rStyle w:val="Lienhypertexte"/>
            <w:b/>
            <w:bCs/>
          </w:rPr>
          <w:t>inverse</w:t>
        </w:r>
      </w:hyperlink>
      <w:r>
        <w:t xml:space="preserve"> d</w:t>
      </w:r>
      <w:r w:rsidR="00E84B0E">
        <w:t>’</w:t>
      </w:r>
      <w:r>
        <w:t>une autre propriété.</w:t>
      </w:r>
    </w:p>
    <w:p w14:paraId="62CBABD5" w14:textId="1E534F36" w:rsidR="00065317" w:rsidRDefault="005C7BF7">
      <w:pPr>
        <w:pStyle w:val="Corpsdetexte"/>
      </w:pPr>
      <w:r>
        <w:t xml:space="preserve">[n.d.t. voir </w:t>
      </w:r>
      <w:hyperlink w:anchor="declaration-des-proprietes-du-cidoc-crm">
        <w:r>
          <w:rPr>
            <w:rStyle w:val="Lienhypertexte"/>
          </w:rPr>
          <w:t xml:space="preserve">Déclaration des propriétés du </w:t>
        </w:r>
        <w:r w:rsidR="00C8288F">
          <w:rPr>
            <w:rStyle w:val="Lienhypertexte"/>
          </w:rPr>
          <w:t>CIDOC CRM</w:t>
        </w:r>
      </w:hyperlink>
      <w:r>
        <w:t>].</w:t>
      </w:r>
    </w:p>
    <w:p w14:paraId="3A8BE3FE" w14:textId="77777777" w:rsidR="00065317" w:rsidRDefault="005C7BF7">
      <w:pPr>
        <w:pStyle w:val="Normalcentr"/>
      </w:pPr>
      <w:r>
        <w:rPr>
          <w:b/>
          <w:bCs/>
          <w:i/>
          <w:iCs/>
        </w:rPr>
        <w:t>Note de traduction</w:t>
      </w:r>
    </w:p>
    <w:p w14:paraId="75778015" w14:textId="55EF3F19" w:rsidR="00065317" w:rsidRDefault="005C7BF7" w:rsidP="00E34F91">
      <w:pPr>
        <w:pStyle w:val="Normalcentr"/>
      </w:pPr>
      <w:r>
        <w:rPr>
          <w:b/>
          <w:bCs/>
          <w:i/>
          <w:iCs/>
        </w:rPr>
        <w:t>Références</w:t>
      </w:r>
      <w:bookmarkStart w:id="29" w:name="terminologie-domaine"/>
      <w:bookmarkEnd w:id="29"/>
    </w:p>
    <w:p w14:paraId="0479A250" w14:textId="77777777" w:rsidR="00065317" w:rsidRDefault="005C7BF7">
      <w:pPr>
        <w:pStyle w:val="Corpsdetexte"/>
      </w:pPr>
      <w:r>
        <w:rPr>
          <w:b/>
          <w:bCs/>
        </w:rPr>
        <w:t>Domaine</w:t>
      </w:r>
    </w:p>
    <w:p w14:paraId="49549421" w14:textId="4B2E3CDD" w:rsidR="00065317" w:rsidRDefault="005C7BF7">
      <w:pPr>
        <w:pStyle w:val="Corpsdetexte"/>
      </w:pPr>
      <w:r>
        <w:t xml:space="preserve">Le domaine est la </w:t>
      </w:r>
      <w:hyperlink w:anchor="terminologie-classe">
        <w:r>
          <w:rPr>
            <w:rStyle w:val="Lienhypertexte"/>
            <w:b/>
            <w:bCs/>
          </w:rPr>
          <w:t>classe</w:t>
        </w:r>
      </w:hyperlink>
      <w:r>
        <w:t xml:space="preserve"> pour laquelle une </w:t>
      </w:r>
      <w:hyperlink w:anchor="terminologie-propriete">
        <w:r>
          <w:rPr>
            <w:rStyle w:val="Lienhypertexte"/>
            <w:b/>
            <w:bCs/>
          </w:rPr>
          <w:t>propriété</w:t>
        </w:r>
      </w:hyperlink>
      <w:r>
        <w:t xml:space="preserve"> est formellement définie, de sorte que les </w:t>
      </w:r>
      <w:hyperlink w:anchor="terminologie-instance">
        <w:r>
          <w:rPr>
            <w:rStyle w:val="Lienhypertexte"/>
            <w:b/>
            <w:bCs/>
          </w:rPr>
          <w:t>instances</w:t>
        </w:r>
      </w:hyperlink>
      <w:r>
        <w:t xml:space="preserve"> d</w:t>
      </w:r>
      <w:r w:rsidR="00E84B0E">
        <w:t>’</w:t>
      </w:r>
      <w:r>
        <w:t>une propriété ne peuvent s</w:t>
      </w:r>
      <w:r w:rsidR="00E84B0E">
        <w:t>’</w:t>
      </w:r>
      <w:r>
        <w:t>appliquer qu</w:t>
      </w:r>
      <w:r w:rsidR="00E84B0E">
        <w:t>’</w:t>
      </w:r>
      <w:r>
        <w:t>aux instances de sa classe de domaine. Une propriété doit avoir exactement un domaine, bien que la classe de domaine puisse contenir des instances pour lesquelles la propriété n</w:t>
      </w:r>
      <w:r w:rsidR="00E84B0E">
        <w:t>’</w:t>
      </w:r>
      <w:r>
        <w:t>est pas instanciée. La classe de domaine est l</w:t>
      </w:r>
      <w:r w:rsidR="00E84B0E">
        <w:t>’</w:t>
      </w:r>
      <w:r>
        <w:t>équivalent du sujet grammatical d</w:t>
      </w:r>
      <w:r w:rsidR="00E84B0E">
        <w:t>’</w:t>
      </w:r>
      <w:r>
        <w:t>une phrase dont la propriété serait le verbe [n.d.t. dans le contexte d</w:t>
      </w:r>
      <w:r w:rsidR="00E84B0E">
        <w:t>’</w:t>
      </w:r>
      <w:r>
        <w:t>une langue SVO, c.-à-d. une langue comme le français dont les phrases suivent généralement l</w:t>
      </w:r>
      <w:r w:rsidR="00E84B0E">
        <w:t>’</w:t>
      </w:r>
      <w:r>
        <w:t xml:space="preserve">ordre sujet-verbe-objet]. Le choix de la classe sélectionnée pour le domaine et pour la </w:t>
      </w:r>
      <w:hyperlink w:anchor="terminologie-portee">
        <w:r>
          <w:rPr>
            <w:rStyle w:val="Lienhypertexte"/>
            <w:b/>
            <w:bCs/>
          </w:rPr>
          <w:t>portée</w:t>
        </w:r>
      </w:hyperlink>
      <w:r>
        <w:t xml:space="preserve"> est aussi arbitraire que celui d</w:t>
      </w:r>
      <w:r w:rsidR="00E84B0E">
        <w:t>’</w:t>
      </w:r>
      <w:r>
        <w:t xml:space="preserve">une forme grammaticale active ou passive. Les propriétés du </w:t>
      </w:r>
      <w:r w:rsidR="00C8288F">
        <w:t>CIDOC CRM</w:t>
      </w:r>
      <w:r>
        <w:t xml:space="preserve"> sont ainsi nommées de manière à être grammaticalement correctes [n.d.t. en anglais] lors d</w:t>
      </w:r>
      <w:r w:rsidR="00E84B0E">
        <w:t>’</w:t>
      </w:r>
      <w:r>
        <w:t>une lecture depuis le domaine vers la portée [n.d.t. dans le cadre de cette traduction, les propriétés sont grammaticalement correctes, mais toujours accordées au féminin dans le cadre de la phrase où elles sont citées puisqu</w:t>
      </w:r>
      <w:r w:rsidR="00E84B0E">
        <w:t>’</w:t>
      </w:r>
      <w:r>
        <w:t>il est fait référence à la propriété elle-même (terme féminin) plutôt qu</w:t>
      </w:r>
      <w:r w:rsidR="00E84B0E">
        <w:t>’</w:t>
      </w:r>
      <w:r>
        <w:t>à sa dénomination, le sujet grammatical des propriétés est pour sa part masculin]. De plus, les propriétés inverses, dont le nom se trouve normalement entre parenthèses, sont elles aussi nommées de manière à être grammaticalement correctes [n.d.t. en anglais] lors d</w:t>
      </w:r>
      <w:r w:rsidR="00E84B0E">
        <w:t>’</w:t>
      </w:r>
      <w:r>
        <w:t>une lecture depuis la portée vers le domaine.</w:t>
      </w:r>
    </w:p>
    <w:p w14:paraId="4CC39140" w14:textId="77777777" w:rsidR="00065317" w:rsidRDefault="005C7BF7">
      <w:pPr>
        <w:pStyle w:val="Normalcentr"/>
      </w:pPr>
      <w:r>
        <w:rPr>
          <w:b/>
          <w:bCs/>
          <w:i/>
          <w:iCs/>
        </w:rPr>
        <w:lastRenderedPageBreak/>
        <w:t>Note de traduction</w:t>
      </w:r>
    </w:p>
    <w:p w14:paraId="05A8273C" w14:textId="77777777" w:rsidR="00065317" w:rsidRDefault="005C7BF7">
      <w:pPr>
        <w:pStyle w:val="Normalcentr"/>
      </w:pPr>
      <w:r>
        <w:rPr>
          <w:b/>
          <w:bCs/>
          <w:i/>
          <w:iCs/>
        </w:rPr>
        <w:t>Références</w:t>
      </w:r>
    </w:p>
    <w:p w14:paraId="58C29E98" w14:textId="56BA9646" w:rsidR="00065317" w:rsidRDefault="005C7BF7" w:rsidP="00E34F91">
      <w:pPr>
        <w:pStyle w:val="Normalcentr"/>
      </w:pPr>
      <w:r>
        <w:t xml:space="preserve">Wikipédia. « Langue SVO ». Dans </w:t>
      </w:r>
      <w:r>
        <w:rPr>
          <w:i/>
          <w:iCs/>
        </w:rPr>
        <w:t>Wikipédia</w:t>
      </w:r>
      <w:r>
        <w:t xml:space="preserve">. </w:t>
      </w:r>
      <w:r w:rsidRPr="001A5982">
        <w:t>San Francisco, US-CA: Wikipédia, 31</w:t>
      </w:r>
      <w:r w:rsidR="00056DCD" w:rsidRPr="001A5982">
        <w:t> octobre </w:t>
      </w:r>
      <w:r w:rsidRPr="001A5982">
        <w:t>2020.</w:t>
      </w:r>
      <w:hyperlink r:id="rId28">
        <w:r w:rsidRPr="001A5982">
          <w:rPr>
            <w:rStyle w:val="Lienhypertexte"/>
          </w:rPr>
          <w:t xml:space="preserve"> </w:t>
        </w:r>
      </w:hyperlink>
      <w:hyperlink r:id="rId29">
        <w:r>
          <w:rPr>
            <w:rStyle w:val="Lienhypertexte"/>
          </w:rPr>
          <w:t>https://fr.wikipedia.org/w/index.php?title=Langue_SVO&amp;oldid=176099662</w:t>
        </w:r>
      </w:hyperlink>
      <w:r>
        <w:t>.</w:t>
      </w:r>
      <w:bookmarkStart w:id="30" w:name="terminologie-portee"/>
      <w:bookmarkEnd w:id="30"/>
    </w:p>
    <w:p w14:paraId="3D4B02CA" w14:textId="77777777" w:rsidR="00065317" w:rsidRDefault="005C7BF7">
      <w:pPr>
        <w:pStyle w:val="Corpsdetexte"/>
      </w:pPr>
      <w:r>
        <w:rPr>
          <w:b/>
          <w:bCs/>
        </w:rPr>
        <w:t>Portée</w:t>
      </w:r>
    </w:p>
    <w:p w14:paraId="01B6C37F" w14:textId="39DAA08F" w:rsidR="00065317" w:rsidRDefault="005C7BF7">
      <w:pPr>
        <w:pStyle w:val="Corpsdetexte"/>
      </w:pPr>
      <w:r>
        <w:t xml:space="preserve">La portée est la </w:t>
      </w:r>
      <w:hyperlink w:anchor="terminologie-classe">
        <w:r>
          <w:rPr>
            <w:rStyle w:val="Lienhypertexte"/>
            <w:b/>
            <w:bCs/>
          </w:rPr>
          <w:t>classe</w:t>
        </w:r>
      </w:hyperlink>
      <w:r>
        <w:t xml:space="preserve"> qui englobe toutes les valeurs potentielles d</w:t>
      </w:r>
      <w:r w:rsidR="00E84B0E">
        <w:t>’</w:t>
      </w:r>
      <w:r>
        <w:t xml:space="preserve">une </w:t>
      </w:r>
      <w:hyperlink w:anchor="terminologie-propriete">
        <w:r>
          <w:rPr>
            <w:rStyle w:val="Lienhypertexte"/>
            <w:b/>
            <w:bCs/>
          </w:rPr>
          <w:t>propriété</w:t>
        </w:r>
      </w:hyperlink>
      <w:r>
        <w:t xml:space="preserve">, de sorte que les </w:t>
      </w:r>
      <w:hyperlink w:anchor="terminologie-instance">
        <w:r>
          <w:rPr>
            <w:rStyle w:val="Lienhypertexte"/>
            <w:b/>
            <w:bCs/>
          </w:rPr>
          <w:t>instances</w:t>
        </w:r>
      </w:hyperlink>
      <w:r>
        <w:t xml:space="preserve"> d</w:t>
      </w:r>
      <w:r w:rsidR="00E84B0E">
        <w:t>’</w:t>
      </w:r>
      <w:r>
        <w:t>une propriété peuvent se lier uniquement aux instances de sa classe de portée. Une propriété doit avoir exactement une portée, bien que la classe de portée puisse contenir des instances qui ne sont pas des valeurs de la propriété. La classe de portée est l</w:t>
      </w:r>
      <w:r w:rsidR="00E84B0E">
        <w:t>’</w:t>
      </w:r>
      <w:r>
        <w:t>équivalent de l</w:t>
      </w:r>
      <w:r w:rsidR="00E84B0E">
        <w:t>’</w:t>
      </w:r>
      <w:r>
        <w:t>objet grammatical d</w:t>
      </w:r>
      <w:r w:rsidR="00E84B0E">
        <w:t>’</w:t>
      </w:r>
      <w:r>
        <w:t>une phrase dont la propriété serait le verbe [n.d.t. dans le contexte d</w:t>
      </w:r>
      <w:r w:rsidR="00E84B0E">
        <w:t>’</w:t>
      </w:r>
      <w:r>
        <w:t>une langue SVO, c.-à-d. une langue comme le français dont les phrases suivent généralement l</w:t>
      </w:r>
      <w:r w:rsidR="00E84B0E">
        <w:t>’</w:t>
      </w:r>
      <w:r>
        <w:t xml:space="preserve">ordre sujet-verbe-objet]. Le choix de la classe sélectionnée pour le </w:t>
      </w:r>
      <w:hyperlink w:anchor="terminologie-domaine">
        <w:r>
          <w:rPr>
            <w:rStyle w:val="Lienhypertexte"/>
            <w:b/>
            <w:bCs/>
          </w:rPr>
          <w:t>domaine</w:t>
        </w:r>
      </w:hyperlink>
      <w:r>
        <w:t xml:space="preserve"> et pour la portée est aussi arbitraire que celui d</w:t>
      </w:r>
      <w:r w:rsidR="00E84B0E">
        <w:t>’</w:t>
      </w:r>
      <w:r>
        <w:t xml:space="preserve">une forme grammaticale active ou passive. Les propriétés du </w:t>
      </w:r>
      <w:r w:rsidR="00C8288F">
        <w:t>CIDOC CRM</w:t>
      </w:r>
      <w:r>
        <w:t xml:space="preserve"> sont ainsi nommées de manière à être grammaticalement correctes [n.d.t. en anglais] lors d</w:t>
      </w:r>
      <w:r w:rsidR="00E84B0E">
        <w:t>’</w:t>
      </w:r>
      <w:r>
        <w:t>une lecture depuis le domaine vers la portée [n.d.t. dans le cadre de cette traduction, les propriétés sont grammaticalement correctes, mais toujours accordées au féminin dans le cadre de la phrase où elles sont citées, le sujet grammatical des propriétés est pour sa part masculin]. De plus, les propriétés inverses, dont le nom se trouve normalement entre parenthèses, sont elles aussi nommées de manière à être grammaticalement correcte [n.d.t. en anglais] lors d</w:t>
      </w:r>
      <w:r w:rsidR="00E84B0E">
        <w:t>’</w:t>
      </w:r>
      <w:r>
        <w:t>une lecture depuis la portée vers le domaine.</w:t>
      </w:r>
    </w:p>
    <w:p w14:paraId="5B7696E2" w14:textId="77777777" w:rsidR="00065317" w:rsidRDefault="005C7BF7">
      <w:pPr>
        <w:pStyle w:val="Normalcentr"/>
      </w:pPr>
      <w:r>
        <w:rPr>
          <w:b/>
          <w:bCs/>
          <w:i/>
          <w:iCs/>
        </w:rPr>
        <w:t>Note de traduction</w:t>
      </w:r>
    </w:p>
    <w:p w14:paraId="6F873B56" w14:textId="77777777" w:rsidR="00065317" w:rsidRDefault="005C7BF7">
      <w:pPr>
        <w:pStyle w:val="Normalcentr"/>
      </w:pPr>
      <w:r>
        <w:rPr>
          <w:b/>
          <w:bCs/>
          <w:i/>
          <w:iCs/>
        </w:rPr>
        <w:t>Références</w:t>
      </w:r>
    </w:p>
    <w:p w14:paraId="34E01499" w14:textId="2FDE6587" w:rsidR="00065317" w:rsidRDefault="005C7BF7" w:rsidP="00E34F91">
      <w:pPr>
        <w:pStyle w:val="Normalcentr"/>
      </w:pPr>
      <w:r>
        <w:t xml:space="preserve">Wikipédia. « Langue SVO ». Dans </w:t>
      </w:r>
      <w:r>
        <w:rPr>
          <w:i/>
          <w:iCs/>
        </w:rPr>
        <w:t>Wikipédia</w:t>
      </w:r>
      <w:r>
        <w:t xml:space="preserve">. </w:t>
      </w:r>
      <w:r w:rsidRPr="001A5982">
        <w:t>San Francisco, US-CA: Wikipédia, 31</w:t>
      </w:r>
      <w:r w:rsidR="00056DCD" w:rsidRPr="001A5982">
        <w:t> octobre </w:t>
      </w:r>
      <w:r w:rsidRPr="001A5982">
        <w:t>2020.</w:t>
      </w:r>
      <w:hyperlink r:id="rId30">
        <w:r w:rsidRPr="001A5982">
          <w:rPr>
            <w:rStyle w:val="Lienhypertexte"/>
          </w:rPr>
          <w:t xml:space="preserve"> </w:t>
        </w:r>
      </w:hyperlink>
      <w:hyperlink r:id="rId31">
        <w:r>
          <w:rPr>
            <w:rStyle w:val="Lienhypertexte"/>
          </w:rPr>
          <w:t>https://fr.wikipedia.org/w/index.php?title=Langue_SVO&amp;oldid=176099662</w:t>
        </w:r>
      </w:hyperlink>
      <w:r>
        <w:t>.</w:t>
      </w:r>
      <w:bookmarkStart w:id="31" w:name="terminologie-heritage"/>
      <w:bookmarkEnd w:id="31"/>
    </w:p>
    <w:p w14:paraId="1382FC37" w14:textId="77777777" w:rsidR="00065317" w:rsidRDefault="005C7BF7">
      <w:pPr>
        <w:pStyle w:val="Corpsdetexte"/>
      </w:pPr>
      <w:r>
        <w:rPr>
          <w:b/>
          <w:bCs/>
        </w:rPr>
        <w:t>Héritage</w:t>
      </w:r>
    </w:p>
    <w:p w14:paraId="23127A29" w14:textId="7BDCF5CD" w:rsidR="00065317" w:rsidRDefault="005C7BF7">
      <w:pPr>
        <w:pStyle w:val="Corpsdetexte"/>
      </w:pPr>
      <w:r>
        <w:t>L</w:t>
      </w:r>
      <w:r w:rsidR="00E84B0E">
        <w:t>’</w:t>
      </w:r>
      <w:r>
        <w:t xml:space="preserve">héritage des </w:t>
      </w:r>
      <w:hyperlink w:anchor="terminologie-propriete">
        <w:r>
          <w:rPr>
            <w:rStyle w:val="Lienhypertexte"/>
            <w:b/>
            <w:bCs/>
          </w:rPr>
          <w:t>propriétés</w:t>
        </w:r>
      </w:hyperlink>
      <w:r>
        <w:t xml:space="preserve"> de </w:t>
      </w:r>
      <w:hyperlink w:anchor="terminologie-super-classe">
        <w:r>
          <w:rPr>
            <w:rStyle w:val="Lienhypertexte"/>
            <w:b/>
            <w:bCs/>
          </w:rPr>
          <w:t>super-classes</w:t>
        </w:r>
      </w:hyperlink>
      <w:r>
        <w:t xml:space="preserve"> vers leurs </w:t>
      </w:r>
      <w:hyperlink w:anchor="terminologie-sous-classe">
        <w:r>
          <w:rPr>
            <w:rStyle w:val="Lienhypertexte"/>
            <w:b/>
            <w:bCs/>
          </w:rPr>
          <w:t>sous-classes</w:t>
        </w:r>
      </w:hyperlink>
      <w:r>
        <w:t xml:space="preserve"> implique que pour tout élément </w:t>
      </w:r>
      <w:r>
        <w:rPr>
          <w:rStyle w:val="VerbatimChar"/>
        </w:rPr>
        <w:t>x</w:t>
      </w:r>
      <w:r>
        <w:t xml:space="preserve"> étant une </w:t>
      </w:r>
      <w:hyperlink w:anchor="terminologie-instance">
        <w:r>
          <w:rPr>
            <w:rStyle w:val="Lienhypertexte"/>
            <w:b/>
            <w:bCs/>
          </w:rPr>
          <w:t>instance</w:t>
        </w:r>
      </w:hyperlink>
      <w:r>
        <w:t xml:space="preserve"> d</w:t>
      </w:r>
      <w:r w:rsidR="00E84B0E">
        <w:t>’</w:t>
      </w:r>
      <w:r>
        <w:t xml:space="preserve">une </w:t>
      </w:r>
      <w:hyperlink w:anchor="terminologie-classe">
        <w:r>
          <w:rPr>
            <w:rStyle w:val="Lienhypertexte"/>
            <w:b/>
            <w:bCs/>
          </w:rPr>
          <w:t>classe</w:t>
        </w:r>
      </w:hyperlink>
      <w:r>
        <w:t xml:space="preserve"> </w:t>
      </w:r>
      <w:r>
        <w:rPr>
          <w:rStyle w:val="VerbatimChar"/>
        </w:rPr>
        <w:t>A</w:t>
      </w:r>
      <w:r>
        <w:t xml:space="preserve"> :</w:t>
      </w:r>
    </w:p>
    <w:p w14:paraId="16E548DE" w14:textId="35DD8AFF" w:rsidR="00065317" w:rsidRDefault="005C7BF7">
      <w:pPr>
        <w:numPr>
          <w:ilvl w:val="0"/>
          <w:numId w:val="10"/>
        </w:numPr>
      </w:pPr>
      <w:r>
        <w:t xml:space="preserve">toutes les propriétés qui doivent être appliquées à des instances relevant de super-classes de </w:t>
      </w:r>
      <w:r>
        <w:rPr>
          <w:rStyle w:val="VerbatimChar"/>
        </w:rPr>
        <w:t>A</w:t>
      </w:r>
      <w:r>
        <w:t xml:space="preserve"> doivent aussi s</w:t>
      </w:r>
      <w:r w:rsidR="00E84B0E">
        <w:t>’</w:t>
      </w:r>
      <w:r>
        <w:t>appliquer à l</w:t>
      </w:r>
      <w:r w:rsidR="00E84B0E">
        <w:t>’</w:t>
      </w:r>
      <w:r>
        <w:t xml:space="preserve">élément </w:t>
      </w:r>
      <w:r>
        <w:rPr>
          <w:rStyle w:val="VerbatimChar"/>
        </w:rPr>
        <w:t>x</w:t>
      </w:r>
      <w:r w:rsidR="007A212E">
        <w:t>;</w:t>
      </w:r>
    </w:p>
    <w:p w14:paraId="75293B8C" w14:textId="2F8AAD2F" w:rsidR="00065317" w:rsidRDefault="007A212E">
      <w:pPr>
        <w:numPr>
          <w:ilvl w:val="0"/>
          <w:numId w:val="10"/>
        </w:numPr>
      </w:pPr>
      <w:r>
        <w:t xml:space="preserve">et que </w:t>
      </w:r>
      <w:r w:rsidR="005C7BF7">
        <w:t xml:space="preserve">toutes les propriétés optionnelles qui peuvent être appliquées à des instances relevant de super-classes de </w:t>
      </w:r>
      <w:r w:rsidR="005C7BF7">
        <w:rPr>
          <w:rStyle w:val="VerbatimChar"/>
        </w:rPr>
        <w:t>A</w:t>
      </w:r>
      <w:r w:rsidR="005C7BF7">
        <w:t xml:space="preserve"> peuvent aussi s</w:t>
      </w:r>
      <w:r w:rsidR="00E84B0E">
        <w:t>’</w:t>
      </w:r>
      <w:r w:rsidR="005C7BF7">
        <w:t>appliquer à l</w:t>
      </w:r>
      <w:r w:rsidR="00E84B0E">
        <w:t>’</w:t>
      </w:r>
      <w:r w:rsidR="005C7BF7">
        <w:t xml:space="preserve">élément </w:t>
      </w:r>
      <w:r w:rsidR="005C7BF7">
        <w:rPr>
          <w:rStyle w:val="VerbatimChar"/>
        </w:rPr>
        <w:t>x</w:t>
      </w:r>
      <w:r w:rsidR="005C7BF7">
        <w:t>.</w:t>
      </w:r>
    </w:p>
    <w:p w14:paraId="552DBA6B" w14:textId="29927D15" w:rsidR="003D3C4F" w:rsidRDefault="005C7BF7" w:rsidP="00E34F91">
      <w:pPr>
        <w:pStyle w:val="FirstParagraph"/>
      </w:pPr>
      <w:r>
        <w:t xml:space="preserve">[n.d.t. voir </w:t>
      </w:r>
      <w:hyperlink w:anchor="de-lheritage-et-de-la-transitivite">
        <w:r>
          <w:rPr>
            <w:rStyle w:val="Lienhypertexte"/>
          </w:rPr>
          <w:t>De l</w:t>
        </w:r>
        <w:r w:rsidR="00E84B0E">
          <w:rPr>
            <w:rStyle w:val="Lienhypertexte"/>
          </w:rPr>
          <w:t>’</w:t>
        </w:r>
        <w:r>
          <w:rPr>
            <w:rStyle w:val="Lienhypertexte"/>
          </w:rPr>
          <w:t>héritage et de la transitivité</w:t>
        </w:r>
      </w:hyperlink>
      <w:r>
        <w:t xml:space="preserve"> dans la section </w:t>
      </w:r>
      <w:hyperlink w:anchor="principes-de-modelisation">
        <w:r>
          <w:rPr>
            <w:rStyle w:val="Lienhypertexte"/>
          </w:rPr>
          <w:t>Principes de modélisation</w:t>
        </w:r>
      </w:hyperlink>
      <w:r>
        <w:t>].</w:t>
      </w:r>
    </w:p>
    <w:p w14:paraId="7061C9FB" w14:textId="70B1198A" w:rsidR="00065317" w:rsidRDefault="005C7BF7">
      <w:pPr>
        <w:pStyle w:val="Normalcentr"/>
      </w:pPr>
      <w:r>
        <w:rPr>
          <w:b/>
          <w:bCs/>
          <w:i/>
          <w:iCs/>
        </w:rPr>
        <w:t>Note de traduction</w:t>
      </w:r>
    </w:p>
    <w:p w14:paraId="7FFF9A33" w14:textId="6EA0F7A7" w:rsidR="00065317" w:rsidRDefault="005C7BF7" w:rsidP="00E34F91">
      <w:pPr>
        <w:pStyle w:val="Normalcentr"/>
      </w:pPr>
      <w:r>
        <w:rPr>
          <w:b/>
          <w:bCs/>
          <w:i/>
          <w:iCs/>
        </w:rPr>
        <w:t>Références</w:t>
      </w:r>
      <w:bookmarkStart w:id="32" w:name="terminologie-heritage-strict"/>
      <w:bookmarkEnd w:id="32"/>
    </w:p>
    <w:p w14:paraId="0BCB978F" w14:textId="77777777" w:rsidR="00065317" w:rsidRDefault="005C7BF7">
      <w:pPr>
        <w:pStyle w:val="Corpsdetexte"/>
      </w:pPr>
      <w:r>
        <w:rPr>
          <w:b/>
          <w:bCs/>
        </w:rPr>
        <w:t>Héritage strict</w:t>
      </w:r>
    </w:p>
    <w:p w14:paraId="1C81F456" w14:textId="2C8D18AA" w:rsidR="00784AE7" w:rsidRDefault="005C7BF7">
      <w:pPr>
        <w:pStyle w:val="Corpsdetexte"/>
      </w:pPr>
      <w:r>
        <w:t>L</w:t>
      </w:r>
      <w:r w:rsidR="00E84B0E">
        <w:t>’</w:t>
      </w:r>
      <w:hyperlink w:anchor="terminologie-heritage">
        <w:r>
          <w:rPr>
            <w:rStyle w:val="Lienhypertexte"/>
            <w:b/>
            <w:bCs/>
          </w:rPr>
          <w:t>héritage</w:t>
        </w:r>
      </w:hyperlink>
      <w:r>
        <w:t xml:space="preserve"> strict désigne le fait qu</w:t>
      </w:r>
      <w:r w:rsidR="00E84B0E">
        <w:t>’</w:t>
      </w:r>
      <w:r>
        <w:t>il n</w:t>
      </w:r>
      <w:r w:rsidR="00E84B0E">
        <w:t>’</w:t>
      </w:r>
      <w:r>
        <w:t>y a pas d</w:t>
      </w:r>
      <w:r w:rsidR="00E84B0E">
        <w:t>’</w:t>
      </w:r>
      <w:r>
        <w:t>exception à l</w:t>
      </w:r>
      <w:r w:rsidR="00E84B0E">
        <w:t>’</w:t>
      </w:r>
      <w:r>
        <w:t xml:space="preserve">héritage de </w:t>
      </w:r>
      <w:hyperlink w:anchor="terminologie-propriete">
        <w:r>
          <w:rPr>
            <w:rStyle w:val="Lienhypertexte"/>
          </w:rPr>
          <w:t>propriétés</w:t>
        </w:r>
      </w:hyperlink>
      <w:r>
        <w:t xml:space="preserve"> depuis des </w:t>
      </w:r>
      <w:hyperlink w:anchor="terminologie-super-classe">
        <w:r>
          <w:rPr>
            <w:rStyle w:val="Lienhypertexte"/>
          </w:rPr>
          <w:t>super-classes</w:t>
        </w:r>
      </w:hyperlink>
      <w:r>
        <w:t xml:space="preserve"> vers leurs </w:t>
      </w:r>
      <w:hyperlink w:anchor="terminologie-sous-classe">
        <w:r>
          <w:rPr>
            <w:rStyle w:val="Lienhypertexte"/>
          </w:rPr>
          <w:t>sous-classes</w:t>
        </w:r>
      </w:hyperlink>
      <w:r>
        <w:t>. Par exemple, un système [n.d.t. d</w:t>
      </w:r>
      <w:r w:rsidR="00E84B0E">
        <w:t>’</w:t>
      </w:r>
      <w:r>
        <w:t>information] peut déclarer que les éléphants sont gris et considérer qu</w:t>
      </w:r>
      <w:r w:rsidR="00E84B0E">
        <w:t>’</w:t>
      </w:r>
      <w:r>
        <w:t>un éléphant blanc est une exception [n.d.t. à la classe éléphant]. Des règles d</w:t>
      </w:r>
      <w:r w:rsidR="00E84B0E">
        <w:t>’</w:t>
      </w:r>
      <w:r>
        <w:t>héritage strict imposeraient que si tous les éléphants sont gris, un éléphant blanc ne peut être un éléphant. Évidemment, tous les éléphants ne sont pas gris et le fait d</w:t>
      </w:r>
      <w:r w:rsidR="00E84B0E">
        <w:t>’</w:t>
      </w:r>
      <w:r>
        <w:t>être gris ne fait pas partie de l</w:t>
      </w:r>
      <w:r w:rsidR="00E84B0E">
        <w:t>’</w:t>
      </w:r>
      <w:hyperlink w:anchor="terminologie-intension">
        <w:r>
          <w:rPr>
            <w:rStyle w:val="Lienhypertexte"/>
          </w:rPr>
          <w:t>intension</w:t>
        </w:r>
      </w:hyperlink>
      <w:r>
        <w:t xml:space="preserve"> du concept « éléphant » (il s</w:t>
      </w:r>
      <w:r w:rsidR="00E84B0E">
        <w:t>’</w:t>
      </w:r>
      <w:r>
        <w:t>agit plutôt d</w:t>
      </w:r>
      <w:r w:rsidR="00E84B0E">
        <w:t>’</w:t>
      </w:r>
      <w:r>
        <w:t xml:space="preserve">une propriété optionnelle). Le </w:t>
      </w:r>
      <w:r w:rsidR="00C8288F">
        <w:t>CIDOC CRM</w:t>
      </w:r>
      <w:r>
        <w:t xml:space="preserve"> applique des règles d</w:t>
      </w:r>
      <w:r w:rsidR="00E84B0E">
        <w:t>’</w:t>
      </w:r>
      <w:r>
        <w:t xml:space="preserve">héritage strict </w:t>
      </w:r>
      <w:r w:rsidR="00806228">
        <w:t>aux</w:t>
      </w:r>
      <w:r>
        <w:t xml:space="preserve"> fins de normalisation.</w:t>
      </w:r>
    </w:p>
    <w:p w14:paraId="646FB55A" w14:textId="30C5D919" w:rsidR="00065317" w:rsidRDefault="00784AE7" w:rsidP="00784AE7">
      <w:pPr>
        <w:spacing w:after="0"/>
      </w:pPr>
      <w:r>
        <w:br w:type="page"/>
      </w:r>
    </w:p>
    <w:p w14:paraId="4087413D" w14:textId="77777777" w:rsidR="00065317" w:rsidRDefault="005C7BF7">
      <w:pPr>
        <w:pStyle w:val="Normalcentr"/>
      </w:pPr>
      <w:r>
        <w:rPr>
          <w:b/>
          <w:bCs/>
          <w:i/>
          <w:iCs/>
        </w:rPr>
        <w:lastRenderedPageBreak/>
        <w:t>Note de traduction</w:t>
      </w:r>
    </w:p>
    <w:p w14:paraId="1FDE8B44" w14:textId="74759B74" w:rsidR="00065317" w:rsidRDefault="005C7BF7">
      <w:pPr>
        <w:pStyle w:val="Normalcentr"/>
      </w:pPr>
      <w:r>
        <w:t>Le terme « normalization » aurait aussi pu être traduit par « standardisation”, mais puisqu</w:t>
      </w:r>
      <w:r w:rsidR="00E84B0E">
        <w:t>’</w:t>
      </w:r>
      <w:r>
        <w:t>il s</w:t>
      </w:r>
      <w:r w:rsidR="00E84B0E">
        <w:t>’</w:t>
      </w:r>
      <w:r>
        <w:t>agit du principe et non pas de l</w:t>
      </w:r>
      <w:r w:rsidR="00E84B0E">
        <w:t>’</w:t>
      </w:r>
      <w:r>
        <w:t>application d</w:t>
      </w:r>
      <w:r w:rsidR="00E84B0E">
        <w:t>’</w:t>
      </w:r>
      <w:r>
        <w:t>un standard établi, le terme « normalisation » a été utilisé.</w:t>
      </w:r>
    </w:p>
    <w:p w14:paraId="37917BD5" w14:textId="77777777" w:rsidR="00065317" w:rsidRDefault="005C7BF7">
      <w:pPr>
        <w:pStyle w:val="Normalcentr"/>
      </w:pPr>
      <w:r>
        <w:rPr>
          <w:b/>
          <w:bCs/>
          <w:i/>
          <w:iCs/>
        </w:rPr>
        <w:t>Références</w:t>
      </w:r>
    </w:p>
    <w:p w14:paraId="6B047804" w14:textId="7FD506B8" w:rsidR="00065317" w:rsidRDefault="005C7BF7" w:rsidP="00E34F91">
      <w:pPr>
        <w:pStyle w:val="Normalcentr"/>
      </w:pPr>
      <w:r>
        <w:t xml:space="preserve">Termium. « normalization ». Dans </w:t>
      </w:r>
      <w:r>
        <w:rPr>
          <w:i/>
          <w:iCs/>
        </w:rPr>
        <w:t>Termium Plus</w:t>
      </w:r>
      <w:r>
        <w:t>. Ottawa, CA-ON: Gouvernement du Canada, 8</w:t>
      </w:r>
      <w:r w:rsidR="00056DCD">
        <w:t> octobre </w:t>
      </w:r>
      <w:r>
        <w:t>2009.</w:t>
      </w:r>
      <w:hyperlink r:id="rId32" w:anchor="resultrecs">
        <w:r>
          <w:rPr>
            <w:rStyle w:val="Lienhypertexte"/>
          </w:rPr>
          <w:t xml:space="preserve"> </w:t>
        </w:r>
      </w:hyperlink>
      <w:hyperlink r:id="rId33" w:anchor="resultrecs">
        <w:r>
          <w:rPr>
            <w:rStyle w:val="Lienhypertexte"/>
          </w:rPr>
          <w:t>https://www.btb.termiumplus.gc.ca/tpv2alpha/alpha-fra.html?lang=fra&amp;i=1&amp;srchtxt=normalization&amp;index=alt&amp;codom2nd_wet=1#resultrecs</w:t>
        </w:r>
      </w:hyperlink>
      <w:r>
        <w:t>.</w:t>
      </w:r>
      <w:bookmarkStart w:id="33" w:name="terminologie-heritage-multiple"/>
      <w:bookmarkEnd w:id="33"/>
    </w:p>
    <w:p w14:paraId="257D2E36" w14:textId="77777777" w:rsidR="00065317" w:rsidRDefault="005C7BF7">
      <w:pPr>
        <w:pStyle w:val="Corpsdetexte"/>
      </w:pPr>
      <w:r>
        <w:rPr>
          <w:b/>
          <w:bCs/>
        </w:rPr>
        <w:t>Héritage multiple</w:t>
      </w:r>
    </w:p>
    <w:p w14:paraId="4E6291BA" w14:textId="79E4836B" w:rsidR="00065317" w:rsidRDefault="005C7BF7">
      <w:pPr>
        <w:pStyle w:val="Corpsdetexte"/>
      </w:pPr>
      <w:r>
        <w:t>L</w:t>
      </w:r>
      <w:r w:rsidR="00E84B0E">
        <w:t>’</w:t>
      </w:r>
      <w:hyperlink w:anchor="terminologie-heritage">
        <w:r>
          <w:rPr>
            <w:rStyle w:val="Lienhypertexte"/>
            <w:b/>
            <w:bCs/>
          </w:rPr>
          <w:t>héritage</w:t>
        </w:r>
      </w:hyperlink>
      <w:r>
        <w:t xml:space="preserve"> multiple désigne le fait qu</w:t>
      </w:r>
      <w:r w:rsidR="00E84B0E">
        <w:t>’</w:t>
      </w:r>
      <w:r>
        <w:t xml:space="preserve">une </w:t>
      </w:r>
      <w:hyperlink w:anchor="terminologie-instance">
        <w:r>
          <w:rPr>
            <w:rStyle w:val="Lienhypertexte"/>
          </w:rPr>
          <w:t>instance</w:t>
        </w:r>
      </w:hyperlink>
      <w:r>
        <w:t xml:space="preserve"> d</w:t>
      </w:r>
      <w:r w:rsidR="00E84B0E">
        <w:t>’</w:t>
      </w:r>
      <w:r>
        <w:t xml:space="preserve">une </w:t>
      </w:r>
      <w:hyperlink w:anchor="terminologie-classe">
        <w:r>
          <w:rPr>
            <w:rStyle w:val="Lienhypertexte"/>
            <w:b/>
            <w:bCs/>
          </w:rPr>
          <w:t>classe</w:t>
        </w:r>
      </w:hyperlink>
      <w:r>
        <w:t xml:space="preserve"> </w:t>
      </w:r>
      <w:r>
        <w:rPr>
          <w:rStyle w:val="VerbatimChar"/>
        </w:rPr>
        <w:t>A</w:t>
      </w:r>
      <w:r>
        <w:t xml:space="preserve"> puisse relever directement de plus d</w:t>
      </w:r>
      <w:r w:rsidR="00E84B0E">
        <w:t>’</w:t>
      </w:r>
      <w:r>
        <w:t xml:space="preserve">une </w:t>
      </w:r>
      <w:hyperlink w:anchor="terminologie-super-classe">
        <w:r>
          <w:rPr>
            <w:rStyle w:val="Lienhypertexte"/>
            <w:b/>
            <w:bCs/>
          </w:rPr>
          <w:t>super-classe</w:t>
        </w:r>
      </w:hyperlink>
      <w:hyperlink w:anchor="terminologie-super-classe">
        <w:r>
          <w:rPr>
            <w:rStyle w:val="Lienhypertexte"/>
          </w:rPr>
          <w:t>.</w:t>
        </w:r>
      </w:hyperlink>
      <w:r>
        <w:t xml:space="preserve"> L</w:t>
      </w:r>
      <w:r w:rsidR="00E84B0E">
        <w:t>’</w:t>
      </w:r>
      <w:hyperlink w:anchor="terminologie-extension">
        <w:r>
          <w:rPr>
            <w:rStyle w:val="Lienhypertexte"/>
            <w:b/>
            <w:bCs/>
          </w:rPr>
          <w:t>extension</w:t>
        </w:r>
      </w:hyperlink>
      <w:r>
        <w:t xml:space="preserve"> d</w:t>
      </w:r>
      <w:r w:rsidR="00E84B0E">
        <w:t>’</w:t>
      </w:r>
      <w:r>
        <w:t>une classe relevant directement de plusieurs super-classes est un sous-ensemble de l</w:t>
      </w:r>
      <w:r w:rsidR="00E84B0E">
        <w:t>’</w:t>
      </w:r>
      <w:r>
        <w:t>intersection de toutes les extensions de ses super-classes. L</w:t>
      </w:r>
      <w:r w:rsidR="00E84B0E">
        <w:t>’</w:t>
      </w:r>
      <w:hyperlink w:anchor="terminologie-intension">
        <w:r>
          <w:rPr>
            <w:rStyle w:val="Lienhypertexte"/>
            <w:b/>
            <w:bCs/>
          </w:rPr>
          <w:t>intension</w:t>
        </w:r>
      </w:hyperlink>
      <w:r>
        <w:t xml:space="preserve"> d</w:t>
      </w:r>
      <w:r w:rsidR="00E84B0E">
        <w:t>’</w:t>
      </w:r>
      <w:r>
        <w:t>une classe relevant directement de plusieurs super-classes étend les intensions de toutes ces super-classes (c.-à-d. que les traits [</w:t>
      </w:r>
      <w:r w:rsidR="00E34F91">
        <w:t xml:space="preserve">n.d.t. </w:t>
      </w:r>
      <w:r>
        <w:t>de cette classe tels qu</w:t>
      </w:r>
      <w:r w:rsidR="00E84B0E">
        <w:t>’</w:t>
      </w:r>
      <w:r>
        <w:t xml:space="preserve">ils sont définis par sa </w:t>
      </w:r>
      <w:hyperlink w:anchor="terminologie-note-dapplication">
        <w:r>
          <w:rPr>
            <w:rStyle w:val="Lienhypertexte"/>
          </w:rPr>
          <w:t>note d</w:t>
        </w:r>
        <w:r w:rsidR="00E84B0E">
          <w:rPr>
            <w:rStyle w:val="Lienhypertexte"/>
          </w:rPr>
          <w:t>’</w:t>
        </w:r>
        <w:r>
          <w:rPr>
            <w:rStyle w:val="Lienhypertexte"/>
          </w:rPr>
          <w:t>application</w:t>
        </w:r>
      </w:hyperlink>
      <w:r>
        <w:t>] sont plus restrictifs que ceux de n</w:t>
      </w:r>
      <w:r w:rsidR="00E84B0E">
        <w:t>’</w:t>
      </w:r>
      <w:r>
        <w:t>importe laquelle de ses super-classes). La « hiérarchie des classes » résultant d</w:t>
      </w:r>
      <w:r w:rsidR="00E84B0E">
        <w:t>’</w:t>
      </w:r>
      <w:r>
        <w:t>un héritage multiple prend la forme d</w:t>
      </w:r>
      <w:r w:rsidR="00E84B0E">
        <w:t>’</w:t>
      </w:r>
      <w:r>
        <w:t>un graphe orienté et non pas d</w:t>
      </w:r>
      <w:r w:rsidR="00E84B0E">
        <w:t>’</w:t>
      </w:r>
      <w:r>
        <w:t>une arborescence. Si la hiérarchie en question est représentée sous la forme d</w:t>
      </w:r>
      <w:r w:rsidR="00E84B0E">
        <w:t>’</w:t>
      </w:r>
      <w:r>
        <w:t>une liste comportant des retraits, il y aura nécessairement de multiples occurrences d</w:t>
      </w:r>
      <w:r w:rsidR="00E84B0E">
        <w:t>’</w:t>
      </w:r>
      <w:r>
        <w:t xml:space="preserve">une même classe à différents endroits de la liste. Par exemple, </w:t>
      </w:r>
      <w:r>
        <w:rPr>
          <w:rStyle w:val="VerbatimChar"/>
        </w:rPr>
        <w:t>E21_Personne</w:t>
      </w:r>
      <w:r>
        <w:t xml:space="preserve"> est à la fois </w:t>
      </w:r>
      <w:r>
        <w:rPr>
          <w:rStyle w:val="VerbatimChar"/>
        </w:rPr>
        <w:t>E39_Actant</w:t>
      </w:r>
      <w:r>
        <w:t xml:space="preserve"> et </w:t>
      </w:r>
      <w:r>
        <w:rPr>
          <w:rStyle w:val="VerbatimChar"/>
        </w:rPr>
        <w:t>E20_Objet_biologique</w:t>
      </w:r>
      <w:r>
        <w:t>.</w:t>
      </w:r>
    </w:p>
    <w:p w14:paraId="367D6AAE" w14:textId="77777777" w:rsidR="00065317" w:rsidRDefault="005C7BF7">
      <w:pPr>
        <w:pStyle w:val="Normalcentr"/>
      </w:pPr>
      <w:r>
        <w:rPr>
          <w:b/>
          <w:bCs/>
          <w:i/>
          <w:iCs/>
        </w:rPr>
        <w:t>Note de traduction</w:t>
      </w:r>
    </w:p>
    <w:p w14:paraId="04727473" w14:textId="77777777" w:rsidR="00065317" w:rsidRDefault="005C7BF7">
      <w:pPr>
        <w:pStyle w:val="Normalcentr"/>
      </w:pPr>
      <w:r>
        <w:rPr>
          <w:b/>
          <w:bCs/>
          <w:i/>
          <w:iCs/>
        </w:rPr>
        <w:t>Références</w:t>
      </w:r>
    </w:p>
    <w:p w14:paraId="6F2B1F35" w14:textId="1BE656B1" w:rsidR="00065317" w:rsidRDefault="005C7BF7" w:rsidP="00E34F91">
      <w:pPr>
        <w:pStyle w:val="Normalcentr"/>
      </w:pPr>
      <w:r>
        <w:t xml:space="preserve">Termium. « directed graph ». Dans </w:t>
      </w:r>
      <w:r>
        <w:rPr>
          <w:i/>
          <w:iCs/>
        </w:rPr>
        <w:t>Termium Plus</w:t>
      </w:r>
      <w:r>
        <w:t>. Ottawa, CA-ON: Gouvernement du Canada, 8</w:t>
      </w:r>
      <w:r w:rsidR="00056DCD">
        <w:t> octobre </w:t>
      </w:r>
      <w:r>
        <w:t>2009.</w:t>
      </w:r>
      <w:hyperlink r:id="rId34" w:anchor="resultrecs">
        <w:r>
          <w:rPr>
            <w:rStyle w:val="Lienhypertexte"/>
          </w:rPr>
          <w:t xml:space="preserve"> </w:t>
        </w:r>
      </w:hyperlink>
      <w:hyperlink r:id="rId35" w:anchor="resultrecs">
        <w:r>
          <w:rPr>
            <w:rStyle w:val="Lienhypertexte"/>
          </w:rPr>
          <w:t>https://www.btb.termiumplus.gc.ca/tpv2alpha/alpha-fra.html?lang=fra&amp;i=1&amp;srchtxt=directed+graph&amp;index=alt&amp;codom2nd_wet=1#resultrecs</w:t>
        </w:r>
      </w:hyperlink>
      <w:r>
        <w:t>.</w:t>
      </w:r>
      <w:bookmarkStart w:id="34" w:name="terminologie-instanciation-multiple"/>
      <w:bookmarkEnd w:id="34"/>
    </w:p>
    <w:p w14:paraId="64591D74" w14:textId="77777777" w:rsidR="00065317" w:rsidRDefault="005C7BF7">
      <w:pPr>
        <w:pStyle w:val="Corpsdetexte"/>
      </w:pPr>
      <w:r>
        <w:rPr>
          <w:b/>
          <w:bCs/>
        </w:rPr>
        <w:t>Instanciation multiple</w:t>
      </w:r>
    </w:p>
    <w:p w14:paraId="49CBC5E1" w14:textId="13DCA8F5" w:rsidR="00065317" w:rsidRDefault="005C7BF7">
      <w:pPr>
        <w:pStyle w:val="Corpsdetexte"/>
      </w:pPr>
      <w:r>
        <w:t>L</w:t>
      </w:r>
      <w:r w:rsidR="00E84B0E">
        <w:t>’</w:t>
      </w:r>
      <w:r>
        <w:rPr>
          <w:b/>
          <w:bCs/>
        </w:rPr>
        <w:t>instanciation</w:t>
      </w:r>
      <w:r>
        <w:t xml:space="preserve"> multiple désigne le fait qu</w:t>
      </w:r>
      <w:r w:rsidR="00E84B0E">
        <w:t>’</w:t>
      </w:r>
      <w:r>
        <w:t xml:space="preserve">une </w:t>
      </w:r>
      <w:hyperlink w:anchor="terminologie-instance">
        <w:r>
          <w:rPr>
            <w:rStyle w:val="Lienhypertexte"/>
          </w:rPr>
          <w:t>instance</w:t>
        </w:r>
      </w:hyperlink>
      <w:r>
        <w:t xml:space="preserve"> d</w:t>
      </w:r>
      <w:r w:rsidR="00E84B0E">
        <w:t>’</w:t>
      </w:r>
      <w:r>
        <w:t xml:space="preserve">une </w:t>
      </w:r>
      <w:hyperlink w:anchor="terminologie-classe">
        <w:r>
          <w:rPr>
            <w:rStyle w:val="Lienhypertexte"/>
          </w:rPr>
          <w:t>classe</w:t>
        </w:r>
      </w:hyperlink>
      <w:r>
        <w:t xml:space="preserve"> </w:t>
      </w:r>
      <w:r>
        <w:rPr>
          <w:rStyle w:val="VerbatimChar"/>
        </w:rPr>
        <w:t>A</w:t>
      </w:r>
      <w:r>
        <w:t xml:space="preserve"> soit aussi et simultanément une instance de l</w:t>
      </w:r>
      <w:r w:rsidR="00E84B0E">
        <w:t>’</w:t>
      </w:r>
      <w:r>
        <w:t xml:space="preserve">une ou plusieurs autres classes </w:t>
      </w:r>
      <w:r>
        <w:rPr>
          <w:rStyle w:val="VerbatimChar"/>
        </w:rPr>
        <w:t>B1...n</w:t>
      </w:r>
      <w:r>
        <w:t xml:space="preserve">. Les </w:t>
      </w:r>
      <w:hyperlink w:anchor="terminologie-propriete">
        <w:r>
          <w:rPr>
            <w:rStyle w:val="Lienhypertexte"/>
          </w:rPr>
          <w:t>propriétés</w:t>
        </w:r>
      </w:hyperlink>
      <w:r>
        <w:t xml:space="preserve"> de toutes ces classes deviennent alors utilisables dans la description de cette instance. Par exemple, certaines destructions (</w:t>
      </w:r>
      <w:r>
        <w:rPr>
          <w:rStyle w:val="VerbatimChar"/>
        </w:rPr>
        <w:t>E6_Destruction</w:t>
      </w:r>
      <w:r>
        <w:t>) sont aussi des activités (</w:t>
      </w:r>
      <w:r>
        <w:rPr>
          <w:rStyle w:val="VerbatimChar"/>
        </w:rPr>
        <w:t>E7_Activité</w:t>
      </w:r>
      <w:r>
        <w:t>) comme c</w:t>
      </w:r>
      <w:r w:rsidR="00E84B0E">
        <w:t>’</w:t>
      </w:r>
      <w:r>
        <w:t>est le cas de l</w:t>
      </w:r>
      <w:r w:rsidR="00E84B0E">
        <w:t>’</w:t>
      </w:r>
      <w:r>
        <w:t>acte d</w:t>
      </w:r>
      <w:r w:rsidR="00E84B0E">
        <w:t>’</w:t>
      </w:r>
      <w:r>
        <w:t>Érostrate [</w:t>
      </w:r>
      <w:r w:rsidR="00E34F91">
        <w:t>n.d.t</w:t>
      </w:r>
      <w:r w:rsidR="009E315A">
        <w:t>.</w:t>
      </w:r>
      <w:r w:rsidR="00724F8E">
        <w:t xml:space="preserve"> </w:t>
      </w:r>
      <w:r>
        <w:t>qui a incendié le temple d</w:t>
      </w:r>
      <w:r w:rsidR="00E84B0E">
        <w:t>’</w:t>
      </w:r>
      <w:r>
        <w:t>Artémis à Éphèse], mais ce ne sont pas toutes les destructions (</w:t>
      </w:r>
      <w:r>
        <w:rPr>
          <w:rStyle w:val="VerbatimChar"/>
        </w:rPr>
        <w:t>E6_Destruction</w:t>
      </w:r>
      <w:r>
        <w:t>) qui sont des activités (</w:t>
      </w:r>
      <w:r>
        <w:rPr>
          <w:rStyle w:val="VerbatimChar"/>
        </w:rPr>
        <w:t>E7_Activité</w:t>
      </w:r>
      <w:r>
        <w:t>). L</w:t>
      </w:r>
      <w:r w:rsidR="00E84B0E">
        <w:t>’</w:t>
      </w:r>
      <w:hyperlink w:anchor="terminologie-heritage-multiple">
        <w:r>
          <w:rPr>
            <w:rStyle w:val="Lienhypertexte"/>
          </w:rPr>
          <w:t>héritage multiple</w:t>
        </w:r>
      </w:hyperlink>
      <w:r>
        <w:t>, quant à lui, désigne le fait que toutes les instances d</w:t>
      </w:r>
      <w:r w:rsidR="00E84B0E">
        <w:t>’</w:t>
      </w:r>
      <w:r>
        <w:t xml:space="preserve">une classe </w:t>
      </w:r>
      <w:r>
        <w:rPr>
          <w:rStyle w:val="VerbatimChar"/>
        </w:rPr>
        <w:t>A</w:t>
      </w:r>
      <w:r>
        <w:t xml:space="preserve"> sont implicitement des instances de toutes les </w:t>
      </w:r>
      <w:hyperlink w:anchor="terminologie-super-classe">
        <w:r>
          <w:rPr>
            <w:rStyle w:val="Lienhypertexte"/>
          </w:rPr>
          <w:t>super-classes</w:t>
        </w:r>
      </w:hyperlink>
      <w:r>
        <w:t xml:space="preserve"> de </w:t>
      </w:r>
      <w:r>
        <w:rPr>
          <w:rStyle w:val="VerbatimChar"/>
        </w:rPr>
        <w:t>A</w:t>
      </w:r>
      <w:r>
        <w:t xml:space="preserve"> (du fait de la définition de cette classe) alors que la combinaison des classes utilisée lors d</w:t>
      </w:r>
      <w:r w:rsidR="00E84B0E">
        <w:t>’</w:t>
      </w:r>
      <w:r>
        <w:t>une instanciation multiple est caractéristique des instances mobilisées seulement. L</w:t>
      </w:r>
      <w:r w:rsidR="00E84B0E">
        <w:t>’</w:t>
      </w:r>
      <w:r>
        <w:t xml:space="preserve">instanciation multiple ne peut mobiliser une combinaison de classes </w:t>
      </w:r>
      <w:hyperlink w:anchor="terminologie-disjointe">
        <w:r>
          <w:rPr>
            <w:rStyle w:val="Lienhypertexte"/>
          </w:rPr>
          <w:t>disjointes</w:t>
        </w:r>
      </w:hyperlink>
      <w:r>
        <w:t>.</w:t>
      </w:r>
    </w:p>
    <w:p w14:paraId="2973214E" w14:textId="77777777" w:rsidR="00065317" w:rsidRDefault="005C7BF7">
      <w:pPr>
        <w:pStyle w:val="Normalcentr"/>
      </w:pPr>
      <w:r>
        <w:rPr>
          <w:b/>
          <w:bCs/>
          <w:i/>
          <w:iCs/>
        </w:rPr>
        <w:t>Note de traduction</w:t>
      </w:r>
    </w:p>
    <w:p w14:paraId="505B350B" w14:textId="7732C33B" w:rsidR="00065317" w:rsidRDefault="005C7BF7" w:rsidP="009E315A">
      <w:pPr>
        <w:pStyle w:val="Normalcentr"/>
      </w:pPr>
      <w:r>
        <w:rPr>
          <w:b/>
          <w:bCs/>
          <w:i/>
          <w:iCs/>
        </w:rPr>
        <w:t>Références</w:t>
      </w:r>
    </w:p>
    <w:p w14:paraId="560EC841" w14:textId="77777777" w:rsidR="00065317" w:rsidRDefault="005C7BF7">
      <w:pPr>
        <w:pStyle w:val="Corpsdetexte"/>
      </w:pPr>
      <w:r>
        <w:rPr>
          <w:b/>
          <w:bCs/>
        </w:rPr>
        <w:t>Endurant, Perdurant</w:t>
      </w:r>
    </w:p>
    <w:p w14:paraId="1025369D" w14:textId="5424C282" w:rsidR="00065317" w:rsidRDefault="005C7BF7">
      <w:pPr>
        <w:pStyle w:val="Corpsdetexte"/>
      </w:pPr>
      <w:r>
        <w:t>« La différence entre des entités endurantes et perdurantes (des endurants et des perdurants) repose sur leur fonctionnement dans le temps : les endurants sont présents dans leur entièreté (c.-à-d. qu</w:t>
      </w:r>
      <w:r w:rsidR="00E84B0E">
        <w:t>’</w:t>
      </w:r>
      <w:r>
        <w:t>ils comprennent toutes leurs parties constituantes) peu importe le moment auquel ils sont présents. Les perdurants, quant à eux, se construisent dans le temps par l</w:t>
      </w:r>
      <w:r w:rsidR="00E84B0E">
        <w:t>’</w:t>
      </w:r>
      <w:r>
        <w:t>accumulation d</w:t>
      </w:r>
      <w:r w:rsidR="00E84B0E">
        <w:t>’</w:t>
      </w:r>
      <w:r>
        <w:t>éléments, de telle sorte qu</w:t>
      </w:r>
      <w:r w:rsidR="00E84B0E">
        <w:t>’</w:t>
      </w:r>
      <w:r>
        <w:t>ils ne sont toujours que partiellement présents dans la mesure où certains de leurs éléments temporellement déterminés (p. ex. leurs incarnations passées ou futures) peuvent ne pas être présents. Par exemple, une feuille de papier [n.d.t. dont le contenu fait l</w:t>
      </w:r>
      <w:r w:rsidR="00E84B0E">
        <w:t>’</w:t>
      </w:r>
      <w:r>
        <w:t>objet d</w:t>
      </w:r>
      <w:r w:rsidR="00E84B0E">
        <w:t>’</w:t>
      </w:r>
      <w:r>
        <w:t xml:space="preserve">une lecture] est pleinement présente, bien que certains éléments de la lecture ne le soient plus. Les philosophes considèrent les </w:t>
      </w:r>
      <w:r>
        <w:lastRenderedPageBreak/>
        <w:t>endurants comme des entités situées dans le temps, mais qui n</w:t>
      </w:r>
      <w:r w:rsidR="00E84B0E">
        <w:t>’</w:t>
      </w:r>
      <w:r>
        <w:t>ont pas de parties temporelles, car celles-ci évoluent dans le temps avec eux. Au contraire, les perdurants sont des entités qui s</w:t>
      </w:r>
      <w:r w:rsidR="00E84B0E">
        <w:t>’</w:t>
      </w:r>
      <w:r>
        <w:t>incarnent dans le temps et qui peuvent avoir des parties temporelles, car celles-ci sont toutes fixées temporellement » (Gangemi et al.</w:t>
      </w:r>
      <w:r w:rsidR="00724F8E">
        <w:t>,</w:t>
      </w:r>
      <w:r>
        <w:t xml:space="preserve"> 2002,</w:t>
      </w:r>
      <w:r w:rsidR="00C8288F">
        <w:t> p. </w:t>
      </w:r>
      <w:r>
        <w:t>166-181).</w:t>
      </w:r>
    </w:p>
    <w:p w14:paraId="7EACE612" w14:textId="77777777" w:rsidR="00065317" w:rsidRDefault="005C7BF7">
      <w:pPr>
        <w:pStyle w:val="Normalcentr"/>
      </w:pPr>
      <w:r>
        <w:rPr>
          <w:b/>
          <w:bCs/>
          <w:i/>
          <w:iCs/>
        </w:rPr>
        <w:t>Note de traduction</w:t>
      </w:r>
    </w:p>
    <w:p w14:paraId="4A0333DA" w14:textId="72B73222" w:rsidR="00065317" w:rsidRDefault="005C7BF7">
      <w:pPr>
        <w:pStyle w:val="Normalcentr"/>
      </w:pPr>
      <w:r>
        <w:t>Le terme « behaviour » a été traduit par « fonctionnement » plutôt que par « comportement » puisqu</w:t>
      </w:r>
      <w:r w:rsidR="00E84B0E">
        <w:t>’</w:t>
      </w:r>
      <w:r>
        <w:t>il s</w:t>
      </w:r>
      <w:r w:rsidR="00E84B0E">
        <w:t>’</w:t>
      </w:r>
      <w:r>
        <w:t>agit d</w:t>
      </w:r>
      <w:r w:rsidR="00E84B0E">
        <w:t>’</w:t>
      </w:r>
      <w:r>
        <w:t>une chose et non pas d</w:t>
      </w:r>
      <w:r w:rsidR="00E84B0E">
        <w:t>’</w:t>
      </w:r>
      <w:r>
        <w:t>une personne.</w:t>
      </w:r>
    </w:p>
    <w:p w14:paraId="77E92103" w14:textId="3F15826B" w:rsidR="00065317" w:rsidRDefault="005C7BF7">
      <w:pPr>
        <w:pStyle w:val="Normalcentr"/>
      </w:pPr>
      <w:r>
        <w:t>Le terme « phase » a été traduit par « incarnation » plutôt que par « phase » puisqu</w:t>
      </w:r>
      <w:r w:rsidR="00E84B0E">
        <w:t>’</w:t>
      </w:r>
      <w:r>
        <w:t>il s</w:t>
      </w:r>
      <w:r w:rsidR="00E84B0E">
        <w:t>’</w:t>
      </w:r>
      <w:r>
        <w:t>agit de l</w:t>
      </w:r>
      <w:r w:rsidR="00E84B0E">
        <w:t>’</w:t>
      </w:r>
      <w:r>
        <w:t>état d</w:t>
      </w:r>
      <w:r w:rsidR="00E84B0E">
        <w:t>’</w:t>
      </w:r>
      <w:r>
        <w:t>une chose à un moment précis de son évolution et non pas du changement lui-même.</w:t>
      </w:r>
    </w:p>
    <w:p w14:paraId="45A462BB" w14:textId="2642D5F4" w:rsidR="00065317" w:rsidRDefault="005C7BF7">
      <w:pPr>
        <w:pStyle w:val="Normalcentr"/>
      </w:pPr>
      <w:r>
        <w:t>Le terme « flow » a été traduit par « évoluer » afin d</w:t>
      </w:r>
      <w:r w:rsidR="00E84B0E">
        <w:t>’</w:t>
      </w:r>
      <w:r>
        <w:t>illustrer la nature fluctuante du concept.</w:t>
      </w:r>
    </w:p>
    <w:p w14:paraId="43872425" w14:textId="3E8B4C7B" w:rsidR="00065317" w:rsidRDefault="005C7BF7" w:rsidP="009E315A">
      <w:pPr>
        <w:pStyle w:val="Normalcentr"/>
      </w:pPr>
      <w:r>
        <w:rPr>
          <w:b/>
          <w:bCs/>
          <w:i/>
          <w:iCs/>
        </w:rPr>
        <w:t>Références</w:t>
      </w:r>
      <w:bookmarkStart w:id="35" w:name="terminologie-raccourci"/>
      <w:bookmarkEnd w:id="35"/>
    </w:p>
    <w:p w14:paraId="3282838C" w14:textId="77777777" w:rsidR="00065317" w:rsidRDefault="005C7BF7">
      <w:pPr>
        <w:pStyle w:val="Corpsdetexte"/>
      </w:pPr>
      <w:r>
        <w:rPr>
          <w:b/>
          <w:bCs/>
        </w:rPr>
        <w:t>Raccourci</w:t>
      </w:r>
    </w:p>
    <w:p w14:paraId="53FD5F1C" w14:textId="71DDD834" w:rsidR="00065317" w:rsidRDefault="005C7BF7">
      <w:pPr>
        <w:pStyle w:val="Corpsdetexte"/>
      </w:pPr>
      <w:r>
        <w:t xml:space="preserve">Un raccourci est une </w:t>
      </w:r>
      <w:r>
        <w:rPr>
          <w:b/>
          <w:bCs/>
        </w:rPr>
        <w:t>propriété</w:t>
      </w:r>
      <w:r>
        <w:t xml:space="preserve"> singulière formellement définie qui représente un chemin sémantique (obtenu par déduction ou par union) dans le </w:t>
      </w:r>
      <w:r w:rsidR="00C8288F">
        <w:t>CIDOC CRM</w:t>
      </w:r>
      <w:r>
        <w:t xml:space="preserve">. Les </w:t>
      </w:r>
      <w:hyperlink w:anchor="terminologie-note-dapplication">
        <w:r>
          <w:rPr>
            <w:rStyle w:val="Lienhypertexte"/>
            <w:b/>
            <w:bCs/>
          </w:rPr>
          <w:t>notes d</w:t>
        </w:r>
        <w:r w:rsidR="00E84B0E">
          <w:rPr>
            <w:rStyle w:val="Lienhypertexte"/>
            <w:b/>
            <w:bCs/>
          </w:rPr>
          <w:t>’</w:t>
        </w:r>
        <w:r>
          <w:rPr>
            <w:rStyle w:val="Lienhypertexte"/>
            <w:b/>
            <w:bCs/>
          </w:rPr>
          <w:t>application</w:t>
        </w:r>
      </w:hyperlink>
      <w:hyperlink w:anchor="terminologie-note-dapplication">
        <w:r>
          <w:rPr>
            <w:rStyle w:val="Lienhypertexte"/>
          </w:rPr>
          <w:t xml:space="preserve"> </w:t>
        </w:r>
      </w:hyperlink>
      <w:r>
        <w:t>de toutes les propriétés caractérisées de raccourcis décrivent verbalement les déductions ou unions concernées. Les raccourcis sont utilisés lorsque la pratique documentaire réfère uniquement au résultat déduit plutôt qu</w:t>
      </w:r>
      <w:r w:rsidR="00E84B0E">
        <w:t>’</w:t>
      </w:r>
      <w:r>
        <w:t>au chemin sémantique complet. Par exemple, les institutions muséales ne recensent souvent que les dimensions d</w:t>
      </w:r>
      <w:r w:rsidR="00E84B0E">
        <w:t>’</w:t>
      </w:r>
      <w:r>
        <w:t xml:space="preserve">un objet sans pour autant documenter le </w:t>
      </w:r>
      <w:r>
        <w:rPr>
          <w:rStyle w:val="VerbatimChar"/>
        </w:rPr>
        <w:t>E16_Mesurage</w:t>
      </w:r>
      <w:r>
        <w:t xml:space="preserve"> qui les sous-tend. Le </w:t>
      </w:r>
      <w:r w:rsidR="00C8288F">
        <w:t>CIDOC CRM</w:t>
      </w:r>
      <w:r>
        <w:t xml:space="preserve"> déclare explicitement des propriétés singulières à titre de raccourcis afin de permettre aux utilisateurs de décrire des cas dont ce ne sont pas toutes les connaissances associées au chemin sémantique complet qui sont recensées. Chaque raccourci du </w:t>
      </w:r>
      <w:r w:rsidR="00C8288F">
        <w:t>CIDOC CRM</w:t>
      </w:r>
      <w:r>
        <w:t xml:space="preserve"> contient dans ses schémas les propriétés du chemin sémantique complet qui l</w:t>
      </w:r>
      <w:r w:rsidR="00E84B0E">
        <w:t>’</w:t>
      </w:r>
      <w:r>
        <w:t>explique.</w:t>
      </w:r>
    </w:p>
    <w:p w14:paraId="3A36996D" w14:textId="5D1B8FA6" w:rsidR="00065317" w:rsidRDefault="005C7BF7">
      <w:pPr>
        <w:pStyle w:val="Corpsdetexte"/>
      </w:pPr>
      <w:r>
        <w:t xml:space="preserve">[n.d.t. voir </w:t>
      </w:r>
      <w:hyperlink w:anchor="des-raccourcis">
        <w:r>
          <w:rPr>
            <w:rStyle w:val="Lienhypertexte"/>
          </w:rPr>
          <w:t>Des raccourcis</w:t>
        </w:r>
      </w:hyperlink>
      <w:r>
        <w:t xml:space="preserve"> dans les </w:t>
      </w:r>
      <w:hyperlink w:anchor="principes-de-modelisation">
        <w:r>
          <w:rPr>
            <w:rStyle w:val="Lienhypertexte"/>
          </w:rPr>
          <w:t>Principes de modélisation</w:t>
        </w:r>
      </w:hyperlink>
      <w:r>
        <w:t>].</w:t>
      </w:r>
    </w:p>
    <w:p w14:paraId="5BA8C5C9" w14:textId="77777777" w:rsidR="00065317" w:rsidRDefault="005C7BF7">
      <w:pPr>
        <w:pStyle w:val="Normalcentr"/>
      </w:pPr>
      <w:r>
        <w:rPr>
          <w:b/>
          <w:bCs/>
          <w:i/>
          <w:iCs/>
        </w:rPr>
        <w:t>Note de traduction</w:t>
      </w:r>
    </w:p>
    <w:p w14:paraId="74B88C07" w14:textId="241CEBDA" w:rsidR="00065317" w:rsidRDefault="005C7BF7">
      <w:pPr>
        <w:pStyle w:val="Normalcentr"/>
      </w:pPr>
      <w:r>
        <w:t>Le terme « join of a data » a été traduit par « union » plutôt que par « fusion », car il s</w:t>
      </w:r>
      <w:r w:rsidR="00E84B0E">
        <w:t>’</w:t>
      </w:r>
      <w:r>
        <w:t>agit de les réunir sans en annihiler l</w:t>
      </w:r>
      <w:r w:rsidR="00E84B0E">
        <w:t>’</w:t>
      </w:r>
      <w:r>
        <w:t>une ou l</w:t>
      </w:r>
      <w:r w:rsidR="00E84B0E">
        <w:t>’</w:t>
      </w:r>
      <w:r>
        <w:t>autre.</w:t>
      </w:r>
    </w:p>
    <w:p w14:paraId="66E0EAD7" w14:textId="77777777" w:rsidR="00065317" w:rsidRDefault="005C7BF7">
      <w:pPr>
        <w:pStyle w:val="Normalcentr"/>
      </w:pPr>
      <w:r>
        <w:rPr>
          <w:b/>
          <w:bCs/>
          <w:i/>
          <w:iCs/>
        </w:rPr>
        <w:t>Références</w:t>
      </w:r>
    </w:p>
    <w:p w14:paraId="1977C2A7" w14:textId="6DC715F7" w:rsidR="00065317" w:rsidRDefault="005C7BF7" w:rsidP="009E315A">
      <w:pPr>
        <w:pStyle w:val="Normalcentr"/>
      </w:pPr>
      <w:r>
        <w:t xml:space="preserve">Termium. « join ». Dans </w:t>
      </w:r>
      <w:r>
        <w:rPr>
          <w:i/>
          <w:iCs/>
        </w:rPr>
        <w:t>Termium Plus</w:t>
      </w:r>
      <w:r>
        <w:t>. Ottawa, CA-ON: Gouvernement du Canada, 8</w:t>
      </w:r>
      <w:r w:rsidR="00056DCD">
        <w:t> octobre </w:t>
      </w:r>
      <w:r>
        <w:t>2009.</w:t>
      </w:r>
      <w:hyperlink r:id="rId36" w:anchor="resultrecs">
        <w:r>
          <w:rPr>
            <w:rStyle w:val="Lienhypertexte"/>
          </w:rPr>
          <w:t xml:space="preserve"> </w:t>
        </w:r>
      </w:hyperlink>
      <w:hyperlink r:id="rId37" w:anchor="resultrecs">
        <w:r>
          <w:rPr>
            <w:rStyle w:val="Lienhypertexte"/>
          </w:rPr>
          <w:t>https://www.btb.termiumplus.gc.ca/tpv2alpha/alpha-fra.html?lang=fra&amp;i=1&amp;srchtxt=join&amp;index=ent&amp;codom2nd_wet=1#resultrecs</w:t>
        </w:r>
      </w:hyperlink>
      <w:r>
        <w:t>.</w:t>
      </w:r>
      <w:bookmarkStart w:id="36" w:name="terminologie-raisonnement-monotone"/>
      <w:bookmarkEnd w:id="36"/>
    </w:p>
    <w:p w14:paraId="22732EE7" w14:textId="77777777" w:rsidR="00065317" w:rsidRDefault="005C7BF7">
      <w:pPr>
        <w:pStyle w:val="Corpsdetexte"/>
      </w:pPr>
      <w:r>
        <w:rPr>
          <w:b/>
          <w:bCs/>
        </w:rPr>
        <w:t>Raisonnement monotone</w:t>
      </w:r>
    </w:p>
    <w:p w14:paraId="37DB0A2B" w14:textId="5BFCE8C7" w:rsidR="00065317" w:rsidRDefault="005C7BF7">
      <w:pPr>
        <w:pStyle w:val="Corpsdetexte"/>
      </w:pPr>
      <w:r>
        <w:t>Le raisonnement monotone (un terme issu du domaine de la représentation des connaissances) stipule qu</w:t>
      </w:r>
      <w:r w:rsidR="00E84B0E">
        <w:t>’</w:t>
      </w:r>
      <w:r>
        <w:t>une forme est monotone si une addition à l</w:t>
      </w:r>
      <w:r w:rsidR="00E84B0E">
        <w:t>’</w:t>
      </w:r>
      <w:r>
        <w:t>ensemble de propositions qui forme la base de connaissances ne détermine jamais de décrément de l</w:t>
      </w:r>
      <w:r w:rsidR="00E84B0E">
        <w:t>’</w:t>
      </w:r>
      <w:r>
        <w:t>ensemble des conclusions qui peuvent être dérivées (par des règles d</w:t>
      </w:r>
      <w:r w:rsidR="00E84B0E">
        <w:t>’</w:t>
      </w:r>
      <w:r>
        <w:t>inférence) d</w:t>
      </w:r>
      <w:r w:rsidR="00E84B0E">
        <w:t>’</w:t>
      </w:r>
      <w:r>
        <w:t>une base de connaissance. [n.d.t. Un décrément est une quantité constante prédéterminée dont on soustrait la valeur d</w:t>
      </w:r>
      <w:r w:rsidR="00E84B0E">
        <w:t>’</w:t>
      </w:r>
      <w:r>
        <w:t>une variable.] En pratique, si des experts intègrent à un système d</w:t>
      </w:r>
      <w:r w:rsidR="00E84B0E">
        <w:t>’</w:t>
      </w:r>
      <w:r>
        <w:t>information des énoncés corrects, ce système ne devrait considérer aucun de ces énoncés invalides lorsqu</w:t>
      </w:r>
      <w:r w:rsidR="00E84B0E">
        <w:t>’</w:t>
      </w:r>
      <w:r>
        <w:t>un nouvel énoncé est ajouté. C</w:t>
      </w:r>
      <w:r w:rsidR="00E84B0E">
        <w:t>’</w:t>
      </w:r>
      <w:r>
        <w:t>est ainsi qu</w:t>
      </w:r>
      <w:r w:rsidR="00E84B0E">
        <w:t>’</w:t>
      </w:r>
      <w:r>
        <w:t xml:space="preserve">est conçu le </w:t>
      </w:r>
      <w:r w:rsidR="00C8288F">
        <w:t>CIDOC CRM</w:t>
      </w:r>
      <w:r>
        <w:t>, de sorte qu</w:t>
      </w:r>
      <w:r w:rsidR="00E84B0E">
        <w:t>’</w:t>
      </w:r>
      <w:r>
        <w:t>il assure une fusion d</w:t>
      </w:r>
      <w:r w:rsidR="00E84B0E">
        <w:t>’</w:t>
      </w:r>
      <w:r>
        <w:t>importants ensembles de connaissances sans conflits.</w:t>
      </w:r>
    </w:p>
    <w:p w14:paraId="6921DA93" w14:textId="31D9FFAA" w:rsidR="00784AE7" w:rsidRDefault="005C7BF7">
      <w:pPr>
        <w:pStyle w:val="Corpsdetexte"/>
      </w:pPr>
      <w:r>
        <w:t xml:space="preserve">[n.d.t. voir la section sur la </w:t>
      </w:r>
      <w:hyperlink w:anchor="de-la-monotonicite">
        <w:r>
          <w:rPr>
            <w:rStyle w:val="Lienhypertexte"/>
          </w:rPr>
          <w:t>Monotonicité</w:t>
        </w:r>
      </w:hyperlink>
      <w:r>
        <w:t xml:space="preserve"> dans les </w:t>
      </w:r>
      <w:hyperlink w:anchor="principes-de-modelisation">
        <w:r>
          <w:rPr>
            <w:rStyle w:val="Lienhypertexte"/>
          </w:rPr>
          <w:t>Principes de modélisation</w:t>
        </w:r>
      </w:hyperlink>
      <w:r>
        <w:t>].</w:t>
      </w:r>
    </w:p>
    <w:p w14:paraId="63E3B66A" w14:textId="7A75AF4D" w:rsidR="00065317" w:rsidRDefault="00784AE7" w:rsidP="00784AE7">
      <w:pPr>
        <w:spacing w:after="0"/>
      </w:pPr>
      <w:r>
        <w:br w:type="page"/>
      </w:r>
    </w:p>
    <w:p w14:paraId="52CB3A21" w14:textId="77777777" w:rsidR="00065317" w:rsidRDefault="005C7BF7">
      <w:pPr>
        <w:pStyle w:val="Normalcentr"/>
      </w:pPr>
      <w:r>
        <w:rPr>
          <w:b/>
          <w:bCs/>
          <w:i/>
          <w:iCs/>
        </w:rPr>
        <w:lastRenderedPageBreak/>
        <w:t>Note de traduction</w:t>
      </w:r>
    </w:p>
    <w:p w14:paraId="5981E013" w14:textId="3F34BD25" w:rsidR="00065317" w:rsidRDefault="005C7BF7">
      <w:pPr>
        <w:pStyle w:val="Normalcentr"/>
      </w:pPr>
      <w:r>
        <w:t>Ajout d</w:t>
      </w:r>
      <w:r w:rsidR="00E84B0E">
        <w:t>’</w:t>
      </w:r>
      <w:r>
        <w:t>une définition du décrément selon sa définition logicielle (quantité constante prédéterminée dont on soustrait la valeur d</w:t>
      </w:r>
      <w:r w:rsidR="00E84B0E">
        <w:t>’</w:t>
      </w:r>
      <w:r>
        <w:t>une variable) plutôt que mathématique (diminution de la valeur d</w:t>
      </w:r>
      <w:r w:rsidR="00E84B0E">
        <w:t>’</w:t>
      </w:r>
      <w:r>
        <w:t>une quantité variable).</w:t>
      </w:r>
    </w:p>
    <w:p w14:paraId="667E1BCE" w14:textId="77777777" w:rsidR="00065317" w:rsidRDefault="005C7BF7">
      <w:pPr>
        <w:pStyle w:val="Normalcentr"/>
      </w:pPr>
      <w:r>
        <w:rPr>
          <w:b/>
          <w:bCs/>
          <w:i/>
          <w:iCs/>
        </w:rPr>
        <w:t>Références</w:t>
      </w:r>
    </w:p>
    <w:p w14:paraId="33B196D3" w14:textId="095787C6" w:rsidR="00065317" w:rsidRDefault="005C7BF7" w:rsidP="009E315A">
      <w:pPr>
        <w:pStyle w:val="Normalcentr"/>
      </w:pPr>
      <w:r>
        <w:t xml:space="preserve">Wikipédia. « Monotonie ». Dans </w:t>
      </w:r>
      <w:r>
        <w:rPr>
          <w:i/>
          <w:iCs/>
        </w:rPr>
        <w:t>Wikipédia</w:t>
      </w:r>
      <w:r>
        <w:t xml:space="preserve">. </w:t>
      </w:r>
      <w:r w:rsidRPr="009E315A">
        <w:rPr>
          <w:lang w:val="en-US"/>
        </w:rPr>
        <w:t>San Francisco, US-CA: Wikipédia, 19</w:t>
      </w:r>
      <w:r w:rsidR="00056DCD">
        <w:rPr>
          <w:lang w:val="en-US"/>
        </w:rPr>
        <w:t> février </w:t>
      </w:r>
      <w:r w:rsidRPr="009E315A">
        <w:rPr>
          <w:lang w:val="en-US"/>
        </w:rPr>
        <w:t>2017.</w:t>
      </w:r>
      <w:hyperlink r:id="rId38">
        <w:r w:rsidRPr="009E315A">
          <w:rPr>
            <w:rStyle w:val="Lienhypertexte"/>
            <w:lang w:val="en-US"/>
          </w:rPr>
          <w:t xml:space="preserve"> </w:t>
        </w:r>
      </w:hyperlink>
      <w:hyperlink r:id="rId39">
        <w:r>
          <w:rPr>
            <w:rStyle w:val="Lienhypertexte"/>
          </w:rPr>
          <w:t>https://fr.wikipedia.org/w/index.php?title=Monotonie&amp;oldid=134697868</w:t>
        </w:r>
      </w:hyperlink>
      <w:r>
        <w:t>.</w:t>
      </w:r>
      <w:bookmarkStart w:id="37" w:name="terminologie-disjointe"/>
      <w:bookmarkEnd w:id="37"/>
    </w:p>
    <w:p w14:paraId="3EF3F1D9" w14:textId="7E83F23B" w:rsidR="00065317" w:rsidRDefault="005C7BF7">
      <w:pPr>
        <w:pStyle w:val="Corpsdetexte"/>
      </w:pPr>
      <w:r>
        <w:rPr>
          <w:b/>
          <w:bCs/>
        </w:rPr>
        <w:t>Disjoint</w:t>
      </w:r>
      <w:r w:rsidR="00155590">
        <w:rPr>
          <w:b/>
          <w:bCs/>
        </w:rPr>
        <w:t>·</w:t>
      </w:r>
      <w:r>
        <w:rPr>
          <w:b/>
          <w:bCs/>
        </w:rPr>
        <w:t>e</w:t>
      </w:r>
    </w:p>
    <w:p w14:paraId="2F91D977" w14:textId="59F8B63D" w:rsidR="00065317" w:rsidRDefault="005C7BF7">
      <w:pPr>
        <w:pStyle w:val="Corpsdetexte"/>
      </w:pPr>
      <w:r>
        <w:t>Des classes sont disjointes si l</w:t>
      </w:r>
      <w:r w:rsidR="00E84B0E">
        <w:t>’</w:t>
      </w:r>
      <w:r>
        <w:t>intersection de leurs extensions est un ensemble vide; en d</w:t>
      </w:r>
      <w:r w:rsidR="00E84B0E">
        <w:t>’</w:t>
      </w:r>
      <w:r>
        <w:t>autres termes, il n</w:t>
      </w:r>
      <w:r w:rsidR="00E84B0E">
        <w:t>’</w:t>
      </w:r>
      <w:r>
        <w:t>y a pas de possibilité qu</w:t>
      </w:r>
      <w:r w:rsidR="00E84B0E">
        <w:t>’</w:t>
      </w:r>
      <w:r>
        <w:t>elles aient des instances communes.</w:t>
      </w:r>
    </w:p>
    <w:p w14:paraId="09507696" w14:textId="763810D5" w:rsidR="00065317" w:rsidRDefault="005C7BF7">
      <w:pPr>
        <w:pStyle w:val="Corpsdetexte"/>
      </w:pPr>
      <w:r>
        <w:t xml:space="preserve">[voir la section </w:t>
      </w:r>
      <w:hyperlink w:anchor="de-la-disjonction">
        <w:r>
          <w:rPr>
            <w:rStyle w:val="Lienhypertexte"/>
          </w:rPr>
          <w:t>De la disjonction</w:t>
        </w:r>
      </w:hyperlink>
      <w:r>
        <w:t xml:space="preserve"> dans les </w:t>
      </w:r>
      <w:hyperlink w:anchor="principes-de-modelisation">
        <w:r>
          <w:rPr>
            <w:rStyle w:val="Lienhypertexte"/>
          </w:rPr>
          <w:t>Principes de modélisation</w:t>
        </w:r>
      </w:hyperlink>
      <w:r>
        <w:t>].</w:t>
      </w:r>
    </w:p>
    <w:p w14:paraId="6EE20F7D" w14:textId="77777777" w:rsidR="00065317" w:rsidRDefault="005C7BF7">
      <w:pPr>
        <w:pStyle w:val="Normalcentr"/>
      </w:pPr>
      <w:r>
        <w:rPr>
          <w:b/>
          <w:bCs/>
          <w:i/>
          <w:iCs/>
        </w:rPr>
        <w:t>Note de traduction</w:t>
      </w:r>
    </w:p>
    <w:p w14:paraId="325ED0EC" w14:textId="47C9DBE1" w:rsidR="00065317" w:rsidRDefault="005C7BF7" w:rsidP="009E315A">
      <w:pPr>
        <w:pStyle w:val="Normalcentr"/>
      </w:pPr>
      <w:r>
        <w:rPr>
          <w:b/>
          <w:bCs/>
          <w:i/>
          <w:iCs/>
        </w:rPr>
        <w:t>Références</w:t>
      </w:r>
      <w:bookmarkStart w:id="38" w:name="terminologie-primitive"/>
      <w:bookmarkEnd w:id="38"/>
    </w:p>
    <w:p w14:paraId="7A81B044" w14:textId="77777777" w:rsidR="00065317" w:rsidRDefault="005C7BF7">
      <w:pPr>
        <w:pStyle w:val="Corpsdetexte"/>
      </w:pPr>
      <w:r>
        <w:rPr>
          <w:b/>
          <w:bCs/>
        </w:rPr>
        <w:t>Primitive</w:t>
      </w:r>
    </w:p>
    <w:p w14:paraId="3211E3AF" w14:textId="312668C1" w:rsidR="009E315A" w:rsidRPr="00784AE7" w:rsidRDefault="005C7BF7" w:rsidP="00784AE7">
      <w:pPr>
        <w:pStyle w:val="Corpsdetexte"/>
      </w:pPr>
      <w:r>
        <w:t>Une primitive (utilisée dans le cadre de la représentation de connaissances) est un concept qui est déclaré et dont la signification est acceptée, mais qui ne peut être définie par une déduction logique reposant sur d</w:t>
      </w:r>
      <w:r w:rsidR="00E84B0E">
        <w:t>’</w:t>
      </w:r>
      <w:r>
        <w:t>autres concepts. Par exemple, « mère » est un concept qui peut être décrit comme « femme qui a un enfant</w:t>
      </w:r>
      <w:r w:rsidR="00916E12">
        <w:t> »</w:t>
      </w:r>
      <w:r>
        <w:t>, de sorte qu</w:t>
      </w:r>
      <w:r w:rsidR="00E84B0E">
        <w:t>’</w:t>
      </w:r>
      <w:r>
        <w:t>il n</w:t>
      </w:r>
      <w:r w:rsidR="00E84B0E">
        <w:t>’</w:t>
      </w:r>
      <w:r>
        <w:t>est pas primitif [</w:t>
      </w:r>
      <w:r w:rsidR="009E315A">
        <w:t xml:space="preserve">n.d.t. </w:t>
      </w:r>
      <w:r>
        <w:t xml:space="preserve">car il peut être déduit des concepts femme et enfant], alors que </w:t>
      </w:r>
      <w:r>
        <w:rPr>
          <w:rStyle w:val="VerbatimChar"/>
        </w:rPr>
        <w:t>E5_Évènement</w:t>
      </w:r>
      <w:r>
        <w:t xml:space="preserve"> est un concept primitif (ainsi que la plupart des concepts du </w:t>
      </w:r>
      <w:r w:rsidR="00C8288F">
        <w:t>CIDOC CRM</w:t>
      </w:r>
      <w:r>
        <w:t>).</w:t>
      </w:r>
    </w:p>
    <w:p w14:paraId="2434225F" w14:textId="74245D08" w:rsidR="00065317" w:rsidRDefault="005C7BF7">
      <w:pPr>
        <w:pStyle w:val="Normalcentr"/>
      </w:pPr>
      <w:r>
        <w:rPr>
          <w:b/>
          <w:bCs/>
          <w:i/>
          <w:iCs/>
        </w:rPr>
        <w:t>Note de traduction</w:t>
      </w:r>
    </w:p>
    <w:p w14:paraId="7F176A47" w14:textId="05BEBE60" w:rsidR="00065317" w:rsidRDefault="005C7BF7">
      <w:pPr>
        <w:pStyle w:val="Normalcentr"/>
      </w:pPr>
      <w:r>
        <w:t>« Female » est un terme qui est couramment utilisé en anglais sans être considéré péjoratif. Cependant, en français, l</w:t>
      </w:r>
      <w:r w:rsidR="00E84B0E">
        <w:t>’</w:t>
      </w:r>
      <w:r>
        <w:t>utilisation du terme « femelle » pour désigner des humains du sexe féminin est généralement considérée condescendante. Le terme « femme » a donc été utilisé.</w:t>
      </w:r>
    </w:p>
    <w:p w14:paraId="405528D8" w14:textId="7680702E" w:rsidR="00065317" w:rsidRDefault="005C7BF7">
      <w:pPr>
        <w:pStyle w:val="Normalcentr"/>
      </w:pPr>
      <w:r>
        <w:t>Techniquement, « being with child » indique qu</w:t>
      </w:r>
      <w:r w:rsidR="00E84B0E">
        <w:t>’</w:t>
      </w:r>
      <w:r>
        <w:t>une femme est enceinte et non pas qu</w:t>
      </w:r>
      <w:r w:rsidR="00E84B0E">
        <w:t>’</w:t>
      </w:r>
      <w:r>
        <w:t>elle a eu un enfant. Cependant, le contexte semble indiquer que c</w:t>
      </w:r>
      <w:r w:rsidR="00E84B0E">
        <w:t>’</w:t>
      </w:r>
      <w:r>
        <w:t>est cette dernière signification qu</w:t>
      </w:r>
      <w:r w:rsidR="00E84B0E">
        <w:t>’</w:t>
      </w:r>
      <w:r>
        <w:t>avaient en tête les auteurs, de sorte que cette traduction a été privilégiée.</w:t>
      </w:r>
    </w:p>
    <w:p w14:paraId="1E0CB479" w14:textId="77777777" w:rsidR="00065317" w:rsidRDefault="005C7BF7">
      <w:pPr>
        <w:pStyle w:val="Normalcentr"/>
      </w:pPr>
      <w:r>
        <w:rPr>
          <w:b/>
          <w:bCs/>
          <w:i/>
          <w:iCs/>
        </w:rPr>
        <w:t>Références</w:t>
      </w:r>
    </w:p>
    <w:p w14:paraId="4E4D832D" w14:textId="3F423AB6" w:rsidR="00065317" w:rsidRDefault="005C7BF7" w:rsidP="009E315A">
      <w:pPr>
        <w:pStyle w:val="Normalcentr"/>
      </w:pPr>
      <w:r>
        <w:t xml:space="preserve">Termium. « primitive ». Dans </w:t>
      </w:r>
      <w:r>
        <w:rPr>
          <w:i/>
          <w:iCs/>
        </w:rPr>
        <w:t>Termium Plus</w:t>
      </w:r>
      <w:r>
        <w:t>. Ottawa, CA-ON: Gouvernement du Canada, 8</w:t>
      </w:r>
      <w:r w:rsidR="00056DCD">
        <w:t> octobre </w:t>
      </w:r>
      <w:r>
        <w:t>2009.</w:t>
      </w:r>
      <w:hyperlink r:id="rId40" w:anchor="resultrecs">
        <w:r>
          <w:rPr>
            <w:rStyle w:val="Lienhypertexte"/>
          </w:rPr>
          <w:t xml:space="preserve"> </w:t>
        </w:r>
      </w:hyperlink>
      <w:hyperlink r:id="rId41" w:anchor="resultrecs">
        <w:r>
          <w:rPr>
            <w:rStyle w:val="Lienhypertexte"/>
          </w:rPr>
          <w:t>https://www.btb.termiumplus.gc.ca/tpv2alpha/alpha-fra.html?lang=fra&amp;i=1&amp;srchtxt=primitive&amp;index=ent&amp;codom2nd_wet=1#resultrecs</w:t>
        </w:r>
      </w:hyperlink>
      <w:r>
        <w:t>.</w:t>
      </w:r>
      <w:bookmarkStart w:id="39" w:name="terminologie-monde-ouvert"/>
      <w:bookmarkEnd w:id="39"/>
    </w:p>
    <w:p w14:paraId="0EAE351C" w14:textId="77777777" w:rsidR="00065317" w:rsidRDefault="005C7BF7">
      <w:pPr>
        <w:pStyle w:val="Corpsdetexte"/>
      </w:pPr>
      <w:r>
        <w:rPr>
          <w:b/>
          <w:bCs/>
        </w:rPr>
        <w:t>Monde Ouvert</w:t>
      </w:r>
    </w:p>
    <w:p w14:paraId="4C382BE4" w14:textId="3EB4F6CD" w:rsidR="00065317" w:rsidRDefault="005C7BF7">
      <w:pPr>
        <w:pStyle w:val="Corpsdetexte"/>
      </w:pPr>
      <w:r>
        <w:t>L</w:t>
      </w:r>
      <w:r w:rsidR="00E84B0E">
        <w:t>’</w:t>
      </w:r>
      <w:r>
        <w:t>hypothèse du « monde ouvert » porte sur les systèmes de bases de connaissances et stipule que l</w:t>
      </w:r>
      <w:r w:rsidR="00E84B0E">
        <w:t>’</w:t>
      </w:r>
      <w:r>
        <w:t>information qui y est stockée est incomplète en comparaison de l</w:t>
      </w:r>
      <w:r w:rsidR="00E84B0E">
        <w:t>’</w:t>
      </w:r>
      <w:r>
        <w:t>univers discursif que cette information représente. Cette incomplétude peut être due à l</w:t>
      </w:r>
      <w:r w:rsidR="00E84B0E">
        <w:t>’</w:t>
      </w:r>
      <w:r>
        <w:t>incapacité du responsable [</w:t>
      </w:r>
      <w:r w:rsidR="009E315A">
        <w:t>n.d.t.</w:t>
      </w:r>
      <w:r w:rsidR="00724F8E">
        <w:t xml:space="preserve"> </w:t>
      </w:r>
      <w:r>
        <w:t>de la base de connaissance] de fournir des informations complètes ou encore à des problèmes plus fondamentaux du domaine eu égard à la cognition, problèmes qui sont caractéristiques des systèmes d</w:t>
      </w:r>
      <w:r w:rsidR="00E84B0E">
        <w:t>’</w:t>
      </w:r>
      <w:r>
        <w:t xml:space="preserve">information sur le patrimoine culturel. En effet, les enregistrements au sujet du passé sont nécessairement incomplets et certains éléments pourraient ne pas être facilement attribuables à une </w:t>
      </w:r>
      <w:r>
        <w:rPr>
          <w:b/>
          <w:bCs/>
        </w:rPr>
        <w:t>classe</w:t>
      </w:r>
      <w:r>
        <w:t xml:space="preserve"> préétablie.</w:t>
      </w:r>
    </w:p>
    <w:p w14:paraId="21F8B6ED" w14:textId="1286268C" w:rsidR="00065317" w:rsidRDefault="005C7BF7">
      <w:pPr>
        <w:pStyle w:val="Corpsdetexte"/>
      </w:pPr>
      <w:r>
        <w:t>Qui plus est, l</w:t>
      </w:r>
      <w:r w:rsidR="00E84B0E">
        <w:t>’</w:t>
      </w:r>
      <w:r>
        <w:t>absence d</w:t>
      </w:r>
      <w:r w:rsidR="00E84B0E">
        <w:t>’</w:t>
      </w:r>
      <w:r>
        <w:t xml:space="preserve">une </w:t>
      </w:r>
      <w:r>
        <w:rPr>
          <w:b/>
          <w:bCs/>
        </w:rPr>
        <w:t>propriété</w:t>
      </w:r>
      <w:r>
        <w:t xml:space="preserve"> pour un élément décrit dans un système [</w:t>
      </w:r>
      <w:r w:rsidR="009E315A">
        <w:t xml:space="preserve">n.d.t. </w:t>
      </w:r>
      <w:r>
        <w:t>d</w:t>
      </w:r>
      <w:r w:rsidR="00E84B0E">
        <w:t>’</w:t>
      </w:r>
      <w:r>
        <w:t>information] n</w:t>
      </w:r>
      <w:r w:rsidR="00E84B0E">
        <w:t>’</w:t>
      </w:r>
      <w:r>
        <w:t>implique pas automatiquement que cet élément n</w:t>
      </w:r>
      <w:r w:rsidR="00E84B0E">
        <w:t>’</w:t>
      </w:r>
      <w:r>
        <w:t xml:space="preserve">a pas la propriété en question. Par exemple, si un élément est décrit comme un </w:t>
      </w:r>
      <w:r>
        <w:rPr>
          <w:rStyle w:val="VerbatimChar"/>
        </w:rPr>
        <w:t>E20_Objet_biologique</w:t>
      </w:r>
      <w:r>
        <w:t xml:space="preserve"> et qu</w:t>
      </w:r>
      <w:r w:rsidR="00E84B0E">
        <w:t>’</w:t>
      </w:r>
      <w:r>
        <w:t xml:space="preserve">un autre est décrit comme un </w:t>
      </w:r>
      <w:r>
        <w:rPr>
          <w:rStyle w:val="VerbatimChar"/>
        </w:rPr>
        <w:t>E19_Objet_matériel</w:t>
      </w:r>
      <w:r>
        <w:t>, rien n</w:t>
      </w:r>
      <w:r w:rsidR="00E84B0E">
        <w:t>’</w:t>
      </w:r>
      <w:r>
        <w:t xml:space="preserve">indique que ce dernier ne soit pas lui aussi un </w:t>
      </w:r>
      <w:r>
        <w:rPr>
          <w:rStyle w:val="VerbatimChar"/>
        </w:rPr>
        <w:t>E20_Objet_biologique</w:t>
      </w:r>
      <w:r>
        <w:t xml:space="preserve">. Ainsi, </w:t>
      </w:r>
      <w:r>
        <w:lastRenderedPageBreak/>
        <w:t xml:space="preserve">les </w:t>
      </w:r>
      <w:r>
        <w:rPr>
          <w:b/>
          <w:bCs/>
        </w:rPr>
        <w:t>compléments</w:t>
      </w:r>
      <w:r>
        <w:t xml:space="preserve"> d</w:t>
      </w:r>
      <w:r w:rsidR="00E84B0E">
        <w:t>’</w:t>
      </w:r>
      <w:r>
        <w:t xml:space="preserve">une classe eu égard à une </w:t>
      </w:r>
      <w:r>
        <w:rPr>
          <w:b/>
          <w:bCs/>
        </w:rPr>
        <w:t>super-classe</w:t>
      </w:r>
      <w:r>
        <w:t xml:space="preserve"> ne peuvent être logiquement inférés depuis un système d</w:t>
      </w:r>
      <w:r w:rsidR="00E84B0E">
        <w:t>’</w:t>
      </w:r>
      <w:r>
        <w:t>information mobilisant l</w:t>
      </w:r>
      <w:r w:rsidR="00E84B0E">
        <w:t>’</w:t>
      </w:r>
      <w:r>
        <w:t>hypothèse du monde ouvert. Par exemple, il est impossible d</w:t>
      </w:r>
      <w:r w:rsidR="00E84B0E">
        <w:t>’</w:t>
      </w:r>
      <w:r>
        <w:t xml:space="preserve">énumérer « tous les </w:t>
      </w:r>
      <w:r>
        <w:rPr>
          <w:rStyle w:val="VerbatimChar"/>
        </w:rPr>
        <w:t>E19_Objet_matériel</w:t>
      </w:r>
      <w:r>
        <w:t xml:space="preserve"> d</w:t>
      </w:r>
      <w:r w:rsidR="00E84B0E">
        <w:t>’</w:t>
      </w:r>
      <w:r>
        <w:t xml:space="preserve">un système qui ne sont pas des </w:t>
      </w:r>
      <w:r>
        <w:rPr>
          <w:rStyle w:val="VerbatimChar"/>
        </w:rPr>
        <w:t>E20_Objet_biologique</w:t>
      </w:r>
      <w:r>
        <w:t xml:space="preserve"> dans le monde réel</w:t>
      </w:r>
      <w:r w:rsidR="00784AE7">
        <w:t> »</w:t>
      </w:r>
      <w:r>
        <w:t>, mais il est néanmoins possible d</w:t>
      </w:r>
      <w:r w:rsidR="00E84B0E">
        <w:t>’</w:t>
      </w:r>
      <w:r>
        <w:t xml:space="preserve">énumérer « tous les éléments </w:t>
      </w:r>
      <w:r>
        <w:rPr>
          <w:rStyle w:val="VerbatimChar"/>
        </w:rPr>
        <w:t>E19_Objet_matériel</w:t>
      </w:r>
      <w:r>
        <w:t xml:space="preserve"> connus de ce système qui ne sont pas des </w:t>
      </w:r>
      <w:r>
        <w:rPr>
          <w:rStyle w:val="VerbatimChar"/>
        </w:rPr>
        <w:t>E20_Objet_biologique</w:t>
      </w:r>
      <w:r>
        <w:t xml:space="preserve"> connus de ce même système</w:t>
      </w:r>
      <w:r w:rsidR="00784AE7">
        <w:t> »</w:t>
      </w:r>
      <w:r>
        <w:t>.</w:t>
      </w:r>
    </w:p>
    <w:p w14:paraId="5D8E678E" w14:textId="49A616F4" w:rsidR="00065317" w:rsidRDefault="005C7BF7">
      <w:pPr>
        <w:pStyle w:val="Corpsdetexte"/>
      </w:pPr>
      <w:r>
        <w:t>[</w:t>
      </w:r>
      <w:r w:rsidR="009E315A">
        <w:t>n.d.t.</w:t>
      </w:r>
      <w:r w:rsidR="00AF51A3">
        <w:t xml:space="preserve"> </w:t>
      </w:r>
      <w:r>
        <w:t xml:space="preserve">voir la section sur la </w:t>
      </w:r>
      <w:hyperlink w:anchor="de-la-minimalite">
        <w:r>
          <w:rPr>
            <w:rStyle w:val="Lienhypertexte"/>
          </w:rPr>
          <w:t>Minimalité</w:t>
        </w:r>
      </w:hyperlink>
      <w:r>
        <w:t xml:space="preserve"> dans les </w:t>
      </w:r>
      <w:hyperlink w:anchor="principes-de-modelisation">
        <w:r>
          <w:rPr>
            <w:rStyle w:val="Lienhypertexte"/>
          </w:rPr>
          <w:t>Principes de modélisation</w:t>
        </w:r>
      </w:hyperlink>
      <w:r>
        <w:t>].</w:t>
      </w:r>
    </w:p>
    <w:p w14:paraId="3B279B09" w14:textId="77777777" w:rsidR="00065317" w:rsidRDefault="005C7BF7">
      <w:pPr>
        <w:pStyle w:val="Normalcentr"/>
      </w:pPr>
      <w:r>
        <w:rPr>
          <w:b/>
          <w:bCs/>
          <w:i/>
          <w:iCs/>
        </w:rPr>
        <w:t>Note de traduction</w:t>
      </w:r>
    </w:p>
    <w:p w14:paraId="40A03945" w14:textId="2B0CE408" w:rsidR="00065317" w:rsidRDefault="005C7BF7" w:rsidP="00AF51A3">
      <w:pPr>
        <w:pStyle w:val="Normalcentr"/>
      </w:pPr>
      <w:r>
        <w:rPr>
          <w:b/>
          <w:bCs/>
          <w:i/>
          <w:iCs/>
        </w:rPr>
        <w:t>Références</w:t>
      </w:r>
      <w:bookmarkStart w:id="40" w:name="terminologie-complement"/>
      <w:bookmarkEnd w:id="40"/>
    </w:p>
    <w:p w14:paraId="5DC1DBA4" w14:textId="77777777" w:rsidR="00065317" w:rsidRDefault="005C7BF7">
      <w:pPr>
        <w:pStyle w:val="Corpsdetexte"/>
      </w:pPr>
      <w:r>
        <w:rPr>
          <w:b/>
          <w:bCs/>
        </w:rPr>
        <w:t>Complément</w:t>
      </w:r>
    </w:p>
    <w:p w14:paraId="7113F8AB" w14:textId="7A6D1608" w:rsidR="00065317" w:rsidRDefault="005C7BF7">
      <w:pPr>
        <w:pStyle w:val="Corpsdetexte"/>
      </w:pPr>
      <w:r>
        <w:t>Le complément d</w:t>
      </w:r>
      <w:r w:rsidR="00E84B0E">
        <w:t>’</w:t>
      </w:r>
      <w:r>
        <w:t xml:space="preserve">une </w:t>
      </w:r>
      <w:hyperlink w:anchor="terminologie-classe">
        <w:r>
          <w:rPr>
            <w:rStyle w:val="Lienhypertexte"/>
          </w:rPr>
          <w:t>classe</w:t>
        </w:r>
      </w:hyperlink>
      <w:r>
        <w:t xml:space="preserve"> </w:t>
      </w:r>
      <w:r>
        <w:rPr>
          <w:rStyle w:val="VerbatimChar"/>
        </w:rPr>
        <w:t>A</w:t>
      </w:r>
      <w:r>
        <w:t xml:space="preserve"> par rapport à une de ses </w:t>
      </w:r>
      <w:hyperlink w:anchor="terminologie-super-classe">
        <w:r>
          <w:rPr>
            <w:rStyle w:val="Lienhypertexte"/>
            <w:b/>
            <w:bCs/>
          </w:rPr>
          <w:t>super-classes</w:t>
        </w:r>
      </w:hyperlink>
      <w:r>
        <w:t xml:space="preserve"> </w:t>
      </w:r>
      <w:r>
        <w:rPr>
          <w:rStyle w:val="VerbatimChar"/>
        </w:rPr>
        <w:t>B</w:t>
      </w:r>
      <w:r>
        <w:t xml:space="preserve"> est l</w:t>
      </w:r>
      <w:r w:rsidR="00E84B0E">
        <w:t>’</w:t>
      </w:r>
      <w:r>
        <w:t xml:space="preserve">ensemble de toutes les </w:t>
      </w:r>
      <w:hyperlink w:anchor="terminologie-instance">
        <w:r>
          <w:rPr>
            <w:rStyle w:val="Lienhypertexte"/>
            <w:b/>
            <w:bCs/>
          </w:rPr>
          <w:t>instances</w:t>
        </w:r>
      </w:hyperlink>
      <w:r>
        <w:t xml:space="preserve"> de </w:t>
      </w:r>
      <w:r>
        <w:rPr>
          <w:rStyle w:val="VerbatimChar"/>
        </w:rPr>
        <w:t>B</w:t>
      </w:r>
      <w:r>
        <w:t xml:space="preserve"> qui ne sont pas des instances de </w:t>
      </w:r>
      <w:r>
        <w:rPr>
          <w:rStyle w:val="VerbatimChar"/>
        </w:rPr>
        <w:t>A</w:t>
      </w:r>
      <w:r>
        <w:t>. Formellement, il s</w:t>
      </w:r>
      <w:r w:rsidR="00E84B0E">
        <w:t>’</w:t>
      </w:r>
      <w:r>
        <w:t>agit (en ce qui a trait à la théorie des ensembles) de l</w:t>
      </w:r>
      <w:r w:rsidR="00E84B0E">
        <w:t>’</w:t>
      </w:r>
      <w:hyperlink w:anchor="terminologie-extension">
        <w:r>
          <w:rPr>
            <w:rStyle w:val="Lienhypertexte"/>
            <w:b/>
            <w:bCs/>
          </w:rPr>
          <w:t>extension</w:t>
        </w:r>
      </w:hyperlink>
      <w:r>
        <w:t xml:space="preserve"> de </w:t>
      </w:r>
      <w:r>
        <w:rPr>
          <w:rStyle w:val="VerbatimChar"/>
        </w:rPr>
        <w:t>B</w:t>
      </w:r>
      <w:r>
        <w:t xml:space="preserve"> moins l</w:t>
      </w:r>
      <w:r w:rsidR="00E84B0E">
        <w:t>’</w:t>
      </w:r>
      <w:r>
        <w:t xml:space="preserve">extension de </w:t>
      </w:r>
      <w:r>
        <w:rPr>
          <w:rStyle w:val="VerbatimChar"/>
        </w:rPr>
        <w:t>A</w:t>
      </w:r>
      <w:r>
        <w:t xml:space="preserve">. Les extensions compatibles de </w:t>
      </w:r>
      <w:r w:rsidR="00C8288F">
        <w:t>CIDOC CRM</w:t>
      </w:r>
      <w:r>
        <w:t xml:space="preserve"> ne devraient déclarer aucune classe dont l</w:t>
      </w:r>
      <w:r w:rsidR="00E84B0E">
        <w:t>’</w:t>
      </w:r>
      <w:hyperlink w:anchor="terminologie-intension">
        <w:r>
          <w:rPr>
            <w:rStyle w:val="Lienhypertexte"/>
            <w:b/>
            <w:bCs/>
          </w:rPr>
          <w:t>intension</w:t>
        </w:r>
      </w:hyperlink>
      <w:r>
        <w:t xml:space="preserve"> est le complément de l</w:t>
      </w:r>
      <w:r w:rsidR="00E84B0E">
        <w:t>’</w:t>
      </w:r>
      <w:r>
        <w:t>une ou de plusieurs classes. Ce</w:t>
      </w:r>
      <w:r w:rsidR="00714434">
        <w:t>la</w:t>
      </w:r>
      <w:r>
        <w:t xml:space="preserve"> contreviendrait aux principes du </w:t>
      </w:r>
      <w:hyperlink w:anchor="terminologie-monde-ouvert">
        <w:r>
          <w:rPr>
            <w:rStyle w:val="Lienhypertexte"/>
            <w:b/>
            <w:bCs/>
          </w:rPr>
          <w:t>Monde Ouvert</w:t>
        </w:r>
      </w:hyperlink>
      <w:r>
        <w:t xml:space="preserve"> [n.d.t. selon lesquels], par exemple, pour tous les genres humains possibles, le masculin ne devrait pas être déclaré complémentaire du féminin et vice-versa.</w:t>
      </w:r>
    </w:p>
    <w:p w14:paraId="2637AD03" w14:textId="77777777" w:rsidR="00065317" w:rsidRDefault="005C7BF7">
      <w:pPr>
        <w:pStyle w:val="Normalcentr"/>
      </w:pPr>
      <w:r>
        <w:rPr>
          <w:b/>
          <w:bCs/>
          <w:i/>
          <w:iCs/>
        </w:rPr>
        <w:t>Note de traduction</w:t>
      </w:r>
    </w:p>
    <w:p w14:paraId="40F50D5A" w14:textId="433774B6" w:rsidR="00065317" w:rsidRDefault="005C7BF7">
      <w:pPr>
        <w:pStyle w:val="Normalcentr"/>
      </w:pPr>
      <w:r>
        <w:t>La dernière phrase du texte original semble avoir pour objectif d</w:t>
      </w:r>
      <w:r w:rsidR="00E84B0E">
        <w:t>’</w:t>
      </w:r>
      <w:r>
        <w:t>inclure toutes les personnes, mais elle est formulée de manière quelque peu cavalière et ne s</w:t>
      </w:r>
      <w:r w:rsidR="00E84B0E">
        <w:t>’</w:t>
      </w:r>
      <w:r>
        <w:t>aligne pas avec l</w:t>
      </w:r>
      <w:r w:rsidR="00E84B0E">
        <w:t>’</w:t>
      </w:r>
      <w:r>
        <w:t>approche des autres exemples mentionnés de sorte qu</w:t>
      </w:r>
      <w:r w:rsidR="00E84B0E">
        <w:t>’</w:t>
      </w:r>
      <w:r>
        <w:t>elle pourrait être considérée marginalisante et peu inclusive. Puisqu</w:t>
      </w:r>
      <w:r w:rsidR="00E84B0E">
        <w:t>’</w:t>
      </w:r>
      <w:r>
        <w:t>elle n</w:t>
      </w:r>
      <w:r w:rsidR="00E84B0E">
        <w:t>’</w:t>
      </w:r>
      <w:r>
        <w:t>apporte pas d</w:t>
      </w:r>
      <w:r w:rsidR="00E84B0E">
        <w:t>’</w:t>
      </w:r>
      <w:r>
        <w:t>information supplémentaire, elle a été retirée du texte traduit.</w:t>
      </w:r>
    </w:p>
    <w:p w14:paraId="51FC26BE" w14:textId="6F7DA462" w:rsidR="00065317" w:rsidRDefault="005C7BF7" w:rsidP="00AF51A3">
      <w:pPr>
        <w:pStyle w:val="Normalcentr"/>
      </w:pPr>
      <w:r>
        <w:rPr>
          <w:b/>
          <w:bCs/>
          <w:i/>
          <w:iCs/>
        </w:rPr>
        <w:t>Références</w:t>
      </w:r>
      <w:bookmarkStart w:id="41" w:name="terminologie-inclusion-des-requetes"/>
      <w:bookmarkEnd w:id="41"/>
    </w:p>
    <w:p w14:paraId="516716F9" w14:textId="77777777" w:rsidR="00065317" w:rsidRDefault="005C7BF7">
      <w:pPr>
        <w:pStyle w:val="Corpsdetexte"/>
      </w:pPr>
      <w:r>
        <w:rPr>
          <w:b/>
          <w:bCs/>
        </w:rPr>
        <w:t>Inclusion des requêtes</w:t>
      </w:r>
    </w:p>
    <w:p w14:paraId="7AE92106" w14:textId="1C8D7E0F" w:rsidR="00065317" w:rsidRDefault="005C7BF7">
      <w:pPr>
        <w:pStyle w:val="Corpsdetexte"/>
      </w:pPr>
      <w:r>
        <w:t>L</w:t>
      </w:r>
      <w:r w:rsidR="00E84B0E">
        <w:t>’</w:t>
      </w:r>
      <w:r>
        <w:t xml:space="preserve">inclusion des requêtes [n.d.t relève de la théorie des bases de données et statue] que pour une requête </w:t>
      </w:r>
      <w:r>
        <w:rPr>
          <w:rStyle w:val="VerbatimChar"/>
        </w:rPr>
        <w:t>X</w:t>
      </w:r>
      <w:r>
        <w:t xml:space="preserve"> qui contient une requête </w:t>
      </w:r>
      <w:r>
        <w:rPr>
          <w:rStyle w:val="VerbatimChar"/>
        </w:rPr>
        <w:t>Y</w:t>
      </w:r>
      <w:r>
        <w:t>, pour chaque population possible de la base de données l</w:t>
      </w:r>
      <w:r w:rsidR="00E84B0E">
        <w:t>’</w:t>
      </w:r>
      <w:r>
        <w:t xml:space="preserve">ensemble de résultats de la requête </w:t>
      </w:r>
      <w:r>
        <w:rPr>
          <w:rStyle w:val="VerbatimChar"/>
        </w:rPr>
        <w:t>X</w:t>
      </w:r>
      <w:r>
        <w:t xml:space="preserve"> contient aussi l</w:t>
      </w:r>
      <w:r w:rsidR="00E84B0E">
        <w:t>’</w:t>
      </w:r>
      <w:r>
        <w:t xml:space="preserve">ensemble de résultats de la requête </w:t>
      </w:r>
      <w:r>
        <w:rPr>
          <w:rStyle w:val="VerbatimChar"/>
        </w:rPr>
        <w:t>Y</w:t>
      </w:r>
      <w:r>
        <w:t>. [</w:t>
      </w:r>
      <w:r w:rsidR="00AF51A3">
        <w:t xml:space="preserve">n.d.t. </w:t>
      </w:r>
      <w:r>
        <w:t xml:space="preserve">Dans le cadre de </w:t>
      </w:r>
      <w:r w:rsidR="00C8288F">
        <w:t>CIDOC CRM</w:t>
      </w:r>
      <w:r>
        <w:t>, ce</w:t>
      </w:r>
      <w:r w:rsidR="00714434">
        <w:t>la</w:t>
      </w:r>
      <w:r>
        <w:t xml:space="preserve"> implique que] si les requêtes </w:t>
      </w:r>
      <w:r>
        <w:rPr>
          <w:rStyle w:val="VerbatimChar"/>
        </w:rPr>
        <w:t>X</w:t>
      </w:r>
      <w:r>
        <w:t xml:space="preserve"> et </w:t>
      </w:r>
      <w:r>
        <w:rPr>
          <w:rStyle w:val="VerbatimChar"/>
        </w:rPr>
        <w:t>Y</w:t>
      </w:r>
      <w:r>
        <w:t xml:space="preserve"> étaient des </w:t>
      </w:r>
      <w:hyperlink w:anchor="terminologie-classe">
        <w:r>
          <w:rPr>
            <w:rStyle w:val="Lienhypertexte"/>
          </w:rPr>
          <w:t>classes</w:t>
        </w:r>
      </w:hyperlink>
      <w:r>
        <w:t xml:space="preserve">, alors </w:t>
      </w:r>
      <w:r>
        <w:rPr>
          <w:rStyle w:val="VerbatimChar"/>
        </w:rPr>
        <w:t>X</w:t>
      </w:r>
      <w:r>
        <w:t xml:space="preserve"> serait </w:t>
      </w:r>
      <w:hyperlink w:anchor="terminologie-super-classe">
        <w:r>
          <w:rPr>
            <w:rStyle w:val="Lienhypertexte"/>
            <w:b/>
            <w:bCs/>
          </w:rPr>
          <w:t>super-classe</w:t>
        </w:r>
      </w:hyperlink>
      <w:r>
        <w:t xml:space="preserve"> de </w:t>
      </w:r>
      <w:r>
        <w:rPr>
          <w:rStyle w:val="VerbatimChar"/>
        </w:rPr>
        <w:t>Y</w:t>
      </w:r>
      <w:r>
        <w:t>.</w:t>
      </w:r>
    </w:p>
    <w:p w14:paraId="5CA4E9D3" w14:textId="77777777" w:rsidR="00065317" w:rsidRDefault="005C7BF7">
      <w:pPr>
        <w:pStyle w:val="Normalcentr"/>
      </w:pPr>
      <w:r>
        <w:rPr>
          <w:b/>
          <w:bCs/>
          <w:i/>
          <w:iCs/>
        </w:rPr>
        <w:t>Note de traduction</w:t>
      </w:r>
    </w:p>
    <w:p w14:paraId="3DAB2D3A" w14:textId="5FDF0F8A" w:rsidR="00065317" w:rsidRDefault="005C7BF7">
      <w:pPr>
        <w:pStyle w:val="Normalcentr"/>
      </w:pPr>
      <w:r>
        <w:t>Le terme « query containment » a été traduit par « inclusion des requêtes ». Le « containment » est généralement traduit dans le domaine de l</w:t>
      </w:r>
      <w:r w:rsidR="00E84B0E">
        <w:t>’</w:t>
      </w:r>
      <w:r>
        <w:t>algèbre par « inclusion » et dans le domaine logiciel par « contenance ». Puisqu</w:t>
      </w:r>
      <w:r w:rsidR="00E84B0E">
        <w:t>’</w:t>
      </w:r>
      <w:r>
        <w:t>il s</w:t>
      </w:r>
      <w:r w:rsidR="00E84B0E">
        <w:t>’</w:t>
      </w:r>
      <w:r>
        <w:t>agit d</w:t>
      </w:r>
      <w:r w:rsidR="00E84B0E">
        <w:t>’</w:t>
      </w:r>
      <w:r>
        <w:t>un problème fondamentalement théorique et algorithmique, il est apparu préférable de se rapprocher de l</w:t>
      </w:r>
      <w:r w:rsidR="00E84B0E">
        <w:t>’</w:t>
      </w:r>
      <w:r>
        <w:t>usage mathématique.</w:t>
      </w:r>
    </w:p>
    <w:p w14:paraId="6AF2E149" w14:textId="77777777" w:rsidR="00065317" w:rsidRDefault="005C7BF7">
      <w:pPr>
        <w:pStyle w:val="Normalcentr"/>
      </w:pPr>
      <w:r>
        <w:rPr>
          <w:b/>
          <w:bCs/>
          <w:i/>
          <w:iCs/>
        </w:rPr>
        <w:t>Références</w:t>
      </w:r>
    </w:p>
    <w:p w14:paraId="02B997D9" w14:textId="77777777" w:rsidR="00065317" w:rsidRDefault="005C7BF7">
      <w:pPr>
        <w:pStyle w:val="Normalcentr"/>
      </w:pPr>
      <w:r>
        <w:t>Groz, Benoît. « Inclusion et équivalence de requêtes conjonctives ». Rapport de stage, Institut national de recherche en sciences et technologies du numérique, 2008.</w:t>
      </w:r>
      <w:hyperlink r:id="rId42">
        <w:r>
          <w:rPr>
            <w:rStyle w:val="Lienhypertexte"/>
          </w:rPr>
          <w:t xml:space="preserve"> </w:t>
        </w:r>
      </w:hyperlink>
      <w:hyperlink r:id="rId43">
        <w:r>
          <w:rPr>
            <w:rStyle w:val="Lienhypertexte"/>
          </w:rPr>
          <w:t>https://www.lri.fr/~groz/documents/rapport.pdf</w:t>
        </w:r>
      </w:hyperlink>
      <w:r>
        <w:t>.</w:t>
      </w:r>
    </w:p>
    <w:p w14:paraId="00989FEE" w14:textId="60E7D69D" w:rsidR="00784AE7" w:rsidRDefault="005C7BF7" w:rsidP="00AF51A3">
      <w:pPr>
        <w:pStyle w:val="Normalcentr"/>
      </w:pPr>
      <w:r>
        <w:t xml:space="preserve">Termium. « containment ». Dans </w:t>
      </w:r>
      <w:r>
        <w:rPr>
          <w:i/>
          <w:iCs/>
        </w:rPr>
        <w:t>Termium Plus</w:t>
      </w:r>
      <w:r>
        <w:t>. Ottawa, CA-ON: Gouvernement du Canada, 8</w:t>
      </w:r>
      <w:r w:rsidR="00056DCD">
        <w:t> octobre </w:t>
      </w:r>
      <w:r>
        <w:t>2009.</w:t>
      </w:r>
      <w:hyperlink r:id="rId44" w:anchor="resultrecs">
        <w:r>
          <w:rPr>
            <w:rStyle w:val="Lienhypertexte"/>
          </w:rPr>
          <w:t xml:space="preserve"> </w:t>
        </w:r>
      </w:hyperlink>
      <w:hyperlink r:id="rId45" w:anchor="resultrecs">
        <w:r>
          <w:rPr>
            <w:rStyle w:val="Lienhypertexte"/>
          </w:rPr>
          <w:t>https://www.btb.termiumplus.gc.ca/tpv2alpha/alpha-fra.html?lang=fra&amp;i=1&amp;srchtxt=containment&amp;index=ent&amp;codom2nd_wet=1#resultrecs</w:t>
        </w:r>
      </w:hyperlink>
      <w:r>
        <w:t>.</w:t>
      </w:r>
      <w:bookmarkStart w:id="42" w:name="Xb7685d8e48c0c7749851f5fbcc2e435bcfbd99b"/>
      <w:bookmarkEnd w:id="42"/>
    </w:p>
    <w:p w14:paraId="6586012C" w14:textId="4A8FBC2C" w:rsidR="00065317" w:rsidRPr="00784AE7" w:rsidRDefault="00784AE7" w:rsidP="00784AE7">
      <w:pPr>
        <w:spacing w:after="0"/>
        <w:rPr>
          <w:sz w:val="22"/>
        </w:rPr>
      </w:pPr>
      <w:r>
        <w:br w:type="page"/>
      </w:r>
    </w:p>
    <w:p w14:paraId="7A3C2DE5" w14:textId="77777777" w:rsidR="00065317" w:rsidRDefault="005C7BF7">
      <w:pPr>
        <w:pStyle w:val="Corpsdetexte"/>
      </w:pPr>
      <w:r>
        <w:rPr>
          <w:b/>
          <w:bCs/>
        </w:rPr>
        <w:lastRenderedPageBreak/>
        <w:t>Interopérabilité [syntactique]</w:t>
      </w:r>
    </w:p>
    <w:p w14:paraId="71B9B27C" w14:textId="59B585D5" w:rsidR="00065317" w:rsidRDefault="005C7BF7">
      <w:pPr>
        <w:pStyle w:val="Corpsdetexte"/>
      </w:pPr>
      <w:r>
        <w:t>L</w:t>
      </w:r>
      <w:r w:rsidR="00E84B0E">
        <w:t>’</w:t>
      </w:r>
      <w:r>
        <w:t>interopérabilité réfère à la capacité de différents systèmes d</w:t>
      </w:r>
      <w:r w:rsidR="00E84B0E">
        <w:t>’</w:t>
      </w:r>
      <w:r>
        <w:t>information de communiquer de l</w:t>
      </w:r>
      <w:r w:rsidR="00E84B0E">
        <w:t>’</w:t>
      </w:r>
      <w:r>
        <w:t>information [</w:t>
      </w:r>
      <w:r w:rsidR="00AF51A3">
        <w:t xml:space="preserve">n.d.t. </w:t>
      </w:r>
      <w:r>
        <w:t>entre eux], ce qui implique :</w:t>
      </w:r>
    </w:p>
    <w:p w14:paraId="7C013402" w14:textId="4EA8A85B" w:rsidR="00065317" w:rsidRDefault="005C7BF7">
      <w:pPr>
        <w:numPr>
          <w:ilvl w:val="0"/>
          <w:numId w:val="11"/>
        </w:numPr>
      </w:pPr>
      <w:r>
        <w:t>que deux systèmes peuvent échanger de l</w:t>
      </w:r>
      <w:r w:rsidR="00E84B0E">
        <w:t>’</w:t>
      </w:r>
      <w:r>
        <w:t>information</w:t>
      </w:r>
      <w:r w:rsidR="007A212E">
        <w:t>;</w:t>
      </w:r>
    </w:p>
    <w:p w14:paraId="55351F65" w14:textId="6F4A2D66" w:rsidR="00065317" w:rsidRDefault="007A212E">
      <w:pPr>
        <w:numPr>
          <w:ilvl w:val="0"/>
          <w:numId w:val="11"/>
        </w:numPr>
      </w:pPr>
      <w:r>
        <w:t xml:space="preserve">et/ou </w:t>
      </w:r>
      <w:r w:rsidR="005C7BF7">
        <w:t>qu</w:t>
      </w:r>
      <w:r w:rsidR="00E84B0E">
        <w:t>’</w:t>
      </w:r>
      <w:r w:rsidR="005C7BF7">
        <w:t>il est possible d</w:t>
      </w:r>
      <w:r w:rsidR="00E84B0E">
        <w:t>’</w:t>
      </w:r>
      <w:r w:rsidR="005C7BF7">
        <w:t>accéder à plusieurs systèmes grâce à une seule méthode.</w:t>
      </w:r>
    </w:p>
    <w:p w14:paraId="72024A78" w14:textId="0BD04074" w:rsidR="00065317" w:rsidRDefault="005C7BF7">
      <w:pPr>
        <w:pStyle w:val="FirstParagraph"/>
      </w:pPr>
      <w:r>
        <w:t>Généralement, l</w:t>
      </w:r>
      <w:r w:rsidR="00E84B0E">
        <w:t>’</w:t>
      </w:r>
      <w:r>
        <w:t>interopérabilité syntactique se distingue de l</w:t>
      </w:r>
      <w:r w:rsidR="00E84B0E">
        <w:t>’</w:t>
      </w:r>
      <w:hyperlink w:anchor="terminologie-interoperabilite-semantique">
        <w:r>
          <w:rPr>
            <w:rStyle w:val="Lienhypertexte"/>
            <w:b/>
            <w:bCs/>
          </w:rPr>
          <w:t>interopérabilité sémantique</w:t>
        </w:r>
      </w:hyperlink>
      <w:r>
        <w:t xml:space="preserve"> par le fait que l</w:t>
      </w:r>
      <w:r w:rsidR="00E84B0E">
        <w:t>’</w:t>
      </w:r>
      <w:r>
        <w:t>information encodée et les protocoles d</w:t>
      </w:r>
      <w:r w:rsidR="00E84B0E">
        <w:t>’</w:t>
      </w:r>
      <w:r>
        <w:t>accès syntactiques sont compatibles de telle sorte que l</w:t>
      </w:r>
      <w:r w:rsidR="00E84B0E">
        <w:t>’</w:t>
      </w:r>
      <w:r>
        <w:t>information peut être traitée sans erreur. Par contre, ce</w:t>
      </w:r>
      <w:r w:rsidR="00714434">
        <w:t>la</w:t>
      </w:r>
      <w:r>
        <w:t xml:space="preserve"> ne garantit pas que chaque système traite les données en adéquation avec la signification initiale des données. Par exemple, un système peut avoir une table « Acteur » alors qu</w:t>
      </w:r>
      <w:r w:rsidR="00E84B0E">
        <w:t>’</w:t>
      </w:r>
      <w:r>
        <w:t>un autre peut avoir une table « Agent » [</w:t>
      </w:r>
      <w:r w:rsidR="00AF51A3">
        <w:t xml:space="preserve">n.d.t. </w:t>
      </w:r>
      <w:r>
        <w:t>qui traitent toutes deux le même type d</w:t>
      </w:r>
      <w:r w:rsidR="00E84B0E">
        <w:t>’</w:t>
      </w:r>
      <w:r>
        <w:t>information]. L</w:t>
      </w:r>
      <w:r w:rsidR="00E84B0E">
        <w:t>’</w:t>
      </w:r>
      <w:r>
        <w:t>interopérabilité syntactique ne permet d</w:t>
      </w:r>
      <w:r w:rsidR="00E84B0E">
        <w:t>’</w:t>
      </w:r>
      <w:r>
        <w:t>extraire les données que de manière distincte malgré que leur sens soit le même. La prise en compte de la signification des données lors de leur traitement nécessite en effet l</w:t>
      </w:r>
      <w:r w:rsidR="00E84B0E">
        <w:t>’</w:t>
      </w:r>
      <w:r>
        <w:t>usage de l</w:t>
      </w:r>
      <w:r w:rsidR="00E84B0E">
        <w:t>’</w:t>
      </w:r>
      <w:r>
        <w:t>interopérabilité sémantique en plus de l</w:t>
      </w:r>
      <w:r w:rsidR="00E84B0E">
        <w:t>’</w:t>
      </w:r>
      <w:r>
        <w:t xml:space="preserve">interopérabilité syntactique. Le </w:t>
      </w:r>
      <w:r w:rsidR="00C8288F">
        <w:t>CIDOC CRM</w:t>
      </w:r>
      <w:r>
        <w:t xml:space="preserve"> se repose sur cette dernière et n</w:t>
      </w:r>
      <w:r w:rsidR="00E84B0E">
        <w:t>’</w:t>
      </w:r>
      <w:r>
        <w:t>a pour objectif que d</w:t>
      </w:r>
      <w:r w:rsidR="00E84B0E">
        <w:t>’</w:t>
      </w:r>
      <w:r>
        <w:t>ajouter l</w:t>
      </w:r>
      <w:r w:rsidR="00E84B0E">
        <w:t>’</w:t>
      </w:r>
      <w:r>
        <w:rPr>
          <w:i/>
          <w:iCs/>
        </w:rPr>
        <w:t>interopérabilité sémantique</w:t>
      </w:r>
      <w:r>
        <w:t>.</w:t>
      </w:r>
    </w:p>
    <w:p w14:paraId="5CEFC332" w14:textId="78EABBC0" w:rsidR="00065317" w:rsidRDefault="005C7BF7">
      <w:pPr>
        <w:pStyle w:val="Corpsdetexte"/>
      </w:pPr>
      <w:r>
        <w:t>[</w:t>
      </w:r>
      <w:r w:rsidR="00AF51A3">
        <w:t xml:space="preserve">n.d.t. </w:t>
      </w:r>
      <w:r>
        <w:t xml:space="preserve">voir aussi </w:t>
      </w:r>
      <w:hyperlink w:anchor="terminologie-interoperabilite-semantique">
        <w:r>
          <w:rPr>
            <w:rStyle w:val="Lienhypertexte"/>
          </w:rPr>
          <w:t>Interopérabilité sémantique</w:t>
        </w:r>
      </w:hyperlink>
      <w:r>
        <w:t>].</w:t>
      </w:r>
    </w:p>
    <w:p w14:paraId="75203AB0" w14:textId="77777777" w:rsidR="00065317" w:rsidRDefault="005C7BF7">
      <w:pPr>
        <w:pStyle w:val="Normalcentr"/>
      </w:pPr>
      <w:r>
        <w:rPr>
          <w:b/>
          <w:bCs/>
          <w:i/>
          <w:iCs/>
        </w:rPr>
        <w:t>Note de traduction</w:t>
      </w:r>
    </w:p>
    <w:p w14:paraId="10E08E12" w14:textId="6C541944" w:rsidR="00065317" w:rsidRDefault="005C7BF7" w:rsidP="00AF51A3">
      <w:pPr>
        <w:pStyle w:val="Normalcentr"/>
      </w:pPr>
      <w:r>
        <w:rPr>
          <w:b/>
          <w:bCs/>
          <w:i/>
          <w:iCs/>
        </w:rPr>
        <w:t>Références</w:t>
      </w:r>
      <w:bookmarkStart w:id="43" w:name="terminologie-interoperabilite-semantique"/>
      <w:bookmarkEnd w:id="43"/>
    </w:p>
    <w:p w14:paraId="11B706BC" w14:textId="77777777" w:rsidR="00065317" w:rsidRDefault="005C7BF7">
      <w:pPr>
        <w:pStyle w:val="Corpsdetexte"/>
      </w:pPr>
      <w:r>
        <w:rPr>
          <w:b/>
          <w:bCs/>
        </w:rPr>
        <w:t>Interopérabilité sémantique</w:t>
      </w:r>
    </w:p>
    <w:p w14:paraId="358A04A2" w14:textId="5958CEBE" w:rsidR="00065317" w:rsidRDefault="00C738AA">
      <w:pPr>
        <w:pStyle w:val="Corpsdetexte"/>
      </w:pPr>
      <w:hyperlink w:anchor="terminologie-interoperabilite-semantique">
        <w:r w:rsidR="005C7BF7">
          <w:rPr>
            <w:rStyle w:val="Lienhypertexte"/>
          </w:rPr>
          <w:t>L</w:t>
        </w:r>
        <w:r w:rsidR="00E84B0E">
          <w:rPr>
            <w:rStyle w:val="Lienhypertexte"/>
          </w:rPr>
          <w:t>’</w:t>
        </w:r>
      </w:hyperlink>
      <w:hyperlink w:anchor="terminologie-interoperabilite-semantique">
        <w:r w:rsidR="005C7BF7">
          <w:rPr>
            <w:rStyle w:val="Lienhypertexte"/>
            <w:b/>
            <w:bCs/>
          </w:rPr>
          <w:t>interopérabilité</w:t>
        </w:r>
      </w:hyperlink>
      <w:r w:rsidR="005C7BF7">
        <w:t xml:space="preserve"> sémantique réfère à la capacité de différents systèmes d</w:t>
      </w:r>
      <w:r w:rsidR="00E84B0E">
        <w:t>’</w:t>
      </w:r>
      <w:r w:rsidR="005C7BF7">
        <w:t>information de communiquer de l</w:t>
      </w:r>
      <w:r w:rsidR="00E84B0E">
        <w:t>’</w:t>
      </w:r>
      <w:r w:rsidR="005C7BF7">
        <w:t>information [</w:t>
      </w:r>
      <w:r w:rsidR="00AF51A3">
        <w:t xml:space="preserve">n.d.t. </w:t>
      </w:r>
      <w:r w:rsidR="005C7BF7">
        <w:t>entre eux] en adéquation avec sa signification initiale, ce qui comprend :</w:t>
      </w:r>
    </w:p>
    <w:p w14:paraId="0AE08662" w14:textId="77777777" w:rsidR="00065317" w:rsidRDefault="005C7BF7">
      <w:pPr>
        <w:numPr>
          <w:ilvl w:val="0"/>
          <w:numId w:val="12"/>
        </w:numPr>
      </w:pPr>
      <w:r>
        <w:t>les éléments de la structure de données impliqués;</w:t>
      </w:r>
    </w:p>
    <w:p w14:paraId="629014AC" w14:textId="77777777" w:rsidR="00065317" w:rsidRDefault="005C7BF7">
      <w:pPr>
        <w:numPr>
          <w:ilvl w:val="0"/>
          <w:numId w:val="12"/>
        </w:numPr>
      </w:pPr>
      <w:r>
        <w:t>la terminologie présentée comme données;</w:t>
      </w:r>
    </w:p>
    <w:p w14:paraId="4C75F7BB" w14:textId="77777777" w:rsidR="00065317" w:rsidRDefault="005C7BF7">
      <w:pPr>
        <w:numPr>
          <w:ilvl w:val="0"/>
          <w:numId w:val="12"/>
        </w:numPr>
      </w:pPr>
      <w:r>
        <w:t>les identifiants représentant des éléments factuels comme des lieux, des personnes et des objets dans les données.</w:t>
      </w:r>
    </w:p>
    <w:p w14:paraId="64AD9454" w14:textId="3AB7511D" w:rsidR="00065317" w:rsidRDefault="005C7BF7">
      <w:pPr>
        <w:pStyle w:val="FirstParagraph"/>
      </w:pPr>
      <w:r>
        <w:t>La communication des éléments structurels doit être résolue en premier lieu. Une communication adéquate implique à cet égard que les données transférées d</w:t>
      </w:r>
      <w:r w:rsidR="00E84B0E">
        <w:t>’</w:t>
      </w:r>
      <w:r>
        <w:t>une structure à l</w:t>
      </w:r>
      <w:r w:rsidR="00E84B0E">
        <w:t>’</w:t>
      </w:r>
      <w:r>
        <w:t>autre conservent leur signification, ou que les données référant aux mêmes éléments et ayant la même signification soient fusionnées. En pratique cependant, en raison des niveaux de généralisation qui varient d</w:t>
      </w:r>
      <w:r w:rsidR="00E84B0E">
        <w:t>’</w:t>
      </w:r>
      <w:r>
        <w:t>un système à l</w:t>
      </w:r>
      <w:r w:rsidR="00E84B0E">
        <w:t>’</w:t>
      </w:r>
      <w:r>
        <w:t>autre, ce</w:t>
      </w:r>
      <w:r w:rsidR="00714434">
        <w:t>la</w:t>
      </w:r>
      <w:r>
        <w:t xml:space="preserve"> n</w:t>
      </w:r>
      <w:r w:rsidR="00E84B0E">
        <w:t>’</w:t>
      </w:r>
      <w:r>
        <w:t>est souvent pas possible.</w:t>
      </w:r>
    </w:p>
    <w:p w14:paraId="72203AB9" w14:textId="318524FC" w:rsidR="00065317" w:rsidRDefault="005C7BF7">
      <w:pPr>
        <w:pStyle w:val="Corpsdetexte"/>
      </w:pPr>
      <w:r>
        <w:t>L</w:t>
      </w:r>
      <w:r w:rsidR="00E84B0E">
        <w:t>’</w:t>
      </w:r>
      <w:r>
        <w:t>interopérabilité sémantique est donc considérée atteinte si des éléments attestant une généralisation raisonnablement comparable au transfert ou à la fusion [</w:t>
      </w:r>
      <w:r w:rsidR="00AF51A3">
        <w:t xml:space="preserve">n.d.t. </w:t>
      </w:r>
      <w:r>
        <w:t>des données concernées] sont identifiés. Ce</w:t>
      </w:r>
      <w:r w:rsidR="00714434">
        <w:t>la</w:t>
      </w:r>
      <w:r>
        <w:t xml:space="preserve"> est un problème théorique étudié sous le nom du problème de l</w:t>
      </w:r>
      <w:r w:rsidR="00E84B0E">
        <w:t>’</w:t>
      </w:r>
      <w:hyperlink w:anchor="terminologie-inclusion-des-requetes">
        <w:r>
          <w:rPr>
            <w:rStyle w:val="Lienhypertexte"/>
            <w:b/>
            <w:bCs/>
          </w:rPr>
          <w:t>inclusion des requêtes</w:t>
        </w:r>
      </w:hyperlink>
      <w:r>
        <w:t xml:space="preserve"> »; le </w:t>
      </w:r>
      <w:r w:rsidR="00C8288F">
        <w:t>CIDOC CRM</w:t>
      </w:r>
      <w:r>
        <w:t>, pour sa part, ne se concentre que sur l</w:t>
      </w:r>
      <w:r w:rsidR="00E84B0E">
        <w:t>’</w:t>
      </w:r>
      <w:r>
        <w:t>interopérabilité sémantique des éléments structurés.</w:t>
      </w:r>
    </w:p>
    <w:p w14:paraId="5979ADBD" w14:textId="524BC301" w:rsidR="00065317" w:rsidRDefault="005C7BF7">
      <w:pPr>
        <w:pStyle w:val="Corpsdetexte"/>
      </w:pPr>
      <w:r>
        <w:t>[</w:t>
      </w:r>
      <w:r w:rsidR="00AF51A3">
        <w:t xml:space="preserve">n.d.t. </w:t>
      </w:r>
      <w:r>
        <w:t xml:space="preserve">voir aussi </w:t>
      </w:r>
      <w:hyperlink w:anchor="Xb7685d8e48c0c7749851f5fbcc2e435bcfbd99b">
        <w:r>
          <w:rPr>
            <w:rStyle w:val="Lienhypertexte"/>
          </w:rPr>
          <w:t>Interopérabilité syntactique</w:t>
        </w:r>
      </w:hyperlink>
      <w:r>
        <w:t>].</w:t>
      </w:r>
    </w:p>
    <w:p w14:paraId="2C0B001B" w14:textId="77777777" w:rsidR="00065317" w:rsidRDefault="005C7BF7">
      <w:pPr>
        <w:pStyle w:val="Normalcentr"/>
      </w:pPr>
      <w:r>
        <w:rPr>
          <w:b/>
          <w:bCs/>
          <w:i/>
          <w:iCs/>
        </w:rPr>
        <w:t>Note de traduction</w:t>
      </w:r>
    </w:p>
    <w:p w14:paraId="3D0FDA7C" w14:textId="4BABE472" w:rsidR="00065317" w:rsidRDefault="005C7BF7">
      <w:pPr>
        <w:pStyle w:val="Normalcentr"/>
      </w:pPr>
      <w:r>
        <w:t>Le terme « merge » a été traduit par « fusion », lequel semble être la traduction la plus courante dans le domaine du traitement de l</w:t>
      </w:r>
      <w:r w:rsidR="00E84B0E">
        <w:t>’</w:t>
      </w:r>
      <w:r>
        <w:t>information.</w:t>
      </w:r>
    </w:p>
    <w:p w14:paraId="243D9640" w14:textId="60D96197" w:rsidR="00065317" w:rsidRDefault="005C7BF7">
      <w:pPr>
        <w:pStyle w:val="Normalcentr"/>
      </w:pPr>
      <w:r>
        <w:lastRenderedPageBreak/>
        <w:t>Le terme « query containment » a été traduit par « inclusion des requêtes ». Le « containment » est généralement traduit dans le domaine de l</w:t>
      </w:r>
      <w:r w:rsidR="00E84B0E">
        <w:t>’</w:t>
      </w:r>
      <w:r>
        <w:t>algèbre par « inclusion » et dans le domaine logiciel par « contenance ». Puisqu</w:t>
      </w:r>
      <w:r w:rsidR="00E84B0E">
        <w:t>’</w:t>
      </w:r>
      <w:r>
        <w:t>il s</w:t>
      </w:r>
      <w:r w:rsidR="00E84B0E">
        <w:t>’</w:t>
      </w:r>
      <w:r>
        <w:t>agit d</w:t>
      </w:r>
      <w:r w:rsidR="00E84B0E">
        <w:t>’</w:t>
      </w:r>
      <w:r>
        <w:t>un problème fondamentalement théorique et algorithmique, il est apparu préférable de se rapprocher de l</w:t>
      </w:r>
      <w:r w:rsidR="00E84B0E">
        <w:t>’</w:t>
      </w:r>
      <w:r>
        <w:t>usage mathématique.</w:t>
      </w:r>
    </w:p>
    <w:p w14:paraId="69B9C880" w14:textId="77777777" w:rsidR="00065317" w:rsidRDefault="005C7BF7">
      <w:pPr>
        <w:pStyle w:val="Normalcentr"/>
      </w:pPr>
      <w:r>
        <w:rPr>
          <w:b/>
          <w:bCs/>
          <w:i/>
          <w:iCs/>
        </w:rPr>
        <w:t>Références</w:t>
      </w:r>
    </w:p>
    <w:p w14:paraId="174DB9A2" w14:textId="77777777" w:rsidR="00065317" w:rsidRDefault="005C7BF7">
      <w:pPr>
        <w:pStyle w:val="Normalcentr"/>
      </w:pPr>
      <w:r>
        <w:t>Groz, Benoît. « Inclusion et équivalence de requêtes conjonctives ». Rapport de stage, Institut national de recherche en sciences et technologies du numérique, 2008.</w:t>
      </w:r>
      <w:hyperlink r:id="rId46">
        <w:r>
          <w:rPr>
            <w:rStyle w:val="Lienhypertexte"/>
          </w:rPr>
          <w:t xml:space="preserve"> </w:t>
        </w:r>
      </w:hyperlink>
      <w:hyperlink r:id="rId47">
        <w:r>
          <w:rPr>
            <w:rStyle w:val="Lienhypertexte"/>
          </w:rPr>
          <w:t>https://www.lri.fr/~groz/documents/rapport.pdf</w:t>
        </w:r>
      </w:hyperlink>
      <w:r>
        <w:t>.</w:t>
      </w:r>
    </w:p>
    <w:p w14:paraId="1BD73B3E" w14:textId="7D5B847F" w:rsidR="00065317" w:rsidRDefault="005C7BF7">
      <w:pPr>
        <w:pStyle w:val="Normalcentr"/>
      </w:pPr>
      <w:r>
        <w:t xml:space="preserve">Termium. « containment ». Dans </w:t>
      </w:r>
      <w:r>
        <w:rPr>
          <w:i/>
          <w:iCs/>
        </w:rPr>
        <w:t>Termium Plus</w:t>
      </w:r>
      <w:r>
        <w:t>. Ottawa, CA-ON: Gouvernement du Canada, 8</w:t>
      </w:r>
      <w:r w:rsidR="00056DCD">
        <w:t> octobre </w:t>
      </w:r>
      <w:r>
        <w:t>2009.</w:t>
      </w:r>
      <w:hyperlink r:id="rId48" w:anchor="resultrecs">
        <w:r>
          <w:rPr>
            <w:rStyle w:val="Lienhypertexte"/>
          </w:rPr>
          <w:t xml:space="preserve"> </w:t>
        </w:r>
      </w:hyperlink>
      <w:hyperlink r:id="rId49" w:anchor="resultrecs">
        <w:r>
          <w:rPr>
            <w:rStyle w:val="Lienhypertexte"/>
          </w:rPr>
          <w:t>https://www.btb.termiumplus.gc.ca/tpv2alpha/alpha-fra.html?lang=fra&amp;i=1&amp;srchtxt=containment&amp;index=ent&amp;codom2nd_wet=1#resultrecs</w:t>
        </w:r>
      </w:hyperlink>
      <w:r>
        <w:t>.</w:t>
      </w:r>
    </w:p>
    <w:p w14:paraId="28683069" w14:textId="3018E8E8" w:rsidR="003D3C4F" w:rsidRDefault="005C7BF7" w:rsidP="00AF51A3">
      <w:pPr>
        <w:pStyle w:val="Normalcentr"/>
      </w:pPr>
      <w:r>
        <w:t xml:space="preserve">———. « merge ». Dans </w:t>
      </w:r>
      <w:r>
        <w:rPr>
          <w:i/>
          <w:iCs/>
        </w:rPr>
        <w:t>Termium Plus</w:t>
      </w:r>
      <w:r>
        <w:t>. Ottawa, CA-ON: Gouvernement du Canada, 8</w:t>
      </w:r>
      <w:r w:rsidR="00056DCD">
        <w:t> octobre </w:t>
      </w:r>
      <w:r>
        <w:t>2009.</w:t>
      </w:r>
      <w:hyperlink r:id="rId50" w:anchor="resultrecs">
        <w:r>
          <w:rPr>
            <w:rStyle w:val="Lienhypertexte"/>
          </w:rPr>
          <w:t xml:space="preserve"> </w:t>
        </w:r>
      </w:hyperlink>
      <w:hyperlink r:id="rId51" w:anchor="resultrecs">
        <w:r>
          <w:rPr>
            <w:rStyle w:val="Lienhypertexte"/>
          </w:rPr>
          <w:t>https://www.btb.termiumplus.gc.ca/tpv2alpha/alpha-fra.html?lang=fra&amp;i=1&amp;srchtxt=merge&amp;index=ent&amp;codom2nd_wet=1#resultrecs</w:t>
        </w:r>
      </w:hyperlink>
      <w:r>
        <w:t>.</w:t>
      </w:r>
      <w:bookmarkStart w:id="44" w:name="X3a77811b7576d47c9c051be2c80d6c86422beed"/>
      <w:bookmarkEnd w:id="44"/>
    </w:p>
    <w:p w14:paraId="7CFC987A" w14:textId="56557B4E" w:rsidR="00065317" w:rsidRDefault="005C7BF7">
      <w:pPr>
        <w:pStyle w:val="Corpsdetexte"/>
      </w:pPr>
      <w:r>
        <w:rPr>
          <w:b/>
          <w:bCs/>
        </w:rPr>
        <w:t>Quantificateurs de propriété</w:t>
      </w:r>
    </w:p>
    <w:p w14:paraId="017281F4" w14:textId="4813BD09" w:rsidR="00065317" w:rsidRDefault="005C7BF7">
      <w:pPr>
        <w:pStyle w:val="Corpsdetexte"/>
      </w:pPr>
      <w:r>
        <w:t>Le terme « quantificateurs de propriété » désigne la déclaration du nombre autorisé d</w:t>
      </w:r>
      <w:r w:rsidR="00E84B0E">
        <w:t>’</w:t>
      </w:r>
      <w:hyperlink w:anchor="terminologie-instance">
        <w:r>
          <w:rPr>
            <w:rStyle w:val="Lienhypertexte"/>
            <w:b/>
            <w:bCs/>
          </w:rPr>
          <w:t>instances</w:t>
        </w:r>
      </w:hyperlink>
      <w:r>
        <w:t xml:space="preserve"> d</w:t>
      </w:r>
      <w:r w:rsidR="00E84B0E">
        <w:t>’</w:t>
      </w:r>
      <w:r>
        <w:t xml:space="preserve">une </w:t>
      </w:r>
      <w:hyperlink w:anchor="terminologie-propriete">
        <w:r>
          <w:rPr>
            <w:rStyle w:val="Lienhypertexte"/>
            <w:b/>
            <w:bCs/>
          </w:rPr>
          <w:t>propriété</w:t>
        </w:r>
      </w:hyperlink>
      <w:r>
        <w:t xml:space="preserve"> qui peut référer à une instance particulière d</w:t>
      </w:r>
      <w:r w:rsidR="00E84B0E">
        <w:t>’</w:t>
      </w:r>
      <w:r>
        <w:t xml:space="preserve">une </w:t>
      </w:r>
      <w:hyperlink w:anchor="terminologie-classe">
        <w:r>
          <w:rPr>
            <w:rStyle w:val="Lienhypertexte"/>
          </w:rPr>
          <w:t>classe</w:t>
        </w:r>
      </w:hyperlink>
      <w:r>
        <w:t xml:space="preserve"> de </w:t>
      </w:r>
      <w:hyperlink w:anchor="terminologie-portee">
        <w:r>
          <w:rPr>
            <w:rStyle w:val="Lienhypertexte"/>
            <w:b/>
            <w:bCs/>
          </w:rPr>
          <w:t>portée</w:t>
        </w:r>
      </w:hyperlink>
      <w:r>
        <w:t xml:space="preserve"> ou de </w:t>
      </w:r>
      <w:hyperlink w:anchor="terminologie-domaine">
        <w:r>
          <w:rPr>
            <w:rStyle w:val="Lienhypertexte"/>
            <w:b/>
            <w:bCs/>
          </w:rPr>
          <w:t>domaine</w:t>
        </w:r>
      </w:hyperlink>
      <w:r>
        <w:t xml:space="preserve"> de cette propriété. Ces déclarations sont ontologiques, c.-à-d. qu</w:t>
      </w:r>
      <w:r w:rsidR="00E84B0E">
        <w:t>’</w:t>
      </w:r>
      <w:r>
        <w:t>elles concernent la nature du monde « réel » qui est décrit plutôt que la connaissance de celui-ci. Par exemple, chaque personne a exactement un père [</w:t>
      </w:r>
      <w:r w:rsidR="00AF51A3">
        <w:t xml:space="preserve">n.d.t. </w:t>
      </w:r>
      <w:r>
        <w:t>biologique] même si les connaissances recensées peuvent n</w:t>
      </w:r>
      <w:r w:rsidR="00E84B0E">
        <w:t>’</w:t>
      </w:r>
      <w:r>
        <w:t>en indiquer aucun ou plusieurs.</w:t>
      </w:r>
    </w:p>
    <w:p w14:paraId="20F00F6F" w14:textId="09516FFC" w:rsidR="00065317" w:rsidRDefault="005C7BF7">
      <w:pPr>
        <w:pStyle w:val="Corpsdetexte"/>
      </w:pPr>
      <w:r>
        <w:t>[</w:t>
      </w:r>
      <w:r w:rsidR="00AF51A3">
        <w:t xml:space="preserve">n.d.t. </w:t>
      </w:r>
      <w:r>
        <w:t xml:space="preserve">voir la section </w:t>
      </w:r>
      <w:hyperlink w:anchor="quantificateurs-de-proprietes">
        <w:r>
          <w:rPr>
            <w:rStyle w:val="Lienhypertexte"/>
          </w:rPr>
          <w:t>Quantificateurs de propriétés</w:t>
        </w:r>
      </w:hyperlink>
      <w:r>
        <w:t xml:space="preserve"> dans la section </w:t>
      </w:r>
      <w:hyperlink w:anchor="compatibilite-avec-le-cidoc-crm">
        <w:r>
          <w:rPr>
            <w:rStyle w:val="Lienhypertexte"/>
          </w:rPr>
          <w:t xml:space="preserve">Compatibilité avec le </w:t>
        </w:r>
        <w:r w:rsidR="00C8288F">
          <w:rPr>
            <w:rStyle w:val="Lienhypertexte"/>
          </w:rPr>
          <w:t>CIDOC CRM</w:t>
        </w:r>
      </w:hyperlink>
      <w:r>
        <w:t>].</w:t>
      </w:r>
    </w:p>
    <w:p w14:paraId="348CEC18" w14:textId="77777777" w:rsidR="00065317" w:rsidRDefault="005C7BF7">
      <w:pPr>
        <w:pStyle w:val="Normalcentr"/>
      </w:pPr>
      <w:r>
        <w:rPr>
          <w:b/>
          <w:bCs/>
          <w:i/>
          <w:iCs/>
        </w:rPr>
        <w:t>Note de traduction</w:t>
      </w:r>
    </w:p>
    <w:p w14:paraId="1D4A20BC" w14:textId="77777777" w:rsidR="00065317" w:rsidRDefault="005C7BF7">
      <w:pPr>
        <w:pStyle w:val="Normalcentr"/>
      </w:pPr>
      <w:r>
        <w:rPr>
          <w:b/>
          <w:bCs/>
          <w:i/>
          <w:iCs/>
        </w:rPr>
        <w:t>Références</w:t>
      </w:r>
    </w:p>
    <w:p w14:paraId="7E0B75E6" w14:textId="0732B2D0" w:rsidR="00AF51A3" w:rsidRPr="00784AE7" w:rsidRDefault="005C7BF7" w:rsidP="00784AE7">
      <w:pPr>
        <w:pStyle w:val="Normalcentr"/>
      </w:pPr>
      <w:r>
        <w:t xml:space="preserve">Termium. « quantifier ». Dans </w:t>
      </w:r>
      <w:r>
        <w:rPr>
          <w:i/>
          <w:iCs/>
        </w:rPr>
        <w:t>Termium Plus</w:t>
      </w:r>
      <w:r>
        <w:t>. Ottawa, CA-ON: Gouvernement du Canada, 8</w:t>
      </w:r>
      <w:r w:rsidR="00056DCD">
        <w:t> octobre </w:t>
      </w:r>
      <w:r>
        <w:t>2009.</w:t>
      </w:r>
      <w:hyperlink r:id="rId52" w:anchor="resultrecs">
        <w:r>
          <w:rPr>
            <w:rStyle w:val="Lienhypertexte"/>
          </w:rPr>
          <w:t xml:space="preserve"> </w:t>
        </w:r>
      </w:hyperlink>
      <w:hyperlink r:id="rId53" w:anchor="resultrecs">
        <w:r>
          <w:rPr>
            <w:rStyle w:val="Lienhypertexte"/>
          </w:rPr>
          <w:t>https://www.btb.termiumplus.gc.ca/tpv2alpha/alpha-fra.html?lang=fra&amp;i=1&amp;srchtxt=quantifier&amp;index=ent&amp;codom2nd_wet=1#resultrecs</w:t>
        </w:r>
      </w:hyperlink>
      <w:r>
        <w:t>.</w:t>
      </w:r>
      <w:bookmarkStart w:id="45" w:name="terminologie-universel"/>
      <w:bookmarkEnd w:id="45"/>
    </w:p>
    <w:p w14:paraId="505D0F05" w14:textId="3FD8DFB8" w:rsidR="00065317" w:rsidRDefault="007B20F2">
      <w:pPr>
        <w:pStyle w:val="Corpsdetexte"/>
      </w:pPr>
      <w:r>
        <w:rPr>
          <w:b/>
          <w:bCs/>
        </w:rPr>
        <w:t>Universel</w:t>
      </w:r>
    </w:p>
    <w:p w14:paraId="1D1612CD" w14:textId="5CFA021B" w:rsidR="00065317" w:rsidRDefault="005C7BF7">
      <w:pPr>
        <w:pStyle w:val="Corpsdetexte"/>
      </w:pPr>
      <w:r>
        <w:t>La distinction ontologique fondamentale entre universel et particulier peut être comprise informellement en examinant la relation de chacun avec son instanciation : alors que les particuliers n</w:t>
      </w:r>
      <w:r w:rsidR="00E84B0E">
        <w:t>’</w:t>
      </w:r>
      <w:r>
        <w:t xml:space="preserve">ont aucune </w:t>
      </w:r>
      <w:hyperlink w:anchor="terminologie-instance">
        <w:r>
          <w:rPr>
            <w:rStyle w:val="Lienhypertexte"/>
            <w:b/>
            <w:bCs/>
          </w:rPr>
          <w:t>instance</w:t>
        </w:r>
      </w:hyperlink>
      <w:r>
        <w:t xml:space="preserve"> possible, peu importe le monde dans lequel ils se trouvent, les universels sont des entités qui, elles, ont des instances. Les </w:t>
      </w:r>
      <w:hyperlink w:anchor="terminologie-classe">
        <w:r>
          <w:rPr>
            <w:rStyle w:val="Lienhypertexte"/>
            <w:b/>
            <w:bCs/>
          </w:rPr>
          <w:t>classes</w:t>
        </w:r>
      </w:hyperlink>
      <w:r>
        <w:t xml:space="preserve"> et </w:t>
      </w:r>
      <w:hyperlink w:anchor="terminologie-propriete">
        <w:r>
          <w:rPr>
            <w:rStyle w:val="Lienhypertexte"/>
            <w:b/>
            <w:bCs/>
          </w:rPr>
          <w:t>propriétés</w:t>
        </w:r>
      </w:hyperlink>
      <w:r>
        <w:t xml:space="preserve"> (qui correspondent en langage logique à des prédicats) sont généralement considérées être des universels (Gangemi &amp; al. 2002,</w:t>
      </w:r>
      <w:r w:rsidR="00C8288F">
        <w:t> p. </w:t>
      </w:r>
      <w:r>
        <w:t>166-181).</w:t>
      </w:r>
    </w:p>
    <w:p w14:paraId="72DC1018" w14:textId="77777777" w:rsidR="00065317" w:rsidRDefault="005C7BF7">
      <w:pPr>
        <w:pStyle w:val="Normalcentr"/>
      </w:pPr>
      <w:r>
        <w:rPr>
          <w:b/>
          <w:bCs/>
          <w:i/>
          <w:iCs/>
        </w:rPr>
        <w:t>Note de traduction</w:t>
      </w:r>
    </w:p>
    <w:p w14:paraId="06F41810" w14:textId="0EA502B9" w:rsidR="00065317" w:rsidRDefault="005C7BF7" w:rsidP="00AF51A3">
      <w:pPr>
        <w:pStyle w:val="Normalcentr"/>
      </w:pPr>
      <w:r>
        <w:rPr>
          <w:b/>
          <w:bCs/>
          <w:i/>
          <w:iCs/>
        </w:rPr>
        <w:t>Références</w:t>
      </w:r>
      <w:bookmarkStart w:id="46" w:name="Xd82c0e091ffd4e07d97b762bf601f4f6836e0f8"/>
      <w:bookmarkEnd w:id="46"/>
    </w:p>
    <w:p w14:paraId="5D4BC4B3" w14:textId="77777777" w:rsidR="00065317" w:rsidRDefault="005C7BF7">
      <w:pPr>
        <w:pStyle w:val="Corpsdetexte"/>
      </w:pPr>
      <w:r>
        <w:rPr>
          <w:b/>
          <w:bCs/>
        </w:rPr>
        <w:t>Processus de création de connaissances</w:t>
      </w:r>
    </w:p>
    <w:p w14:paraId="3EC5EB48" w14:textId="3441A3D3" w:rsidR="00065317" w:rsidRDefault="005C7BF7">
      <w:pPr>
        <w:pStyle w:val="Corpsdetexte"/>
      </w:pPr>
      <w:r>
        <w:t>Toute connaissance contenue dans un système d</w:t>
      </w:r>
      <w:r w:rsidR="00E84B0E">
        <w:t>’</w:t>
      </w:r>
      <w:r>
        <w:t>information doit avoir été introduite dans ce système par un agent humain, que ce soit de manière directe ou indirecte. Malgré cela, plusieurs, si ce n</w:t>
      </w:r>
      <w:r w:rsidR="00E84B0E">
        <w:t>’</w:t>
      </w:r>
      <w:r>
        <w:t>est la plupart, des énoncés de tels systèmes n</w:t>
      </w:r>
      <w:r w:rsidR="00E84B0E">
        <w:t>’</w:t>
      </w:r>
      <w:r>
        <w:t>ont pas d</w:t>
      </w:r>
      <w:r w:rsidR="00E84B0E">
        <w:t>’</w:t>
      </w:r>
      <w:r>
        <w:t>information associée quant à la personne ayant autorité sur eux. Néanmoins, le milieu patrimonial a des pratiques d</w:t>
      </w:r>
      <w:r w:rsidR="00E84B0E">
        <w:t>’</w:t>
      </w:r>
      <w:r>
        <w:t>assignation de l</w:t>
      </w:r>
      <w:r w:rsidR="00E84B0E">
        <w:t>’</w:t>
      </w:r>
      <w:r>
        <w:t>autorité établissant comment et par qui une information peut être introduite ou modifiée dans un système, en particulier dans le contexte de la documentation et de la gestion des collections. Ces pratiques sont idéalement recensées dans le cadre de politiques institutionnelles et de protocoles documentaires. Il est donc raisonnable de considérer que, dans le cadre de tels systèmes d</w:t>
      </w:r>
      <w:r w:rsidR="00E84B0E">
        <w:t>’</w:t>
      </w:r>
      <w:r>
        <w:t>information, tout énoncé n</w:t>
      </w:r>
      <w:r w:rsidR="00E84B0E">
        <w:t>’</w:t>
      </w:r>
      <w:r>
        <w:t>ayant pas une assignation explicite d</w:t>
      </w:r>
      <w:r w:rsidR="00E84B0E">
        <w:t>’</w:t>
      </w:r>
      <w:r>
        <w:t>autorité représente la position officielle de l</w:t>
      </w:r>
      <w:r w:rsidR="00E84B0E">
        <w:t>’</w:t>
      </w:r>
      <w:r>
        <w:t>institution responsable du système.</w:t>
      </w:r>
    </w:p>
    <w:p w14:paraId="49E00458" w14:textId="3BA251D5" w:rsidR="00065317" w:rsidRDefault="005C7BF7">
      <w:pPr>
        <w:pStyle w:val="Corpsdetexte"/>
      </w:pPr>
      <w:r>
        <w:lastRenderedPageBreak/>
        <w:t>Cette posture [</w:t>
      </w:r>
      <w:r w:rsidR="00AF51A3">
        <w:t xml:space="preserve">n.d.t. </w:t>
      </w:r>
      <w:r>
        <w:t xml:space="preserve">du </w:t>
      </w:r>
      <w:r w:rsidR="00C8288F">
        <w:t>CIDOC CRM</w:t>
      </w:r>
      <w:r>
        <w:t>] n</w:t>
      </w:r>
      <w:r w:rsidR="00E84B0E">
        <w:t>’</w:t>
      </w:r>
      <w:r>
        <w:t>implique cependant pas qu</w:t>
      </w:r>
      <w:r w:rsidR="00E84B0E">
        <w:t>’</w:t>
      </w:r>
      <w:r>
        <w:t>un système d</w:t>
      </w:r>
      <w:r w:rsidR="00E84B0E">
        <w:t>’</w:t>
      </w:r>
      <w:r>
        <w:t>information représente un état abouti des connaissances promues par l</w:t>
      </w:r>
      <w:r w:rsidR="00E84B0E">
        <w:t>’</w:t>
      </w:r>
      <w:r>
        <w:t>institution qui en est responsable. Cette posture a plutôt pour objectif de mettre en évidence qu</w:t>
      </w:r>
      <w:r w:rsidR="00E84B0E">
        <w:t>’</w:t>
      </w:r>
      <w:r>
        <w:t>un ensemble de données patrimoniales (à un quelconque degré d</w:t>
      </w:r>
      <w:r w:rsidR="00E84B0E">
        <w:t>’</w:t>
      </w:r>
      <w:r>
        <w:t>élaboration) incarne une adhésion à un ensemble de standards qui garantissent la validité des données dans le cadre de celui-ci et de ses limitations. Tant que l</w:t>
      </w:r>
      <w:r w:rsidR="00E84B0E">
        <w:t>’</w:t>
      </w:r>
      <w:r>
        <w:t>information [</w:t>
      </w:r>
      <w:r w:rsidR="00AF51A3">
        <w:t xml:space="preserve">n.d.t. </w:t>
      </w:r>
      <w:r>
        <w:t>contenue dans le système d</w:t>
      </w:r>
      <w:r w:rsidR="00E84B0E">
        <w:t>’</w:t>
      </w:r>
      <w:r>
        <w:t>information] est activement maintenue, elle demeure sujette à des améliorations, modifications et révisions au fur et à mesure que la recherche à son sujet présente de nouveaux éléments à son égard ou à l</w:t>
      </w:r>
      <w:r w:rsidR="00E84B0E">
        <w:t>’</w:t>
      </w:r>
      <w:r>
        <w:t>égard de ce qui l</w:t>
      </w:r>
      <w:r w:rsidR="00E84B0E">
        <w:t>’</w:t>
      </w:r>
      <w:r>
        <w:t>entoure.</w:t>
      </w:r>
    </w:p>
    <w:p w14:paraId="32137FFB" w14:textId="4D7898C2" w:rsidR="00065317" w:rsidRDefault="005C7BF7">
      <w:pPr>
        <w:pStyle w:val="Corpsdetexte"/>
      </w:pPr>
      <w:r>
        <w:t>De l</w:t>
      </w:r>
      <w:r w:rsidR="00E84B0E">
        <w:t>’</w:t>
      </w:r>
      <w:r>
        <w:t xml:space="preserve">information dans un ensemble de données auquel est associé un énoncé explicite de responsabilité constitue une exception notable à cette règle. Dans </w:t>
      </w:r>
      <w:r w:rsidR="00C8288F">
        <w:t>CIDOC CRM</w:t>
      </w:r>
      <w:r>
        <w:t xml:space="preserve">, de tels énoncés de responsabilité sont exprimés par des évènements de création de connaissances tels que </w:t>
      </w:r>
      <w:r>
        <w:rPr>
          <w:rStyle w:val="VerbatimChar"/>
        </w:rPr>
        <w:t>E13_Assignation_d</w:t>
      </w:r>
      <w:r w:rsidR="00E84B0E">
        <w:rPr>
          <w:rStyle w:val="VerbatimChar"/>
        </w:rPr>
        <w:t>’</w:t>
      </w:r>
      <w:r>
        <w:rPr>
          <w:rStyle w:val="VerbatimChar"/>
        </w:rPr>
        <w:t>attribut</w:t>
      </w:r>
      <w:r>
        <w:t xml:space="preserve"> ou ses sous-classes pertinentes. Toute information dans un modèle </w:t>
      </w:r>
      <w:r w:rsidR="00C8288F">
        <w:t>CIDOC CRM</w:t>
      </w:r>
      <w:r>
        <w:t xml:space="preserve"> basée sur un évènement de création explicite de cette information (où l</w:t>
      </w:r>
      <w:r w:rsidR="00E84B0E">
        <w:t>’</w:t>
      </w:r>
      <w:r>
        <w:t>identité du créateur est spécifiée) a pour autorité et responsable le créateur en question. Pour toute information dans ce système qui n</w:t>
      </w:r>
      <w:r w:rsidR="00E84B0E">
        <w:t>’</w:t>
      </w:r>
      <w:r>
        <w:t>a pas de référence explicite à un créateur spécifique ainsi que pour toute information qui n</w:t>
      </w:r>
      <w:r w:rsidR="00E84B0E">
        <w:t>’</w:t>
      </w:r>
      <w:r>
        <w:t>est pas liée à un évènement de création, la responsabilité de l</w:t>
      </w:r>
      <w:r w:rsidR="00E84B0E">
        <w:t>’</w:t>
      </w:r>
      <w:r>
        <w:t>information revient à l</w:t>
      </w:r>
      <w:r w:rsidR="00E84B0E">
        <w:t>’</w:t>
      </w:r>
      <w:r>
        <w:t>institution qui assume la gestion de la base et du graphe de connaissances. Ce</w:t>
      </w:r>
      <w:r w:rsidR="00714434">
        <w:t>la</w:t>
      </w:r>
      <w:r>
        <w:t xml:space="preserve"> implique que l</w:t>
      </w:r>
      <w:r w:rsidR="00E84B0E">
        <w:t>’</w:t>
      </w:r>
      <w:r>
        <w:t>information qui n</w:t>
      </w:r>
      <w:r w:rsidR="00E84B0E">
        <w:t>’</w:t>
      </w:r>
      <w:r>
        <w:t xml:space="preserve">est exprimée que grâce à des raccourcis (p. ex. </w:t>
      </w:r>
      <w:r>
        <w:rPr>
          <w:rStyle w:val="VerbatimChar"/>
        </w:rPr>
        <w:t>P2_a_pour_type</w:t>
      </w:r>
      <w:r>
        <w:t>) :</w:t>
      </w:r>
    </w:p>
    <w:p w14:paraId="31219C1F" w14:textId="26A21241" w:rsidR="00065317" w:rsidRDefault="005C7BF7">
      <w:pPr>
        <w:numPr>
          <w:ilvl w:val="0"/>
          <w:numId w:val="13"/>
        </w:numPr>
      </w:pPr>
      <w:r>
        <w:t>n</w:t>
      </w:r>
      <w:r w:rsidR="00E84B0E">
        <w:t>’</w:t>
      </w:r>
      <w:r>
        <w:t>est pas associée à un évènement explicite de création de connaissances;</w:t>
      </w:r>
    </w:p>
    <w:p w14:paraId="716F263A" w14:textId="77777777" w:rsidR="00065317" w:rsidRDefault="005C7BF7">
      <w:pPr>
        <w:numPr>
          <w:ilvl w:val="0"/>
          <w:numId w:val="13"/>
        </w:numPr>
      </w:pPr>
      <w:r>
        <w:t>ne peut pas être associée à un évènement de création originel, car celui-ci ne peut être déduit;</w:t>
      </w:r>
    </w:p>
    <w:p w14:paraId="501A7E86" w14:textId="51840C8A" w:rsidR="00065317" w:rsidRDefault="005C7BF7">
      <w:pPr>
        <w:numPr>
          <w:ilvl w:val="0"/>
          <w:numId w:val="13"/>
        </w:numPr>
      </w:pPr>
      <w:r>
        <w:t>ne peut avoir pour responsable que l</w:t>
      </w:r>
      <w:r w:rsidR="00E84B0E">
        <w:t>’</w:t>
      </w:r>
      <w:r>
        <w:t>institution responsable du système d</w:t>
      </w:r>
      <w:r w:rsidR="00E84B0E">
        <w:t>’</w:t>
      </w:r>
      <w:r>
        <w:t>information (et qu</w:t>
      </w:r>
      <w:r w:rsidR="00E84B0E">
        <w:t>’</w:t>
      </w:r>
      <w:r>
        <w:t>aucun autre organisme ne peut en être imputable).</w:t>
      </w:r>
    </w:p>
    <w:p w14:paraId="2374B379" w14:textId="3D240D94" w:rsidR="00065317" w:rsidRDefault="005C7BF7">
      <w:pPr>
        <w:pStyle w:val="FirstParagraph"/>
      </w:pPr>
      <w:r>
        <w:t>Lorsqu</w:t>
      </w:r>
      <w:r w:rsidR="00E84B0E">
        <w:t>’</w:t>
      </w:r>
      <w:r>
        <w:t>une institution prend à sa charge une base de données dans le cadre d</w:t>
      </w:r>
      <w:r w:rsidR="00E84B0E">
        <w:t>’</w:t>
      </w:r>
      <w:r>
        <w:t>un transfert de sa garde d</w:t>
      </w:r>
      <w:r w:rsidR="00E84B0E">
        <w:t>’</w:t>
      </w:r>
      <w:r>
        <w:t>une autorité administrative à une autre, deux relations de responsabilité sur les connaissances qui s</w:t>
      </w:r>
      <w:r w:rsidR="00E84B0E">
        <w:t>’</w:t>
      </w:r>
      <w:r>
        <w:t>y trouvent sont possibles. Si l</w:t>
      </w:r>
      <w:r w:rsidR="00E84B0E">
        <w:t>’</w:t>
      </w:r>
      <w:r>
        <w:t>institution hôte accepte la responsabilité de la maintenance des informations, elle devient l</w:t>
      </w:r>
      <w:r w:rsidR="00E84B0E">
        <w:t>’</w:t>
      </w:r>
      <w:r>
        <w:t>autorité associée par défaut aux énoncés qui s</w:t>
      </w:r>
      <w:r w:rsidR="00E84B0E">
        <w:t>’</w:t>
      </w:r>
      <w:r>
        <w:t>y trouvent. Si, par contre, l</w:t>
      </w:r>
      <w:r w:rsidR="00E84B0E">
        <w:t>’</w:t>
      </w:r>
      <w:r>
        <w:t>institution hôte traite l</w:t>
      </w:r>
      <w:r w:rsidR="00E84B0E">
        <w:t>’</w:t>
      </w:r>
      <w:r>
        <w:t>ensemble des données comme une ressource « fermée » [</w:t>
      </w:r>
      <w:r w:rsidR="00AF51A3">
        <w:t xml:space="preserve">n.d.t. </w:t>
      </w:r>
      <w:r>
        <w:t>donc traité à la manière d</w:t>
      </w:r>
      <w:r w:rsidR="00E84B0E">
        <w:t>’</w:t>
      </w:r>
      <w:r>
        <w:t>un artefact], l</w:t>
      </w:r>
      <w:r w:rsidR="00E84B0E">
        <w:t>’</w:t>
      </w:r>
      <w:r>
        <w:t>autorité associée par défaut aux énoncés qui s</w:t>
      </w:r>
      <w:r w:rsidR="00E84B0E">
        <w:t>’</w:t>
      </w:r>
      <w:r>
        <w:t>y trouvent sera celle de l</w:t>
      </w:r>
      <w:r w:rsidR="00E84B0E">
        <w:t>’</w:t>
      </w:r>
      <w:r>
        <w:t>institution initiale [</w:t>
      </w:r>
      <w:r w:rsidR="00AF51A3">
        <w:t xml:space="preserve">n.d.t. </w:t>
      </w:r>
      <w:r>
        <w:t>comme c</w:t>
      </w:r>
      <w:r w:rsidR="00E84B0E">
        <w:t>’</w:t>
      </w:r>
      <w:r>
        <w:t>est le cas de tout autre document de recherche se trouvant dans la collection de l</w:t>
      </w:r>
      <w:r w:rsidR="00E84B0E">
        <w:t>’</w:t>
      </w:r>
      <w:r>
        <w:t>institution hôte].</w:t>
      </w:r>
    </w:p>
    <w:p w14:paraId="4F15E5CC" w14:textId="00E5592D" w:rsidR="00065317" w:rsidRDefault="005C7BF7">
      <w:pPr>
        <w:pStyle w:val="Corpsdetexte"/>
      </w:pPr>
      <w:r>
        <w:t>[</w:t>
      </w:r>
      <w:r w:rsidR="00AF51A3">
        <w:t xml:space="preserve">n.d.t. </w:t>
      </w:r>
      <w:r>
        <w:t xml:space="preserve">voir </w:t>
      </w:r>
      <w:hyperlink w:anchor="X8ed7dddd9eaf3521a8b039300d7d03602b42027">
        <w:r>
          <w:rPr>
            <w:rStyle w:val="Lienhypertexte"/>
          </w:rPr>
          <w:t>De l</w:t>
        </w:r>
        <w:r w:rsidR="00E84B0E">
          <w:rPr>
            <w:rStyle w:val="Lienhypertexte"/>
          </w:rPr>
          <w:t>’</w:t>
        </w:r>
        <w:r>
          <w:rPr>
            <w:rStyle w:val="Lienhypertexte"/>
          </w:rPr>
          <w:t>auctorialité des contenus d</w:t>
        </w:r>
        <w:r w:rsidR="00E84B0E">
          <w:rPr>
            <w:rStyle w:val="Lienhypertexte"/>
          </w:rPr>
          <w:t>’</w:t>
        </w:r>
        <w:r>
          <w:rPr>
            <w:rStyle w:val="Lienhypertexte"/>
          </w:rPr>
          <w:t>une base de connaissances</w:t>
        </w:r>
      </w:hyperlink>
      <w:r>
        <w:t xml:space="preserve"> dans les </w:t>
      </w:r>
      <w:hyperlink w:anchor="principes-de-modelisation">
        <w:r>
          <w:rPr>
            <w:rStyle w:val="Lienhypertexte"/>
          </w:rPr>
          <w:t>Principes de modélisation</w:t>
        </w:r>
      </w:hyperlink>
      <w:r>
        <w:t>].</w:t>
      </w:r>
    </w:p>
    <w:p w14:paraId="161DAFD5" w14:textId="77777777" w:rsidR="00065317" w:rsidRDefault="005C7BF7">
      <w:pPr>
        <w:pStyle w:val="Normalcentr"/>
      </w:pPr>
      <w:r>
        <w:rPr>
          <w:b/>
          <w:bCs/>
          <w:i/>
          <w:iCs/>
        </w:rPr>
        <w:t>Note de traduction</w:t>
      </w:r>
    </w:p>
    <w:p w14:paraId="0BEF475D" w14:textId="42FE077C" w:rsidR="00065317" w:rsidRDefault="005C7BF7">
      <w:pPr>
        <w:pStyle w:val="Normalcentr"/>
      </w:pPr>
      <w:r>
        <w:t>Le terme « information system » a été traduit par « système d</w:t>
      </w:r>
      <w:r w:rsidR="00E84B0E">
        <w:t>’</w:t>
      </w:r>
      <w:r>
        <w:t>information ».</w:t>
      </w:r>
    </w:p>
    <w:p w14:paraId="75916B1C" w14:textId="77777777" w:rsidR="00065317" w:rsidRDefault="005C7BF7">
      <w:pPr>
        <w:pStyle w:val="Normalcentr"/>
      </w:pPr>
      <w:r>
        <w:rPr>
          <w:b/>
          <w:bCs/>
          <w:i/>
          <w:iCs/>
        </w:rPr>
        <w:t>Références</w:t>
      </w:r>
    </w:p>
    <w:p w14:paraId="7EDB3711" w14:textId="128EBAEB" w:rsidR="00784AE7" w:rsidRDefault="005C7BF7" w:rsidP="00830B9D">
      <w:pPr>
        <w:pStyle w:val="Normalcentr"/>
      </w:pPr>
      <w:r>
        <w:t xml:space="preserve">Termium. « Information System ». Dans </w:t>
      </w:r>
      <w:r>
        <w:rPr>
          <w:i/>
          <w:iCs/>
        </w:rPr>
        <w:t>Termium Plus</w:t>
      </w:r>
      <w:r>
        <w:t>. Ottawa, CA-ON: Gouvernement du Canada, 8</w:t>
      </w:r>
      <w:r w:rsidR="00056DCD">
        <w:t> octobre </w:t>
      </w:r>
      <w:r>
        <w:t>2009.</w:t>
      </w:r>
      <w:hyperlink r:id="rId54" w:anchor="resultrecs">
        <w:r>
          <w:rPr>
            <w:rStyle w:val="Lienhypertexte"/>
          </w:rPr>
          <w:t xml:space="preserve"> </w:t>
        </w:r>
      </w:hyperlink>
      <w:hyperlink r:id="rId55" w:anchor="resultrecs">
        <w:r>
          <w:rPr>
            <w:rStyle w:val="Lienhypertexte"/>
          </w:rPr>
          <w:t>https://www.btb.termiumplus.gc.ca/tpv2alpha/alpha-eng.html?lang=eng&amp;i=1&amp;srchtxt=INFORMATION+SYSTEM&amp;index=ent&amp;codom2nd_wet=1#resultrecs</w:t>
        </w:r>
      </w:hyperlink>
      <w:r>
        <w:t>.</w:t>
      </w:r>
      <w:bookmarkStart w:id="47" w:name="terminologie-transitivite"/>
      <w:bookmarkEnd w:id="47"/>
    </w:p>
    <w:p w14:paraId="5FCE909D" w14:textId="506E3A19" w:rsidR="00065317" w:rsidRPr="00784AE7" w:rsidRDefault="00784AE7" w:rsidP="00784AE7">
      <w:pPr>
        <w:spacing w:after="0"/>
        <w:rPr>
          <w:sz w:val="22"/>
        </w:rPr>
      </w:pPr>
      <w:r>
        <w:br w:type="page"/>
      </w:r>
    </w:p>
    <w:p w14:paraId="3ADC9265" w14:textId="77777777" w:rsidR="00065317" w:rsidRDefault="005C7BF7">
      <w:pPr>
        <w:pStyle w:val="Corpsdetexte"/>
      </w:pPr>
      <w:r>
        <w:rPr>
          <w:b/>
          <w:bCs/>
        </w:rPr>
        <w:lastRenderedPageBreak/>
        <w:t>Transitivité</w:t>
      </w:r>
    </w:p>
    <w:p w14:paraId="3AE8F30D" w14:textId="77797B21" w:rsidR="00065317" w:rsidRDefault="005C7BF7">
      <w:pPr>
        <w:pStyle w:val="Corpsdetexte"/>
      </w:pPr>
      <w:r>
        <w:t>La transitivité (définie selon des principes mathématiques et logiques) signifie qu</w:t>
      </w:r>
      <w:r w:rsidR="00E84B0E">
        <w:t>’</w:t>
      </w:r>
      <w:r>
        <w:t xml:space="preserve">une </w:t>
      </w:r>
      <w:hyperlink w:anchor="terminologie-propriete">
        <w:r>
          <w:rPr>
            <w:rStyle w:val="Lienhypertexte"/>
          </w:rPr>
          <w:t>propriété</w:t>
        </w:r>
      </w:hyperlink>
      <w:r>
        <w:t xml:space="preserve"> </w:t>
      </w:r>
      <w:r>
        <w:rPr>
          <w:rStyle w:val="VerbatimChar"/>
        </w:rPr>
        <w:t>P</w:t>
      </w:r>
      <w:r>
        <w:t xml:space="preserve"> est réflexive si son </w:t>
      </w:r>
      <w:hyperlink w:anchor="terminologie-domaine">
        <w:r>
          <w:rPr>
            <w:rStyle w:val="Lienhypertexte"/>
          </w:rPr>
          <w:t>domaine</w:t>
        </w:r>
      </w:hyperlink>
      <w:r>
        <w:t xml:space="preserve"> et sa </w:t>
      </w:r>
      <w:hyperlink w:anchor="terminologie-portee">
        <w:r>
          <w:rPr>
            <w:rStyle w:val="Lienhypertexte"/>
          </w:rPr>
          <w:t>portée</w:t>
        </w:r>
      </w:hyperlink>
      <w:r>
        <w:t xml:space="preserve"> sont la même </w:t>
      </w:r>
      <w:hyperlink w:anchor="terminologie-classe">
        <w:r>
          <w:rPr>
            <w:rStyle w:val="Lienhypertexte"/>
          </w:rPr>
          <w:t>classe</w:t>
        </w:r>
      </w:hyperlink>
      <w:r>
        <w:t xml:space="preserve">, et que pour toutes les </w:t>
      </w:r>
      <w:hyperlink w:anchor="terminologie-instance">
        <w:r>
          <w:rPr>
            <w:rStyle w:val="Lienhypertexte"/>
          </w:rPr>
          <w:t>instances</w:t>
        </w:r>
      </w:hyperlink>
      <w:r>
        <w:t xml:space="preserve"> </w:t>
      </w:r>
      <w:r>
        <w:rPr>
          <w:rStyle w:val="VerbatimChar"/>
        </w:rPr>
        <w:t>x</w:t>
      </w:r>
      <w:r>
        <w:t xml:space="preserve">, </w:t>
      </w:r>
      <w:r>
        <w:rPr>
          <w:rStyle w:val="VerbatimChar"/>
        </w:rPr>
        <w:t>y</w:t>
      </w:r>
      <w:r>
        <w:t xml:space="preserve">, </w:t>
      </w:r>
      <w:r>
        <w:rPr>
          <w:rStyle w:val="VerbatimChar"/>
        </w:rPr>
        <w:t>z</w:t>
      </w:r>
      <w:r>
        <w:t xml:space="preserve"> de cette classe si </w:t>
      </w:r>
      <w:r>
        <w:rPr>
          <w:rStyle w:val="VerbatimChar"/>
        </w:rPr>
        <w:t>x</w:t>
      </w:r>
      <w:r>
        <w:t xml:space="preserve"> est relié par </w:t>
      </w:r>
      <w:r>
        <w:rPr>
          <w:rStyle w:val="VerbatimChar"/>
        </w:rPr>
        <w:t>P</w:t>
      </w:r>
      <w:r>
        <w:t xml:space="preserve"> à </w:t>
      </w:r>
      <w:r>
        <w:rPr>
          <w:rStyle w:val="VerbatimChar"/>
        </w:rPr>
        <w:t>y</w:t>
      </w:r>
      <w:r>
        <w:t xml:space="preserve"> et que </w:t>
      </w:r>
      <w:r>
        <w:rPr>
          <w:rStyle w:val="VerbatimChar"/>
        </w:rPr>
        <w:t>y</w:t>
      </w:r>
      <w:r>
        <w:t xml:space="preserve"> est relié par </w:t>
      </w:r>
      <w:r>
        <w:rPr>
          <w:rStyle w:val="VerbatimChar"/>
        </w:rPr>
        <w:t>P</w:t>
      </w:r>
      <w:r>
        <w:t xml:space="preserve"> à </w:t>
      </w:r>
      <w:r>
        <w:rPr>
          <w:rStyle w:val="VerbatimChar"/>
        </w:rPr>
        <w:t>z</w:t>
      </w:r>
      <w:r>
        <w:t xml:space="preserve">, alors </w:t>
      </w:r>
      <w:r>
        <w:rPr>
          <w:rStyle w:val="VerbatimChar"/>
        </w:rPr>
        <w:t>x</w:t>
      </w:r>
      <w:r>
        <w:t xml:space="preserve"> est relié par </w:t>
      </w:r>
      <w:r>
        <w:rPr>
          <w:rStyle w:val="VerbatimChar"/>
        </w:rPr>
        <w:t>P</w:t>
      </w:r>
      <w:r>
        <w:t xml:space="preserve"> à </w:t>
      </w:r>
      <w:r>
        <w:rPr>
          <w:rStyle w:val="VerbatimChar"/>
        </w:rPr>
        <w:t>z</w:t>
      </w:r>
      <w:r>
        <w:t>. L</w:t>
      </w:r>
      <w:r w:rsidR="00E84B0E">
        <w:t>’</w:t>
      </w:r>
      <w:r>
        <w:t>intention de la propriété telle qu</w:t>
      </w:r>
      <w:r w:rsidR="00E84B0E">
        <w:t>’</w:t>
      </w:r>
      <w:r>
        <w:t xml:space="preserve">elle est établie dans sa </w:t>
      </w:r>
      <w:hyperlink w:anchor="terminologie-note-dapplication">
        <w:r>
          <w:rPr>
            <w:rStyle w:val="Lienhypertexte"/>
          </w:rPr>
          <w:t>note d</w:t>
        </w:r>
        <w:r w:rsidR="00E84B0E">
          <w:rPr>
            <w:rStyle w:val="Lienhypertexte"/>
          </w:rPr>
          <w:t>’</w:t>
        </w:r>
        <w:r>
          <w:rPr>
            <w:rStyle w:val="Lienhypertexte"/>
          </w:rPr>
          <w:t>application</w:t>
        </w:r>
      </w:hyperlink>
      <w:r>
        <w:t xml:space="preserve"> détermine si elle est transitive ou non. Par exemple, la propriété </w:t>
      </w:r>
      <w:r>
        <w:rPr>
          <w:rStyle w:val="VerbatimChar"/>
        </w:rPr>
        <w:t>P121_se_superpose_partiellement_à</w:t>
      </w:r>
      <w:r>
        <w:t xml:space="preserve"> entre des instances de </w:t>
      </w:r>
      <w:r>
        <w:rPr>
          <w:rStyle w:val="VerbatimChar"/>
        </w:rPr>
        <w:t>E53_Lieu</w:t>
      </w:r>
      <w:r>
        <w:t xml:space="preserve"> n</w:t>
      </w:r>
      <w:r w:rsidR="00E84B0E">
        <w:t>’</w:t>
      </w:r>
      <w:r>
        <w:t xml:space="preserve">est pas transitive alors que la propriété </w:t>
      </w:r>
      <w:r>
        <w:rPr>
          <w:rStyle w:val="VerbatimChar"/>
        </w:rPr>
        <w:t>P89_s</w:t>
      </w:r>
      <w:r w:rsidR="00E84B0E">
        <w:rPr>
          <w:rStyle w:val="VerbatimChar"/>
        </w:rPr>
        <w:t>’</w:t>
      </w:r>
      <w:r>
        <w:rPr>
          <w:rStyle w:val="VerbatimChar"/>
        </w:rPr>
        <w:t>insère_dans (contient)</w:t>
      </w:r>
      <w:r>
        <w:t xml:space="preserve"> entre des instances de </w:t>
      </w:r>
      <w:r>
        <w:rPr>
          <w:rStyle w:val="VerbatimChar"/>
        </w:rPr>
        <w:t>E53_Lieu</w:t>
      </w:r>
      <w:r>
        <w:t xml:space="preserve"> et la propriété </w:t>
      </w:r>
      <w:r>
        <w:rPr>
          <w:rStyle w:val="VerbatimChar"/>
        </w:rPr>
        <w:t>P46_est_composé_de (fait_partie_de)</w:t>
      </w:r>
      <w:r>
        <w:t xml:space="preserve"> entre des instances de </w:t>
      </w:r>
      <w:r>
        <w:rPr>
          <w:rStyle w:val="VerbatimChar"/>
        </w:rPr>
        <w:t>E18_Chose_matérielle</w:t>
      </w:r>
      <w:r>
        <w:t xml:space="preserve"> sont toutes deux transitives. La transitivité est particulièrement utile lors de l</w:t>
      </w:r>
      <w:r w:rsidR="00E84B0E">
        <w:t>’</w:t>
      </w:r>
      <w:r>
        <w:t xml:space="preserve">implémentation de </w:t>
      </w:r>
      <w:r w:rsidR="00C8288F">
        <w:t>CIDOC CRM</w:t>
      </w:r>
      <w:r>
        <w:t xml:space="preserve"> dans un système qui utilise la déduction logique.</w:t>
      </w:r>
    </w:p>
    <w:p w14:paraId="25444500" w14:textId="0506FA45" w:rsidR="003D3C4F" w:rsidRDefault="005C7BF7" w:rsidP="00830B9D">
      <w:pPr>
        <w:pStyle w:val="Corpsdetexte"/>
      </w:pPr>
      <w:r>
        <w:t>[</w:t>
      </w:r>
      <w:r w:rsidR="00AF51A3">
        <w:t xml:space="preserve">n.d.t. </w:t>
      </w:r>
      <w:r>
        <w:t xml:space="preserve">voir </w:t>
      </w:r>
      <w:hyperlink w:anchor="de-lheritage-et-de-la-transitivite">
        <w:r>
          <w:rPr>
            <w:rStyle w:val="Lienhypertexte"/>
          </w:rPr>
          <w:t>De l</w:t>
        </w:r>
        <w:r w:rsidR="00E84B0E">
          <w:rPr>
            <w:rStyle w:val="Lienhypertexte"/>
          </w:rPr>
          <w:t>’</w:t>
        </w:r>
        <w:r>
          <w:rPr>
            <w:rStyle w:val="Lienhypertexte"/>
          </w:rPr>
          <w:t>héritage et de la transitivité</w:t>
        </w:r>
      </w:hyperlink>
      <w:r>
        <w:t xml:space="preserve"> dans les </w:t>
      </w:r>
      <w:hyperlink w:anchor="principes-de-modelisation">
        <w:r>
          <w:rPr>
            <w:rStyle w:val="Lienhypertexte"/>
          </w:rPr>
          <w:t>Principes de modélisation</w:t>
        </w:r>
      </w:hyperlink>
      <w:r>
        <w:t>].</w:t>
      </w:r>
    </w:p>
    <w:p w14:paraId="28918A16" w14:textId="4015F427" w:rsidR="00065317" w:rsidRDefault="005C7BF7">
      <w:pPr>
        <w:pStyle w:val="Normalcentr"/>
      </w:pPr>
      <w:r>
        <w:rPr>
          <w:b/>
          <w:bCs/>
          <w:i/>
          <w:iCs/>
        </w:rPr>
        <w:t>Note de traduction</w:t>
      </w:r>
    </w:p>
    <w:p w14:paraId="7876ED4F" w14:textId="4DEB130D" w:rsidR="00065317" w:rsidRDefault="005C7BF7" w:rsidP="00830B9D">
      <w:pPr>
        <w:pStyle w:val="Normalcentr"/>
      </w:pPr>
      <w:r>
        <w:rPr>
          <w:b/>
          <w:bCs/>
          <w:i/>
          <w:iCs/>
        </w:rPr>
        <w:t>Références</w:t>
      </w:r>
      <w:bookmarkStart w:id="48" w:name="terminologie-symetrie"/>
      <w:bookmarkEnd w:id="48"/>
    </w:p>
    <w:p w14:paraId="057AE33E" w14:textId="77777777" w:rsidR="00065317" w:rsidRDefault="005C7BF7">
      <w:pPr>
        <w:pStyle w:val="Corpsdetexte"/>
      </w:pPr>
      <w:r>
        <w:rPr>
          <w:b/>
          <w:bCs/>
        </w:rPr>
        <w:t>Symétrie</w:t>
      </w:r>
    </w:p>
    <w:p w14:paraId="566C7898" w14:textId="12524DEB" w:rsidR="00065317" w:rsidRDefault="005C7BF7">
      <w:pPr>
        <w:pStyle w:val="Corpsdetexte"/>
      </w:pPr>
      <w:r>
        <w:t>La symétrie (définie selon des principes mathématiques et logiques) signifie qu</w:t>
      </w:r>
      <w:r w:rsidR="00E84B0E">
        <w:t>’</w:t>
      </w:r>
      <w:r>
        <w:t xml:space="preserve">une </w:t>
      </w:r>
      <w:hyperlink w:anchor="terminologie-propriete">
        <w:r>
          <w:rPr>
            <w:rStyle w:val="Lienhypertexte"/>
          </w:rPr>
          <w:t>propriété</w:t>
        </w:r>
      </w:hyperlink>
      <w:r>
        <w:t xml:space="preserve"> </w:t>
      </w:r>
      <w:r>
        <w:rPr>
          <w:rStyle w:val="VerbatimChar"/>
        </w:rPr>
        <w:t>P</w:t>
      </w:r>
      <w:r>
        <w:t xml:space="preserve"> est symétrique si son </w:t>
      </w:r>
      <w:hyperlink w:anchor="terminologie-domaine">
        <w:r>
          <w:rPr>
            <w:rStyle w:val="Lienhypertexte"/>
          </w:rPr>
          <w:t>domaine</w:t>
        </w:r>
      </w:hyperlink>
      <w:r>
        <w:t xml:space="preserve"> et sa </w:t>
      </w:r>
      <w:hyperlink w:anchor="terminologie-portee">
        <w:r>
          <w:rPr>
            <w:rStyle w:val="Lienhypertexte"/>
          </w:rPr>
          <w:t>portée</w:t>
        </w:r>
      </w:hyperlink>
      <w:r>
        <w:t xml:space="preserve"> sont la même </w:t>
      </w:r>
      <w:hyperlink w:anchor="terminologie-classe">
        <w:r>
          <w:rPr>
            <w:rStyle w:val="Lienhypertexte"/>
          </w:rPr>
          <w:t>classe</w:t>
        </w:r>
      </w:hyperlink>
      <w:r>
        <w:t xml:space="preserve">, et que pour toutes les </w:t>
      </w:r>
      <w:hyperlink w:anchor="terminologie-instance">
        <w:r>
          <w:rPr>
            <w:rStyle w:val="Lienhypertexte"/>
          </w:rPr>
          <w:t>instances</w:t>
        </w:r>
      </w:hyperlink>
      <w:r>
        <w:t xml:space="preserve"> </w:t>
      </w:r>
      <w:r>
        <w:rPr>
          <w:rStyle w:val="VerbatimChar"/>
        </w:rPr>
        <w:t>x, y</w:t>
      </w:r>
      <w:r>
        <w:t xml:space="preserve"> de cette classe si </w:t>
      </w:r>
      <w:r>
        <w:rPr>
          <w:rStyle w:val="VerbatimChar"/>
        </w:rPr>
        <w:t>x</w:t>
      </w:r>
      <w:r>
        <w:t xml:space="preserve"> est relié par </w:t>
      </w:r>
      <w:r>
        <w:rPr>
          <w:rStyle w:val="VerbatimChar"/>
        </w:rPr>
        <w:t>P</w:t>
      </w:r>
      <w:r>
        <w:t xml:space="preserve"> à </w:t>
      </w:r>
      <w:r>
        <w:rPr>
          <w:rStyle w:val="VerbatimChar"/>
        </w:rPr>
        <w:t>y</w:t>
      </w:r>
      <w:r>
        <w:t xml:space="preserve">, alors </w:t>
      </w:r>
      <w:r>
        <w:rPr>
          <w:rStyle w:val="VerbatimChar"/>
        </w:rPr>
        <w:t>y</w:t>
      </w:r>
      <w:r>
        <w:t xml:space="preserve"> est relié par </w:t>
      </w:r>
      <w:r>
        <w:rPr>
          <w:rStyle w:val="VerbatimChar"/>
        </w:rPr>
        <w:t>P</w:t>
      </w:r>
      <w:r>
        <w:t xml:space="preserve"> à </w:t>
      </w:r>
      <w:r>
        <w:rPr>
          <w:rStyle w:val="VerbatimChar"/>
        </w:rPr>
        <w:t>x</w:t>
      </w:r>
      <w:r>
        <w:t>. L</w:t>
      </w:r>
      <w:r w:rsidR="00E84B0E">
        <w:t>’</w:t>
      </w:r>
      <w:r>
        <w:t>intention de la propriété (telle qu</w:t>
      </w:r>
      <w:r w:rsidR="00E84B0E">
        <w:t>’</w:t>
      </w:r>
      <w:r>
        <w:t xml:space="preserve">elle est établie dans sa </w:t>
      </w:r>
      <w:hyperlink w:anchor="terminologie-note-dapplication">
        <w:r>
          <w:rPr>
            <w:rStyle w:val="Lienhypertexte"/>
          </w:rPr>
          <w:t>note d</w:t>
        </w:r>
        <w:r w:rsidR="00E84B0E">
          <w:rPr>
            <w:rStyle w:val="Lienhypertexte"/>
          </w:rPr>
          <w:t>’</w:t>
        </w:r>
        <w:r>
          <w:rPr>
            <w:rStyle w:val="Lienhypertexte"/>
          </w:rPr>
          <w:t>application</w:t>
        </w:r>
      </w:hyperlink>
      <w:r>
        <w:t xml:space="preserve">) détermine si elle est symétrique ou non. Un exemple de propriété symétrique est </w:t>
      </w:r>
      <w:r>
        <w:rPr>
          <w:rStyle w:val="VerbatimChar"/>
        </w:rPr>
        <w:t>E53_Lieu</w:t>
      </w:r>
      <w:r>
        <w:t xml:space="preserve">. </w:t>
      </w:r>
      <w:r>
        <w:rPr>
          <w:rStyle w:val="VerbatimChar"/>
        </w:rPr>
        <w:t>P122_est_limitrophe_de</w:t>
      </w:r>
      <w:r>
        <w:t xml:space="preserve"> : </w:t>
      </w:r>
      <w:r>
        <w:rPr>
          <w:rStyle w:val="VerbatimChar"/>
        </w:rPr>
        <w:t>E53_Lieu</w:t>
      </w:r>
      <w:r>
        <w:t>. Les noms de propriétés symétriques n</w:t>
      </w:r>
      <w:r w:rsidR="00E84B0E">
        <w:t>’</w:t>
      </w:r>
      <w:r>
        <w:t>ont pas de forme parenthétique, car les lire depuis la portée vers le domaine revient au même que les lire depuis le domaine vers la portée.</w:t>
      </w:r>
    </w:p>
    <w:p w14:paraId="1A5B4C78" w14:textId="77777777" w:rsidR="00065317" w:rsidRDefault="005C7BF7">
      <w:pPr>
        <w:pStyle w:val="Normalcentr"/>
      </w:pPr>
      <w:r>
        <w:rPr>
          <w:b/>
          <w:bCs/>
          <w:i/>
          <w:iCs/>
        </w:rPr>
        <w:t>Note de traduction</w:t>
      </w:r>
    </w:p>
    <w:p w14:paraId="301B3569" w14:textId="0794A1CF" w:rsidR="00065317" w:rsidRDefault="005C7BF7" w:rsidP="00830B9D">
      <w:pPr>
        <w:pStyle w:val="Normalcentr"/>
      </w:pPr>
      <w:r>
        <w:rPr>
          <w:b/>
          <w:bCs/>
          <w:i/>
          <w:iCs/>
        </w:rPr>
        <w:t>Références</w:t>
      </w:r>
      <w:bookmarkStart w:id="49" w:name="terminologie-reflexivite"/>
      <w:bookmarkEnd w:id="49"/>
    </w:p>
    <w:p w14:paraId="1EDCD184" w14:textId="77777777" w:rsidR="00065317" w:rsidRDefault="005C7BF7">
      <w:pPr>
        <w:pStyle w:val="Corpsdetexte"/>
      </w:pPr>
      <w:r>
        <w:rPr>
          <w:b/>
          <w:bCs/>
        </w:rPr>
        <w:t>Réflexivité</w:t>
      </w:r>
    </w:p>
    <w:p w14:paraId="185E7CAA" w14:textId="3C8BAA3A" w:rsidR="00065317" w:rsidRDefault="005C7BF7">
      <w:pPr>
        <w:pStyle w:val="Corpsdetexte"/>
      </w:pPr>
      <w:r>
        <w:t>La réflexivité (définie selon des principes mathématiques et logiques standards) signifie qu</w:t>
      </w:r>
      <w:r w:rsidR="00E84B0E">
        <w:t>’</w:t>
      </w:r>
      <w:r>
        <w:t xml:space="preserve">une </w:t>
      </w:r>
      <w:hyperlink w:anchor="terminologie-propriete">
        <w:r>
          <w:rPr>
            <w:rStyle w:val="Lienhypertexte"/>
          </w:rPr>
          <w:t>propriété</w:t>
        </w:r>
      </w:hyperlink>
      <w:r>
        <w:t xml:space="preserve"> </w:t>
      </w:r>
      <w:r>
        <w:rPr>
          <w:rStyle w:val="VerbatimChar"/>
        </w:rPr>
        <w:t>P</w:t>
      </w:r>
      <w:r>
        <w:t xml:space="preserve"> est réflexive si son </w:t>
      </w:r>
      <w:hyperlink w:anchor="terminologie-domaine">
        <w:r>
          <w:rPr>
            <w:rStyle w:val="Lienhypertexte"/>
          </w:rPr>
          <w:t>domaine</w:t>
        </w:r>
      </w:hyperlink>
      <w:r>
        <w:t xml:space="preserve"> et sa </w:t>
      </w:r>
      <w:hyperlink w:anchor="terminologie-portee">
        <w:r>
          <w:rPr>
            <w:rStyle w:val="Lienhypertexte"/>
          </w:rPr>
          <w:t>portée</w:t>
        </w:r>
      </w:hyperlink>
      <w:r>
        <w:t xml:space="preserve"> sont la même </w:t>
      </w:r>
      <w:hyperlink w:anchor="terminologie-classe">
        <w:r>
          <w:rPr>
            <w:rStyle w:val="Lienhypertexte"/>
          </w:rPr>
          <w:t>classe</w:t>
        </w:r>
      </w:hyperlink>
      <w:r>
        <w:t xml:space="preserve">, et que pour toutes les </w:t>
      </w:r>
      <w:hyperlink w:anchor="terminologie-instance">
        <w:r>
          <w:rPr>
            <w:rStyle w:val="Lienhypertexte"/>
          </w:rPr>
          <w:t>instances</w:t>
        </w:r>
      </w:hyperlink>
      <w:r>
        <w:t xml:space="preserve"> </w:t>
      </w:r>
      <w:r>
        <w:rPr>
          <w:rStyle w:val="VerbatimChar"/>
        </w:rPr>
        <w:t>x</w:t>
      </w:r>
      <w:r>
        <w:t xml:space="preserve"> de cette classe </w:t>
      </w:r>
      <w:r>
        <w:rPr>
          <w:rStyle w:val="VerbatimChar"/>
        </w:rPr>
        <w:t>x</w:t>
      </w:r>
      <w:r>
        <w:t xml:space="preserve"> est relié à lui-même par</w:t>
      </w:r>
      <w:r w:rsidR="00C8288F">
        <w:t> </w:t>
      </w:r>
      <w:r w:rsidR="00F52E2A">
        <w:rPr>
          <w:rStyle w:val="VerbatimChar"/>
        </w:rPr>
        <w:t>P</w:t>
      </w:r>
      <w:r w:rsidR="00C8288F">
        <w:t>. </w:t>
      </w:r>
      <w:r>
        <w:t>L</w:t>
      </w:r>
      <w:r w:rsidR="00E84B0E">
        <w:t>’</w:t>
      </w:r>
      <w:r>
        <w:t>intention de la propriété (telle qu</w:t>
      </w:r>
      <w:r w:rsidR="00E84B0E">
        <w:t>’</w:t>
      </w:r>
      <w:r>
        <w:t>elle est établie dans sa note d</w:t>
      </w:r>
      <w:r w:rsidR="00E84B0E">
        <w:t>’</w:t>
      </w:r>
      <w:r>
        <w:t xml:space="preserve">application) détermine si elle réflexive ou non. Un exemple de propriété réflexive est </w:t>
      </w:r>
      <w:r>
        <w:rPr>
          <w:rStyle w:val="VerbatimChar"/>
        </w:rPr>
        <w:t>E53_Lieu</w:t>
      </w:r>
      <w:r>
        <w:t xml:space="preserve">. </w:t>
      </w:r>
      <w:r>
        <w:rPr>
          <w:rStyle w:val="VerbatimChar"/>
        </w:rPr>
        <w:t>P89_s</w:t>
      </w:r>
      <w:r w:rsidR="00E84B0E">
        <w:rPr>
          <w:rStyle w:val="VerbatimChar"/>
        </w:rPr>
        <w:t>’</w:t>
      </w:r>
      <w:r>
        <w:rPr>
          <w:rStyle w:val="VerbatimChar"/>
        </w:rPr>
        <w:t>insère_dans (contient)</w:t>
      </w:r>
      <w:r>
        <w:t xml:space="preserve"> : </w:t>
      </w:r>
      <w:r>
        <w:rPr>
          <w:rStyle w:val="VerbatimChar"/>
        </w:rPr>
        <w:t>E53_Lieu</w:t>
      </w:r>
      <w:r>
        <w:t>.</w:t>
      </w:r>
    </w:p>
    <w:p w14:paraId="7BE132B6" w14:textId="77777777" w:rsidR="00065317" w:rsidRDefault="005C7BF7">
      <w:pPr>
        <w:pStyle w:val="Normalcentr"/>
      </w:pPr>
      <w:r>
        <w:rPr>
          <w:b/>
          <w:bCs/>
          <w:i/>
          <w:iCs/>
        </w:rPr>
        <w:t>Note de traduction</w:t>
      </w:r>
    </w:p>
    <w:p w14:paraId="46C1CC92" w14:textId="6C10408A" w:rsidR="00065317" w:rsidRDefault="005C7BF7" w:rsidP="00155590">
      <w:pPr>
        <w:pStyle w:val="Normalcentr"/>
      </w:pPr>
      <w:r>
        <w:rPr>
          <w:b/>
          <w:bCs/>
          <w:i/>
          <w:iCs/>
        </w:rPr>
        <w:t>Références</w:t>
      </w:r>
    </w:p>
    <w:p w14:paraId="13D1D801" w14:textId="77777777" w:rsidR="00065317" w:rsidRDefault="005C7BF7" w:rsidP="00C42A84">
      <w:pPr>
        <w:pStyle w:val="Titre3"/>
      </w:pPr>
      <w:bookmarkStart w:id="50" w:name="_Toc154048710"/>
      <w:bookmarkStart w:id="51" w:name="application-formelle"/>
      <w:bookmarkEnd w:id="17"/>
      <w:r>
        <w:t>Application formelle</w:t>
      </w:r>
      <w:bookmarkEnd w:id="50"/>
    </w:p>
    <w:p w14:paraId="74586578" w14:textId="532139D8" w:rsidR="00784AE7" w:rsidRDefault="005C7BF7">
      <w:pPr>
        <w:pStyle w:val="FirstParagraph"/>
      </w:pPr>
      <w:r>
        <w:t xml:space="preserve">Le </w:t>
      </w:r>
      <w:r w:rsidR="00C8288F">
        <w:t>CIDOC CRM</w:t>
      </w:r>
      <w:r>
        <w:t xml:space="preserve"> est une ontologie (dans le sens informatique du terme) prenant la forme d</w:t>
      </w:r>
      <w:r w:rsidR="00E84B0E">
        <w:t>’</w:t>
      </w:r>
      <w:r>
        <w:t xml:space="preserve">un modèle sémantique orienté-objet destiné à la conversion vers des formats lisibles par des machines (p. ex. </w:t>
      </w:r>
      <w:hyperlink r:id="rId56">
        <w:r>
          <w:rPr>
            <w:rStyle w:val="Lienhypertexte"/>
          </w:rPr>
          <w:t>RDF Schema</w:t>
        </w:r>
      </w:hyperlink>
      <w:r>
        <w:t xml:space="preserve">, </w:t>
      </w:r>
      <w:hyperlink r:id="rId57">
        <w:r>
          <w:rPr>
            <w:rStyle w:val="Lienhypertexte"/>
          </w:rPr>
          <w:t>OWL</w:t>
        </w:r>
      </w:hyperlink>
      <w:r>
        <w:t>), mais formulé afin d</w:t>
      </w:r>
      <w:r w:rsidR="00E84B0E">
        <w:t>’</w:t>
      </w:r>
      <w:r>
        <w:t xml:space="preserve">être compris tant par les informaticiens que par les experts de la documentation. Une documentation conforme au </w:t>
      </w:r>
      <w:r w:rsidR="00C8288F">
        <w:t>CIDOC CRM</w:t>
      </w:r>
      <w:r>
        <w:t xml:space="preserve"> peut-être implémentée en utilisant RDF Schema ou OWL, mais aussi des schémas relationnels ou orientés-objets. Les instances de </w:t>
      </w:r>
      <w:r w:rsidR="00C8288F">
        <w:t>CIDOC CRM</w:t>
      </w:r>
      <w:r>
        <w:t xml:space="preserve"> peuvent être encodées en RDF, </w:t>
      </w:r>
      <w:hyperlink r:id="rId58">
        <w:r>
          <w:rPr>
            <w:rStyle w:val="Lienhypertexte"/>
          </w:rPr>
          <w:t>JSON-LD</w:t>
        </w:r>
      </w:hyperlink>
      <w:r>
        <w:t xml:space="preserve">, </w:t>
      </w:r>
      <w:hyperlink r:id="rId59">
        <w:r>
          <w:rPr>
            <w:rStyle w:val="Lienhypertexte"/>
          </w:rPr>
          <w:t>XML</w:t>
        </w:r>
      </w:hyperlink>
      <w:r>
        <w:t>, OWL ou d</w:t>
      </w:r>
      <w:r w:rsidR="00E84B0E">
        <w:t>’</w:t>
      </w:r>
      <w:r>
        <w:t>autres formats.</w:t>
      </w:r>
    </w:p>
    <w:p w14:paraId="342D9105" w14:textId="026E537B" w:rsidR="00065317" w:rsidRDefault="00784AE7" w:rsidP="00784AE7">
      <w:pPr>
        <w:spacing w:after="0"/>
      </w:pPr>
      <w:r>
        <w:br w:type="page"/>
      </w:r>
    </w:p>
    <w:p w14:paraId="7E3994E4" w14:textId="3A3BFF82" w:rsidR="00065317" w:rsidRDefault="005C7BF7">
      <w:pPr>
        <w:pStyle w:val="Corpsdetexte"/>
      </w:pPr>
      <w:r>
        <w:lastRenderedPageBreak/>
        <w:t xml:space="preserve">Plus spécifiquement, le </w:t>
      </w:r>
      <w:r w:rsidR="00C8288F">
        <w:t>CIDOC CRM</w:t>
      </w:r>
      <w:r>
        <w:t xml:space="preserve"> est exprimé en utilisant les primitives de la modélisation sémantique de données. À ce titre, le modèle est constitué de :</w:t>
      </w:r>
    </w:p>
    <w:p w14:paraId="0211E90A" w14:textId="0623E8DD" w:rsidR="00065317" w:rsidRDefault="005C7BF7">
      <w:pPr>
        <w:numPr>
          <w:ilvl w:val="0"/>
          <w:numId w:val="14"/>
        </w:numPr>
      </w:pPr>
      <w:r>
        <w:t xml:space="preserve">classes, qui représentent des notions générales du domaine du discours comme la classe du </w:t>
      </w:r>
      <w:r w:rsidR="00C8288F">
        <w:t>CIDOC CRM</w:t>
      </w:r>
      <w:r>
        <w:t xml:space="preserve"> </w:t>
      </w:r>
      <w:r>
        <w:rPr>
          <w:rStyle w:val="VerbatimChar"/>
        </w:rPr>
        <w:t>E21_Personne</w:t>
      </w:r>
      <w:r>
        <w:t xml:space="preserve"> qui représente la notion de personne;</w:t>
      </w:r>
    </w:p>
    <w:p w14:paraId="0425E201" w14:textId="33094E20" w:rsidR="00065317" w:rsidRDefault="005C7BF7">
      <w:pPr>
        <w:numPr>
          <w:ilvl w:val="0"/>
          <w:numId w:val="14"/>
        </w:numPr>
      </w:pPr>
      <w:r>
        <w:t xml:space="preserve">propriétés, qui représentent les relations binaires liant les instances du domaine du discours, comme la propriété du </w:t>
      </w:r>
      <w:r w:rsidR="00C8288F">
        <w:t>CIDOC CRM</w:t>
      </w:r>
      <w:r>
        <w:t xml:space="preserve"> </w:t>
      </w:r>
      <w:r>
        <w:rPr>
          <w:rStyle w:val="VerbatimChar"/>
        </w:rPr>
        <w:t>P152_a_pour_parent (est_le_parent_de)</w:t>
      </w:r>
      <w:r>
        <w:t xml:space="preserve"> qui relie une personne à l</w:t>
      </w:r>
      <w:r w:rsidR="00E84B0E">
        <w:t>’</w:t>
      </w:r>
      <w:r>
        <w:t>un de ses parents;</w:t>
      </w:r>
    </w:p>
    <w:p w14:paraId="3C5BEAC7" w14:textId="32A4AD7F" w:rsidR="00065317" w:rsidRDefault="005C7BF7">
      <w:pPr>
        <w:numPr>
          <w:ilvl w:val="0"/>
          <w:numId w:val="14"/>
        </w:numPr>
      </w:pPr>
      <w:r>
        <w:t xml:space="preserve">propriétés de propriétés, comme la propriété </w:t>
      </w:r>
      <w:r>
        <w:rPr>
          <w:rStyle w:val="VerbatimChar"/>
        </w:rPr>
        <w:t>P14.1_dans_le_rôle_de</w:t>
      </w:r>
      <w:r>
        <w:t xml:space="preserve"> dérivée de la propriété du </w:t>
      </w:r>
      <w:r w:rsidR="00C8288F">
        <w:t>CIDOC CRM</w:t>
      </w:r>
      <w:r>
        <w:t xml:space="preserve"> </w:t>
      </w:r>
      <w:r>
        <w:rPr>
          <w:rStyle w:val="VerbatimChar"/>
        </w:rPr>
        <w:t>P14_a_été_effectué_par (a_effectué)</w:t>
      </w:r>
      <w:r>
        <w:t xml:space="preserve"> (voir Des Types). Celles-ci n</w:t>
      </w:r>
      <w:r w:rsidR="00E84B0E">
        <w:t>’</w:t>
      </w:r>
      <w:r>
        <w:t>apparaissent pas dans la hiérarchie des propriétés; elles sont plutôt incluses dans la déclaration de leur propriété source et mentionnées dans les déclarations de classe. Elles ont toutes la quantification implicite « plusieurs à plusieurs » (voir Quantificateurs de propriétés).</w:t>
      </w:r>
    </w:p>
    <w:p w14:paraId="2D4A976C" w14:textId="1B3A7A1B" w:rsidR="00065317" w:rsidRDefault="005C7BF7">
      <w:pPr>
        <w:pStyle w:val="FirstParagraph"/>
      </w:pPr>
      <w:r>
        <w:t>La définition</w:t>
      </w:r>
      <w:r w:rsidR="00830B9D">
        <w:t xml:space="preserve"> présentée ici d</w:t>
      </w:r>
      <w:r>
        <w:t xml:space="preserve">u </w:t>
      </w:r>
      <w:r w:rsidR="00C8288F">
        <w:t>CIDOC CRM</w:t>
      </w:r>
      <w:r>
        <w:t xml:space="preserve"> est complète, bien qu</w:t>
      </w:r>
      <w:r w:rsidR="00E84B0E">
        <w:t>’</w:t>
      </w:r>
      <w:r>
        <w:t>elle demeure une présentation intentionnellement concise et succincte de ses 81 classes et 160 propriétés uniques. Celle-ci n</w:t>
      </w:r>
      <w:r w:rsidR="00E84B0E">
        <w:t>’</w:t>
      </w:r>
      <w:r>
        <w:t>a donc pas pour objectif de décliner l</w:t>
      </w:r>
      <w:r w:rsidR="00E84B0E">
        <w:t>’</w:t>
      </w:r>
      <w:r>
        <w:t>héritage des propriétés par sous-classes à travers la hiérarchie des classes (ce qui exigerait la déclaration de plusieurs milliers de propriétés plutôt que de 160). Par contre, cette définition contient toute l</w:t>
      </w:r>
      <w:r w:rsidR="00E84B0E">
        <w:t>’</w:t>
      </w:r>
      <w:r>
        <w:t>information nécessaire à l</w:t>
      </w:r>
      <w:r w:rsidR="00E84B0E">
        <w:t>’</w:t>
      </w:r>
      <w:r>
        <w:t>inférence et à la génération automatique d</w:t>
      </w:r>
      <w:r w:rsidR="00E84B0E">
        <w:t>’</w:t>
      </w:r>
      <w:r>
        <w:t>une déclaration complète des propriétés, ce qui inclut les propriétés héritées.</w:t>
      </w:r>
    </w:p>
    <w:p w14:paraId="219FCB33" w14:textId="77777777" w:rsidR="00065317" w:rsidRPr="00EC2D6E" w:rsidRDefault="005C7BF7">
      <w:pPr>
        <w:pStyle w:val="Normalcentr"/>
        <w:rPr>
          <w:lang w:val="en-CA"/>
        </w:rPr>
      </w:pPr>
      <w:r w:rsidRPr="00EC2D6E">
        <w:rPr>
          <w:b/>
          <w:bCs/>
          <w:i/>
          <w:iCs/>
          <w:lang w:val="en-CA"/>
        </w:rPr>
        <w:t>Note de traduction</w:t>
      </w:r>
    </w:p>
    <w:p w14:paraId="0A432984" w14:textId="77777777" w:rsidR="00065317" w:rsidRPr="00EC2D6E" w:rsidRDefault="005C7BF7">
      <w:pPr>
        <w:pStyle w:val="Normalcentr"/>
        <w:rPr>
          <w:lang w:val="en-CA"/>
        </w:rPr>
      </w:pPr>
      <w:r w:rsidRPr="00EC2D6E">
        <w:rPr>
          <w:b/>
          <w:bCs/>
          <w:i/>
          <w:iCs/>
          <w:lang w:val="en-CA"/>
        </w:rPr>
        <w:t>Références</w:t>
      </w:r>
    </w:p>
    <w:p w14:paraId="4D9C5317" w14:textId="7C7827D9" w:rsidR="00065317" w:rsidRDefault="005C7BF7">
      <w:pPr>
        <w:pStyle w:val="Normalcentr"/>
      </w:pPr>
      <w:r w:rsidRPr="00EC2D6E">
        <w:rPr>
          <w:lang w:val="en-CA"/>
        </w:rPr>
        <w:t xml:space="preserve">JSON-LD Working Group. « JSON-LD - JSON for Linking Data ». </w:t>
      </w:r>
      <w:r>
        <w:t>JSON-LD, 16</w:t>
      </w:r>
      <w:r w:rsidR="00056DCD">
        <w:t> janvier </w:t>
      </w:r>
      <w:r>
        <w:t>2014.</w:t>
      </w:r>
      <w:hyperlink r:id="rId60">
        <w:r>
          <w:rPr>
            <w:rStyle w:val="Lienhypertexte"/>
          </w:rPr>
          <w:t xml:space="preserve"> </w:t>
        </w:r>
      </w:hyperlink>
      <w:hyperlink r:id="rId61">
        <w:r>
          <w:rPr>
            <w:rStyle w:val="Lienhypertexte"/>
          </w:rPr>
          <w:t>https://json-ld.org/</w:t>
        </w:r>
      </w:hyperlink>
      <w:r>
        <w:t>.</w:t>
      </w:r>
    </w:p>
    <w:p w14:paraId="012C84A8" w14:textId="22C50559" w:rsidR="00065317" w:rsidRPr="00EC2D6E" w:rsidRDefault="005C7BF7">
      <w:pPr>
        <w:pStyle w:val="Normalcentr"/>
        <w:rPr>
          <w:lang w:val="en-CA"/>
        </w:rPr>
      </w:pPr>
      <w:r w:rsidRPr="00EC2D6E">
        <w:rPr>
          <w:lang w:val="en-CA"/>
        </w:rPr>
        <w:t xml:space="preserve">OWL Working Group. « OWL - Semantic Web Standards ». </w:t>
      </w:r>
      <w:r>
        <w:t>Ontologie. Cambridge, USA-MA: World Wide Web Consortium (W3C), 11</w:t>
      </w:r>
      <w:r w:rsidR="00056DCD">
        <w:t> décembre </w:t>
      </w:r>
      <w:r>
        <w:t>2012.</w:t>
      </w:r>
      <w:hyperlink r:id="rId62">
        <w:r>
          <w:rPr>
            <w:rStyle w:val="Lienhypertexte"/>
          </w:rPr>
          <w:t xml:space="preserve"> </w:t>
        </w:r>
      </w:hyperlink>
      <w:hyperlink r:id="rId63">
        <w:r w:rsidRPr="00EC2D6E">
          <w:rPr>
            <w:rStyle w:val="Lienhypertexte"/>
            <w:lang w:val="en-CA"/>
          </w:rPr>
          <w:t>https://www.w3.org/OWL/</w:t>
        </w:r>
      </w:hyperlink>
      <w:r w:rsidRPr="00EC2D6E">
        <w:rPr>
          <w:lang w:val="en-CA"/>
        </w:rPr>
        <w:t>.</w:t>
      </w:r>
    </w:p>
    <w:p w14:paraId="23E9D8B4" w14:textId="6F022057" w:rsidR="00065317" w:rsidRPr="00EC2D6E" w:rsidRDefault="005C7BF7">
      <w:pPr>
        <w:pStyle w:val="Normalcentr"/>
        <w:rPr>
          <w:lang w:val="en-CA"/>
        </w:rPr>
      </w:pPr>
      <w:r w:rsidRPr="00EC2D6E">
        <w:rPr>
          <w:lang w:val="en-CA"/>
        </w:rPr>
        <w:t>RDF Working Group. « RDF - Semantic Web Standards ». Modèle. Cambridge, USA-MA: World Wide Web Consortium (W3C), 25</w:t>
      </w:r>
      <w:r w:rsidR="00056DCD">
        <w:rPr>
          <w:lang w:val="en-CA"/>
        </w:rPr>
        <w:t> février </w:t>
      </w:r>
      <w:r w:rsidRPr="00EC2D6E">
        <w:rPr>
          <w:lang w:val="en-CA"/>
        </w:rPr>
        <w:t>2014.</w:t>
      </w:r>
      <w:hyperlink r:id="rId64">
        <w:r w:rsidRPr="00EC2D6E">
          <w:rPr>
            <w:rStyle w:val="Lienhypertexte"/>
            <w:lang w:val="en-CA"/>
          </w:rPr>
          <w:t xml:space="preserve"> </w:t>
        </w:r>
      </w:hyperlink>
      <w:hyperlink r:id="rId65">
        <w:r w:rsidRPr="00EC2D6E">
          <w:rPr>
            <w:rStyle w:val="Lienhypertexte"/>
            <w:lang w:val="en-CA"/>
          </w:rPr>
          <w:t>https://www.w3.org/RDF/</w:t>
        </w:r>
      </w:hyperlink>
      <w:r w:rsidRPr="00EC2D6E">
        <w:rPr>
          <w:lang w:val="en-CA"/>
        </w:rPr>
        <w:t>.</w:t>
      </w:r>
    </w:p>
    <w:p w14:paraId="5D2B49A8" w14:textId="78EA5E9E" w:rsidR="00065317" w:rsidRPr="00830B9D" w:rsidRDefault="005C7BF7">
      <w:pPr>
        <w:pStyle w:val="Normalcentr"/>
        <w:rPr>
          <w:lang w:val="fr-CA"/>
        </w:rPr>
      </w:pPr>
      <w:r w:rsidRPr="00EC2D6E">
        <w:rPr>
          <w:lang w:val="en-CA"/>
        </w:rPr>
        <w:t>XML Working Group. « Extensible Markup Language (XML) ». World Wide Web Consortium (W3C), 11</w:t>
      </w:r>
      <w:r w:rsidR="00056DCD">
        <w:rPr>
          <w:lang w:val="en-CA"/>
        </w:rPr>
        <w:t> octobre </w:t>
      </w:r>
      <w:r w:rsidRPr="00EC2D6E">
        <w:rPr>
          <w:lang w:val="en-CA"/>
        </w:rPr>
        <w:t>2016.</w:t>
      </w:r>
      <w:hyperlink r:id="rId66">
        <w:r w:rsidRPr="00EC2D6E">
          <w:rPr>
            <w:rStyle w:val="Lienhypertexte"/>
            <w:lang w:val="en-CA"/>
          </w:rPr>
          <w:t xml:space="preserve"> </w:t>
        </w:r>
      </w:hyperlink>
      <w:hyperlink r:id="rId67">
        <w:r w:rsidRPr="00830B9D">
          <w:rPr>
            <w:rStyle w:val="Lienhypertexte"/>
            <w:lang w:val="fr-CA"/>
          </w:rPr>
          <w:t>https://www.w3.org/XML/</w:t>
        </w:r>
      </w:hyperlink>
      <w:r w:rsidRPr="00830B9D">
        <w:rPr>
          <w:lang w:val="fr-CA"/>
        </w:rPr>
        <w:t>.</w:t>
      </w:r>
    </w:p>
    <w:p w14:paraId="60B59652" w14:textId="5D7CA4F9" w:rsidR="00065317" w:rsidRDefault="005C7BF7" w:rsidP="00C42A84">
      <w:pPr>
        <w:pStyle w:val="Titre4"/>
      </w:pPr>
      <w:bookmarkStart w:id="52" w:name="_Toc154048711"/>
      <w:bookmarkStart w:id="53" w:name="convention-dappellation"/>
      <w:r>
        <w:t>Convention d</w:t>
      </w:r>
      <w:r w:rsidR="00E84B0E">
        <w:t>’</w:t>
      </w:r>
      <w:r>
        <w:t>appellation</w:t>
      </w:r>
      <w:bookmarkEnd w:id="52"/>
    </w:p>
    <w:p w14:paraId="3154B9AE" w14:textId="035A02F7" w:rsidR="00065317" w:rsidRDefault="005C7BF7">
      <w:pPr>
        <w:pStyle w:val="FirstParagraph"/>
      </w:pPr>
      <w:r>
        <w:t xml:space="preserve">La convention suivante a été appliquée à travers le </w:t>
      </w:r>
      <w:r w:rsidR="00C8288F">
        <w:t>CIDOC CRM</w:t>
      </w:r>
      <w:r>
        <w:t xml:space="preserve"> :</w:t>
      </w:r>
    </w:p>
    <w:p w14:paraId="1A6425A6" w14:textId="71E3BF5F" w:rsidR="00065317" w:rsidRDefault="005C7BF7">
      <w:pPr>
        <w:numPr>
          <w:ilvl w:val="0"/>
          <w:numId w:val="15"/>
        </w:numPr>
      </w:pPr>
      <w:r>
        <w:t xml:space="preserve">Les </w:t>
      </w:r>
      <w:hyperlink w:anchor="terminologie-classe">
        <w:r>
          <w:rPr>
            <w:rStyle w:val="Lienhypertexte"/>
          </w:rPr>
          <w:t>classes</w:t>
        </w:r>
      </w:hyperlink>
      <w:r>
        <w:t xml:space="preserve"> sont identifiées par des numéros précédés de la lettre majuscule « E » (historiquement, les classes de </w:t>
      </w:r>
      <w:r w:rsidR="00C8288F">
        <w:t>CIDOC CRM</w:t>
      </w:r>
      <w:r>
        <w:t xml:space="preserve"> étaient parfois appelées des « entités ») et leurs appellations sont constituées de groupes nominaux, les initiales des noms sont en majuscules. Par exemple, </w:t>
      </w:r>
      <w:r>
        <w:rPr>
          <w:rStyle w:val="VerbatimChar"/>
        </w:rPr>
        <w:t>E63_Début_d</w:t>
      </w:r>
      <w:r w:rsidR="00E84B0E">
        <w:rPr>
          <w:rStyle w:val="VerbatimChar"/>
        </w:rPr>
        <w:t>’</w:t>
      </w:r>
      <w:r>
        <w:rPr>
          <w:rStyle w:val="VerbatimChar"/>
        </w:rPr>
        <w:t>existence</w:t>
      </w:r>
      <w:r>
        <w:t xml:space="preserve"> [</w:t>
      </w:r>
      <w:r w:rsidR="00AF51A3">
        <w:t xml:space="preserve">n.d.t. </w:t>
      </w:r>
      <w:r>
        <w:t>Dans la version francophone, les classes sont toujours conjuguées au féminin singulier,</w:t>
      </w:r>
      <w:r w:rsidR="00C8288F">
        <w:t> p. ex. </w:t>
      </w:r>
      <w:r>
        <w:t xml:space="preserve">« une </w:t>
      </w:r>
      <w:r>
        <w:rPr>
          <w:rStyle w:val="VerbatimChar"/>
        </w:rPr>
        <w:t>E63_Début_d</w:t>
      </w:r>
      <w:r w:rsidR="00E84B0E">
        <w:rPr>
          <w:rStyle w:val="VerbatimChar"/>
        </w:rPr>
        <w:t>’</w:t>
      </w:r>
      <w:r>
        <w:rPr>
          <w:rStyle w:val="VerbatimChar"/>
        </w:rPr>
        <w:t>existence</w:t>
      </w:r>
      <w:r>
        <w:t> »].</w:t>
      </w:r>
    </w:p>
    <w:p w14:paraId="0F051831" w14:textId="19A1505E" w:rsidR="00065317" w:rsidRDefault="005C7BF7">
      <w:pPr>
        <w:numPr>
          <w:ilvl w:val="0"/>
          <w:numId w:val="15"/>
        </w:numPr>
      </w:pPr>
      <w:r>
        <w:t xml:space="preserve">Les </w:t>
      </w:r>
      <w:hyperlink w:anchor="terminologie-propriete">
        <w:r>
          <w:rPr>
            <w:rStyle w:val="Lienhypertexte"/>
          </w:rPr>
          <w:t>propriétés</w:t>
        </w:r>
      </w:hyperlink>
      <w:r>
        <w:t xml:space="preserve"> sont identifiées par des numéros précédés de la lettre majuscule « P » et leurs appellations sont bidirectionnelles et constituées de syntagmes verbaux dont tous les termes sont en minuscules. Les propriétés ayant les caractéristiques d</w:t>
      </w:r>
      <w:r w:rsidR="00E84B0E">
        <w:t>’</w:t>
      </w:r>
      <w:r>
        <w:t xml:space="preserve">états utilisent le présent (p. ex. « a pout type »), alors que les propriétés liées à des évènements sont nommées au passé (p. ex. a été effectué par). Par exemple, </w:t>
      </w:r>
      <w:r>
        <w:rPr>
          <w:rStyle w:val="VerbatimChar"/>
        </w:rPr>
        <w:t>P126_a_employé (a_été_employé_dans)</w:t>
      </w:r>
      <w:r>
        <w:t xml:space="preserve"> [</w:t>
      </w:r>
      <w:r w:rsidR="00AF51A3">
        <w:t xml:space="preserve">n.d.t. </w:t>
      </w:r>
      <w:r>
        <w:t>Dans la version francophone, les propriétés sont toujours conjuguées au féminin singulier,</w:t>
      </w:r>
      <w:r w:rsidR="00C8288F">
        <w:t> p. ex. </w:t>
      </w:r>
      <w:r>
        <w:t xml:space="preserve">« une </w:t>
      </w:r>
      <w:r>
        <w:rPr>
          <w:rStyle w:val="VerbatimChar"/>
        </w:rPr>
        <w:t>P126_a_employé (a_été_employé_dans)</w:t>
      </w:r>
      <w:r>
        <w:t> »].</w:t>
      </w:r>
    </w:p>
    <w:p w14:paraId="517DBCD5" w14:textId="547DBF29" w:rsidR="00065317" w:rsidRDefault="005C7BF7">
      <w:pPr>
        <w:numPr>
          <w:ilvl w:val="0"/>
          <w:numId w:val="15"/>
        </w:numPr>
      </w:pPr>
      <w:r>
        <w:lastRenderedPageBreak/>
        <w:t>Les noms des propriétés devraient être lus dans leur forme non parenthétique lors d</w:t>
      </w:r>
      <w:r w:rsidR="00E84B0E">
        <w:t>’</w:t>
      </w:r>
      <w:r>
        <w:t xml:space="preserve">une lecture dirigée depuis le </w:t>
      </w:r>
      <w:hyperlink w:anchor="terminologie-domaine">
        <w:r>
          <w:rPr>
            <w:rStyle w:val="Lienhypertexte"/>
          </w:rPr>
          <w:t>domaine</w:t>
        </w:r>
      </w:hyperlink>
      <w:r>
        <w:t xml:space="preserve"> vers la </w:t>
      </w:r>
      <w:hyperlink w:anchor="terminologie-portee">
        <w:r>
          <w:rPr>
            <w:rStyle w:val="Lienhypertexte"/>
          </w:rPr>
          <w:t>portée</w:t>
        </w:r>
      </w:hyperlink>
      <w:r>
        <w:t>, et dans leur forme parenthétique lors d</w:t>
      </w:r>
      <w:r w:rsidR="00E84B0E">
        <w:t>’</w:t>
      </w:r>
      <w:r>
        <w:t>une lecture dirigée depuis la portée vers le domaine. Lire une propriété depuis la portée vers le domaine équivaut à l</w:t>
      </w:r>
      <w:r w:rsidR="00E84B0E">
        <w:t>’</w:t>
      </w:r>
      <w:r>
        <w:t xml:space="preserve">inverse de cette propriété. En adéquation avec les pratiques de notation </w:t>
      </w:r>
      <w:hyperlink r:id="rId68">
        <w:r>
          <w:rPr>
            <w:rStyle w:val="Lienhypertexte"/>
          </w:rPr>
          <w:t>OWL</w:t>
        </w:r>
      </w:hyperlink>
      <w:r>
        <w:t xml:space="preserve"> actuelles, les </w:t>
      </w:r>
      <w:hyperlink w:anchor="terminologie-propriete-inverse">
        <w:r>
          <w:rPr>
            <w:rStyle w:val="Lienhypertexte"/>
          </w:rPr>
          <w:t xml:space="preserve">propriétés inverses </w:t>
        </w:r>
      </w:hyperlink>
      <w:r>
        <w:t>sont identifiées par l</w:t>
      </w:r>
      <w:r w:rsidR="00E84B0E">
        <w:t>’</w:t>
      </w:r>
      <w:r>
        <w:t>ajout d</w:t>
      </w:r>
      <w:r w:rsidR="00E84B0E">
        <w:t>’</w:t>
      </w:r>
      <w:r>
        <w:t>un « i » minuscule à la suite du numéro d</w:t>
      </w:r>
      <w:r w:rsidR="00E84B0E">
        <w:t>’</w:t>
      </w:r>
      <w:r>
        <w:t xml:space="preserve">identification et de la forme parenthétique complète de la propriété (p. ex. </w:t>
      </w:r>
      <w:r>
        <w:rPr>
          <w:rStyle w:val="VerbatimChar"/>
        </w:rPr>
        <w:t>P59i_se_situe_sur_ou_dans</w:t>
      </w:r>
      <w:r>
        <w:t xml:space="preserve"> est la propriété inverse de </w:t>
      </w:r>
      <w:r>
        <w:rPr>
          <w:rStyle w:val="VerbatimChar"/>
        </w:rPr>
        <w:t>P59_a_pour_section (se_situe_sur_ou_dans)</w:t>
      </w:r>
      <w:r>
        <w:t>).</w:t>
      </w:r>
    </w:p>
    <w:p w14:paraId="5FC21796" w14:textId="311F3FD0" w:rsidR="00065317" w:rsidRDefault="005C7BF7">
      <w:pPr>
        <w:numPr>
          <w:ilvl w:val="0"/>
          <w:numId w:val="15"/>
        </w:numPr>
      </w:pPr>
      <w:r>
        <w:t xml:space="preserve">Les propriétés dont la portée est une </w:t>
      </w:r>
      <w:hyperlink w:anchor="terminologie-sous-classe">
        <w:r>
          <w:rPr>
            <w:rStyle w:val="Lienhypertexte"/>
          </w:rPr>
          <w:t>sous-classe</w:t>
        </w:r>
      </w:hyperlink>
      <w:r>
        <w:t xml:space="preserve"> de </w:t>
      </w:r>
      <w:r>
        <w:rPr>
          <w:rStyle w:val="VerbatimChar"/>
        </w:rPr>
        <w:t>E59_Valeur_primitive</w:t>
      </w:r>
      <w:r>
        <w:t xml:space="preserve"> (p. ex. </w:t>
      </w:r>
      <w:r>
        <w:rPr>
          <w:rStyle w:val="VerbatimChar"/>
        </w:rPr>
        <w:t>E1_Entité_CRM</w:t>
      </w:r>
      <w:r>
        <w:t xml:space="preserve">. </w:t>
      </w:r>
      <w:r>
        <w:rPr>
          <w:rStyle w:val="VerbatimChar"/>
        </w:rPr>
        <w:t>P3_a_pour_note</w:t>
      </w:r>
      <w:r>
        <w:t xml:space="preserve"> : </w:t>
      </w:r>
      <w:r>
        <w:rPr>
          <w:rStyle w:val="VerbatimChar"/>
        </w:rPr>
        <w:t>E62_Chaîne_de_caractères</w:t>
      </w:r>
      <w:r>
        <w:t>) n</w:t>
      </w:r>
      <w:r w:rsidR="00E84B0E">
        <w:t>’</w:t>
      </w:r>
      <w:r>
        <w:t>ont pas de forme appellative parenthétique, car la lecture depuis la portée vers le domaine n</w:t>
      </w:r>
      <w:r w:rsidR="00E84B0E">
        <w:t>’</w:t>
      </w:r>
      <w:r>
        <w:t>est pas porteuse de sens.</w:t>
      </w:r>
    </w:p>
    <w:p w14:paraId="340FB806" w14:textId="26B86B08" w:rsidR="00065317" w:rsidRDefault="005C7BF7">
      <w:pPr>
        <w:numPr>
          <w:ilvl w:val="0"/>
          <w:numId w:val="15"/>
        </w:numPr>
      </w:pPr>
      <w:r>
        <w:t xml:space="preserve">Les propriétés qui ont des domaine et portée identiques sont soit </w:t>
      </w:r>
      <w:hyperlink w:anchor="terminologie-symetrie">
        <w:r>
          <w:rPr>
            <w:rStyle w:val="Lienhypertexte"/>
          </w:rPr>
          <w:t>symétriques</w:t>
        </w:r>
      </w:hyperlink>
      <w:r>
        <w:t xml:space="preserve">, soit </w:t>
      </w:r>
      <w:hyperlink w:anchor="terminologie-transitivite">
        <w:r>
          <w:rPr>
            <w:rStyle w:val="Lienhypertexte"/>
          </w:rPr>
          <w:t>transitives</w:t>
        </w:r>
      </w:hyperlink>
      <w:r>
        <w:t xml:space="preserve">. Instancier une propriété symétrique implique que la même relation est applicable lors de la lecture depuis le domaine vers la portée et depuis la portée vers le domaine (p. ex. </w:t>
      </w:r>
      <w:r>
        <w:rPr>
          <w:rStyle w:val="VerbatimChar"/>
        </w:rPr>
        <w:t>E53_Lieu</w:t>
      </w:r>
      <w:r>
        <w:t xml:space="preserve">. </w:t>
      </w:r>
      <w:r>
        <w:rPr>
          <w:rStyle w:val="VerbatimChar"/>
        </w:rPr>
        <w:t>P122_est_limitrophe_de</w:t>
      </w:r>
      <w:r>
        <w:t xml:space="preserve"> : </w:t>
      </w:r>
      <w:r>
        <w:rPr>
          <w:rStyle w:val="VerbatimChar"/>
        </w:rPr>
        <w:t>E53_Lieu</w:t>
      </w:r>
      <w:r>
        <w:t>). Les formes appellatives de propriétés symétriques n</w:t>
      </w:r>
      <w:r w:rsidR="00E84B0E">
        <w:t>’</w:t>
      </w:r>
      <w:r>
        <w:t xml:space="preserve">ont pas de forme parenthétique, car la lecture depuis la portée vers le domaine équivaut à la lecture depuis le domaine vers la portée. Les propriétés transitives asymétriques (p. ex. </w:t>
      </w:r>
      <w:r>
        <w:rPr>
          <w:rStyle w:val="VerbatimChar"/>
        </w:rPr>
        <w:t>E4_Période</w:t>
      </w:r>
      <w:r>
        <w:t xml:space="preserve">. </w:t>
      </w:r>
      <w:r>
        <w:rPr>
          <w:rStyle w:val="VerbatimChar"/>
        </w:rPr>
        <w:t>P9_comprend (fait_partie_de)</w:t>
      </w:r>
      <w:r>
        <w:t xml:space="preserve"> : </w:t>
      </w:r>
      <w:r>
        <w:rPr>
          <w:rStyle w:val="VerbatimChar"/>
        </w:rPr>
        <w:t>E4_Période</w:t>
      </w:r>
      <w:r>
        <w:t>) ont une forme parenthétique qui porte sur la signification de leur direction inverse.</w:t>
      </w:r>
    </w:p>
    <w:p w14:paraId="5A13928C" w14:textId="65898A92" w:rsidR="00065317" w:rsidRDefault="005C7BF7">
      <w:pPr>
        <w:numPr>
          <w:ilvl w:val="0"/>
          <w:numId w:val="15"/>
        </w:numPr>
      </w:pPr>
      <w:r>
        <w:t>Le choix du domaine des propriétés, et donc de l</w:t>
      </w:r>
      <w:r w:rsidR="00E84B0E">
        <w:t>’</w:t>
      </w:r>
      <w:r>
        <w:t>ordre de leur appellation, est établi selon les priorités suivantes :</w:t>
      </w:r>
    </w:p>
    <w:p w14:paraId="3BE9F2EE" w14:textId="77777777" w:rsidR="00065317" w:rsidRDefault="005C7BF7">
      <w:pPr>
        <w:numPr>
          <w:ilvl w:val="1"/>
          <w:numId w:val="16"/>
        </w:numPr>
      </w:pPr>
      <w:r>
        <w:t>Entités temporelles (</w:t>
      </w:r>
      <w:r>
        <w:rPr>
          <w:rStyle w:val="VerbatimChar"/>
        </w:rPr>
        <w:t>E2_Entité_temporelle</w:t>
      </w:r>
      <w:r>
        <w:t xml:space="preserve"> et ses sous-classes)</w:t>
      </w:r>
    </w:p>
    <w:p w14:paraId="191967C9" w14:textId="77777777" w:rsidR="00065317" w:rsidRDefault="005C7BF7">
      <w:pPr>
        <w:numPr>
          <w:ilvl w:val="1"/>
          <w:numId w:val="16"/>
        </w:numPr>
      </w:pPr>
      <w:r>
        <w:t>Choses (</w:t>
      </w:r>
      <w:r>
        <w:rPr>
          <w:rStyle w:val="VerbatimChar"/>
        </w:rPr>
        <w:t>E70_Chose</w:t>
      </w:r>
      <w:r>
        <w:t xml:space="preserve"> et ses sous-classes)</w:t>
      </w:r>
    </w:p>
    <w:p w14:paraId="7EAF3CE4" w14:textId="77777777" w:rsidR="00065317" w:rsidRDefault="005C7BF7">
      <w:pPr>
        <w:numPr>
          <w:ilvl w:val="1"/>
          <w:numId w:val="16"/>
        </w:numPr>
      </w:pPr>
      <w:r>
        <w:t>Acteurs (</w:t>
      </w:r>
      <w:r>
        <w:rPr>
          <w:rStyle w:val="VerbatimChar"/>
        </w:rPr>
        <w:t>E39_Actant</w:t>
      </w:r>
      <w:r>
        <w:t xml:space="preserve"> et ses sous-classes)</w:t>
      </w:r>
    </w:p>
    <w:p w14:paraId="23C003D8" w14:textId="77777777" w:rsidR="00065317" w:rsidRDefault="005C7BF7">
      <w:pPr>
        <w:numPr>
          <w:ilvl w:val="1"/>
          <w:numId w:val="16"/>
        </w:numPr>
      </w:pPr>
      <w:r>
        <w:t>Autres</w:t>
      </w:r>
    </w:p>
    <w:p w14:paraId="1860499E" w14:textId="1F9AE503" w:rsidR="00065317" w:rsidRDefault="005C7BF7">
      <w:pPr>
        <w:numPr>
          <w:ilvl w:val="0"/>
          <w:numId w:val="15"/>
        </w:numPr>
      </w:pPr>
      <w:r>
        <w:t>Les propriétés de propriétés sont identifiées par la lettre majuscule « P » suivi du numéro de la propriété source complété par « .1 » et sont nommées de manière unidirectionnelle à l</w:t>
      </w:r>
      <w:r w:rsidR="00E84B0E">
        <w:t>’</w:t>
      </w:r>
      <w:r>
        <w:t xml:space="preserve">aide de syntagmes verbaux dont tous les termes sont en minuscules et au présent. Par exemple, la propriété </w:t>
      </w:r>
      <w:r>
        <w:rPr>
          <w:rStyle w:val="VerbatimChar"/>
        </w:rPr>
        <w:t>P62.1_mode_d</w:t>
      </w:r>
      <w:r w:rsidR="00E84B0E">
        <w:rPr>
          <w:rStyle w:val="VerbatimChar"/>
        </w:rPr>
        <w:t>’</w:t>
      </w:r>
      <w:r>
        <w:rPr>
          <w:rStyle w:val="VerbatimChar"/>
        </w:rPr>
        <w:t>illustration</w:t>
      </w:r>
      <w:r>
        <w:t xml:space="preserve"> de la propriété </w:t>
      </w:r>
      <w:r>
        <w:rPr>
          <w:rStyle w:val="VerbatimChar"/>
        </w:rPr>
        <w:t>P62_illustre (est_illustré_par)</w:t>
      </w:r>
      <w:r>
        <w:t>.</w:t>
      </w:r>
    </w:p>
    <w:p w14:paraId="40F4E533" w14:textId="77777777" w:rsidR="00065317" w:rsidRDefault="005C7BF7">
      <w:pPr>
        <w:pStyle w:val="Normalcentr"/>
      </w:pPr>
      <w:r>
        <w:rPr>
          <w:b/>
          <w:bCs/>
          <w:i/>
          <w:iCs/>
        </w:rPr>
        <w:t>Note de traduction</w:t>
      </w:r>
    </w:p>
    <w:p w14:paraId="0E09B537" w14:textId="217F6BAF" w:rsidR="00065317" w:rsidRDefault="005C7BF7">
      <w:pPr>
        <w:pStyle w:val="Normalcentr"/>
      </w:pPr>
      <w:r>
        <w:t>Le terme « naming convention » est parfois traduit par « convention d</w:t>
      </w:r>
      <w:r w:rsidR="00E84B0E">
        <w:t>’</w:t>
      </w:r>
      <w:r>
        <w:t>appellation » ou « convention de nommage</w:t>
      </w:r>
      <w:r w:rsidR="00155590">
        <w:t> »</w:t>
      </w:r>
      <w:r>
        <w:t>; le terme « convention d</w:t>
      </w:r>
      <w:r w:rsidR="00E84B0E">
        <w:t>’</w:t>
      </w:r>
      <w:r>
        <w:t>appellation » a été privilégié, car il semble davantage utilisé de manière générale (après avoir fait une brève recherche en ligne) et est entériné par Termium.</w:t>
      </w:r>
    </w:p>
    <w:p w14:paraId="2579B0BC" w14:textId="77777777" w:rsidR="00065317" w:rsidRPr="00EC2D6E" w:rsidRDefault="005C7BF7">
      <w:pPr>
        <w:pStyle w:val="Normalcentr"/>
        <w:rPr>
          <w:lang w:val="en-CA"/>
        </w:rPr>
      </w:pPr>
      <w:r w:rsidRPr="00EC2D6E">
        <w:rPr>
          <w:b/>
          <w:bCs/>
          <w:i/>
          <w:iCs/>
          <w:lang w:val="en-CA"/>
        </w:rPr>
        <w:t>Références</w:t>
      </w:r>
    </w:p>
    <w:p w14:paraId="487DE726" w14:textId="52A2EBF5" w:rsidR="00065317" w:rsidRDefault="005C7BF7">
      <w:pPr>
        <w:pStyle w:val="Normalcentr"/>
      </w:pPr>
      <w:r w:rsidRPr="00EC2D6E">
        <w:rPr>
          <w:lang w:val="en-CA"/>
        </w:rPr>
        <w:t xml:space="preserve">OWL Working Group. « OWL - Semantic Web Standards ». </w:t>
      </w:r>
      <w:r>
        <w:t>Ontologie. Cambridge, USA-MA: World Wide Web Consortium (W3C), 11</w:t>
      </w:r>
      <w:r w:rsidR="00056DCD">
        <w:t> décembre </w:t>
      </w:r>
      <w:r>
        <w:t>2012.</w:t>
      </w:r>
      <w:hyperlink r:id="rId69">
        <w:r>
          <w:rPr>
            <w:rStyle w:val="Lienhypertexte"/>
          </w:rPr>
          <w:t xml:space="preserve"> </w:t>
        </w:r>
      </w:hyperlink>
      <w:hyperlink r:id="rId70">
        <w:r>
          <w:rPr>
            <w:rStyle w:val="Lienhypertexte"/>
          </w:rPr>
          <w:t>https://www.w3.org/OWL/</w:t>
        </w:r>
      </w:hyperlink>
      <w:r>
        <w:t>.</w:t>
      </w:r>
    </w:p>
    <w:p w14:paraId="21198841" w14:textId="00978341" w:rsidR="00065317" w:rsidRDefault="005C7BF7">
      <w:pPr>
        <w:pStyle w:val="Normalcentr"/>
      </w:pPr>
      <w:r>
        <w:t xml:space="preserve">Termium. « Convention Appellation Courriels ». Dans </w:t>
      </w:r>
      <w:r>
        <w:rPr>
          <w:i/>
          <w:iCs/>
        </w:rPr>
        <w:t>Termium Plus</w:t>
      </w:r>
      <w:r>
        <w:t>. Ottawa, CA-ON: Gouvernement du Canada, 8</w:t>
      </w:r>
      <w:r w:rsidR="00056DCD">
        <w:t> octobre </w:t>
      </w:r>
      <w:r>
        <w:t>2009.</w:t>
      </w:r>
      <w:hyperlink r:id="rId71">
        <w:r>
          <w:rPr>
            <w:rStyle w:val="Lienhypertexte"/>
          </w:rPr>
          <w:t xml:space="preserve"> </w:t>
        </w:r>
      </w:hyperlink>
      <w:hyperlink r:id="rId72">
        <w:r>
          <w:rPr>
            <w:rStyle w:val="Lienhypertexte"/>
          </w:rPr>
          <w:t>https://www.btb.termiumplus.gc.ca/tpv2alpha/alpha-eng.html?lang=eng&amp;i=1&amp;index=frt&amp;srchtxt=CONVENTION%20APPELLATION%20COURRIELS</w:t>
        </w:r>
      </w:hyperlink>
      <w:r>
        <w:t>.</w:t>
      </w:r>
    </w:p>
    <w:p w14:paraId="6B8CEB38" w14:textId="758D07D2" w:rsidR="00065317" w:rsidRDefault="005C7BF7" w:rsidP="00C42A84">
      <w:pPr>
        <w:pStyle w:val="Titre4"/>
      </w:pPr>
      <w:bookmarkStart w:id="54" w:name="_Toc154048712"/>
      <w:bookmarkStart w:id="55" w:name="de-lheritage-et-de-la-transitivite"/>
      <w:bookmarkEnd w:id="53"/>
      <w:r>
        <w:t>De l</w:t>
      </w:r>
      <w:r w:rsidR="00E84B0E">
        <w:t>’</w:t>
      </w:r>
      <w:r>
        <w:t>héritage et de la transitivité</w:t>
      </w:r>
      <w:bookmarkEnd w:id="54"/>
    </w:p>
    <w:p w14:paraId="1828B9BC" w14:textId="0B67F3AB" w:rsidR="00065317" w:rsidRDefault="005C7BF7">
      <w:pPr>
        <w:pStyle w:val="FirstParagraph"/>
      </w:pPr>
      <w:r>
        <w:t xml:space="preserve">Le </w:t>
      </w:r>
      <w:r w:rsidR="00C8288F">
        <w:t>CIDOC CRM</w:t>
      </w:r>
      <w:r>
        <w:t xml:space="preserve"> est un système de </w:t>
      </w:r>
      <w:hyperlink w:anchor="terminologie-classe">
        <w:r>
          <w:rPr>
            <w:rStyle w:val="Lienhypertexte"/>
          </w:rPr>
          <w:t>classe</w:t>
        </w:r>
      </w:hyperlink>
      <w:r>
        <w:t xml:space="preserve"> dotées </w:t>
      </w:r>
      <w:hyperlink w:anchor="terminologie-heritage">
        <w:r>
          <w:rPr>
            <w:rStyle w:val="Lienhypertexte"/>
          </w:rPr>
          <w:t>d</w:t>
        </w:r>
        <w:r w:rsidR="00E84B0E">
          <w:rPr>
            <w:rStyle w:val="Lienhypertexte"/>
          </w:rPr>
          <w:t>’</w:t>
        </w:r>
        <w:r>
          <w:rPr>
            <w:rStyle w:val="Lienhypertexte"/>
          </w:rPr>
          <w:t>héritage</w:t>
        </w:r>
      </w:hyperlink>
      <w:r>
        <w:t>, de telle manière qu</w:t>
      </w:r>
      <w:r w:rsidR="00E84B0E">
        <w:t>’</w:t>
      </w:r>
      <w:r>
        <w:t xml:space="preserve">une </w:t>
      </w:r>
      <w:hyperlink w:anchor="terminologie-propriete">
        <w:r>
          <w:rPr>
            <w:rStyle w:val="Lienhypertexte"/>
          </w:rPr>
          <w:t>propriété</w:t>
        </w:r>
      </w:hyperlink>
      <w:r>
        <w:t xml:space="preserve"> </w:t>
      </w:r>
      <w:r>
        <w:rPr>
          <w:rStyle w:val="VerbatimChar"/>
        </w:rPr>
        <w:t>P</w:t>
      </w:r>
      <w:r>
        <w:t xml:space="preserve"> ayant pour </w:t>
      </w:r>
      <w:hyperlink w:anchor="terminologie-domaine">
        <w:r>
          <w:rPr>
            <w:rStyle w:val="Lienhypertexte"/>
          </w:rPr>
          <w:t>domaine</w:t>
        </w:r>
      </w:hyperlink>
      <w:r>
        <w:t xml:space="preserve"> </w:t>
      </w:r>
      <w:r>
        <w:rPr>
          <w:rStyle w:val="VerbatimChar"/>
        </w:rPr>
        <w:t>A</w:t>
      </w:r>
      <w:r>
        <w:t xml:space="preserve"> et pour </w:t>
      </w:r>
      <w:hyperlink w:anchor="terminologie-portee">
        <w:r>
          <w:rPr>
            <w:rStyle w:val="Lienhypertexte"/>
          </w:rPr>
          <w:t>portée</w:t>
        </w:r>
      </w:hyperlink>
      <w:r>
        <w:t xml:space="preserve"> </w:t>
      </w:r>
      <w:r>
        <w:rPr>
          <w:rStyle w:val="VerbatimChar"/>
        </w:rPr>
        <w:t>B</w:t>
      </w:r>
      <w:r>
        <w:t xml:space="preserve"> sera aussi une propriété potentielle de toutes les </w:t>
      </w:r>
      <w:hyperlink w:anchor="terminologie-sous-classe">
        <w:r>
          <w:rPr>
            <w:rStyle w:val="Lienhypertexte"/>
          </w:rPr>
          <w:t>sous-classe</w:t>
        </w:r>
      </w:hyperlink>
      <w:r>
        <w:t xml:space="preserve">s de </w:t>
      </w:r>
      <w:r>
        <w:rPr>
          <w:rStyle w:val="VerbatimChar"/>
        </w:rPr>
        <w:t>A</w:t>
      </w:r>
      <w:r>
        <w:t xml:space="preserve"> et de </w:t>
      </w:r>
      <w:r>
        <w:rPr>
          <w:rStyle w:val="VerbatimChar"/>
        </w:rPr>
        <w:t>B</w:t>
      </w:r>
      <w:r>
        <w:t xml:space="preserve">. </w:t>
      </w:r>
      <w:r>
        <w:lastRenderedPageBreak/>
        <w:t>Dans la plupart des cas, il y aura une sous-classe commune (</w:t>
      </w:r>
      <w:r>
        <w:rPr>
          <w:rStyle w:val="VerbatimChar"/>
        </w:rPr>
        <w:t>C</w:t>
      </w:r>
      <w:r>
        <w:t xml:space="preserve">) de </w:t>
      </w:r>
      <w:r>
        <w:rPr>
          <w:rStyle w:val="VerbatimChar"/>
        </w:rPr>
        <w:t>A</w:t>
      </w:r>
      <w:r>
        <w:t xml:space="preserve"> et de </w:t>
      </w:r>
      <w:r>
        <w:rPr>
          <w:rStyle w:val="VerbatimChar"/>
        </w:rPr>
        <w:t>B</w:t>
      </w:r>
      <w:r>
        <w:t>. Si c</w:t>
      </w:r>
      <w:r w:rsidR="00E84B0E">
        <w:t>’</w:t>
      </w:r>
      <w:r>
        <w:t xml:space="preserve">est le cas, une propriété restreinte à </w:t>
      </w:r>
      <w:r>
        <w:rPr>
          <w:rStyle w:val="VerbatimChar"/>
        </w:rPr>
        <w:t>C</w:t>
      </w:r>
      <w:r>
        <w:t xml:space="preserve"> (c.-à-d. une propriété ayant </w:t>
      </w:r>
      <w:r>
        <w:rPr>
          <w:rStyle w:val="VerbatimChar"/>
        </w:rPr>
        <w:t>C</w:t>
      </w:r>
      <w:r>
        <w:t xml:space="preserve"> pour domaine et pour portée) pourrait être </w:t>
      </w:r>
      <w:hyperlink w:anchor="terminologie-transitive">
        <w:r>
          <w:rPr>
            <w:rStyle w:val="Lienhypertexte"/>
          </w:rPr>
          <w:t>transitive</w:t>
        </w:r>
      </w:hyperlink>
      <w:r>
        <w:t xml:space="preserve">. Par exemple, un </w:t>
      </w:r>
      <w:r>
        <w:rPr>
          <w:rStyle w:val="VerbatimChar"/>
        </w:rPr>
        <w:t>E73_Objet_informationnel</w:t>
      </w:r>
      <w:r>
        <w:t xml:space="preserve"> peut faire partie d</w:t>
      </w:r>
      <w:r w:rsidR="00E84B0E">
        <w:t>’</w:t>
      </w:r>
      <w:r>
        <w:t xml:space="preserve">un </w:t>
      </w:r>
      <w:r>
        <w:rPr>
          <w:rStyle w:val="VerbatimChar"/>
        </w:rPr>
        <w:t>E90_Objet_symbolique</w:t>
      </w:r>
      <w:r>
        <w:t>, de telle sorte qu</w:t>
      </w:r>
      <w:r w:rsidR="00E84B0E">
        <w:t>’</w:t>
      </w:r>
      <w:r>
        <w:t>un objet informationnel peut s</w:t>
      </w:r>
      <w:r w:rsidR="00E84B0E">
        <w:t>’</w:t>
      </w:r>
      <w:r>
        <w:t>intégrer à un autre objet informationnel [</w:t>
      </w:r>
      <w:r w:rsidR="00AF51A3">
        <w:t xml:space="preserve">n.d.t. </w:t>
      </w:r>
      <w:r>
        <w:t>puisqu</w:t>
      </w:r>
      <w:r w:rsidR="00E84B0E">
        <w:t>’</w:t>
      </w:r>
      <w:r>
        <w:t xml:space="preserve">un </w:t>
      </w:r>
      <w:r>
        <w:rPr>
          <w:rStyle w:val="VerbatimChar"/>
        </w:rPr>
        <w:t>E90_Objet_symbolique</w:t>
      </w:r>
      <w:r>
        <w:t xml:space="preserve"> est un </w:t>
      </w:r>
      <w:r>
        <w:rPr>
          <w:rStyle w:val="VerbatimChar"/>
        </w:rPr>
        <w:t>E73_Objet_informationnel</w:t>
      </w:r>
      <w:r>
        <w:t>].</w:t>
      </w:r>
    </w:p>
    <w:p w14:paraId="6D6A1478" w14:textId="28C58CFD" w:rsidR="00065317" w:rsidRDefault="005C7BF7">
      <w:pPr>
        <w:pStyle w:val="Corpsdetexte"/>
      </w:pPr>
      <w:r>
        <w:t xml:space="preserve">Les propriétés transitives sont explicitement indiquées comme telles dans les </w:t>
      </w:r>
      <w:hyperlink w:anchor="terminologie-note-dapplication">
        <w:r>
          <w:rPr>
            <w:rStyle w:val="Lienhypertexte"/>
          </w:rPr>
          <w:t>notes d</w:t>
        </w:r>
        <w:r w:rsidR="00E84B0E">
          <w:rPr>
            <w:rStyle w:val="Lienhypertexte"/>
          </w:rPr>
          <w:t>’</w:t>
        </w:r>
        <w:r>
          <w:rPr>
            <w:rStyle w:val="Lienhypertexte"/>
          </w:rPr>
          <w:t>application</w:t>
        </w:r>
      </w:hyperlink>
      <w:r>
        <w:t xml:space="preserve"> du </w:t>
      </w:r>
      <w:r w:rsidR="00C8288F">
        <w:t>CIDOC CRM</w:t>
      </w:r>
      <w:r>
        <w:t>, si bien que les propriétés dénuées de cette mention doivent être considérées comme non transitives.</w:t>
      </w:r>
    </w:p>
    <w:p w14:paraId="19A0421F" w14:textId="77777777" w:rsidR="00065317" w:rsidRDefault="005C7BF7">
      <w:pPr>
        <w:pStyle w:val="Normalcentr"/>
      </w:pPr>
      <w:r>
        <w:rPr>
          <w:b/>
          <w:bCs/>
          <w:i/>
          <w:iCs/>
        </w:rPr>
        <w:t>Note de traduction</w:t>
      </w:r>
    </w:p>
    <w:p w14:paraId="341562EC" w14:textId="3BA8240D" w:rsidR="00065317" w:rsidRDefault="005C7BF7">
      <w:pPr>
        <w:pStyle w:val="Normalcentr"/>
      </w:pPr>
      <w:r>
        <w:t xml:space="preserve">Certains paragraphes ont été édités dans la version francophone </w:t>
      </w:r>
      <w:r w:rsidR="00806228">
        <w:t>aux</w:t>
      </w:r>
      <w:r>
        <w:t xml:space="preserve"> fins de compréhension. Les sections concernées sont indiquées de [</w:t>
      </w:r>
      <w:r w:rsidR="00AF51A3">
        <w:t xml:space="preserve">n.d.t. </w:t>
      </w:r>
      <w:r>
        <w:t>texte concerné].</w:t>
      </w:r>
    </w:p>
    <w:p w14:paraId="701464A6" w14:textId="114FC0E7" w:rsidR="00065317" w:rsidRDefault="005C7BF7" w:rsidP="00155590">
      <w:pPr>
        <w:pStyle w:val="Normalcentr"/>
      </w:pPr>
      <w:r>
        <w:rPr>
          <w:b/>
          <w:bCs/>
          <w:i/>
          <w:iCs/>
        </w:rPr>
        <w:t>Références</w:t>
      </w:r>
    </w:p>
    <w:p w14:paraId="59662D16" w14:textId="77777777" w:rsidR="00065317" w:rsidRDefault="005C7BF7" w:rsidP="00C42A84">
      <w:pPr>
        <w:pStyle w:val="Titre4"/>
      </w:pPr>
      <w:bookmarkStart w:id="56" w:name="_Toc154048713"/>
      <w:bookmarkStart w:id="57" w:name="des-raccourcis"/>
      <w:bookmarkEnd w:id="55"/>
      <w:r>
        <w:t>Des raccourcis</w:t>
      </w:r>
      <w:bookmarkEnd w:id="56"/>
    </w:p>
    <w:p w14:paraId="3FDC9DB4" w14:textId="0EF43428" w:rsidR="00065317" w:rsidRDefault="005C7BF7">
      <w:pPr>
        <w:pStyle w:val="FirstParagraph"/>
      </w:pPr>
      <w:r>
        <w:t xml:space="preserve">Certaines </w:t>
      </w:r>
      <w:hyperlink w:anchor="terminologie-propriete">
        <w:r>
          <w:rPr>
            <w:rStyle w:val="Lienhypertexte"/>
          </w:rPr>
          <w:t>propriétés</w:t>
        </w:r>
      </w:hyperlink>
      <w:r>
        <w:t xml:space="preserve"> sont déclarées être des </w:t>
      </w:r>
      <w:hyperlink w:anchor="terminologie-raccourci">
        <w:r>
          <w:rPr>
            <w:rStyle w:val="Lienhypertexte"/>
          </w:rPr>
          <w:t>raccourcis</w:t>
        </w:r>
      </w:hyperlink>
      <w:r>
        <w:t xml:space="preserve"> de chemins sémantiques plus exhaustifs et détaillés qui relient les mêmes </w:t>
      </w:r>
      <w:hyperlink w:anchor="terminologie-classe">
        <w:r>
          <w:rPr>
            <w:rStyle w:val="Lienhypertexte"/>
          </w:rPr>
          <w:t>classes</w:t>
        </w:r>
      </w:hyperlink>
      <w:r>
        <w:t xml:space="preserve"> de </w:t>
      </w:r>
      <w:hyperlink w:anchor="terminologie-domaine">
        <w:r>
          <w:rPr>
            <w:rStyle w:val="Lienhypertexte"/>
          </w:rPr>
          <w:t>domaine</w:t>
        </w:r>
      </w:hyperlink>
      <w:r>
        <w:t xml:space="preserve"> et de </w:t>
      </w:r>
      <w:hyperlink w:anchor="terminologie-portee">
        <w:r>
          <w:rPr>
            <w:rStyle w:val="Lienhypertexte"/>
          </w:rPr>
          <w:t>portée</w:t>
        </w:r>
      </w:hyperlink>
      <w:r>
        <w:t xml:space="preserve"> que la propriété-raccourci, mais utilisent une ou plusieurs classes intermédiaires. Par exemple, la propriété </w:t>
      </w:r>
      <w:r>
        <w:rPr>
          <w:rStyle w:val="VerbatimChar"/>
        </w:rPr>
        <w:t>E18_Chose_matérielle</w:t>
      </w:r>
      <w:r>
        <w:t xml:space="preserve">. </w:t>
      </w:r>
      <w:r>
        <w:rPr>
          <w:rStyle w:val="VerbatimChar"/>
        </w:rPr>
        <w:t>P52_a_pour_propriétaire_actuel (est_propriétaire_actuel_de)</w:t>
      </w:r>
      <w:r>
        <w:t xml:space="preserve"> : </w:t>
      </w:r>
      <w:r>
        <w:rPr>
          <w:rStyle w:val="VerbatimChar"/>
        </w:rPr>
        <w:t>E39_Actant</w:t>
      </w:r>
      <w:r>
        <w:t xml:space="preserve"> est un raccourci du chemin sémantique complet </w:t>
      </w:r>
      <w:r>
        <w:rPr>
          <w:rStyle w:val="VerbatimChar"/>
        </w:rPr>
        <w:t>E18_Chose_matérielle</w:t>
      </w:r>
      <w:r>
        <w:t xml:space="preserve"> suivi de </w:t>
      </w:r>
      <w:r>
        <w:rPr>
          <w:rStyle w:val="VerbatimChar"/>
        </w:rPr>
        <w:t>E8_Acquisition</w:t>
      </w:r>
      <w:r>
        <w:t xml:space="preserve"> et finalement </w:t>
      </w:r>
      <w:r>
        <w:rPr>
          <w:rStyle w:val="VerbatimChar"/>
        </w:rPr>
        <w:t>E39_Actant</w:t>
      </w:r>
      <w:r>
        <w:t xml:space="preserve">. Une </w:t>
      </w:r>
      <w:hyperlink w:anchor="terminologie-instance">
        <w:r>
          <w:rPr>
            <w:rStyle w:val="Lienhypertexte"/>
          </w:rPr>
          <w:t>instance</w:t>
        </w:r>
      </w:hyperlink>
      <w:r>
        <w:t xml:space="preserve"> du chemin sémantique complet implique toujours une instance de la propriété-raccourci bien que l</w:t>
      </w:r>
      <w:r w:rsidR="00E84B0E">
        <w:t>’</w:t>
      </w:r>
      <w:r>
        <w:t>inverse ne soit pas toujours vrai (c.-à-d. qu</w:t>
      </w:r>
      <w:r w:rsidR="00E84B0E">
        <w:t>’</w:t>
      </w:r>
      <w:r>
        <w:t>une instance du chemin sémantique complet ne peut pas toujours être déduite d</w:t>
      </w:r>
      <w:r w:rsidR="00E84B0E">
        <w:t>’</w:t>
      </w:r>
      <w:r>
        <w:t>une instance de la propriété-raccourci, en particulier dans le cadre d</w:t>
      </w:r>
      <w:r w:rsidR="00E84B0E">
        <w:t>’</w:t>
      </w:r>
      <w:r>
        <w:t>une base de connaissances précise).</w:t>
      </w:r>
    </w:p>
    <w:p w14:paraId="0D9ACDC6" w14:textId="4FE67C1B" w:rsidR="00065317" w:rsidRDefault="005C7BF7">
      <w:pPr>
        <w:pStyle w:val="Corpsdetexte"/>
      </w:pPr>
      <w:r>
        <w:t xml:space="preserve">La classe </w:t>
      </w:r>
      <w:r>
        <w:rPr>
          <w:rStyle w:val="VerbatimChar"/>
        </w:rPr>
        <w:t>E13_Assignation_d</w:t>
      </w:r>
      <w:r w:rsidR="00E84B0E">
        <w:rPr>
          <w:rStyle w:val="VerbatimChar"/>
        </w:rPr>
        <w:t>’</w:t>
      </w:r>
      <w:r>
        <w:rPr>
          <w:rStyle w:val="VerbatimChar"/>
        </w:rPr>
        <w:t>attribut</w:t>
      </w:r>
      <w:r>
        <w:t xml:space="preserve"> peut être utilisée pour documenter ce qui a mené à l</w:t>
      </w:r>
      <w:r w:rsidR="00E84B0E">
        <w:t>’</w:t>
      </w:r>
      <w:r>
        <w:t>attribution d</w:t>
      </w:r>
      <w:r w:rsidR="00E84B0E">
        <w:t>’</w:t>
      </w:r>
      <w:r>
        <w:t>une propriété (notamment en ce qui a trait à l</w:t>
      </w:r>
      <w:r w:rsidR="00E84B0E">
        <w:t>’</w:t>
      </w:r>
      <w:r>
        <w:t>opinion du responsable qui a pris la décision de cette attribution), et ce même dans le cas de propriétés qui ne seraient pas des raccourcis.</w:t>
      </w:r>
    </w:p>
    <w:p w14:paraId="06D4CE12" w14:textId="77777777" w:rsidR="00065317" w:rsidRDefault="005C7BF7">
      <w:pPr>
        <w:pStyle w:val="Normalcentr"/>
      </w:pPr>
      <w:r>
        <w:rPr>
          <w:b/>
          <w:bCs/>
          <w:i/>
          <w:iCs/>
        </w:rPr>
        <w:t>Note de traduction</w:t>
      </w:r>
    </w:p>
    <w:p w14:paraId="625A299E" w14:textId="012347C0" w:rsidR="00065317" w:rsidRDefault="005C7BF7" w:rsidP="00155590">
      <w:pPr>
        <w:pStyle w:val="Normalcentr"/>
      </w:pPr>
      <w:r>
        <w:rPr>
          <w:b/>
          <w:bCs/>
          <w:i/>
          <w:iCs/>
        </w:rPr>
        <w:t>Références</w:t>
      </w:r>
    </w:p>
    <w:p w14:paraId="37FB79A7" w14:textId="51D01F47" w:rsidR="00065317" w:rsidRDefault="005C7BF7" w:rsidP="00C42A84">
      <w:pPr>
        <w:pStyle w:val="Titre4"/>
      </w:pPr>
      <w:bookmarkStart w:id="58" w:name="_Toc154048714"/>
      <w:bookmarkStart w:id="59" w:name="Xeb5c43bab63a51231d7b1aba1b4d7de550858b2"/>
      <w:bookmarkEnd w:id="57"/>
      <w:r>
        <w:t xml:space="preserve">Des expressions logiques utilisées dans le </w:t>
      </w:r>
      <w:r w:rsidR="00C8288F">
        <w:t>CIDOC CRM</w:t>
      </w:r>
      <w:bookmarkEnd w:id="58"/>
    </w:p>
    <w:p w14:paraId="4576BAAF" w14:textId="3ECE5D92" w:rsidR="00065317" w:rsidRDefault="005C7BF7">
      <w:pPr>
        <w:pStyle w:val="FirstParagraph"/>
      </w:pPr>
      <w:r>
        <w:t xml:space="preserve">Les définitions du </w:t>
      </w:r>
      <w:r w:rsidR="00C8288F">
        <w:t>CIDOC CRM</w:t>
      </w:r>
      <w:r>
        <w:t xml:space="preserve"> sont annotées d</w:t>
      </w:r>
      <w:r w:rsidR="00E84B0E">
        <w:t>’</w:t>
      </w:r>
      <w:r>
        <w:t>axiomes qui fournissent de l</w:t>
      </w:r>
      <w:r w:rsidR="00E84B0E">
        <w:t>’</w:t>
      </w:r>
      <w:r>
        <w:t>information sur l</w:t>
      </w:r>
      <w:r w:rsidR="00E84B0E">
        <w:t>’</w:t>
      </w:r>
      <w:r>
        <w:t>expression formelle de l</w:t>
      </w:r>
      <w:r w:rsidR="00E84B0E">
        <w:t>’</w:t>
      </w:r>
      <w:r>
        <w:t>ontologie. Cette section introduit les assomptions qui sous-tendent l</w:t>
      </w:r>
      <w:r w:rsidR="00E84B0E">
        <w:t>’</w:t>
      </w:r>
      <w:r>
        <w:t xml:space="preserve">expression logique du </w:t>
      </w:r>
      <w:r w:rsidR="00C8288F">
        <w:t>CIDOC CRM</w:t>
      </w:r>
      <w:r>
        <w:t xml:space="preserve"> (pour une revue détaillée de l</w:t>
      </w:r>
      <w:r w:rsidR="00E84B0E">
        <w:t>’</w:t>
      </w:r>
      <w:r>
        <w:t>expression logique de la modélisation sémantique de données, voir (Reiter, 1984)).</w:t>
      </w:r>
    </w:p>
    <w:p w14:paraId="76E49C32" w14:textId="77777777" w:rsidR="00065317" w:rsidRDefault="005C7BF7">
      <w:pPr>
        <w:pStyle w:val="Corpsdetexte"/>
      </w:pPr>
      <w:r>
        <w:t xml:space="preserve">En termes de modélisation de données sémantiques, les classes et propriétés sont utilisées pour exprimer des connaissances ontologiques par le biais de contraintes telles que des liens de </w:t>
      </w:r>
      <w:hyperlink w:anchor="terminologie-sous-classe">
        <w:r>
          <w:rPr>
            <w:rStyle w:val="Lienhypertexte"/>
          </w:rPr>
          <w:t>sous-classe</w:t>
        </w:r>
      </w:hyperlink>
      <w:r>
        <w:t>/</w:t>
      </w:r>
      <w:hyperlink w:anchor="terminologie-sous-propriete">
        <w:r>
          <w:rPr>
            <w:rStyle w:val="Lienhypertexte"/>
          </w:rPr>
          <w:t>sous-propriété</w:t>
        </w:r>
      </w:hyperlink>
      <w:r>
        <w:t xml:space="preserve"> (p. ex. </w:t>
      </w:r>
      <w:r>
        <w:rPr>
          <w:rStyle w:val="VerbatimChar"/>
        </w:rPr>
        <w:t>E21_Personne</w:t>
      </w:r>
      <w:r>
        <w:t xml:space="preserve"> est une sous-classe de </w:t>
      </w:r>
      <w:r>
        <w:rPr>
          <w:rStyle w:val="VerbatimChar"/>
        </w:rPr>
        <w:t>E20_Objet_biologique</w:t>
      </w:r>
      <w:r>
        <w:t xml:space="preserve">) ou des contraintes de </w:t>
      </w:r>
      <w:hyperlink w:anchor="terminologie-domaine">
        <w:r>
          <w:rPr>
            <w:rStyle w:val="Lienhypertexte"/>
          </w:rPr>
          <w:t>domaine</w:t>
        </w:r>
      </w:hyperlink>
      <w:r>
        <w:t>/</w:t>
      </w:r>
      <w:hyperlink w:anchor="terminologie-portee">
        <w:r>
          <w:rPr>
            <w:rStyle w:val="Lienhypertexte"/>
          </w:rPr>
          <w:t>portée</w:t>
        </w:r>
      </w:hyperlink>
      <w:r>
        <w:t xml:space="preserve"> (p. ex. le domaine de </w:t>
      </w:r>
      <w:r>
        <w:rPr>
          <w:rStyle w:val="VerbatimChar"/>
        </w:rPr>
        <w:t>P152_a_pour_parent</w:t>
      </w:r>
      <w:r>
        <w:t xml:space="preserve"> est la classe </w:t>
      </w:r>
      <w:r>
        <w:rPr>
          <w:rStyle w:val="VerbatimChar"/>
        </w:rPr>
        <w:t>E21_Personne</w:t>
      </w:r>
      <w:r>
        <w:t>).</w:t>
      </w:r>
    </w:p>
    <w:p w14:paraId="5D7CB9C2" w14:textId="77777777" w:rsidR="00784AE7" w:rsidRDefault="00784AE7">
      <w:pPr>
        <w:spacing w:after="0"/>
      </w:pPr>
      <w:r>
        <w:br w:type="page"/>
      </w:r>
    </w:p>
    <w:p w14:paraId="3B491516" w14:textId="5D854A35" w:rsidR="00065317" w:rsidRDefault="005C7BF7">
      <w:pPr>
        <w:pStyle w:val="Corpsdetexte"/>
      </w:pPr>
      <w:r>
        <w:lastRenderedPageBreak/>
        <w:t>Au contraire, la représentation de connaissances sous forme de logique du premier ordre repose sur un langage permettant d</w:t>
      </w:r>
      <w:r w:rsidR="00E84B0E">
        <w:t>’</w:t>
      </w:r>
      <w:r>
        <w:t>encoder de manière formelle une ontologie. Ce langage peut être mis en correspondance directe avec la modélisation sémantique de données :</w:t>
      </w:r>
    </w:p>
    <w:p w14:paraId="7DBACE9F" w14:textId="77777777" w:rsidR="00065317" w:rsidRDefault="005C7BF7">
      <w:pPr>
        <w:numPr>
          <w:ilvl w:val="0"/>
          <w:numId w:val="17"/>
        </w:numPr>
      </w:pPr>
      <w:r>
        <w:t xml:space="preserve">les classes sont nommées par des </w:t>
      </w:r>
      <w:r>
        <w:rPr>
          <w:i/>
          <w:iCs/>
        </w:rPr>
        <w:t>symboles de prédicats unaires</w:t>
      </w:r>
      <w:r>
        <w:t xml:space="preserve">; par convention, « E21 » est le symbole de prédicat unaire correspondant à la classe </w:t>
      </w:r>
      <w:r>
        <w:rPr>
          <w:rStyle w:val="VerbatimChar"/>
        </w:rPr>
        <w:t>E21_Personne</w:t>
      </w:r>
      <w:r>
        <w:t>;</w:t>
      </w:r>
    </w:p>
    <w:p w14:paraId="02959D9B" w14:textId="77777777" w:rsidR="00065317" w:rsidRDefault="005C7BF7">
      <w:pPr>
        <w:numPr>
          <w:ilvl w:val="0"/>
          <w:numId w:val="17"/>
        </w:numPr>
      </w:pPr>
      <w:r>
        <w:t xml:space="preserve">les propriétés sont nommées par des </w:t>
      </w:r>
      <w:r>
        <w:rPr>
          <w:i/>
          <w:iCs/>
        </w:rPr>
        <w:t>symboles de prédicats binaires</w:t>
      </w:r>
      <w:r>
        <w:t xml:space="preserve">; par convention, « P152 » est le symbole de prédicat binaire correspondant à la propriété </w:t>
      </w:r>
      <w:r>
        <w:rPr>
          <w:rStyle w:val="VerbatimChar"/>
        </w:rPr>
        <w:t>P152_a_pour_parent</w:t>
      </w:r>
      <w:r>
        <w:t>;</w:t>
      </w:r>
    </w:p>
    <w:p w14:paraId="40CBEFE4" w14:textId="77777777" w:rsidR="00065317" w:rsidRDefault="005C7BF7">
      <w:pPr>
        <w:numPr>
          <w:ilvl w:val="0"/>
          <w:numId w:val="17"/>
        </w:numPr>
      </w:pPr>
      <w:r>
        <w:t xml:space="preserve">les propriétés de propriétés « propriétés .1 » sont nommées par des symboles de prédicats ternaires; par convention « P14.1 » est le symbole de prédicat ternaire correspondant à la propriété </w:t>
      </w:r>
      <w:r>
        <w:rPr>
          <w:rStyle w:val="VerbatimChar"/>
        </w:rPr>
        <w:t>P14.1_dans_le_rôle_de</w:t>
      </w:r>
      <w:r>
        <w:t>.</w:t>
      </w:r>
    </w:p>
    <w:p w14:paraId="6ABEDA97" w14:textId="29F8D8DB" w:rsidR="00065317" w:rsidRDefault="005C7BF7">
      <w:pPr>
        <w:pStyle w:val="FirstParagraph"/>
      </w:pPr>
      <w:r>
        <w:t>L</w:t>
      </w:r>
      <w:r w:rsidR="00E84B0E">
        <w:t>’</w:t>
      </w:r>
      <w:r>
        <w:t>ontologie est exprimée logiquement par le biais d</w:t>
      </w:r>
      <w:r w:rsidR="00E84B0E">
        <w:t>’</w:t>
      </w:r>
      <w:r>
        <w:t xml:space="preserve">axiomes qui correspondent aux contraintes de la modélisation sémantique. Dans la définition des classes et propriétés de </w:t>
      </w:r>
      <w:r w:rsidR="00C8288F">
        <w:t>CIDOC CRM</w:t>
      </w:r>
      <w:r>
        <w:t>, les axiomes sont énoncés dans la section « Logique ». Plusieurs options sont possibles lorsque vient le temps de rédiger des énoncés sous une forme de logique du premier ordre; ce document privilégie une notation compacte standard utilisée dans plusieurs ouvrages et articles scientifiques. Les définitions [</w:t>
      </w:r>
      <w:r w:rsidR="00AF51A3">
        <w:t xml:space="preserve">n.d.t. </w:t>
      </w:r>
      <w:r>
        <w:t>pertinentes] sont présentées dans le tableau ci-dessous.</w:t>
      </w:r>
    </w:p>
    <w:p w14:paraId="36D4BEC1" w14:textId="77777777" w:rsidR="00065317" w:rsidRDefault="005C7BF7">
      <w:pPr>
        <w:pStyle w:val="Normalcentr"/>
      </w:pPr>
      <w:r>
        <w:rPr>
          <w:b/>
          <w:bCs/>
          <w:i/>
          <w:iCs/>
        </w:rPr>
        <w:t>Note de traduction</w:t>
      </w:r>
    </w:p>
    <w:p w14:paraId="1AA6BB2C" w14:textId="0013AA6A" w:rsidR="00065317" w:rsidRDefault="005C7BF7">
      <w:pPr>
        <w:pStyle w:val="Normalcentr"/>
      </w:pPr>
      <w:r>
        <w:t>Le terme « assomption » est peu courant, mais est préféré dans un contexte logique ou mathématique, raison pour laquelle il a été utilisé plutôt que « supposition » ou « hypothèse</w:t>
      </w:r>
      <w:r w:rsidR="00013D55">
        <w:t> »</w:t>
      </w:r>
      <w:r>
        <w:t>.</w:t>
      </w:r>
    </w:p>
    <w:p w14:paraId="58CD2BF1" w14:textId="0AC9F048" w:rsidR="00065317" w:rsidRDefault="005C7BF7" w:rsidP="00155590">
      <w:pPr>
        <w:pStyle w:val="Normalcentr"/>
      </w:pPr>
      <w:r>
        <w:rPr>
          <w:b/>
          <w:bCs/>
          <w:i/>
          <w:iCs/>
        </w:rPr>
        <w:t>Références</w:t>
      </w:r>
    </w:p>
    <w:tbl>
      <w:tblPr>
        <w:tblStyle w:val="Table"/>
        <w:tblW w:w="5000" w:type="pct"/>
        <w:tblInd w:w="0" w:type="dxa"/>
        <w:tblLook w:val="0000" w:firstRow="0" w:lastRow="0" w:firstColumn="0" w:lastColumn="0" w:noHBand="0" w:noVBand="0"/>
      </w:tblPr>
      <w:tblGrid>
        <w:gridCol w:w="1773"/>
        <w:gridCol w:w="2167"/>
        <w:gridCol w:w="1746"/>
        <w:gridCol w:w="5094"/>
      </w:tblGrid>
      <w:tr w:rsidR="00065317" w14:paraId="62D7E5A5" w14:textId="77777777">
        <w:tc>
          <w:tcPr>
            <w:tcW w:w="0" w:type="auto"/>
          </w:tcPr>
          <w:p w14:paraId="521BA9F2" w14:textId="77777777" w:rsidR="00065317" w:rsidRDefault="005C7BF7">
            <w:r>
              <w:rPr>
                <w:b/>
                <w:bCs/>
              </w:rPr>
              <w:t>Symbole</w:t>
            </w:r>
          </w:p>
        </w:tc>
        <w:tc>
          <w:tcPr>
            <w:tcW w:w="0" w:type="auto"/>
          </w:tcPr>
          <w:p w14:paraId="0A538A40" w14:textId="77777777" w:rsidR="00065317" w:rsidRDefault="005C7BF7">
            <w:r>
              <w:rPr>
                <w:b/>
                <w:bCs/>
              </w:rPr>
              <w:t>Nom</w:t>
            </w:r>
          </w:p>
        </w:tc>
        <w:tc>
          <w:tcPr>
            <w:tcW w:w="0" w:type="auto"/>
          </w:tcPr>
          <w:p w14:paraId="41EB6ADA" w14:textId="77777777" w:rsidR="00065317" w:rsidRDefault="005C7BF7">
            <w:r>
              <w:rPr>
                <w:b/>
                <w:bCs/>
              </w:rPr>
              <w:t>Lecture</w:t>
            </w:r>
          </w:p>
        </w:tc>
        <w:tc>
          <w:tcPr>
            <w:tcW w:w="0" w:type="auto"/>
          </w:tcPr>
          <w:p w14:paraId="7F6F1079" w14:textId="77777777" w:rsidR="00065317" w:rsidRDefault="005C7BF7">
            <w:r>
              <w:rPr>
                <w:b/>
                <w:bCs/>
              </w:rPr>
              <w:t>Valeur de vérité</w:t>
            </w:r>
          </w:p>
        </w:tc>
      </w:tr>
      <w:tr w:rsidR="00065317" w14:paraId="3B459B96" w14:textId="77777777">
        <w:tc>
          <w:tcPr>
            <w:tcW w:w="0" w:type="auto"/>
          </w:tcPr>
          <w:p w14:paraId="0F91D62B" w14:textId="77777777" w:rsidR="00065317" w:rsidRDefault="005C7BF7">
            <w:r>
              <w:rPr>
                <w:i/>
                <w:iCs/>
              </w:rPr>
              <w:t>Opérateurs</w:t>
            </w:r>
          </w:p>
        </w:tc>
        <w:tc>
          <w:tcPr>
            <w:tcW w:w="0" w:type="auto"/>
          </w:tcPr>
          <w:p w14:paraId="68D1E053" w14:textId="77777777" w:rsidR="00065317" w:rsidRDefault="00065317">
            <w:pPr>
              <w:pStyle w:val="Compact"/>
            </w:pPr>
          </w:p>
        </w:tc>
        <w:tc>
          <w:tcPr>
            <w:tcW w:w="0" w:type="auto"/>
          </w:tcPr>
          <w:p w14:paraId="5697AC8A" w14:textId="77777777" w:rsidR="00065317" w:rsidRDefault="00065317">
            <w:pPr>
              <w:pStyle w:val="Compact"/>
            </w:pPr>
          </w:p>
        </w:tc>
        <w:tc>
          <w:tcPr>
            <w:tcW w:w="0" w:type="auto"/>
          </w:tcPr>
          <w:p w14:paraId="13C3028D" w14:textId="77777777" w:rsidR="00065317" w:rsidRDefault="00065317">
            <w:pPr>
              <w:pStyle w:val="Compact"/>
            </w:pPr>
          </w:p>
        </w:tc>
      </w:tr>
      <w:tr w:rsidR="00065317" w14:paraId="5531E284" w14:textId="77777777">
        <w:tc>
          <w:tcPr>
            <w:tcW w:w="0" w:type="auto"/>
          </w:tcPr>
          <w:p w14:paraId="786EA474" w14:textId="77777777" w:rsidR="00065317" w:rsidRDefault="005C7BF7">
            <w:r>
              <w:t>∧</w:t>
            </w:r>
          </w:p>
        </w:tc>
        <w:tc>
          <w:tcPr>
            <w:tcW w:w="0" w:type="auto"/>
          </w:tcPr>
          <w:p w14:paraId="47A7E39C" w14:textId="77777777" w:rsidR="00065317" w:rsidRDefault="005C7BF7">
            <w:r>
              <w:t>conjonction</w:t>
            </w:r>
          </w:p>
        </w:tc>
        <w:tc>
          <w:tcPr>
            <w:tcW w:w="0" w:type="auto"/>
          </w:tcPr>
          <w:p w14:paraId="0ED3C00D" w14:textId="77777777" w:rsidR="00065317" w:rsidRDefault="005C7BF7">
            <w:r>
              <w:t>et</w:t>
            </w:r>
          </w:p>
        </w:tc>
        <w:tc>
          <w:tcPr>
            <w:tcW w:w="0" w:type="auto"/>
          </w:tcPr>
          <w:p w14:paraId="6C7B672C" w14:textId="0D7D5716" w:rsidR="00065317" w:rsidRDefault="005C7BF7">
            <w:r>
              <w:t>(φ ∧ ψ) est vrai si et seulement si à la fois </w:t>
            </w:r>
            <w:r>
              <w:rPr>
                <w:i/>
                <w:iCs/>
              </w:rPr>
              <w:t>φ</w:t>
            </w:r>
            <w:r>
              <w:t> et </w:t>
            </w:r>
            <w:r>
              <w:rPr>
                <w:i/>
                <w:iCs/>
              </w:rPr>
              <w:t>ψ</w:t>
            </w:r>
            <w:r>
              <w:t xml:space="preserve"> sont vrais</w:t>
            </w:r>
          </w:p>
        </w:tc>
      </w:tr>
      <w:tr w:rsidR="00065317" w14:paraId="66A3E062" w14:textId="77777777">
        <w:tc>
          <w:tcPr>
            <w:tcW w:w="0" w:type="auto"/>
          </w:tcPr>
          <w:p w14:paraId="75CBD291" w14:textId="77777777" w:rsidR="00065317" w:rsidRDefault="005C7BF7">
            <w:r>
              <w:t>∨</w:t>
            </w:r>
          </w:p>
        </w:tc>
        <w:tc>
          <w:tcPr>
            <w:tcW w:w="0" w:type="auto"/>
          </w:tcPr>
          <w:p w14:paraId="275A051B" w14:textId="77777777" w:rsidR="00065317" w:rsidRDefault="005C7BF7">
            <w:r>
              <w:t>disjonction</w:t>
            </w:r>
          </w:p>
        </w:tc>
        <w:tc>
          <w:tcPr>
            <w:tcW w:w="0" w:type="auto"/>
          </w:tcPr>
          <w:p w14:paraId="43829D2C" w14:textId="77777777" w:rsidR="00065317" w:rsidRDefault="005C7BF7">
            <w:r>
              <w:t>ou</w:t>
            </w:r>
          </w:p>
        </w:tc>
        <w:tc>
          <w:tcPr>
            <w:tcW w:w="0" w:type="auto"/>
          </w:tcPr>
          <w:p w14:paraId="04D47BF4" w14:textId="55B456B0" w:rsidR="00065317" w:rsidRDefault="005C7BF7">
            <w:r>
              <w:t>(φ ∨ ψ) est vrai si et seulement si l</w:t>
            </w:r>
            <w:r w:rsidR="00E84B0E">
              <w:t>’</w:t>
            </w:r>
            <w:r>
              <w:t>un de φ ou ψ est vrai</w:t>
            </w:r>
          </w:p>
        </w:tc>
      </w:tr>
      <w:tr w:rsidR="00065317" w14:paraId="7234B93D" w14:textId="77777777">
        <w:tc>
          <w:tcPr>
            <w:tcW w:w="0" w:type="auto"/>
          </w:tcPr>
          <w:p w14:paraId="37E3F7E7" w14:textId="77777777" w:rsidR="00065317" w:rsidRDefault="005C7BF7">
            <w:r>
              <w:t>¬</w:t>
            </w:r>
          </w:p>
        </w:tc>
        <w:tc>
          <w:tcPr>
            <w:tcW w:w="0" w:type="auto"/>
          </w:tcPr>
          <w:p w14:paraId="3FAA2CC3" w14:textId="77777777" w:rsidR="00065317" w:rsidRDefault="005C7BF7">
            <w:r>
              <w:t>négation</w:t>
            </w:r>
          </w:p>
        </w:tc>
        <w:tc>
          <w:tcPr>
            <w:tcW w:w="0" w:type="auto"/>
          </w:tcPr>
          <w:p w14:paraId="7E84187E" w14:textId="77777777" w:rsidR="00065317" w:rsidRDefault="005C7BF7">
            <w:r>
              <w:t>non</w:t>
            </w:r>
          </w:p>
        </w:tc>
        <w:tc>
          <w:tcPr>
            <w:tcW w:w="0" w:type="auto"/>
          </w:tcPr>
          <w:p w14:paraId="2CAC89F1" w14:textId="5CEAC4B3" w:rsidR="00065317" w:rsidRDefault="005C7BF7">
            <w:r>
              <w:t>¬φ est vrai si et seulement si </w:t>
            </w:r>
            <w:r>
              <w:rPr>
                <w:i/>
                <w:iCs/>
              </w:rPr>
              <w:t>φ</w:t>
            </w:r>
            <w:r>
              <w:t xml:space="preserve"> est faux</w:t>
            </w:r>
          </w:p>
        </w:tc>
      </w:tr>
      <w:tr w:rsidR="00065317" w14:paraId="0DE377BB" w14:textId="77777777">
        <w:tc>
          <w:tcPr>
            <w:tcW w:w="0" w:type="auto"/>
          </w:tcPr>
          <w:p w14:paraId="6BB35F6E" w14:textId="77777777" w:rsidR="00065317" w:rsidRDefault="005C7BF7">
            <w:r>
              <w:t>⇒</w:t>
            </w:r>
          </w:p>
        </w:tc>
        <w:tc>
          <w:tcPr>
            <w:tcW w:w="0" w:type="auto"/>
          </w:tcPr>
          <w:p w14:paraId="5B60EBFB" w14:textId="77777777" w:rsidR="00065317" w:rsidRDefault="005C7BF7">
            <w:r>
              <w:t>implication</w:t>
            </w:r>
          </w:p>
        </w:tc>
        <w:tc>
          <w:tcPr>
            <w:tcW w:w="0" w:type="auto"/>
          </w:tcPr>
          <w:p w14:paraId="3049E11D" w14:textId="77777777" w:rsidR="00065317" w:rsidRDefault="005C7BF7">
            <w:r>
              <w:t>implique que,</w:t>
            </w:r>
          </w:p>
          <w:p w14:paraId="1D4DE2B7" w14:textId="01C7F9DC" w:rsidR="00065317" w:rsidRDefault="005C7BF7">
            <w:r>
              <w:t>si… alors...</w:t>
            </w:r>
          </w:p>
        </w:tc>
        <w:tc>
          <w:tcPr>
            <w:tcW w:w="0" w:type="auto"/>
          </w:tcPr>
          <w:p w14:paraId="4FFF3D67" w14:textId="648B2CBA" w:rsidR="00065317" w:rsidRDefault="005C7BF7">
            <w:r>
              <w:t>(φ ⇒ ψ) est vrai si et seulement si ce n</w:t>
            </w:r>
            <w:r w:rsidR="00E84B0E">
              <w:t>’</w:t>
            </w:r>
            <w:r>
              <w:t>est pas le cas que </w:t>
            </w:r>
            <w:r>
              <w:rPr>
                <w:i/>
                <w:iCs/>
              </w:rPr>
              <w:t>φ</w:t>
            </w:r>
            <w:r>
              <w:t xml:space="preserve"> est vrai et </w:t>
            </w:r>
            <w:r>
              <w:rPr>
                <w:i/>
                <w:iCs/>
              </w:rPr>
              <w:t>ψ</w:t>
            </w:r>
            <w:r>
              <w:t xml:space="preserve"> est faux</w:t>
            </w:r>
          </w:p>
        </w:tc>
      </w:tr>
      <w:tr w:rsidR="00065317" w14:paraId="6113B2F8" w14:textId="77777777">
        <w:tc>
          <w:tcPr>
            <w:tcW w:w="0" w:type="auto"/>
          </w:tcPr>
          <w:p w14:paraId="6A74F635" w14:textId="77777777" w:rsidR="00065317" w:rsidRDefault="005C7BF7">
            <w:r>
              <w:t>⇔</w:t>
            </w:r>
          </w:p>
        </w:tc>
        <w:tc>
          <w:tcPr>
            <w:tcW w:w="0" w:type="auto"/>
          </w:tcPr>
          <w:p w14:paraId="24162EB7" w14:textId="77777777" w:rsidR="00065317" w:rsidRDefault="005C7BF7">
            <w:r>
              <w:t>équivalence</w:t>
            </w:r>
          </w:p>
        </w:tc>
        <w:tc>
          <w:tcPr>
            <w:tcW w:w="0" w:type="auto"/>
          </w:tcPr>
          <w:p w14:paraId="020AE5B2" w14:textId="77777777" w:rsidR="00065317" w:rsidRDefault="005C7BF7">
            <w:r>
              <w:t>est équivalent à,</w:t>
            </w:r>
          </w:p>
          <w:p w14:paraId="771A8E84" w14:textId="143CE017" w:rsidR="00065317" w:rsidRDefault="00D9384C">
            <w:r>
              <w:t>si</w:t>
            </w:r>
            <w:r w:rsidR="005C7BF7">
              <w:t>… et seulement si...</w:t>
            </w:r>
          </w:p>
        </w:tc>
        <w:tc>
          <w:tcPr>
            <w:tcW w:w="0" w:type="auto"/>
          </w:tcPr>
          <w:p w14:paraId="50DA4847" w14:textId="0DF64E15" w:rsidR="00065317" w:rsidRDefault="005C7BF7">
            <w:r>
              <w:t>φ ⇔ ψ est vrai si et seulement si à la fois </w:t>
            </w:r>
            <w:r>
              <w:rPr>
                <w:i/>
                <w:iCs/>
              </w:rPr>
              <w:t>φ</w:t>
            </w:r>
            <w:r>
              <w:t> et </w:t>
            </w:r>
            <w:r>
              <w:rPr>
                <w:i/>
                <w:iCs/>
              </w:rPr>
              <w:t>ψ</w:t>
            </w:r>
            <w:r>
              <w:t> sont vrais ou qu</w:t>
            </w:r>
            <w:r w:rsidR="00E84B0E">
              <w:t>’</w:t>
            </w:r>
            <w:r>
              <w:t>à la fois φ et ψ sont faux</w:t>
            </w:r>
          </w:p>
        </w:tc>
      </w:tr>
      <w:tr w:rsidR="00065317" w14:paraId="376B8925" w14:textId="77777777">
        <w:tc>
          <w:tcPr>
            <w:tcW w:w="0" w:type="auto"/>
          </w:tcPr>
          <w:p w14:paraId="4BC5B281" w14:textId="77777777" w:rsidR="00065317" w:rsidRDefault="00C738AA">
            <w:hyperlink w:anchor="X3a77811b7576d47c9c051be2c80d6c86422beed">
              <w:r w:rsidR="005C7BF7">
                <w:rPr>
                  <w:rStyle w:val="Lienhypertexte"/>
                  <w:i/>
                  <w:iCs/>
                </w:rPr>
                <w:t>Quantificateurs</w:t>
              </w:r>
            </w:hyperlink>
          </w:p>
        </w:tc>
        <w:tc>
          <w:tcPr>
            <w:tcW w:w="0" w:type="auto"/>
          </w:tcPr>
          <w:p w14:paraId="7A5DD39B" w14:textId="77777777" w:rsidR="00065317" w:rsidRDefault="00065317">
            <w:pPr>
              <w:pStyle w:val="Compact"/>
            </w:pPr>
          </w:p>
        </w:tc>
        <w:tc>
          <w:tcPr>
            <w:tcW w:w="0" w:type="auto"/>
          </w:tcPr>
          <w:p w14:paraId="7C8BCBDA" w14:textId="77777777" w:rsidR="00065317" w:rsidRDefault="00065317">
            <w:pPr>
              <w:pStyle w:val="Compact"/>
            </w:pPr>
          </w:p>
        </w:tc>
        <w:tc>
          <w:tcPr>
            <w:tcW w:w="0" w:type="auto"/>
          </w:tcPr>
          <w:p w14:paraId="1A1875CA" w14:textId="77777777" w:rsidR="00065317" w:rsidRDefault="00065317">
            <w:pPr>
              <w:pStyle w:val="Compact"/>
            </w:pPr>
          </w:p>
        </w:tc>
      </w:tr>
      <w:tr w:rsidR="00065317" w14:paraId="1C29CE3E" w14:textId="77777777">
        <w:tc>
          <w:tcPr>
            <w:tcW w:w="0" w:type="auto"/>
          </w:tcPr>
          <w:p w14:paraId="33792436" w14:textId="77777777" w:rsidR="00065317" w:rsidRDefault="005C7BF7">
            <w:r>
              <w:t>∃</w:t>
            </w:r>
          </w:p>
        </w:tc>
        <w:tc>
          <w:tcPr>
            <w:tcW w:w="0" w:type="auto"/>
          </w:tcPr>
          <w:p w14:paraId="496F084E" w14:textId="77777777" w:rsidR="00065317" w:rsidRDefault="005C7BF7">
            <w:r>
              <w:t>quantificateur existentiel</w:t>
            </w:r>
          </w:p>
        </w:tc>
        <w:tc>
          <w:tcPr>
            <w:tcW w:w="0" w:type="auto"/>
          </w:tcPr>
          <w:p w14:paraId="439E6643" w14:textId="77777777" w:rsidR="00065317" w:rsidRDefault="005C7BF7">
            <w:r>
              <w:t>existe,</w:t>
            </w:r>
          </w:p>
          <w:p w14:paraId="2EC5EE95" w14:textId="77777777" w:rsidR="00065317" w:rsidRDefault="005C7BF7">
            <w:r>
              <w:t>il existe au moins un</w:t>
            </w:r>
          </w:p>
        </w:tc>
        <w:tc>
          <w:tcPr>
            <w:tcW w:w="0" w:type="auto"/>
          </w:tcPr>
          <w:p w14:paraId="7A5EA696" w14:textId="77777777" w:rsidR="00065317" w:rsidRDefault="00065317">
            <w:pPr>
              <w:pStyle w:val="Compact"/>
            </w:pPr>
          </w:p>
        </w:tc>
      </w:tr>
      <w:tr w:rsidR="00065317" w14:paraId="2E99A83E" w14:textId="77777777">
        <w:tc>
          <w:tcPr>
            <w:tcW w:w="0" w:type="auto"/>
          </w:tcPr>
          <w:p w14:paraId="0AD9DCD8" w14:textId="77777777" w:rsidR="00065317" w:rsidRDefault="005C7BF7">
            <w:r>
              <w:t>∀</w:t>
            </w:r>
          </w:p>
        </w:tc>
        <w:tc>
          <w:tcPr>
            <w:tcW w:w="0" w:type="auto"/>
          </w:tcPr>
          <w:p w14:paraId="62FA0669" w14:textId="77777777" w:rsidR="00065317" w:rsidRDefault="005C7BF7">
            <w:r>
              <w:t>quantificateur universel</w:t>
            </w:r>
          </w:p>
        </w:tc>
        <w:tc>
          <w:tcPr>
            <w:tcW w:w="0" w:type="auto"/>
          </w:tcPr>
          <w:p w14:paraId="2CD4CFF9" w14:textId="77777777" w:rsidR="00065317" w:rsidRDefault="005C7BF7">
            <w:r>
              <w:t>pour tous</w:t>
            </w:r>
          </w:p>
        </w:tc>
        <w:tc>
          <w:tcPr>
            <w:tcW w:w="0" w:type="auto"/>
          </w:tcPr>
          <w:p w14:paraId="7B3B5786" w14:textId="77777777" w:rsidR="00065317" w:rsidRDefault="00065317">
            <w:pPr>
              <w:pStyle w:val="Compact"/>
            </w:pPr>
          </w:p>
        </w:tc>
      </w:tr>
    </w:tbl>
    <w:p w14:paraId="57D8100A" w14:textId="4C9CD27A" w:rsidR="00065317" w:rsidRDefault="005C7BF7">
      <w:pPr>
        <w:pStyle w:val="Corpsdetexte"/>
      </w:pPr>
      <w:r>
        <w:t xml:space="preserve">Le lien de sous-classe susmentionné entre </w:t>
      </w:r>
      <w:r>
        <w:rPr>
          <w:rStyle w:val="VerbatimChar"/>
        </w:rPr>
        <w:t>E21_Personne</w:t>
      </w:r>
      <w:r>
        <w:t xml:space="preserve"> et </w:t>
      </w:r>
      <w:r>
        <w:rPr>
          <w:rStyle w:val="VerbatimChar"/>
        </w:rPr>
        <w:t>E20_Objet_biologique</w:t>
      </w:r>
      <w:r>
        <w:t xml:space="preserve"> peut être formulé, en logique du premier ordre, par l</w:t>
      </w:r>
      <w:r w:rsidR="00E84B0E">
        <w:t>’</w:t>
      </w:r>
      <w:r>
        <w:t>axiome suivant :</w:t>
      </w:r>
    </w:p>
    <w:p w14:paraId="16EC2E58" w14:textId="77777777" w:rsidR="00065317" w:rsidRDefault="005C7BF7">
      <w:pPr>
        <w:pStyle w:val="Corpsdetexte"/>
      </w:pPr>
      <w:r>
        <w:t>(∀x) [E21(x) ⇒E20(x)]</w:t>
      </w:r>
    </w:p>
    <w:p w14:paraId="7DBAB038" w14:textId="77777777" w:rsidR="00065317" w:rsidRDefault="005C7BF7">
      <w:pPr>
        <w:pStyle w:val="Corpsdetexte"/>
      </w:pPr>
      <w:r>
        <w:t>(à savoir : pour tout individu x, si x est un E21 alors x est un E20).</w:t>
      </w:r>
    </w:p>
    <w:p w14:paraId="7E0754C4" w14:textId="77777777" w:rsidR="00065317" w:rsidRDefault="005C7BF7">
      <w:pPr>
        <w:pStyle w:val="Corpsdetexte"/>
      </w:pPr>
      <w:r>
        <w:t xml:space="preserve">Dans la définition des </w:t>
      </w:r>
      <w:hyperlink w:anchor="terminologie-classe">
        <w:r>
          <w:rPr>
            <w:rStyle w:val="Lienhypertexte"/>
          </w:rPr>
          <w:t>classes</w:t>
        </w:r>
      </w:hyperlink>
      <w:r>
        <w:t xml:space="preserve"> et </w:t>
      </w:r>
      <w:hyperlink w:anchor="terminologie-propriete">
        <w:r>
          <w:rPr>
            <w:rStyle w:val="Lienhypertexte"/>
          </w:rPr>
          <w:t>propriétés</w:t>
        </w:r>
      </w:hyperlink>
      <w:r>
        <w:t xml:space="preserve"> de ce document le(s) </w:t>
      </w:r>
      <w:hyperlink w:anchor="X3a77811b7576d47c9c051be2c80d6c86422beed">
        <w:r>
          <w:rPr>
            <w:rStyle w:val="Lienhypertexte"/>
          </w:rPr>
          <w:t>quantificateur</w:t>
        </w:r>
      </w:hyperlink>
      <w:r>
        <w:t>(s) universel(s) sont omis par soucis de simplicité, de sorte que cet axiome prend la forme suivante :</w:t>
      </w:r>
    </w:p>
    <w:p w14:paraId="7A4BF04A" w14:textId="77777777" w:rsidR="00065317" w:rsidRDefault="005C7BF7">
      <w:pPr>
        <w:pStyle w:val="Corpsdetexte"/>
      </w:pPr>
      <w:r>
        <w:t>E21(x) ⇒E20(x)</w:t>
      </w:r>
    </w:p>
    <w:p w14:paraId="4E4E4849" w14:textId="30FAEE2C" w:rsidR="00065317" w:rsidRDefault="005C7BF7">
      <w:pPr>
        <w:pStyle w:val="Corpsdetexte"/>
      </w:pPr>
      <w:r>
        <w:t xml:space="preserve">De la même manière, la contrainte du </w:t>
      </w:r>
      <w:hyperlink w:anchor="terminologie-domaine">
        <w:r>
          <w:rPr>
            <w:rStyle w:val="Lienhypertexte"/>
          </w:rPr>
          <w:t>domaine</w:t>
        </w:r>
      </w:hyperlink>
      <w:r>
        <w:t xml:space="preserve"> de la propriété </w:t>
      </w:r>
      <w:r>
        <w:rPr>
          <w:rStyle w:val="VerbatimChar"/>
        </w:rPr>
        <w:t>P152_a_pour_parent</w:t>
      </w:r>
      <w:r>
        <w:t xml:space="preserve"> peut être formulée, en logique du premier ordre, par l</w:t>
      </w:r>
      <w:r w:rsidR="00E84B0E">
        <w:t>’</w:t>
      </w:r>
      <w:r>
        <w:t>axiome suivant :</w:t>
      </w:r>
    </w:p>
    <w:p w14:paraId="2C37E6AC" w14:textId="77777777" w:rsidR="00065317" w:rsidRDefault="005C7BF7">
      <w:pPr>
        <w:pStyle w:val="Corpsdetexte"/>
      </w:pPr>
      <w:r>
        <w:t>P152(x,y) ⇒E21(x)</w:t>
      </w:r>
    </w:p>
    <w:p w14:paraId="77991944" w14:textId="77777777" w:rsidR="00065317" w:rsidRDefault="005C7BF7">
      <w:pPr>
        <w:pStyle w:val="Corpsdetexte"/>
      </w:pPr>
      <w:r>
        <w:t>(à savoir : pour tous les individus x et y, si x est un P152 de y, alors x est un E21).</w:t>
      </w:r>
    </w:p>
    <w:p w14:paraId="476B3C2A" w14:textId="77777777" w:rsidR="00065317" w:rsidRDefault="005C7BF7">
      <w:pPr>
        <w:pStyle w:val="Corpsdetexte"/>
      </w:pPr>
      <w:r>
        <w:t xml:space="preserve">Les propriétés de propriétés « propriété .1 » sont nommées par des symboles de prédicats ternaires; par convention la propriété </w:t>
      </w:r>
      <w:r>
        <w:rPr>
          <w:rStyle w:val="VerbatimChar"/>
        </w:rPr>
        <w:t>P14.1_dans_le_rôle_de</w:t>
      </w:r>
      <w:r>
        <w:t xml:space="preserve"> est décrite comme le symbole de prédicat ternaire correspondant à la propriété</w:t>
      </w:r>
      <w:r>
        <w:rPr>
          <w:rStyle w:val="VerbatimChar"/>
        </w:rPr>
        <w:t xml:space="preserve"> P14_a_été_effectué_par (a_effectué)</w:t>
      </w:r>
      <w:r>
        <w:t xml:space="preserve"> :</w:t>
      </w:r>
    </w:p>
    <w:p w14:paraId="77EFF7D6" w14:textId="77777777" w:rsidR="00065317" w:rsidRDefault="005C7BF7">
      <w:pPr>
        <w:pStyle w:val="Corpsdetexte"/>
      </w:pPr>
      <w:r>
        <w:t>P14(x,y) ⇒ E7(x)</w:t>
      </w:r>
    </w:p>
    <w:p w14:paraId="4C03D21D" w14:textId="77777777" w:rsidR="00065317" w:rsidRDefault="005C7BF7">
      <w:pPr>
        <w:pStyle w:val="Corpsdetexte"/>
      </w:pPr>
      <w:r>
        <w:t>P14(x,y)⇒ E39(y)</w:t>
      </w:r>
    </w:p>
    <w:p w14:paraId="49A088AA" w14:textId="77777777" w:rsidR="00065317" w:rsidRDefault="005C7BF7">
      <w:pPr>
        <w:pStyle w:val="Corpsdetexte"/>
      </w:pPr>
      <w:r>
        <w:t>P14(x,y,z) ⇒ [P14(x,y) ∧ E55(z)]</w:t>
      </w:r>
    </w:p>
    <w:p w14:paraId="2EA7AB57" w14:textId="180249C2" w:rsidR="00065317" w:rsidRDefault="005C7BF7">
      <w:pPr>
        <w:pStyle w:val="Corpsdetexte"/>
      </w:pPr>
      <w:r>
        <w:t>Ce</w:t>
      </w:r>
      <w:r w:rsidR="00714434">
        <w:t>la</w:t>
      </w:r>
      <w:r>
        <w:t xml:space="preserve"> devrait être utilisé par le lecteur afin de comprendre les axiomes utilisés dans la définition des classes et des propriétés. (Meghini &amp; D</w:t>
      </w:r>
      <w:r w:rsidR="003C7A4A">
        <w:t>oe</w:t>
      </w:r>
      <w:r>
        <w:t>rr, 2018) offrent plus d</w:t>
      </w:r>
      <w:r w:rsidR="00E84B0E">
        <w:t>’</w:t>
      </w:r>
      <w:r>
        <w:t xml:space="preserve">informations sur la formulation de logique du premier ordre dans le </w:t>
      </w:r>
      <w:r w:rsidR="00C8288F">
        <w:t>CIDOC CRM</w:t>
      </w:r>
      <w:r>
        <w:t>.</w:t>
      </w:r>
    </w:p>
    <w:p w14:paraId="7164EA51" w14:textId="77777777" w:rsidR="00065317" w:rsidRDefault="005C7BF7">
      <w:pPr>
        <w:pStyle w:val="Normalcentr"/>
      </w:pPr>
      <w:r>
        <w:rPr>
          <w:b/>
          <w:bCs/>
          <w:i/>
          <w:iCs/>
        </w:rPr>
        <w:t>Note de traduction</w:t>
      </w:r>
    </w:p>
    <w:p w14:paraId="477E0ABB" w14:textId="77777777" w:rsidR="00065317" w:rsidRDefault="005C7BF7">
      <w:pPr>
        <w:pStyle w:val="Normalcentr"/>
      </w:pPr>
      <w:r>
        <w:t>Les termes « quantifiant » ou « quantificateur » peuvent tous deux être utilisés pour désigner des « quantifiers”, la seconde option a été privilégiée pour éviter toute confusion avec le gérondif.</w:t>
      </w:r>
    </w:p>
    <w:p w14:paraId="496E7196" w14:textId="77777777" w:rsidR="00065317" w:rsidRDefault="005C7BF7">
      <w:pPr>
        <w:pStyle w:val="Normalcentr"/>
      </w:pPr>
      <w:r>
        <w:rPr>
          <w:b/>
          <w:bCs/>
          <w:i/>
          <w:iCs/>
        </w:rPr>
        <w:t>Références</w:t>
      </w:r>
    </w:p>
    <w:p w14:paraId="2D08768A" w14:textId="5570DA20" w:rsidR="00065317" w:rsidRDefault="005C7BF7">
      <w:pPr>
        <w:pStyle w:val="Normalcentr"/>
      </w:pPr>
      <w:r>
        <w:t xml:space="preserve">Termium. « quantifier ». Dans </w:t>
      </w:r>
      <w:r>
        <w:rPr>
          <w:i/>
          <w:iCs/>
        </w:rPr>
        <w:t>Termium Plus</w:t>
      </w:r>
      <w:r>
        <w:t>. Ottawa, CA-ON: Gouvernement du Canada, 8</w:t>
      </w:r>
      <w:r w:rsidR="00056DCD">
        <w:t> octobre </w:t>
      </w:r>
      <w:r>
        <w:t>2009.</w:t>
      </w:r>
      <w:hyperlink r:id="rId73" w:anchor="resultrecs">
        <w:r>
          <w:rPr>
            <w:rStyle w:val="Lienhypertexte"/>
          </w:rPr>
          <w:t xml:space="preserve"> </w:t>
        </w:r>
      </w:hyperlink>
      <w:hyperlink r:id="rId74" w:anchor="resultrecs">
        <w:r>
          <w:rPr>
            <w:rStyle w:val="Lienhypertexte"/>
          </w:rPr>
          <w:t>https://www.btb.termiumplus.gc.ca/tpv2alpha/alpha-fra.html?lang=fra&amp;i=1&amp;srchtxt=quantifier&amp;index=ent&amp;codom2nd_wet=1#resultrecs</w:t>
        </w:r>
      </w:hyperlink>
      <w:r>
        <w:t>.</w:t>
      </w:r>
    </w:p>
    <w:p w14:paraId="38B846F4" w14:textId="77777777" w:rsidR="00065317" w:rsidRDefault="005C7BF7" w:rsidP="00C42A84">
      <w:pPr>
        <w:pStyle w:val="Titre4"/>
      </w:pPr>
      <w:bookmarkStart w:id="60" w:name="_Toc154048715"/>
      <w:bookmarkStart w:id="61" w:name="quantificateurs-de-proprietes"/>
      <w:bookmarkEnd w:id="59"/>
      <w:r>
        <w:lastRenderedPageBreak/>
        <w:t>Quantificateurs de propriétés</w:t>
      </w:r>
      <w:bookmarkEnd w:id="60"/>
    </w:p>
    <w:p w14:paraId="1086C8AC" w14:textId="4EE5E2FD" w:rsidR="00065317" w:rsidRDefault="005C7BF7">
      <w:pPr>
        <w:pStyle w:val="FirstParagraph"/>
      </w:pPr>
      <w:r>
        <w:t xml:space="preserve">Les quantificateurs des propriétés sont présentés ici </w:t>
      </w:r>
      <w:r w:rsidR="00806228">
        <w:t>aux</w:t>
      </w:r>
      <w:r>
        <w:t xml:space="preserve"> fins de clarification sémantique seulement et ne devraient </w:t>
      </w:r>
      <w:r>
        <w:rPr>
          <w:b/>
          <w:bCs/>
        </w:rPr>
        <w:t>pas</w:t>
      </w:r>
      <w:r>
        <w:t xml:space="preserve"> être considérés comme des recommandations d</w:t>
      </w:r>
      <w:r w:rsidR="00E84B0E">
        <w:t>’</w:t>
      </w:r>
      <w:r>
        <w:t xml:space="preserve">implémentation. Le </w:t>
      </w:r>
      <w:r w:rsidR="00C8288F">
        <w:t>CIDOC CRM</w:t>
      </w:r>
      <w:r>
        <w:t xml:space="preserve"> a été conçu afin d</w:t>
      </w:r>
      <w:r w:rsidR="00E84B0E">
        <w:t>’</w:t>
      </w:r>
      <w:r>
        <w:t>accommoder des options alternatives ou des informations incomplètes [</w:t>
      </w:r>
      <w:r w:rsidR="00AF51A3">
        <w:t xml:space="preserve">n.d.t. </w:t>
      </w:r>
      <w:r>
        <w:t>afin d</w:t>
      </w:r>
      <w:r w:rsidR="00E84B0E">
        <w:t>’</w:t>
      </w:r>
      <w:r>
        <w:t>accommoder plusieurs interprétations ou compréhensions d</w:t>
      </w:r>
      <w:r w:rsidR="00E84B0E">
        <w:t>’</w:t>
      </w:r>
      <w:r>
        <w:t xml:space="preserve">un même phénomène], de sorte que </w:t>
      </w:r>
      <w:r>
        <w:rPr>
          <w:b/>
          <w:bCs/>
        </w:rPr>
        <w:t>toutes</w:t>
      </w:r>
      <w:r>
        <w:t xml:space="preserve"> les </w:t>
      </w:r>
      <w:hyperlink w:anchor="terminologie-propriete">
        <w:r>
          <w:rPr>
            <w:rStyle w:val="Lienhypertexte"/>
          </w:rPr>
          <w:t>propriétés</w:t>
        </w:r>
      </w:hyperlink>
      <w:r>
        <w:t xml:space="preserve"> devraient être implémentées avec un </w:t>
      </w:r>
      <w:hyperlink w:anchor="terminologie-domaine">
        <w:r>
          <w:rPr>
            <w:rStyle w:val="Lienhypertexte"/>
          </w:rPr>
          <w:t>domaine</w:t>
        </w:r>
      </w:hyperlink>
      <w:r>
        <w:t xml:space="preserve"> et une </w:t>
      </w:r>
      <w:hyperlink w:anchor="terminologie-portee">
        <w:r>
          <w:rPr>
            <w:rStyle w:val="Lienhypertexte"/>
          </w:rPr>
          <w:t>portée</w:t>
        </w:r>
      </w:hyperlink>
      <w:r>
        <w:t xml:space="preserve"> optionnels et répétables [</w:t>
      </w:r>
      <w:r w:rsidR="00AF51A3">
        <w:t xml:space="preserve">n.d.t. </w:t>
      </w:r>
      <w:r>
        <w:t>c.-à-d. qu</w:t>
      </w:r>
      <w:r w:rsidR="00E84B0E">
        <w:t>’</w:t>
      </w:r>
      <w:r>
        <w:t>une même propriété peut être utilisée à plusieurs reprises avec de mêmes instances de son domaine et de sa portée] (« relation plusieurs-à-plusieurs (0,n:0,n) »). [</w:t>
      </w:r>
      <w:r w:rsidR="00AF51A3">
        <w:t xml:space="preserve">n.d.t. </w:t>
      </w:r>
      <w:r>
        <w:t>Cette question des contraintes de cardinalité, qui précise les principes de généralisation d</w:t>
      </w:r>
      <w:r w:rsidR="00E84B0E">
        <w:t>’</w:t>
      </w:r>
      <w:r>
        <w:t xml:space="preserve">une </w:t>
      </w:r>
      <w:hyperlink w:anchor="terminologie-classe">
        <w:r>
          <w:rPr>
            <w:rStyle w:val="Lienhypertexte"/>
          </w:rPr>
          <w:t>classe</w:t>
        </w:r>
      </w:hyperlink>
      <w:r>
        <w:t>], porte généralement sur les implémentations d</w:t>
      </w:r>
      <w:r w:rsidR="00E84B0E">
        <w:t>’</w:t>
      </w:r>
      <w:r>
        <w:t>un système [</w:t>
      </w:r>
      <w:r w:rsidR="00AF51A3">
        <w:t xml:space="preserve">n.d.t. </w:t>
      </w:r>
      <w:r>
        <w:t>plutôt que sur sa conception], de sorte qu</w:t>
      </w:r>
      <w:r w:rsidR="00E84B0E">
        <w:t>’</w:t>
      </w:r>
      <w:r>
        <w:t>il n</w:t>
      </w:r>
      <w:r w:rsidR="00E84B0E">
        <w:t>’</w:t>
      </w:r>
      <w:r>
        <w:t>en est pas exhaustivement question ici et que l</w:t>
      </w:r>
      <w:r w:rsidR="00E84B0E">
        <w:t>’</w:t>
      </w:r>
      <w:r>
        <w:t>expression « contraintes de cardinalité » n</w:t>
      </w:r>
      <w:r w:rsidR="00E84B0E">
        <w:t>’</w:t>
      </w:r>
      <w:r>
        <w:t>est pas préconisée.</w:t>
      </w:r>
    </w:p>
    <w:p w14:paraId="1DCD33A5" w14:textId="53DA9F5D" w:rsidR="00065317" w:rsidRDefault="005C7BF7">
      <w:pPr>
        <w:pStyle w:val="Corpsdetexte"/>
      </w:pPr>
      <w:r>
        <w:t>Le tableau suivant énumère les quantificateurs de propriété utilisés dans ce document (dans l</w:t>
      </w:r>
      <w:r w:rsidR="00E84B0E">
        <w:t>’</w:t>
      </w:r>
      <w:r>
        <w:t>ordre de leur notation) ainsi qu</w:t>
      </w:r>
      <w:r w:rsidR="00E84B0E">
        <w:t>’</w:t>
      </w:r>
      <w:r>
        <w:t>une explication en langage naturel [</w:t>
      </w:r>
      <w:r w:rsidR="00AF51A3">
        <w:t xml:space="preserve">n.d.t. </w:t>
      </w:r>
      <w:r>
        <w:t>de chacun d</w:t>
      </w:r>
      <w:r w:rsidR="00E84B0E">
        <w:t>’</w:t>
      </w:r>
      <w:r>
        <w:t xml:space="preserve">entre eux]. Les notations verbale et numérique sont juxtaposées dans ce document </w:t>
      </w:r>
      <w:r w:rsidR="00806228">
        <w:t>aux</w:t>
      </w:r>
      <w:r>
        <w:t xml:space="preserve"> fins de clarté : la notation verbale utilise des syntagmes tels que « un à plusieurs » alors que la notation numérique utilise des expressions telles que « (0,n:0,1) ». Les termes « un », « plusieurs » et « nécessaire » [</w:t>
      </w:r>
      <w:r w:rsidR="00AF51A3">
        <w:t xml:space="preserve">n.d.t. </w:t>
      </w:r>
      <w:r>
        <w:t xml:space="preserve">revêtent leur sens habituel et] intuitif; le terme « dépendant » indique une situation où une </w:t>
      </w:r>
      <w:hyperlink w:anchor="terminologie-instance">
        <w:r>
          <w:rPr>
            <w:rStyle w:val="Lienhypertexte"/>
          </w:rPr>
          <w:t>instance</w:t>
        </w:r>
      </w:hyperlink>
      <w:r>
        <w:t xml:space="preserve"> de la portée d</w:t>
      </w:r>
      <w:r w:rsidR="00E84B0E">
        <w:t>’</w:t>
      </w:r>
      <w:r>
        <w:t>une propriété ne peut pas exister sans une instance de cette propriété elle-même. En d</w:t>
      </w:r>
      <w:r w:rsidR="00E84B0E">
        <w:t>’</w:t>
      </w:r>
      <w:r>
        <w:t>autres termes, la propriété est « nécessaire » à sa portée (Meghini, C. &amp; D</w:t>
      </w:r>
      <w:r w:rsidR="003C7A4A">
        <w:t>oe</w:t>
      </w:r>
      <w:r>
        <w:t>rr, M., 2018).</w:t>
      </w:r>
    </w:p>
    <w:p w14:paraId="64430D84" w14:textId="77777777" w:rsidR="00065317" w:rsidRDefault="005C7BF7">
      <w:pPr>
        <w:pStyle w:val="Normalcentr"/>
      </w:pPr>
      <w:r>
        <w:rPr>
          <w:b/>
          <w:bCs/>
          <w:i/>
          <w:iCs/>
        </w:rPr>
        <w:t>Note de traduction</w:t>
      </w:r>
    </w:p>
    <w:p w14:paraId="7B6A7337" w14:textId="4A6DA391" w:rsidR="00065317" w:rsidRDefault="005C7BF7">
      <w:pPr>
        <w:pStyle w:val="Normalcentr"/>
      </w:pPr>
      <w:r>
        <w:t xml:space="preserve">Certains paragraphes ont été édités dans la version francophone </w:t>
      </w:r>
      <w:r w:rsidR="00806228">
        <w:t xml:space="preserve">aux </w:t>
      </w:r>
      <w:r>
        <w:t>fins de compréhension. Les sections concernées sont indiquées de [</w:t>
      </w:r>
      <w:r w:rsidR="00AF51A3">
        <w:t xml:space="preserve">n.d.t. </w:t>
      </w:r>
      <w:r>
        <w:t>texte concerné].</w:t>
      </w:r>
    </w:p>
    <w:p w14:paraId="3DD30542" w14:textId="3E5C062E" w:rsidR="00065317" w:rsidRDefault="005C7BF7">
      <w:pPr>
        <w:pStyle w:val="Normalcentr"/>
      </w:pPr>
      <w:r>
        <w:t>Un</w:t>
      </w:r>
      <w:r w:rsidR="00806228">
        <w:t>e</w:t>
      </w:r>
      <w:r>
        <w:t xml:space="preserve"> contrainte de cardinalité précise si une entité </w:t>
      </w:r>
      <w:r w:rsidR="001F00AF">
        <w:t>« </w:t>
      </w:r>
      <w:r>
        <w:t>parent</w:t>
      </w:r>
      <w:r w:rsidR="001F00AF">
        <w:t> »</w:t>
      </w:r>
      <w:r>
        <w:t xml:space="preserve"> peut appartenir à plusieurs entités </w:t>
      </w:r>
      <w:r w:rsidR="001F00AF">
        <w:t>« </w:t>
      </w:r>
      <w:r>
        <w:t>enfants</w:t>
      </w:r>
      <w:r w:rsidR="001F00AF">
        <w:t> »</w:t>
      </w:r>
      <w:r>
        <w:t xml:space="preserve"> (principe du recouvrement ou </w:t>
      </w:r>
      <w:r>
        <w:rPr>
          <w:i/>
          <w:iCs/>
        </w:rPr>
        <w:t>overlapping</w:t>
      </w:r>
      <w:r>
        <w:t>) ou à un seul (principe de la disjonction).</w:t>
      </w:r>
    </w:p>
    <w:p w14:paraId="637D8D9D" w14:textId="77777777" w:rsidR="00065317" w:rsidRDefault="005C7BF7">
      <w:pPr>
        <w:pStyle w:val="Normalcentr"/>
      </w:pPr>
      <w:r>
        <w:rPr>
          <w:b/>
          <w:bCs/>
          <w:i/>
          <w:iCs/>
        </w:rPr>
        <w:t>Références</w:t>
      </w:r>
    </w:p>
    <w:p w14:paraId="62AEBBAA" w14:textId="1B8D022A" w:rsidR="00065317" w:rsidRDefault="005C7BF7">
      <w:pPr>
        <w:pStyle w:val="Normalcentr"/>
      </w:pPr>
      <w:r>
        <w:t xml:space="preserve">Termium. « cardinalité ». Dans </w:t>
      </w:r>
      <w:r>
        <w:rPr>
          <w:i/>
          <w:iCs/>
        </w:rPr>
        <w:t>Termium Plus</w:t>
      </w:r>
      <w:r>
        <w:t>. Ottawa, CA-ON: Gouvernement du Canada, 8</w:t>
      </w:r>
      <w:r w:rsidR="00056DCD">
        <w:t> octobre </w:t>
      </w:r>
      <w:r>
        <w:t>2009.</w:t>
      </w:r>
      <w:hyperlink r:id="rId75" w:anchor="resultrecs">
        <w:r>
          <w:rPr>
            <w:rStyle w:val="Lienhypertexte"/>
          </w:rPr>
          <w:t xml:space="preserve"> </w:t>
        </w:r>
      </w:hyperlink>
      <w:hyperlink r:id="rId76" w:anchor="resultrecs">
        <w:r>
          <w:rPr>
            <w:rStyle w:val="Lienhypertexte"/>
          </w:rPr>
          <w:t>https://www.btb.termiumplus.gc.ca/tpv2alpha/alpha-fra.html?lang=fra&amp;i=1&amp;srchtxt=cardinalit%C3%A9&amp;index=frt&amp;codom2nd_wet=1#resultrecs</w:t>
        </w:r>
      </w:hyperlink>
      <w:r>
        <w:t>.</w:t>
      </w:r>
    </w:p>
    <w:p w14:paraId="7909A943" w14:textId="77777777" w:rsidR="003D3C4F" w:rsidRDefault="005C7BF7">
      <w:pPr>
        <w:pStyle w:val="FirstParagraph"/>
        <w:rPr>
          <w:b/>
          <w:bCs/>
        </w:rPr>
      </w:pPr>
      <w:r>
        <w:rPr>
          <w:b/>
          <w:bCs/>
        </w:rPr>
        <w:t xml:space="preserve">plusieurs à plusieurs </w:t>
      </w:r>
    </w:p>
    <w:p w14:paraId="2CB24A70" w14:textId="02AF5B9E" w:rsidR="00065317" w:rsidRDefault="005C7BF7" w:rsidP="003D3C4F">
      <w:pPr>
        <w:pStyle w:val="FirstParagraph"/>
      </w:pPr>
      <w:r>
        <w:rPr>
          <w:b/>
          <w:bCs/>
        </w:rPr>
        <w:t>(0,n:0,n)</w:t>
      </w:r>
    </w:p>
    <w:p w14:paraId="4EDE886C" w14:textId="4B14A05E" w:rsidR="00065317" w:rsidRDefault="005C7BF7">
      <w:pPr>
        <w:pStyle w:val="Corpsdetexte"/>
      </w:pPr>
      <w:r>
        <w:t xml:space="preserve">Illimité : Une </w:t>
      </w:r>
      <w:hyperlink w:anchor="terminologie-instance">
        <w:r>
          <w:rPr>
            <w:rStyle w:val="Lienhypertexte"/>
          </w:rPr>
          <w:t>instance</w:t>
        </w:r>
      </w:hyperlink>
      <w:r>
        <w:t xml:space="preserve"> du </w:t>
      </w:r>
      <w:hyperlink w:anchor="terminologie-domaine">
        <w:r>
          <w:rPr>
            <w:rStyle w:val="Lienhypertexte"/>
          </w:rPr>
          <w:t>domaine</w:t>
        </w:r>
      </w:hyperlink>
      <w:r>
        <w:t xml:space="preserve"> et une instance de la </w:t>
      </w:r>
      <w:hyperlink w:anchor="terminologie-portee">
        <w:r>
          <w:rPr>
            <w:rStyle w:val="Lienhypertexte"/>
          </w:rPr>
          <w:t>portée</w:t>
        </w:r>
      </w:hyperlink>
      <w:r>
        <w:t xml:space="preserve"> de cette </w:t>
      </w:r>
      <w:hyperlink w:anchor="terminologie-propriete">
        <w:r>
          <w:rPr>
            <w:rStyle w:val="Lienhypertexte"/>
          </w:rPr>
          <w:t>propriété</w:t>
        </w:r>
      </w:hyperlink>
      <w:r>
        <w:t xml:space="preserve"> peuvent n</w:t>
      </w:r>
      <w:r w:rsidR="00E84B0E">
        <w:t>’</w:t>
      </w:r>
      <w:r>
        <w:t>avoir aucune, une ou plusieurs instances de cette propriété. En d</w:t>
      </w:r>
      <w:r w:rsidR="00E84B0E">
        <w:t>’</w:t>
      </w:r>
      <w:r>
        <w:t>autres termes, cette propriété est optionnelle et répétable [</w:t>
      </w:r>
      <w:r w:rsidR="00AF51A3">
        <w:t xml:space="preserve">n.d.t. </w:t>
      </w:r>
      <w:r>
        <w:t>c.-à-d. qu</w:t>
      </w:r>
      <w:r w:rsidR="00E84B0E">
        <w:t>’</w:t>
      </w:r>
      <w:r>
        <w:t>une même propriété peut être utilisée à plusieurs reprises avec de mêmes instances de] son domaine et de sa portée.</w:t>
      </w:r>
    </w:p>
    <w:p w14:paraId="4A2479FD" w14:textId="77777777" w:rsidR="00065317" w:rsidRDefault="005C7BF7">
      <w:pPr>
        <w:pStyle w:val="Normalcentr"/>
      </w:pPr>
      <w:r>
        <w:rPr>
          <w:b/>
          <w:bCs/>
          <w:i/>
          <w:iCs/>
        </w:rPr>
        <w:t>Note de traduction</w:t>
      </w:r>
    </w:p>
    <w:p w14:paraId="3C90383A" w14:textId="14EF248A" w:rsidR="0050358F" w:rsidRPr="00784AE7" w:rsidRDefault="005C7BF7" w:rsidP="00784AE7">
      <w:pPr>
        <w:pStyle w:val="Normalcentr"/>
      </w:pPr>
      <w:r>
        <w:t>Une propriété répétable est une propriété pouvant apparaître plus d</w:t>
      </w:r>
      <w:r w:rsidR="00E84B0E">
        <w:t>’</w:t>
      </w:r>
      <w:r>
        <w:t>une fois dans un enregistrement avec le(s) même(s) domaine et/ou portée.</w:t>
      </w:r>
    </w:p>
    <w:p w14:paraId="72D494C7" w14:textId="063BBB61" w:rsidR="00065317" w:rsidRDefault="005C7BF7">
      <w:pPr>
        <w:pStyle w:val="Normalcentr"/>
      </w:pPr>
      <w:r>
        <w:rPr>
          <w:b/>
          <w:bCs/>
          <w:i/>
          <w:iCs/>
        </w:rPr>
        <w:t>Références</w:t>
      </w:r>
    </w:p>
    <w:p w14:paraId="605C9119" w14:textId="6074A2E6" w:rsidR="00784AE7" w:rsidRDefault="005C7BF7">
      <w:pPr>
        <w:pStyle w:val="Normalcentr"/>
      </w:pPr>
      <w:r>
        <w:t xml:space="preserve">Termium. « répétable ». Dans </w:t>
      </w:r>
      <w:r>
        <w:rPr>
          <w:i/>
          <w:iCs/>
        </w:rPr>
        <w:t>Termium Plus</w:t>
      </w:r>
      <w:r>
        <w:t>. Ottawa, CA-ON: Gouvernement du Canada, 8</w:t>
      </w:r>
      <w:r w:rsidR="00056DCD">
        <w:t> octobre </w:t>
      </w:r>
      <w:r>
        <w:t>2009.</w:t>
      </w:r>
      <w:hyperlink r:id="rId77">
        <w:r>
          <w:rPr>
            <w:rStyle w:val="Lienhypertexte"/>
          </w:rPr>
          <w:t xml:space="preserve"> </w:t>
        </w:r>
      </w:hyperlink>
      <w:hyperlink r:id="rId78">
        <w:r>
          <w:rPr>
            <w:rStyle w:val="Lienhypertexte"/>
          </w:rPr>
          <w:t>https://www.btb.termiumplus.gc.ca/tpv2alpha/alpha-fra.html?lang=fra&amp;i=&amp;index=alt&amp;srchtxt=CATEGORIE%20REPETABLE</w:t>
        </w:r>
      </w:hyperlink>
      <w:r>
        <w:t>.</w:t>
      </w:r>
    </w:p>
    <w:p w14:paraId="47714BC5" w14:textId="3A7085F8" w:rsidR="00065317" w:rsidRPr="00784AE7" w:rsidRDefault="00784AE7" w:rsidP="00784AE7">
      <w:pPr>
        <w:spacing w:after="0"/>
        <w:rPr>
          <w:sz w:val="22"/>
        </w:rPr>
      </w:pPr>
      <w:r>
        <w:br w:type="page"/>
      </w:r>
    </w:p>
    <w:p w14:paraId="5A376132" w14:textId="77777777" w:rsidR="00065317" w:rsidRDefault="005C7BF7">
      <w:pPr>
        <w:pStyle w:val="FirstParagraph"/>
      </w:pPr>
      <w:r>
        <w:rPr>
          <w:b/>
          <w:bCs/>
        </w:rPr>
        <w:lastRenderedPageBreak/>
        <w:t>un à plusieurs</w:t>
      </w:r>
    </w:p>
    <w:p w14:paraId="19989156" w14:textId="77777777" w:rsidR="00065317" w:rsidRDefault="005C7BF7">
      <w:pPr>
        <w:pStyle w:val="Corpsdetexte"/>
      </w:pPr>
      <w:r>
        <w:rPr>
          <w:b/>
          <w:bCs/>
        </w:rPr>
        <w:t>(0,n:0,1)</w:t>
      </w:r>
    </w:p>
    <w:p w14:paraId="0D0C3F60" w14:textId="42942126" w:rsidR="00065317" w:rsidRDefault="005C7BF7">
      <w:pPr>
        <w:pStyle w:val="Corpsdetexte"/>
      </w:pPr>
      <w:r>
        <w:t xml:space="preserve">Une </w:t>
      </w:r>
      <w:hyperlink w:anchor="terminologie-instance">
        <w:r>
          <w:rPr>
            <w:rStyle w:val="Lienhypertexte"/>
          </w:rPr>
          <w:t>instance</w:t>
        </w:r>
      </w:hyperlink>
      <w:r>
        <w:t xml:space="preserve"> individuelle du </w:t>
      </w:r>
      <w:hyperlink w:anchor="terminologie-domaine">
        <w:r>
          <w:rPr>
            <w:rStyle w:val="Lienhypertexte"/>
          </w:rPr>
          <w:t>domaine</w:t>
        </w:r>
      </w:hyperlink>
      <w:r>
        <w:t xml:space="preserve"> de cette </w:t>
      </w:r>
      <w:hyperlink w:anchor="terminologie-propriete">
        <w:r>
          <w:rPr>
            <w:rStyle w:val="Lienhypertexte"/>
          </w:rPr>
          <w:t>propriété</w:t>
        </w:r>
      </w:hyperlink>
      <w:r>
        <w:t xml:space="preserve"> peut n</w:t>
      </w:r>
      <w:r w:rsidR="00E84B0E">
        <w:t>’</w:t>
      </w:r>
      <w:r>
        <w:t xml:space="preserve">avoir aucune, une ou plusieurs instance(s) de cette propriété, mais une instance individuelle de sa </w:t>
      </w:r>
      <w:hyperlink w:anchor="terminologie-portee">
        <w:r>
          <w:rPr>
            <w:rStyle w:val="Lienhypertexte"/>
          </w:rPr>
          <w:t>portée</w:t>
        </w:r>
      </w:hyperlink>
      <w:r>
        <w:t xml:space="preserve"> ne peut pas faire l</w:t>
      </w:r>
      <w:r w:rsidR="00E84B0E">
        <w:t>’</w:t>
      </w:r>
      <w:r>
        <w:t>objet d</w:t>
      </w:r>
      <w:r w:rsidR="00E84B0E">
        <w:t>’</w:t>
      </w:r>
      <w:r>
        <w:t>une référence par plus d</w:t>
      </w:r>
      <w:r w:rsidR="00E84B0E">
        <w:t>’</w:t>
      </w:r>
      <w:r>
        <w:t>une instance de cette même propriété. En d</w:t>
      </w:r>
      <w:r w:rsidR="00E84B0E">
        <w:t>’</w:t>
      </w:r>
      <w:r>
        <w:t>autres termes, le domaine et la portée de cette propriété sont optionnels, mais seul son domaine est répétable [</w:t>
      </w:r>
      <w:r w:rsidR="00AF51A3">
        <w:t xml:space="preserve">n.d.t. </w:t>
      </w:r>
      <w:r>
        <w:t>c.-à-d. qu</w:t>
      </w:r>
      <w:r w:rsidR="00E84B0E">
        <w:t>’</w:t>
      </w:r>
      <w:r>
        <w:t>une même propriété peut être utilisée à plusieurs reprises avec une même instance de son domaine]. Cette situation est parfois qualifiée de « sortance ».</w:t>
      </w:r>
    </w:p>
    <w:p w14:paraId="29E80305" w14:textId="77777777" w:rsidR="00065317" w:rsidRDefault="005C7BF7">
      <w:pPr>
        <w:pStyle w:val="Normalcentr"/>
      </w:pPr>
      <w:r>
        <w:rPr>
          <w:b/>
          <w:bCs/>
          <w:i/>
          <w:iCs/>
        </w:rPr>
        <w:t>Note de traduction</w:t>
      </w:r>
    </w:p>
    <w:p w14:paraId="44C892AF" w14:textId="7204010F" w:rsidR="00065317" w:rsidRDefault="005C7BF7">
      <w:pPr>
        <w:pStyle w:val="Normalcentr"/>
      </w:pPr>
      <w:r>
        <w:t>Une propriété répétable est une propriété pouvant apparaître plus d</w:t>
      </w:r>
      <w:r w:rsidR="00E84B0E">
        <w:t>’</w:t>
      </w:r>
      <w:r>
        <w:t>une fois dans un enregistrement avec le(s) même(s) domaine et/ou portée.</w:t>
      </w:r>
    </w:p>
    <w:p w14:paraId="5DB0226F" w14:textId="603CDD61" w:rsidR="00065317" w:rsidRDefault="005C7BF7">
      <w:pPr>
        <w:pStyle w:val="Normalcentr"/>
      </w:pPr>
      <w:r>
        <w:t>Une recherche sommaire indique que le terme « fan-out » est surtout usité dans le domaine des circuits booléens et de l</w:t>
      </w:r>
      <w:r w:rsidR="00E84B0E">
        <w:t>’</w:t>
      </w:r>
      <w:r>
        <w:t>intelligence artificielle, où il est parfois question d</w:t>
      </w:r>
      <w:r w:rsidR="00E84B0E">
        <w:t>’</w:t>
      </w:r>
      <w:r>
        <w:t>arité sortante ou de sortance.</w:t>
      </w:r>
    </w:p>
    <w:p w14:paraId="4925D484" w14:textId="77777777" w:rsidR="00065317" w:rsidRDefault="005C7BF7">
      <w:pPr>
        <w:pStyle w:val="Normalcentr"/>
      </w:pPr>
      <w:r>
        <w:rPr>
          <w:b/>
          <w:bCs/>
          <w:i/>
          <w:iCs/>
        </w:rPr>
        <w:t>Références</w:t>
      </w:r>
    </w:p>
    <w:p w14:paraId="4B569DC6" w14:textId="4A704C6F" w:rsidR="00065317" w:rsidRDefault="005C7BF7">
      <w:pPr>
        <w:pStyle w:val="Normalcentr"/>
      </w:pPr>
      <w:r>
        <w:t xml:space="preserve">Termium. « fan-out ». Dans </w:t>
      </w:r>
      <w:r>
        <w:rPr>
          <w:i/>
          <w:iCs/>
        </w:rPr>
        <w:t>Termium Plus</w:t>
      </w:r>
      <w:r>
        <w:t>. Ottawa, CA-ON: Gouvernement du Canada, 8</w:t>
      </w:r>
      <w:r w:rsidR="00056DCD">
        <w:t> octobre </w:t>
      </w:r>
      <w:r>
        <w:t>2009.</w:t>
      </w:r>
      <w:hyperlink r:id="rId79" w:anchor="resultrecs">
        <w:r>
          <w:rPr>
            <w:rStyle w:val="Lienhypertexte"/>
          </w:rPr>
          <w:t xml:space="preserve"> </w:t>
        </w:r>
      </w:hyperlink>
      <w:hyperlink r:id="rId80" w:anchor="resultrecs">
        <w:r>
          <w:rPr>
            <w:rStyle w:val="Lienhypertexte"/>
          </w:rPr>
          <w:t>https://www.btb.termiumplus.gc.ca/tpv2alpha/alpha-fra.html?lang=fra&amp;i=1&amp;srchtxt=fan-out&amp;index=ent&amp;codom2nd_wet=1#resultrecs</w:t>
        </w:r>
      </w:hyperlink>
      <w:r>
        <w:t>.</w:t>
      </w:r>
    </w:p>
    <w:p w14:paraId="54EF9C41" w14:textId="65058315" w:rsidR="00065317" w:rsidRDefault="005C7BF7">
      <w:pPr>
        <w:pStyle w:val="Normalcentr"/>
      </w:pPr>
      <w:r>
        <w:t xml:space="preserve">———. « répétable ». Dans </w:t>
      </w:r>
      <w:r>
        <w:rPr>
          <w:i/>
          <w:iCs/>
        </w:rPr>
        <w:t>Termium Plus</w:t>
      </w:r>
      <w:r>
        <w:t>. Ottawa, CA-ON: Gouvernement du Canada, 8</w:t>
      </w:r>
      <w:r w:rsidR="00056DCD">
        <w:t> octobre </w:t>
      </w:r>
      <w:r>
        <w:t>2009.</w:t>
      </w:r>
      <w:hyperlink r:id="rId81">
        <w:r>
          <w:rPr>
            <w:rStyle w:val="Lienhypertexte"/>
          </w:rPr>
          <w:t xml:space="preserve"> </w:t>
        </w:r>
      </w:hyperlink>
      <w:hyperlink r:id="rId82">
        <w:r>
          <w:rPr>
            <w:rStyle w:val="Lienhypertexte"/>
          </w:rPr>
          <w:t>https://www.btb.termiumplus.gc.ca/tpv2alpha/alpha-fra.html?lang=fra&amp;i=&amp;index=alt&amp;srchtxt=CATEGORIE%20REPETABLE</w:t>
        </w:r>
      </w:hyperlink>
      <w:r>
        <w:t>.</w:t>
      </w:r>
    </w:p>
    <w:p w14:paraId="074A55F7" w14:textId="3DC6AC85" w:rsidR="00065317" w:rsidRDefault="005C7BF7">
      <w:pPr>
        <w:pStyle w:val="Normalcentr"/>
      </w:pPr>
      <w:r w:rsidRPr="00EC2D6E">
        <w:rPr>
          <w:lang w:val="en-CA"/>
        </w:rPr>
        <w:t xml:space="preserve">Wikipédia. « Fan-out ». Dans </w:t>
      </w:r>
      <w:r w:rsidRPr="00EC2D6E">
        <w:rPr>
          <w:i/>
          <w:iCs/>
          <w:lang w:val="en-CA"/>
        </w:rPr>
        <w:t>Wikipédia</w:t>
      </w:r>
      <w:r w:rsidRPr="00EC2D6E">
        <w:rPr>
          <w:lang w:val="en-CA"/>
        </w:rPr>
        <w:t>. San Francisco, US-CA: Wikipédia, 11</w:t>
      </w:r>
      <w:r w:rsidR="00056DCD">
        <w:rPr>
          <w:lang w:val="en-CA"/>
        </w:rPr>
        <w:t> novembre </w:t>
      </w:r>
      <w:r w:rsidRPr="00EC2D6E">
        <w:rPr>
          <w:lang w:val="en-CA"/>
        </w:rPr>
        <w:t>2020.</w:t>
      </w:r>
      <w:hyperlink r:id="rId83">
        <w:r w:rsidRPr="00EC2D6E">
          <w:rPr>
            <w:rStyle w:val="Lienhypertexte"/>
            <w:lang w:val="en-CA"/>
          </w:rPr>
          <w:t xml:space="preserve"> </w:t>
        </w:r>
      </w:hyperlink>
      <w:hyperlink r:id="rId84">
        <w:r>
          <w:rPr>
            <w:rStyle w:val="Lienhypertexte"/>
          </w:rPr>
          <w:t>https://fr.wikipedia.org/w/index.php?title=Fan-out&amp;oldid=176479075</w:t>
        </w:r>
      </w:hyperlink>
      <w:r>
        <w:t>.</w:t>
      </w:r>
    </w:p>
    <w:p w14:paraId="49D08ADE" w14:textId="77777777" w:rsidR="00065317" w:rsidRDefault="005C7BF7">
      <w:pPr>
        <w:pStyle w:val="FirstParagraph"/>
      </w:pPr>
      <w:r>
        <w:rPr>
          <w:b/>
          <w:bCs/>
        </w:rPr>
        <w:t>plusieurs à un</w:t>
      </w:r>
    </w:p>
    <w:p w14:paraId="606C51F2" w14:textId="77777777" w:rsidR="00065317" w:rsidRDefault="005C7BF7">
      <w:pPr>
        <w:pStyle w:val="Corpsdetexte"/>
      </w:pPr>
      <w:r>
        <w:rPr>
          <w:b/>
          <w:bCs/>
        </w:rPr>
        <w:t>(0,1:0,n)</w:t>
      </w:r>
    </w:p>
    <w:p w14:paraId="36908EF3" w14:textId="471E5182" w:rsidR="00065317" w:rsidRDefault="005C7BF7">
      <w:pPr>
        <w:pStyle w:val="Corpsdetexte"/>
      </w:pPr>
      <w:r>
        <w:t xml:space="preserve">Une </w:t>
      </w:r>
      <w:hyperlink w:anchor="terminologie-instance">
        <w:r>
          <w:rPr>
            <w:rStyle w:val="Lienhypertexte"/>
          </w:rPr>
          <w:t>instance</w:t>
        </w:r>
      </w:hyperlink>
      <w:r>
        <w:t xml:space="preserve"> du </w:t>
      </w:r>
      <w:hyperlink w:anchor="terminologie-domaine">
        <w:r>
          <w:rPr>
            <w:rStyle w:val="Lienhypertexte"/>
          </w:rPr>
          <w:t>domaine</w:t>
        </w:r>
      </w:hyperlink>
      <w:r>
        <w:t xml:space="preserve"> de cette </w:t>
      </w:r>
      <w:hyperlink w:anchor="terminologie-propriete">
        <w:r>
          <w:rPr>
            <w:rStyle w:val="Lienhypertexte"/>
          </w:rPr>
          <w:t>propriété</w:t>
        </w:r>
      </w:hyperlink>
      <w:r>
        <w:t xml:space="preserve"> peut n</w:t>
      </w:r>
      <w:r w:rsidR="00E84B0E">
        <w:t>’</w:t>
      </w:r>
      <w:r>
        <w:t xml:space="preserve">avoir aucune ou une seule instance de cette propriété, mais une instance de sa </w:t>
      </w:r>
      <w:hyperlink w:anchor="terminologie-portee">
        <w:r>
          <w:rPr>
            <w:rStyle w:val="Lienhypertexte"/>
          </w:rPr>
          <w:t>portée</w:t>
        </w:r>
      </w:hyperlink>
      <w:r>
        <w:t xml:space="preserve"> peut être référencée par aucune, une ou plusieurs instances de cette même propriété. En d</w:t>
      </w:r>
      <w:r w:rsidR="00E84B0E">
        <w:t>’</w:t>
      </w:r>
      <w:r>
        <w:t>autres termes, le domaine et la portée de cette propriété sont optionnels, mais seule sa portée est répétable [</w:t>
      </w:r>
      <w:r w:rsidR="00AF51A3">
        <w:t xml:space="preserve">n.d.t. </w:t>
      </w:r>
      <w:r>
        <w:t>c.-à-d. qu</w:t>
      </w:r>
      <w:r w:rsidR="00E84B0E">
        <w:t>’</w:t>
      </w:r>
      <w:r>
        <w:t>une même propriété peut être utilisée à plusieurs reprises avec une même instance de sa portée]. Cette situation est parfois qualifiée d</w:t>
      </w:r>
      <w:r w:rsidR="00E84B0E">
        <w:t>’</w:t>
      </w:r>
      <w:r>
        <w:t>« entrance ».</w:t>
      </w:r>
    </w:p>
    <w:p w14:paraId="62C8D88B" w14:textId="77777777" w:rsidR="00065317" w:rsidRDefault="005C7BF7">
      <w:pPr>
        <w:pStyle w:val="Normalcentr"/>
      </w:pPr>
      <w:r>
        <w:rPr>
          <w:b/>
          <w:bCs/>
          <w:i/>
          <w:iCs/>
        </w:rPr>
        <w:t>Note de traduction</w:t>
      </w:r>
    </w:p>
    <w:p w14:paraId="4E282549" w14:textId="6C935A7D" w:rsidR="00065317" w:rsidRDefault="005C7BF7">
      <w:pPr>
        <w:pStyle w:val="Normalcentr"/>
      </w:pPr>
      <w:r>
        <w:t>Une propriété répétable est une propriété pouvant apparaître plus d</w:t>
      </w:r>
      <w:r w:rsidR="00E84B0E">
        <w:t>’</w:t>
      </w:r>
      <w:r>
        <w:t>une fois dans un enregistrement avec le(s) même(s) domaine et/ou portée.</w:t>
      </w:r>
    </w:p>
    <w:p w14:paraId="752B44B9" w14:textId="27FA2ED4" w:rsidR="00065317" w:rsidRDefault="005C7BF7">
      <w:pPr>
        <w:pStyle w:val="Normalcentr"/>
      </w:pPr>
      <w:r>
        <w:t>Une recherche sommaire indique que le terme « fan-in » est surtout usité dans le domaine des circuits booléens et de l</w:t>
      </w:r>
      <w:r w:rsidR="00E84B0E">
        <w:t>’</w:t>
      </w:r>
      <w:r>
        <w:t>intelligence artificielle où il est parfois question d</w:t>
      </w:r>
      <w:r w:rsidR="00E84B0E">
        <w:t>’</w:t>
      </w:r>
      <w:r>
        <w:t>arité entrante ou d</w:t>
      </w:r>
      <w:r w:rsidR="00E84B0E">
        <w:t>’</w:t>
      </w:r>
      <w:r>
        <w:t>entrance.</w:t>
      </w:r>
    </w:p>
    <w:p w14:paraId="17F859EE" w14:textId="77777777" w:rsidR="00065317" w:rsidRDefault="005C7BF7">
      <w:pPr>
        <w:pStyle w:val="Normalcentr"/>
      </w:pPr>
      <w:r>
        <w:rPr>
          <w:b/>
          <w:bCs/>
          <w:i/>
          <w:iCs/>
        </w:rPr>
        <w:t>Références</w:t>
      </w:r>
    </w:p>
    <w:p w14:paraId="2D9EC884" w14:textId="70C4C066" w:rsidR="00065317" w:rsidRDefault="005C7BF7">
      <w:pPr>
        <w:pStyle w:val="Normalcentr"/>
      </w:pPr>
      <w:r>
        <w:t xml:space="preserve">Termium. « fan-in ». Dans </w:t>
      </w:r>
      <w:r>
        <w:rPr>
          <w:i/>
          <w:iCs/>
        </w:rPr>
        <w:t>Termium Plus</w:t>
      </w:r>
      <w:r>
        <w:t>. Ottawa, CA-ON: Gouvernement du Canada, 8</w:t>
      </w:r>
      <w:r w:rsidR="00056DCD">
        <w:t> octobre </w:t>
      </w:r>
      <w:r>
        <w:t>2009.</w:t>
      </w:r>
      <w:hyperlink r:id="rId85" w:anchor="resultrecs">
        <w:r>
          <w:rPr>
            <w:rStyle w:val="Lienhypertexte"/>
          </w:rPr>
          <w:t xml:space="preserve"> </w:t>
        </w:r>
      </w:hyperlink>
      <w:hyperlink r:id="rId86" w:anchor="resultrecs">
        <w:r>
          <w:rPr>
            <w:rStyle w:val="Lienhypertexte"/>
          </w:rPr>
          <w:t>https://www.btb.termiumplus.gc.ca/tpv2alpha/alpha-fra.html?lang=fra&amp;i=1&amp;srchtxt=fan-in&amp;index=ent&amp;codom2nd_wet=1#resultrecs</w:t>
        </w:r>
      </w:hyperlink>
      <w:r>
        <w:t>.</w:t>
      </w:r>
    </w:p>
    <w:p w14:paraId="3F7F4D9D" w14:textId="333A3D0D" w:rsidR="00065317" w:rsidRDefault="005C7BF7">
      <w:pPr>
        <w:pStyle w:val="Normalcentr"/>
      </w:pPr>
      <w:r>
        <w:t xml:space="preserve">———. « répétable ». Dans </w:t>
      </w:r>
      <w:r>
        <w:rPr>
          <w:i/>
          <w:iCs/>
        </w:rPr>
        <w:t>Termium Plus</w:t>
      </w:r>
      <w:r>
        <w:t>. Ottawa, CA-ON: Gouvernement du Canada, 8</w:t>
      </w:r>
      <w:r w:rsidR="00056DCD">
        <w:t> octobre </w:t>
      </w:r>
      <w:r>
        <w:t>2009.</w:t>
      </w:r>
      <w:hyperlink r:id="rId87">
        <w:r>
          <w:rPr>
            <w:rStyle w:val="Lienhypertexte"/>
          </w:rPr>
          <w:t xml:space="preserve"> </w:t>
        </w:r>
      </w:hyperlink>
      <w:hyperlink r:id="rId88">
        <w:r>
          <w:rPr>
            <w:rStyle w:val="Lienhypertexte"/>
          </w:rPr>
          <w:t>https://www.btb.termiumplus.gc.ca/tpv2alpha/alpha-fra.html?lang=fra&amp;i=&amp;index=alt&amp;srchtxt=CATEGORIE%20REPETABLE</w:t>
        </w:r>
      </w:hyperlink>
      <w:r>
        <w:t>.</w:t>
      </w:r>
    </w:p>
    <w:p w14:paraId="11D15BD3" w14:textId="46951390" w:rsidR="00784AE7" w:rsidRDefault="005C7BF7">
      <w:pPr>
        <w:pStyle w:val="Normalcentr"/>
      </w:pPr>
      <w:r w:rsidRPr="00EC2D6E">
        <w:rPr>
          <w:lang w:val="en-CA"/>
        </w:rPr>
        <w:t xml:space="preserve">Wikipédia. « Fan-in ». Dans </w:t>
      </w:r>
      <w:r w:rsidRPr="00EC2D6E">
        <w:rPr>
          <w:i/>
          <w:iCs/>
          <w:lang w:val="en-CA"/>
        </w:rPr>
        <w:t>Wikipédia</w:t>
      </w:r>
      <w:r w:rsidRPr="00EC2D6E">
        <w:rPr>
          <w:lang w:val="en-CA"/>
        </w:rPr>
        <w:t>. San Francisco, US-CA: Wikipédia, 11</w:t>
      </w:r>
      <w:r w:rsidR="00056DCD">
        <w:rPr>
          <w:lang w:val="en-CA"/>
        </w:rPr>
        <w:t> novembre </w:t>
      </w:r>
      <w:r w:rsidRPr="00EC2D6E">
        <w:rPr>
          <w:lang w:val="en-CA"/>
        </w:rPr>
        <w:t>2020.</w:t>
      </w:r>
      <w:hyperlink r:id="rId89">
        <w:r w:rsidRPr="00EC2D6E">
          <w:rPr>
            <w:rStyle w:val="Lienhypertexte"/>
            <w:lang w:val="en-CA"/>
          </w:rPr>
          <w:t xml:space="preserve"> </w:t>
        </w:r>
      </w:hyperlink>
      <w:hyperlink r:id="rId90">
        <w:r>
          <w:rPr>
            <w:rStyle w:val="Lienhypertexte"/>
          </w:rPr>
          <w:t>https://fr.wikipedia.org/w/index.php?title=Fan-in&amp;oldid=176479056</w:t>
        </w:r>
      </w:hyperlink>
      <w:r>
        <w:t>.</w:t>
      </w:r>
    </w:p>
    <w:p w14:paraId="19FAD39E" w14:textId="3AB0A2B1" w:rsidR="00065317" w:rsidRPr="00784AE7" w:rsidRDefault="00784AE7" w:rsidP="00784AE7">
      <w:pPr>
        <w:spacing w:after="0"/>
        <w:rPr>
          <w:sz w:val="22"/>
        </w:rPr>
      </w:pPr>
      <w:r>
        <w:br w:type="page"/>
      </w:r>
    </w:p>
    <w:p w14:paraId="517A98F7" w14:textId="77777777" w:rsidR="003D3C4F" w:rsidRDefault="005C7BF7">
      <w:pPr>
        <w:pStyle w:val="FirstParagraph"/>
        <w:rPr>
          <w:b/>
          <w:bCs/>
        </w:rPr>
      </w:pPr>
      <w:r>
        <w:rPr>
          <w:b/>
          <w:bCs/>
        </w:rPr>
        <w:lastRenderedPageBreak/>
        <w:t xml:space="preserve">plusieurs à plusieurs, nécessaire </w:t>
      </w:r>
    </w:p>
    <w:p w14:paraId="27BC74B0" w14:textId="1C5A5BA5" w:rsidR="00065317" w:rsidRDefault="005C7BF7">
      <w:pPr>
        <w:pStyle w:val="FirstParagraph"/>
      </w:pPr>
      <w:r>
        <w:rPr>
          <w:b/>
          <w:bCs/>
        </w:rPr>
        <w:t>(1,n:0,n)</w:t>
      </w:r>
    </w:p>
    <w:p w14:paraId="03D53EE9" w14:textId="1D7147BB" w:rsidR="00065317" w:rsidRDefault="005C7BF7">
      <w:pPr>
        <w:pStyle w:val="Corpsdetexte"/>
      </w:pPr>
      <w:r>
        <w:t xml:space="preserve">Une </w:t>
      </w:r>
      <w:hyperlink w:anchor="terminologie-instance">
        <w:r>
          <w:rPr>
            <w:rStyle w:val="Lienhypertexte"/>
          </w:rPr>
          <w:t>instance</w:t>
        </w:r>
      </w:hyperlink>
      <w:r>
        <w:t xml:space="preserve"> individuelle du </w:t>
      </w:r>
      <w:hyperlink w:anchor="terminologie-domaine">
        <w:r>
          <w:rPr>
            <w:rStyle w:val="Lienhypertexte"/>
          </w:rPr>
          <w:t>domaine</w:t>
        </w:r>
      </w:hyperlink>
      <w:r>
        <w:t xml:space="preserve"> de cette </w:t>
      </w:r>
      <w:hyperlink w:anchor="terminologie-propriete">
        <w:r>
          <w:rPr>
            <w:rStyle w:val="Lienhypertexte"/>
          </w:rPr>
          <w:t>propriété</w:t>
        </w:r>
      </w:hyperlink>
      <w:r>
        <w:t xml:space="preserve"> peut avoir une ou plusieurs instance(s) de cette propriété, mais une instance individuelle de sa </w:t>
      </w:r>
      <w:hyperlink w:anchor="terminologie-portee">
        <w:r>
          <w:rPr>
            <w:rStyle w:val="Lienhypertexte"/>
          </w:rPr>
          <w:t>portée</w:t>
        </w:r>
      </w:hyperlink>
      <w:r>
        <w:t xml:space="preserve"> peut n</w:t>
      </w:r>
      <w:r w:rsidR="00E84B0E">
        <w:t>’</w:t>
      </w:r>
      <w:r>
        <w:t>avoir aucune, une ou plusieurs instances de cette même propriété. En d</w:t>
      </w:r>
      <w:r w:rsidR="00E84B0E">
        <w:t>’</w:t>
      </w:r>
      <w:r>
        <w:t>autres termes, le domaine de cette propriété est nécessaire et répétable [</w:t>
      </w:r>
      <w:r w:rsidR="00AF51A3">
        <w:t xml:space="preserve">n.d.t. </w:t>
      </w:r>
      <w:r>
        <w:t>c.-à-d. qu</w:t>
      </w:r>
      <w:r w:rsidR="00E84B0E">
        <w:t>’</w:t>
      </w:r>
      <w:r>
        <w:t>une même propriété peut être utilisée à plusieurs reprises avec une même instance de son domaine] alors que sa portée est optionnelle et répétable [</w:t>
      </w:r>
      <w:r w:rsidR="00AF51A3">
        <w:t xml:space="preserve">n.d.t. </w:t>
      </w:r>
      <w:r>
        <w:t>c.-à-d. qu</w:t>
      </w:r>
      <w:r w:rsidR="00E84B0E">
        <w:t>’</w:t>
      </w:r>
      <w:r>
        <w:t>une même propriété peut être utilisée à plusieurs reprises avec une même instance de sa portée].</w:t>
      </w:r>
    </w:p>
    <w:p w14:paraId="26DB2240" w14:textId="77777777" w:rsidR="00065317" w:rsidRDefault="005C7BF7">
      <w:pPr>
        <w:pStyle w:val="Normalcentr"/>
      </w:pPr>
      <w:r>
        <w:rPr>
          <w:b/>
          <w:bCs/>
          <w:i/>
          <w:iCs/>
        </w:rPr>
        <w:t>Note de traduction</w:t>
      </w:r>
    </w:p>
    <w:p w14:paraId="408670E3" w14:textId="499774F9" w:rsidR="00ED0DFB" w:rsidRDefault="005C7BF7" w:rsidP="0050358F">
      <w:pPr>
        <w:pStyle w:val="Normalcentr"/>
      </w:pPr>
      <w:r>
        <w:rPr>
          <w:b/>
          <w:bCs/>
          <w:i/>
          <w:iCs/>
        </w:rPr>
        <w:t>Références</w:t>
      </w:r>
    </w:p>
    <w:p w14:paraId="33C65323" w14:textId="422C8210" w:rsidR="00065317" w:rsidRDefault="005C7BF7">
      <w:pPr>
        <w:pStyle w:val="FirstParagraph"/>
      </w:pPr>
      <w:r>
        <w:rPr>
          <w:b/>
          <w:bCs/>
        </w:rPr>
        <w:t>un à plusieurs, nécessaire</w:t>
      </w:r>
    </w:p>
    <w:p w14:paraId="5A703CDB" w14:textId="77777777" w:rsidR="00065317" w:rsidRDefault="005C7BF7">
      <w:pPr>
        <w:pStyle w:val="Corpsdetexte"/>
      </w:pPr>
      <w:r>
        <w:rPr>
          <w:b/>
          <w:bCs/>
        </w:rPr>
        <w:t>(1,n:0,1)</w:t>
      </w:r>
    </w:p>
    <w:p w14:paraId="1EDB80EA" w14:textId="238AD5C4" w:rsidR="00065317" w:rsidRDefault="005C7BF7">
      <w:pPr>
        <w:pStyle w:val="Corpsdetexte"/>
      </w:pPr>
      <w:r>
        <w:t xml:space="preserve">Une </w:t>
      </w:r>
      <w:hyperlink w:anchor="terminologie-instance">
        <w:r>
          <w:rPr>
            <w:rStyle w:val="Lienhypertexte"/>
          </w:rPr>
          <w:t>instance</w:t>
        </w:r>
      </w:hyperlink>
      <w:r>
        <w:t xml:space="preserve"> individuelle du </w:t>
      </w:r>
      <w:hyperlink w:anchor="terminologie-domaine">
        <w:r>
          <w:rPr>
            <w:rStyle w:val="Lienhypertexte"/>
          </w:rPr>
          <w:t>domaine</w:t>
        </w:r>
      </w:hyperlink>
      <w:r>
        <w:t xml:space="preserve"> de cette </w:t>
      </w:r>
      <w:hyperlink w:anchor="terminologie-propriete">
        <w:r>
          <w:rPr>
            <w:rStyle w:val="Lienhypertexte"/>
          </w:rPr>
          <w:t>propriété</w:t>
        </w:r>
      </w:hyperlink>
      <w:r>
        <w:t xml:space="preserve"> peut n</w:t>
      </w:r>
      <w:r w:rsidR="00E84B0E">
        <w:t>’</w:t>
      </w:r>
      <w:r>
        <w:t>avoir qu</w:t>
      </w:r>
      <w:r w:rsidR="00E84B0E">
        <w:t>’</w:t>
      </w:r>
      <w:r>
        <w:t xml:space="preserve">une seule ou plusieurs instance(s) de cette propriété, mais une instance individuelle de sa </w:t>
      </w:r>
      <w:hyperlink w:anchor="terminologie-portee">
        <w:r>
          <w:rPr>
            <w:rStyle w:val="Lienhypertexte"/>
          </w:rPr>
          <w:t>portée</w:t>
        </w:r>
      </w:hyperlink>
      <w:r>
        <w:t xml:space="preserve"> ne peut pas être référencée par plus d</w:t>
      </w:r>
      <w:r w:rsidR="00E84B0E">
        <w:t>’</w:t>
      </w:r>
      <w:r>
        <w:t>une instance de cette même propriété. En d</w:t>
      </w:r>
      <w:r w:rsidR="00E84B0E">
        <w:t>’</w:t>
      </w:r>
      <w:r>
        <w:t>autres termes, le domaine de cette propriété est nécessaire et répétable [</w:t>
      </w:r>
      <w:r w:rsidR="00AF51A3">
        <w:t xml:space="preserve">n.d.t. </w:t>
      </w:r>
      <w:r>
        <w:t>c.-à-d. qu</w:t>
      </w:r>
      <w:r w:rsidR="00E84B0E">
        <w:t>’</w:t>
      </w:r>
      <w:r>
        <w:t>une même propriété peut être utilisée à plusieurs reprises avec une même instance de son domaine], mais sa portée est optionnelle. Dans certains contextes, cette situation est qualifiée de « sortance ».</w:t>
      </w:r>
    </w:p>
    <w:p w14:paraId="65ED654D" w14:textId="77777777" w:rsidR="00065317" w:rsidRDefault="005C7BF7">
      <w:pPr>
        <w:pStyle w:val="Normalcentr"/>
      </w:pPr>
      <w:r>
        <w:rPr>
          <w:b/>
          <w:bCs/>
          <w:i/>
          <w:iCs/>
        </w:rPr>
        <w:t>Note de traduction</w:t>
      </w:r>
    </w:p>
    <w:p w14:paraId="5F542213" w14:textId="0F6B31B0" w:rsidR="00065317" w:rsidRDefault="005C7BF7">
      <w:pPr>
        <w:pStyle w:val="Normalcentr"/>
      </w:pPr>
      <w:r>
        <w:t>Une propriété répétable est une propriété pouvant apparaître plus d</w:t>
      </w:r>
      <w:r w:rsidR="00E84B0E">
        <w:t>’</w:t>
      </w:r>
      <w:r>
        <w:t>une fois dans un enregistrement avec le(s) même(s) domaine et/ou portée.</w:t>
      </w:r>
    </w:p>
    <w:p w14:paraId="39AC0A58" w14:textId="7BAB70FC" w:rsidR="00065317" w:rsidRDefault="005C7BF7">
      <w:pPr>
        <w:pStyle w:val="Normalcentr"/>
      </w:pPr>
      <w:r>
        <w:t>Une recherche sommaire indique que le terme « fan-out » est surtout usité dans le domaine des circuits booléens et de l</w:t>
      </w:r>
      <w:r w:rsidR="00E84B0E">
        <w:t>’</w:t>
      </w:r>
      <w:r>
        <w:t>intelligence artificielle, où il est parfois question d</w:t>
      </w:r>
      <w:r w:rsidR="00E84B0E">
        <w:t>’</w:t>
      </w:r>
      <w:r>
        <w:t>arité sortante ou de sortance.</w:t>
      </w:r>
    </w:p>
    <w:p w14:paraId="1815AAD6" w14:textId="77777777" w:rsidR="00065317" w:rsidRDefault="005C7BF7">
      <w:pPr>
        <w:pStyle w:val="Normalcentr"/>
      </w:pPr>
      <w:r>
        <w:rPr>
          <w:b/>
          <w:bCs/>
          <w:i/>
          <w:iCs/>
        </w:rPr>
        <w:t>Références</w:t>
      </w:r>
    </w:p>
    <w:p w14:paraId="1247978E" w14:textId="5D25C021" w:rsidR="00065317" w:rsidRDefault="005C7BF7">
      <w:pPr>
        <w:pStyle w:val="Normalcentr"/>
      </w:pPr>
      <w:r>
        <w:t xml:space="preserve">Termium. « fan-out ». Dans </w:t>
      </w:r>
      <w:r>
        <w:rPr>
          <w:i/>
          <w:iCs/>
        </w:rPr>
        <w:t>Termium Plus</w:t>
      </w:r>
      <w:r>
        <w:t>. Ottawa, CA-ON: Gouvernement du Canada, 8</w:t>
      </w:r>
      <w:r w:rsidR="00056DCD">
        <w:t> octobre </w:t>
      </w:r>
      <w:r>
        <w:t>2009.</w:t>
      </w:r>
      <w:hyperlink r:id="rId91" w:anchor="resultrecs">
        <w:r>
          <w:rPr>
            <w:rStyle w:val="Lienhypertexte"/>
          </w:rPr>
          <w:t xml:space="preserve"> </w:t>
        </w:r>
      </w:hyperlink>
      <w:hyperlink r:id="rId92" w:anchor="resultrecs">
        <w:r>
          <w:rPr>
            <w:rStyle w:val="Lienhypertexte"/>
          </w:rPr>
          <w:t>https://www.btb.termiumplus.gc.ca/tpv2alpha/alpha-fra.html?lang=fra&amp;i=1&amp;srchtxt=fan-out&amp;index=ent&amp;codom2nd_wet=1#resultrecs</w:t>
        </w:r>
      </w:hyperlink>
      <w:r>
        <w:t>.</w:t>
      </w:r>
    </w:p>
    <w:p w14:paraId="5F8DE4D2" w14:textId="57DB2228" w:rsidR="00065317" w:rsidRDefault="005C7BF7">
      <w:pPr>
        <w:pStyle w:val="Normalcentr"/>
      </w:pPr>
      <w:r>
        <w:t xml:space="preserve">———. « répétable ». Dans </w:t>
      </w:r>
      <w:r>
        <w:rPr>
          <w:i/>
          <w:iCs/>
        </w:rPr>
        <w:t>Termium Plus</w:t>
      </w:r>
      <w:r>
        <w:t>. Ottawa, CA-ON: Gouvernement du Canada, 8</w:t>
      </w:r>
      <w:r w:rsidR="00056DCD">
        <w:t> octobre </w:t>
      </w:r>
      <w:r>
        <w:t>2009.</w:t>
      </w:r>
      <w:hyperlink r:id="rId93">
        <w:r>
          <w:rPr>
            <w:rStyle w:val="Lienhypertexte"/>
          </w:rPr>
          <w:t xml:space="preserve"> </w:t>
        </w:r>
      </w:hyperlink>
      <w:hyperlink r:id="rId94">
        <w:r>
          <w:rPr>
            <w:rStyle w:val="Lienhypertexte"/>
          </w:rPr>
          <w:t>https://www.btb.termiumplus.gc.ca/tpv2alpha/alpha-fra.html?lang=fra&amp;i=&amp;index=alt&amp;srchtxt=CATEGORIE%20REPETABLE</w:t>
        </w:r>
      </w:hyperlink>
      <w:r>
        <w:t>.</w:t>
      </w:r>
    </w:p>
    <w:p w14:paraId="61903C01" w14:textId="13B4C5E5" w:rsidR="00065317" w:rsidRDefault="005C7BF7">
      <w:pPr>
        <w:pStyle w:val="Normalcentr"/>
      </w:pPr>
      <w:r w:rsidRPr="00EC2D6E">
        <w:rPr>
          <w:lang w:val="en-CA"/>
        </w:rPr>
        <w:t xml:space="preserve">Wikipédia. « Fan-out ». Dans </w:t>
      </w:r>
      <w:r w:rsidRPr="00EC2D6E">
        <w:rPr>
          <w:i/>
          <w:iCs/>
          <w:lang w:val="en-CA"/>
        </w:rPr>
        <w:t>Wikipédia</w:t>
      </w:r>
      <w:r w:rsidRPr="00EC2D6E">
        <w:rPr>
          <w:lang w:val="en-CA"/>
        </w:rPr>
        <w:t>. San Francisco, US-CA: Wikipédia, 11</w:t>
      </w:r>
      <w:r w:rsidR="00056DCD">
        <w:rPr>
          <w:lang w:val="en-CA"/>
        </w:rPr>
        <w:t> novembre </w:t>
      </w:r>
      <w:r w:rsidRPr="00EC2D6E">
        <w:rPr>
          <w:lang w:val="en-CA"/>
        </w:rPr>
        <w:t>2020.</w:t>
      </w:r>
      <w:hyperlink r:id="rId95">
        <w:r w:rsidRPr="00EC2D6E">
          <w:rPr>
            <w:rStyle w:val="Lienhypertexte"/>
            <w:lang w:val="en-CA"/>
          </w:rPr>
          <w:t xml:space="preserve"> </w:t>
        </w:r>
      </w:hyperlink>
      <w:hyperlink r:id="rId96">
        <w:r>
          <w:rPr>
            <w:rStyle w:val="Lienhypertexte"/>
          </w:rPr>
          <w:t>https://fr.wikipedia.org/w/index.php?title=Fan-out&amp;oldid=176479075</w:t>
        </w:r>
      </w:hyperlink>
      <w:r>
        <w:t>.</w:t>
      </w:r>
    </w:p>
    <w:p w14:paraId="695CC300" w14:textId="77777777" w:rsidR="00ED0DFB" w:rsidRDefault="005C7BF7">
      <w:pPr>
        <w:pStyle w:val="FirstParagraph"/>
        <w:rPr>
          <w:b/>
          <w:bCs/>
        </w:rPr>
      </w:pPr>
      <w:r>
        <w:rPr>
          <w:b/>
          <w:bCs/>
        </w:rPr>
        <w:t xml:space="preserve">plusieurs à un, nécessaire </w:t>
      </w:r>
    </w:p>
    <w:p w14:paraId="755AEBE5" w14:textId="00A587F0" w:rsidR="00065317" w:rsidRDefault="005C7BF7">
      <w:pPr>
        <w:pStyle w:val="FirstParagraph"/>
      </w:pPr>
      <w:r>
        <w:rPr>
          <w:b/>
          <w:bCs/>
        </w:rPr>
        <w:t>(1,1:0,n)</w:t>
      </w:r>
    </w:p>
    <w:p w14:paraId="3C18A1DC" w14:textId="7FAD84C8" w:rsidR="00784AE7" w:rsidRDefault="005C7BF7">
      <w:pPr>
        <w:pStyle w:val="Corpsdetexte"/>
      </w:pPr>
      <w:r>
        <w:t xml:space="preserve">Une </w:t>
      </w:r>
      <w:hyperlink w:anchor="terminologie-instance">
        <w:r>
          <w:rPr>
            <w:rStyle w:val="Lienhypertexte"/>
          </w:rPr>
          <w:t>instance</w:t>
        </w:r>
      </w:hyperlink>
      <w:r>
        <w:t xml:space="preserve"> du </w:t>
      </w:r>
      <w:hyperlink w:anchor="terminologie-domaine">
        <w:r>
          <w:rPr>
            <w:rStyle w:val="Lienhypertexte"/>
          </w:rPr>
          <w:t>domaine</w:t>
        </w:r>
      </w:hyperlink>
      <w:r>
        <w:t xml:space="preserve"> de cette </w:t>
      </w:r>
      <w:hyperlink w:anchor="terminologie-propriete">
        <w:r>
          <w:rPr>
            <w:rStyle w:val="Lienhypertexte"/>
          </w:rPr>
          <w:t>propriété</w:t>
        </w:r>
      </w:hyperlink>
      <w:r>
        <w:t xml:space="preserve"> peut n</w:t>
      </w:r>
      <w:r w:rsidR="00E84B0E">
        <w:t>’</w:t>
      </w:r>
      <w:r>
        <w:t>avoir qu</w:t>
      </w:r>
      <w:r w:rsidR="00E84B0E">
        <w:t>’</w:t>
      </w:r>
      <w:r>
        <w:t xml:space="preserve">une seule instance de cette propriété, mais une instance de sa </w:t>
      </w:r>
      <w:hyperlink w:anchor="terminologie-portee">
        <w:r>
          <w:rPr>
            <w:rStyle w:val="Lienhypertexte"/>
          </w:rPr>
          <w:t>portée</w:t>
        </w:r>
      </w:hyperlink>
      <w:r>
        <w:t xml:space="preserve"> peut être référencée par aucune, une ou plusieurs instances de cette même propriété. En d</w:t>
      </w:r>
      <w:r w:rsidR="00E84B0E">
        <w:t>’</w:t>
      </w:r>
      <w:r>
        <w:t>autres termes, le domaine de cette propriété est nécessaire et non répétable [</w:t>
      </w:r>
      <w:r w:rsidR="00AF51A3">
        <w:t xml:space="preserve">n.d.t. </w:t>
      </w:r>
      <w:r>
        <w:t>c.-à-d. qu</w:t>
      </w:r>
      <w:r w:rsidR="00E84B0E">
        <w:t>’</w:t>
      </w:r>
      <w:r>
        <w:t>une même propriété ne peut être utilisée qu</w:t>
      </w:r>
      <w:r w:rsidR="00E84B0E">
        <w:t>’</w:t>
      </w:r>
      <w:r>
        <w:t>une seule fois avec une instance spécifique de son domaine], mais sa portée est optionnelle et répétable [</w:t>
      </w:r>
      <w:r w:rsidR="00AF51A3">
        <w:t xml:space="preserve">n.d.t. </w:t>
      </w:r>
      <w:r>
        <w:t>c.-à-d. qu</w:t>
      </w:r>
      <w:r w:rsidR="00E84B0E">
        <w:t>’</w:t>
      </w:r>
      <w:r>
        <w:t>une même propriété peut être utilisée à plusieurs reprises avec une même instance de sa portée]. Cette situation est parfois qualifiée d</w:t>
      </w:r>
      <w:r w:rsidR="00E84B0E">
        <w:t>’</w:t>
      </w:r>
      <w:r>
        <w:t>« entrance ».</w:t>
      </w:r>
    </w:p>
    <w:p w14:paraId="2C2E1A23" w14:textId="2F2552DC" w:rsidR="00065317" w:rsidRDefault="00784AE7" w:rsidP="00784AE7">
      <w:pPr>
        <w:spacing w:after="0"/>
      </w:pPr>
      <w:r>
        <w:br w:type="page"/>
      </w:r>
    </w:p>
    <w:p w14:paraId="18063D88" w14:textId="77777777" w:rsidR="00065317" w:rsidRDefault="005C7BF7">
      <w:pPr>
        <w:pStyle w:val="Normalcentr"/>
      </w:pPr>
      <w:r>
        <w:rPr>
          <w:b/>
          <w:bCs/>
          <w:i/>
          <w:iCs/>
        </w:rPr>
        <w:lastRenderedPageBreak/>
        <w:t>Note de traduction</w:t>
      </w:r>
    </w:p>
    <w:p w14:paraId="42733E42" w14:textId="62AD4858" w:rsidR="00065317" w:rsidRDefault="005C7BF7">
      <w:pPr>
        <w:pStyle w:val="Normalcentr"/>
      </w:pPr>
      <w:r>
        <w:t>Une propriété répétable est une propriété pouvant apparaître plus d</w:t>
      </w:r>
      <w:r w:rsidR="00E84B0E">
        <w:t>’</w:t>
      </w:r>
      <w:r>
        <w:t>une fois dans un enregistrement avec le(s) même(s) domaine et/ou portée.</w:t>
      </w:r>
    </w:p>
    <w:p w14:paraId="5A283820" w14:textId="633D9B8C" w:rsidR="00065317" w:rsidRDefault="005C7BF7">
      <w:pPr>
        <w:pStyle w:val="Normalcentr"/>
      </w:pPr>
      <w:r>
        <w:t>Une recherche sommaire indique que le terme « fan-in » est surtout usité dans le domaine des circuits booléens et de l</w:t>
      </w:r>
      <w:r w:rsidR="00E84B0E">
        <w:t>’</w:t>
      </w:r>
      <w:r>
        <w:t>intelligence artificielle, où il est parfois question d</w:t>
      </w:r>
      <w:r w:rsidR="00E84B0E">
        <w:t>’</w:t>
      </w:r>
      <w:r>
        <w:t>arité entrante ou d</w:t>
      </w:r>
      <w:r w:rsidR="00E84B0E">
        <w:t>’</w:t>
      </w:r>
      <w:r>
        <w:t>entrance.</w:t>
      </w:r>
    </w:p>
    <w:p w14:paraId="53FE0EC6" w14:textId="77777777" w:rsidR="00065317" w:rsidRDefault="005C7BF7">
      <w:pPr>
        <w:pStyle w:val="Normalcentr"/>
      </w:pPr>
      <w:r>
        <w:rPr>
          <w:b/>
          <w:bCs/>
          <w:i/>
          <w:iCs/>
        </w:rPr>
        <w:t>Références</w:t>
      </w:r>
    </w:p>
    <w:p w14:paraId="54899207" w14:textId="6294E55B" w:rsidR="00065317" w:rsidRDefault="005C7BF7">
      <w:pPr>
        <w:pStyle w:val="Normalcentr"/>
      </w:pPr>
      <w:r>
        <w:t xml:space="preserve">Termium. « fan-in ». Dans </w:t>
      </w:r>
      <w:r>
        <w:rPr>
          <w:i/>
          <w:iCs/>
        </w:rPr>
        <w:t>Termium Plus</w:t>
      </w:r>
      <w:r>
        <w:t>. Ottawa, CA-ON: Gouvernement du Canada, 8</w:t>
      </w:r>
      <w:r w:rsidR="00056DCD">
        <w:t> octobre </w:t>
      </w:r>
      <w:r>
        <w:t>2009.</w:t>
      </w:r>
      <w:hyperlink r:id="rId97" w:anchor="resultrecs">
        <w:r>
          <w:rPr>
            <w:rStyle w:val="Lienhypertexte"/>
          </w:rPr>
          <w:t xml:space="preserve"> </w:t>
        </w:r>
      </w:hyperlink>
      <w:hyperlink r:id="rId98" w:anchor="resultrecs">
        <w:r>
          <w:rPr>
            <w:rStyle w:val="Lienhypertexte"/>
          </w:rPr>
          <w:t>https://www.btb.termiumplus.gc.ca/tpv2alpha/alpha-fra.html?lang=fra&amp;i=1&amp;srchtxt=fan-in&amp;index=ent&amp;codom2nd_wet=1#resultrecs</w:t>
        </w:r>
      </w:hyperlink>
      <w:r>
        <w:t>.</w:t>
      </w:r>
    </w:p>
    <w:p w14:paraId="3CB3F70D" w14:textId="159E8F25" w:rsidR="00065317" w:rsidRDefault="005C7BF7">
      <w:pPr>
        <w:pStyle w:val="Normalcentr"/>
      </w:pPr>
      <w:r>
        <w:t xml:space="preserve">———. « répétable ». Dans </w:t>
      </w:r>
      <w:r>
        <w:rPr>
          <w:i/>
          <w:iCs/>
        </w:rPr>
        <w:t>Termium Plus</w:t>
      </w:r>
      <w:r>
        <w:t>. Ottawa, CA-ON: Gouvernement du Canada, 8</w:t>
      </w:r>
      <w:r w:rsidR="00056DCD">
        <w:t> octobre </w:t>
      </w:r>
      <w:r>
        <w:t>2009.</w:t>
      </w:r>
      <w:hyperlink r:id="rId99">
        <w:r>
          <w:rPr>
            <w:rStyle w:val="Lienhypertexte"/>
          </w:rPr>
          <w:t xml:space="preserve"> </w:t>
        </w:r>
      </w:hyperlink>
      <w:hyperlink r:id="rId100">
        <w:r>
          <w:rPr>
            <w:rStyle w:val="Lienhypertexte"/>
          </w:rPr>
          <w:t>https://www.btb.termiumplus.gc.ca/tpv2alpha/alpha-fra.html?lang=fra&amp;i=&amp;index=alt&amp;srchtxt=CATEGORIE%20REPETABLE</w:t>
        </w:r>
      </w:hyperlink>
      <w:r>
        <w:t>.</w:t>
      </w:r>
    </w:p>
    <w:p w14:paraId="5F1985C3" w14:textId="62EFC7BA" w:rsidR="00065317" w:rsidRDefault="005C7BF7">
      <w:pPr>
        <w:pStyle w:val="Normalcentr"/>
      </w:pPr>
      <w:r w:rsidRPr="00EC2D6E">
        <w:rPr>
          <w:lang w:val="en-CA"/>
        </w:rPr>
        <w:t xml:space="preserve">Wikipédia. « Fan-in ». Dans </w:t>
      </w:r>
      <w:r w:rsidRPr="00EC2D6E">
        <w:rPr>
          <w:i/>
          <w:iCs/>
          <w:lang w:val="en-CA"/>
        </w:rPr>
        <w:t>Wikipédia</w:t>
      </w:r>
      <w:r w:rsidRPr="00EC2D6E">
        <w:rPr>
          <w:lang w:val="en-CA"/>
        </w:rPr>
        <w:t>. San Francisco, US-CA: Wikipédia, 11</w:t>
      </w:r>
      <w:r w:rsidR="00056DCD">
        <w:rPr>
          <w:lang w:val="en-CA"/>
        </w:rPr>
        <w:t> novembre </w:t>
      </w:r>
      <w:r w:rsidRPr="00EC2D6E">
        <w:rPr>
          <w:lang w:val="en-CA"/>
        </w:rPr>
        <w:t>2020.</w:t>
      </w:r>
      <w:hyperlink r:id="rId101">
        <w:r w:rsidRPr="00EC2D6E">
          <w:rPr>
            <w:rStyle w:val="Lienhypertexte"/>
            <w:lang w:val="en-CA"/>
          </w:rPr>
          <w:t xml:space="preserve"> </w:t>
        </w:r>
      </w:hyperlink>
      <w:hyperlink r:id="rId102">
        <w:r>
          <w:rPr>
            <w:rStyle w:val="Lienhypertexte"/>
          </w:rPr>
          <w:t>https://fr.wikipedia.org/w/index.php?title=Fan-in&amp;oldid=176479056</w:t>
        </w:r>
      </w:hyperlink>
      <w:r>
        <w:t>.</w:t>
      </w:r>
    </w:p>
    <w:p w14:paraId="712D7416" w14:textId="77777777" w:rsidR="00065317" w:rsidRDefault="005C7BF7">
      <w:pPr>
        <w:pStyle w:val="FirstParagraph"/>
      </w:pPr>
      <w:r>
        <w:rPr>
          <w:b/>
          <w:bCs/>
        </w:rPr>
        <w:t>un à plusieurs, dépendant</w:t>
      </w:r>
    </w:p>
    <w:p w14:paraId="77CB5F8F" w14:textId="77777777" w:rsidR="00065317" w:rsidRDefault="005C7BF7">
      <w:pPr>
        <w:pStyle w:val="Corpsdetexte"/>
      </w:pPr>
      <w:r>
        <w:rPr>
          <w:b/>
          <w:bCs/>
        </w:rPr>
        <w:t>(0,n:1,1)</w:t>
      </w:r>
    </w:p>
    <w:p w14:paraId="501DDC9F" w14:textId="5EA4B9DB" w:rsidR="00065317" w:rsidRDefault="005C7BF7">
      <w:pPr>
        <w:pStyle w:val="Corpsdetexte"/>
      </w:pPr>
      <w:r>
        <w:t xml:space="preserve">Une </w:t>
      </w:r>
      <w:hyperlink w:anchor="terminologie-instance">
        <w:r>
          <w:rPr>
            <w:rStyle w:val="Lienhypertexte"/>
          </w:rPr>
          <w:t>instance</w:t>
        </w:r>
      </w:hyperlink>
      <w:r>
        <w:t xml:space="preserve"> individuelle du </w:t>
      </w:r>
      <w:hyperlink w:anchor="terminologie-domaine">
        <w:r>
          <w:rPr>
            <w:rStyle w:val="Lienhypertexte"/>
          </w:rPr>
          <w:t>domaine</w:t>
        </w:r>
      </w:hyperlink>
      <w:r>
        <w:t xml:space="preserve"> de cette </w:t>
      </w:r>
      <w:hyperlink w:anchor="terminologie-propriete">
        <w:r>
          <w:rPr>
            <w:rStyle w:val="Lienhypertexte"/>
          </w:rPr>
          <w:t>propriété</w:t>
        </w:r>
      </w:hyperlink>
      <w:r>
        <w:t xml:space="preserve"> peut n</w:t>
      </w:r>
      <w:r w:rsidR="00E84B0E">
        <w:t>’</w:t>
      </w:r>
      <w:r>
        <w:t xml:space="preserve">avoir aucune, une ou plusieurs instance(s) de cette propriété, mais une instance individuelle de sa </w:t>
      </w:r>
      <w:hyperlink w:anchor="terminologie-portee">
        <w:r>
          <w:rPr>
            <w:rStyle w:val="Lienhypertexte"/>
          </w:rPr>
          <w:t>portée</w:t>
        </w:r>
      </w:hyperlink>
      <w:r>
        <w:t xml:space="preserve"> ne doit être référencée que par une seule instance de cette même propriété. En d</w:t>
      </w:r>
      <w:r w:rsidR="00E84B0E">
        <w:t>’</w:t>
      </w:r>
      <w:r>
        <w:t>autres termes, le domaine de cette propriété est optionnel et répétable [</w:t>
      </w:r>
      <w:r w:rsidR="00AF51A3">
        <w:t xml:space="preserve">n.d.t. </w:t>
      </w:r>
      <w:r>
        <w:t>c.-à-d. qu</w:t>
      </w:r>
      <w:r w:rsidR="00E84B0E">
        <w:t>’</w:t>
      </w:r>
      <w:r>
        <w:t>une même propriété peut être utilisée à plusieurs reprises avec une même instance de son domaine], mais sa portée est nécessaire et non répétable [</w:t>
      </w:r>
      <w:r w:rsidR="00AF51A3">
        <w:t xml:space="preserve">n.d.t. </w:t>
      </w:r>
      <w:r>
        <w:t>c.-à-d. qu</w:t>
      </w:r>
      <w:r w:rsidR="00E84B0E">
        <w:t>’</w:t>
      </w:r>
      <w:r>
        <w:t>une même propriété ne peut être utilisée qu</w:t>
      </w:r>
      <w:r w:rsidR="00E84B0E">
        <w:t>’</w:t>
      </w:r>
      <w:r>
        <w:t xml:space="preserve">une seule fois avec une instance spécifique de sa portée]. Cette situation est parfois qualifiée de « sortance ». </w:t>
      </w:r>
    </w:p>
    <w:p w14:paraId="24A59A5A" w14:textId="77777777" w:rsidR="00065317" w:rsidRDefault="005C7BF7">
      <w:pPr>
        <w:pStyle w:val="Normalcentr"/>
      </w:pPr>
      <w:r>
        <w:rPr>
          <w:b/>
          <w:bCs/>
          <w:i/>
          <w:iCs/>
        </w:rPr>
        <w:t>Note de traduction</w:t>
      </w:r>
    </w:p>
    <w:p w14:paraId="001F3954" w14:textId="35BD3231" w:rsidR="00065317" w:rsidRDefault="005C7BF7">
      <w:pPr>
        <w:pStyle w:val="Normalcentr"/>
      </w:pPr>
      <w:r>
        <w:t>Une propriété répétable est une propriété pouvant apparaître plus d</w:t>
      </w:r>
      <w:r w:rsidR="00E84B0E">
        <w:t>’</w:t>
      </w:r>
      <w:r>
        <w:t>une fois dans un enregistrement avec le(s) même(s) domaine et/ou portée.</w:t>
      </w:r>
    </w:p>
    <w:p w14:paraId="48E6FBB2" w14:textId="5199DB42" w:rsidR="00065317" w:rsidRDefault="005C7BF7">
      <w:pPr>
        <w:pStyle w:val="Normalcentr"/>
      </w:pPr>
      <w:r>
        <w:t>Une recherche sommaire indique que le terme « fan-out » est surtout usité dans le domaine des circuits booléens et de l</w:t>
      </w:r>
      <w:r w:rsidR="00E84B0E">
        <w:t>’</w:t>
      </w:r>
      <w:r>
        <w:t>intelligence artificielle où il est parfois question d</w:t>
      </w:r>
      <w:r w:rsidR="00E84B0E">
        <w:t>’</w:t>
      </w:r>
      <w:r>
        <w:t>arité sortante ou de sortance.</w:t>
      </w:r>
    </w:p>
    <w:p w14:paraId="6052ADA3" w14:textId="77777777" w:rsidR="00065317" w:rsidRDefault="005C7BF7">
      <w:pPr>
        <w:pStyle w:val="Normalcentr"/>
      </w:pPr>
      <w:r>
        <w:rPr>
          <w:b/>
          <w:bCs/>
          <w:i/>
          <w:iCs/>
        </w:rPr>
        <w:t>Références</w:t>
      </w:r>
    </w:p>
    <w:p w14:paraId="5EDC2380" w14:textId="6349112F" w:rsidR="00065317" w:rsidRDefault="005C7BF7">
      <w:pPr>
        <w:pStyle w:val="Normalcentr"/>
      </w:pPr>
      <w:r>
        <w:t xml:space="preserve">Termium. « fan-out ». Dans </w:t>
      </w:r>
      <w:r>
        <w:rPr>
          <w:i/>
          <w:iCs/>
        </w:rPr>
        <w:t>Termium Plus</w:t>
      </w:r>
      <w:r>
        <w:t>. Ottawa, CA-ON: Gouvernement du Canada, 8</w:t>
      </w:r>
      <w:r w:rsidR="00056DCD">
        <w:t> octobre </w:t>
      </w:r>
      <w:r>
        <w:t>2009.</w:t>
      </w:r>
      <w:hyperlink r:id="rId103" w:anchor="resultrecs">
        <w:r>
          <w:rPr>
            <w:rStyle w:val="Lienhypertexte"/>
          </w:rPr>
          <w:t xml:space="preserve"> </w:t>
        </w:r>
      </w:hyperlink>
      <w:hyperlink r:id="rId104" w:anchor="resultrecs">
        <w:r>
          <w:rPr>
            <w:rStyle w:val="Lienhypertexte"/>
          </w:rPr>
          <w:t>https://www.btb.termiumplus.gc.ca/tpv2alpha/alpha-fra.html?lang=fra&amp;i=1&amp;srchtxt=fan-out&amp;index=ent&amp;codom2nd_wet=1#resultrecs</w:t>
        </w:r>
      </w:hyperlink>
      <w:r>
        <w:t>.</w:t>
      </w:r>
    </w:p>
    <w:p w14:paraId="3E4AC4CF" w14:textId="7C54F6D9" w:rsidR="00065317" w:rsidRDefault="005C7BF7">
      <w:pPr>
        <w:pStyle w:val="Normalcentr"/>
      </w:pPr>
      <w:r>
        <w:t xml:space="preserve">———. « répétable ». Dans </w:t>
      </w:r>
      <w:r>
        <w:rPr>
          <w:i/>
          <w:iCs/>
        </w:rPr>
        <w:t>Termium Plus</w:t>
      </w:r>
      <w:r>
        <w:t>. Ottawa, CA-ON: Gouvernement du Canada, 8</w:t>
      </w:r>
      <w:r w:rsidR="00056DCD">
        <w:t> octobre </w:t>
      </w:r>
      <w:r>
        <w:t>2009.</w:t>
      </w:r>
      <w:hyperlink r:id="rId105">
        <w:r>
          <w:rPr>
            <w:rStyle w:val="Lienhypertexte"/>
          </w:rPr>
          <w:t xml:space="preserve"> </w:t>
        </w:r>
      </w:hyperlink>
      <w:hyperlink r:id="rId106" w:history="1">
        <w:r w:rsidR="001F00AF" w:rsidRPr="0020649B">
          <w:rPr>
            <w:rStyle w:val="Lienhypertexte"/>
          </w:rPr>
          <w:t>https://www.btb.termiumplus.gc.ca/tpv2alpha/alpha-fra.html?lang=fra&amp;i=&amp;index=alt&amp;srchtxt=CATEGORIE%20REPETABLE</w:t>
        </w:r>
      </w:hyperlink>
      <w:r>
        <w:t>.</w:t>
      </w:r>
    </w:p>
    <w:p w14:paraId="556D14D6" w14:textId="79D3B2DF" w:rsidR="00784AE7" w:rsidRDefault="005C7BF7">
      <w:pPr>
        <w:pStyle w:val="Normalcentr"/>
      </w:pPr>
      <w:r w:rsidRPr="00EC2D6E">
        <w:rPr>
          <w:lang w:val="en-CA"/>
        </w:rPr>
        <w:t xml:space="preserve">Wikipédia. « Fan-out ». Dans </w:t>
      </w:r>
      <w:r w:rsidRPr="00EC2D6E">
        <w:rPr>
          <w:i/>
          <w:iCs/>
          <w:lang w:val="en-CA"/>
        </w:rPr>
        <w:t>Wikipédia</w:t>
      </w:r>
      <w:r w:rsidRPr="00EC2D6E">
        <w:rPr>
          <w:lang w:val="en-CA"/>
        </w:rPr>
        <w:t>. San Francisco, US-CA: Wikipédia, 11</w:t>
      </w:r>
      <w:r w:rsidR="00056DCD">
        <w:rPr>
          <w:lang w:val="en-CA"/>
        </w:rPr>
        <w:t> novembre </w:t>
      </w:r>
      <w:r w:rsidRPr="00EC2D6E">
        <w:rPr>
          <w:lang w:val="en-CA"/>
        </w:rPr>
        <w:t>2020.</w:t>
      </w:r>
      <w:hyperlink r:id="rId107">
        <w:r w:rsidRPr="00EC2D6E">
          <w:rPr>
            <w:rStyle w:val="Lienhypertexte"/>
            <w:lang w:val="en-CA"/>
          </w:rPr>
          <w:t xml:space="preserve"> </w:t>
        </w:r>
      </w:hyperlink>
      <w:hyperlink r:id="rId108">
        <w:r>
          <w:rPr>
            <w:rStyle w:val="Lienhypertexte"/>
          </w:rPr>
          <w:t>https://fr.wikipedia.org/w/index.php?title=Fan-out&amp;oldid=176479075</w:t>
        </w:r>
      </w:hyperlink>
      <w:r>
        <w:t>.</w:t>
      </w:r>
    </w:p>
    <w:p w14:paraId="0867311C" w14:textId="1A9D9CF6" w:rsidR="00065317" w:rsidRPr="00784AE7" w:rsidRDefault="00784AE7" w:rsidP="00784AE7">
      <w:pPr>
        <w:spacing w:after="0"/>
        <w:rPr>
          <w:sz w:val="22"/>
        </w:rPr>
      </w:pPr>
      <w:r>
        <w:br w:type="page"/>
      </w:r>
    </w:p>
    <w:p w14:paraId="2C96CF1A" w14:textId="0A895D5B" w:rsidR="00065317" w:rsidRDefault="005C7BF7" w:rsidP="00ED0DFB">
      <w:pPr>
        <w:pStyle w:val="FirstParagraph"/>
      </w:pPr>
      <w:r>
        <w:rPr>
          <w:b/>
          <w:bCs/>
        </w:rPr>
        <w:lastRenderedPageBreak/>
        <w:t>un à plusieurs,</w:t>
      </w:r>
      <w:r w:rsidR="00ED0DFB">
        <w:rPr>
          <w:b/>
          <w:bCs/>
        </w:rPr>
        <w:t xml:space="preserve"> </w:t>
      </w:r>
      <w:r>
        <w:rPr>
          <w:b/>
          <w:bCs/>
        </w:rPr>
        <w:t>nécessaire, dépendant</w:t>
      </w:r>
    </w:p>
    <w:p w14:paraId="3093EFAA" w14:textId="77777777" w:rsidR="00065317" w:rsidRDefault="005C7BF7">
      <w:pPr>
        <w:pStyle w:val="Corpsdetexte"/>
      </w:pPr>
      <w:r>
        <w:rPr>
          <w:b/>
          <w:bCs/>
        </w:rPr>
        <w:t>(1,n:1,1)</w:t>
      </w:r>
    </w:p>
    <w:p w14:paraId="365E10B8" w14:textId="55EA32B4" w:rsidR="00065317" w:rsidRDefault="005C7BF7">
      <w:pPr>
        <w:pStyle w:val="Corpsdetexte"/>
      </w:pPr>
      <w:r>
        <w:t xml:space="preserve">Une </w:t>
      </w:r>
      <w:hyperlink w:anchor="terminologie-instance">
        <w:r>
          <w:rPr>
            <w:rStyle w:val="Lienhypertexte"/>
          </w:rPr>
          <w:t>instance</w:t>
        </w:r>
      </w:hyperlink>
      <w:r>
        <w:t xml:space="preserve"> individuelle du </w:t>
      </w:r>
      <w:hyperlink w:anchor="terminologie-domaine">
        <w:r>
          <w:rPr>
            <w:rStyle w:val="Lienhypertexte"/>
          </w:rPr>
          <w:t>domaine</w:t>
        </w:r>
      </w:hyperlink>
      <w:r>
        <w:t xml:space="preserve"> de cette </w:t>
      </w:r>
      <w:hyperlink w:anchor="terminologie-propriete">
        <w:r>
          <w:rPr>
            <w:rStyle w:val="Lienhypertexte"/>
          </w:rPr>
          <w:t>propriété</w:t>
        </w:r>
      </w:hyperlink>
      <w:r>
        <w:t xml:space="preserve"> peut n</w:t>
      </w:r>
      <w:r w:rsidR="00E84B0E">
        <w:t>’</w:t>
      </w:r>
      <w:r>
        <w:t>avoir qu</w:t>
      </w:r>
      <w:r w:rsidR="00E84B0E">
        <w:t>’</w:t>
      </w:r>
      <w:r>
        <w:t xml:space="preserve">une seule ou plusieurs instance(s) de cette propriété, mais une instance individuelle de sa </w:t>
      </w:r>
      <w:hyperlink w:anchor="terminologie-portee">
        <w:r>
          <w:rPr>
            <w:rStyle w:val="Lienhypertexte"/>
          </w:rPr>
          <w:t>portée</w:t>
        </w:r>
      </w:hyperlink>
      <w:r>
        <w:t xml:space="preserve"> ne doit être référencée que par une seule instance de cette même propriété. En d</w:t>
      </w:r>
      <w:r w:rsidR="00E84B0E">
        <w:t>’</w:t>
      </w:r>
      <w:r>
        <w:t>autres termes, le domaine de cette propriété est nécessaire et répétable [</w:t>
      </w:r>
      <w:r w:rsidR="00AF51A3">
        <w:t xml:space="preserve">n.d.t. </w:t>
      </w:r>
      <w:r>
        <w:t>c.-à-d. qu</w:t>
      </w:r>
      <w:r w:rsidR="00E84B0E">
        <w:t>’</w:t>
      </w:r>
      <w:r>
        <w:t>une même propriété peut être utilisée à plusieurs reprises avec une même instance de son domaine] et sa portée est nécessaire mais non répétable [</w:t>
      </w:r>
      <w:r w:rsidR="00AF51A3">
        <w:t xml:space="preserve">n.d.t. </w:t>
      </w:r>
      <w:r>
        <w:t>c.-à-d. qu</w:t>
      </w:r>
      <w:r w:rsidR="00E84B0E">
        <w:t>’</w:t>
      </w:r>
      <w:r>
        <w:t>une même propriété ne peut être utilisée qu</w:t>
      </w:r>
      <w:r w:rsidR="00E84B0E">
        <w:t>’</w:t>
      </w:r>
      <w:r>
        <w:t>une seule fois avec une instance spécifique de sa portée]. Cette situation est parfois qualifiée de « sortance ».</w:t>
      </w:r>
    </w:p>
    <w:p w14:paraId="51B43304" w14:textId="77777777" w:rsidR="00065317" w:rsidRDefault="005C7BF7">
      <w:pPr>
        <w:pStyle w:val="Normalcentr"/>
      </w:pPr>
      <w:r>
        <w:rPr>
          <w:b/>
          <w:bCs/>
          <w:i/>
          <w:iCs/>
        </w:rPr>
        <w:t>Note de traduction</w:t>
      </w:r>
    </w:p>
    <w:p w14:paraId="091607EF" w14:textId="0CEF637F" w:rsidR="00065317" w:rsidRDefault="005C7BF7">
      <w:pPr>
        <w:pStyle w:val="Normalcentr"/>
      </w:pPr>
      <w:r>
        <w:t>Une propriété répétable est une propriété pouvant apparaître plus d</w:t>
      </w:r>
      <w:r w:rsidR="00E84B0E">
        <w:t>’</w:t>
      </w:r>
      <w:r>
        <w:t>une fois dans un enregistrement avec le(s) même(s) domaine et/ou portée.</w:t>
      </w:r>
    </w:p>
    <w:p w14:paraId="2D3B0962" w14:textId="15487C8F" w:rsidR="00065317" w:rsidRDefault="005C7BF7">
      <w:pPr>
        <w:pStyle w:val="Normalcentr"/>
      </w:pPr>
      <w:r>
        <w:t>Une recherche sommaire indique que le terme « fan-in » est surtout usité dans le domaine des circuits booléens et de l</w:t>
      </w:r>
      <w:r w:rsidR="00E84B0E">
        <w:t>’</w:t>
      </w:r>
      <w:r>
        <w:t>intelligence artificielle, où il est parfois question d</w:t>
      </w:r>
      <w:r w:rsidR="00E84B0E">
        <w:t>’</w:t>
      </w:r>
      <w:r>
        <w:t>arité entrante ou d</w:t>
      </w:r>
      <w:r w:rsidR="00E84B0E">
        <w:t>’</w:t>
      </w:r>
      <w:r>
        <w:t>entrance.</w:t>
      </w:r>
    </w:p>
    <w:p w14:paraId="4CE3B8DC" w14:textId="77777777" w:rsidR="00065317" w:rsidRDefault="005C7BF7">
      <w:pPr>
        <w:pStyle w:val="Normalcentr"/>
      </w:pPr>
      <w:r>
        <w:rPr>
          <w:b/>
          <w:bCs/>
          <w:i/>
          <w:iCs/>
        </w:rPr>
        <w:t>Références</w:t>
      </w:r>
    </w:p>
    <w:p w14:paraId="5737BBF8" w14:textId="1AFF8C2E" w:rsidR="00065317" w:rsidRDefault="005C7BF7">
      <w:pPr>
        <w:pStyle w:val="Normalcentr"/>
      </w:pPr>
      <w:r>
        <w:t xml:space="preserve">Termium. « fan-in ». Dans </w:t>
      </w:r>
      <w:r>
        <w:rPr>
          <w:i/>
          <w:iCs/>
        </w:rPr>
        <w:t>Termium Plus</w:t>
      </w:r>
      <w:r>
        <w:t>. Ottawa, CA-ON: Gouvernement du Canada, 8</w:t>
      </w:r>
      <w:r w:rsidR="00056DCD">
        <w:t> octobre </w:t>
      </w:r>
      <w:r>
        <w:t>2009.</w:t>
      </w:r>
      <w:hyperlink r:id="rId109" w:anchor="resultrecs">
        <w:r>
          <w:rPr>
            <w:rStyle w:val="Lienhypertexte"/>
          </w:rPr>
          <w:t xml:space="preserve"> </w:t>
        </w:r>
      </w:hyperlink>
      <w:hyperlink r:id="rId110" w:anchor="resultrecs">
        <w:r>
          <w:rPr>
            <w:rStyle w:val="Lienhypertexte"/>
          </w:rPr>
          <w:t>https://www.btb.termiumplus.gc.ca/tpv2alpha/alpha-fra.html?lang=fra&amp;i=1&amp;srchtxt=fan-in&amp;index=ent&amp;codom2nd_wet=1#resultrecs</w:t>
        </w:r>
      </w:hyperlink>
      <w:r>
        <w:t>.</w:t>
      </w:r>
    </w:p>
    <w:p w14:paraId="1032F017" w14:textId="2BD9FA91" w:rsidR="00065317" w:rsidRDefault="005C7BF7">
      <w:pPr>
        <w:pStyle w:val="Normalcentr"/>
      </w:pPr>
      <w:r>
        <w:t xml:space="preserve">———. « répétable ». Dans </w:t>
      </w:r>
      <w:r>
        <w:rPr>
          <w:i/>
          <w:iCs/>
        </w:rPr>
        <w:t>Termium Plus</w:t>
      </w:r>
      <w:r>
        <w:t>. Ottawa, CA-ON: Gouvernement du Canada, 8</w:t>
      </w:r>
      <w:r w:rsidR="00056DCD">
        <w:t> octobre </w:t>
      </w:r>
      <w:r>
        <w:t>2009.</w:t>
      </w:r>
      <w:hyperlink r:id="rId111">
        <w:r>
          <w:rPr>
            <w:rStyle w:val="Lienhypertexte"/>
          </w:rPr>
          <w:t xml:space="preserve"> </w:t>
        </w:r>
      </w:hyperlink>
      <w:hyperlink r:id="rId112">
        <w:r>
          <w:rPr>
            <w:rStyle w:val="Lienhypertexte"/>
          </w:rPr>
          <w:t>https://www.btb.termiumplus.gc.ca/tpv2alpha/alpha-fra.html?lang=fra&amp;i=&amp;index=alt&amp;srchtxt=CATEGORIE%20REPETABLE</w:t>
        </w:r>
      </w:hyperlink>
      <w:r>
        <w:t>.</w:t>
      </w:r>
    </w:p>
    <w:p w14:paraId="0D31516A" w14:textId="79472028" w:rsidR="00065317" w:rsidRDefault="005C7BF7">
      <w:pPr>
        <w:pStyle w:val="Normalcentr"/>
      </w:pPr>
      <w:r w:rsidRPr="00EC2D6E">
        <w:rPr>
          <w:lang w:val="en-CA"/>
        </w:rPr>
        <w:t xml:space="preserve">Wikipédia. « Fan-in ». Dans </w:t>
      </w:r>
      <w:r w:rsidRPr="00EC2D6E">
        <w:rPr>
          <w:i/>
          <w:iCs/>
          <w:lang w:val="en-CA"/>
        </w:rPr>
        <w:t>Wikipédia</w:t>
      </w:r>
      <w:r w:rsidRPr="00EC2D6E">
        <w:rPr>
          <w:lang w:val="en-CA"/>
        </w:rPr>
        <w:t>. San Francisco, US-CA: Wikipédia, 11</w:t>
      </w:r>
      <w:r w:rsidR="00056DCD">
        <w:rPr>
          <w:lang w:val="en-CA"/>
        </w:rPr>
        <w:t> novembre </w:t>
      </w:r>
      <w:r w:rsidRPr="00EC2D6E">
        <w:rPr>
          <w:lang w:val="en-CA"/>
        </w:rPr>
        <w:t>2020.</w:t>
      </w:r>
      <w:hyperlink r:id="rId113">
        <w:r w:rsidRPr="00EC2D6E">
          <w:rPr>
            <w:rStyle w:val="Lienhypertexte"/>
            <w:lang w:val="en-CA"/>
          </w:rPr>
          <w:t xml:space="preserve"> </w:t>
        </w:r>
      </w:hyperlink>
      <w:hyperlink r:id="rId114">
        <w:r>
          <w:rPr>
            <w:rStyle w:val="Lienhypertexte"/>
          </w:rPr>
          <w:t>https://fr.wikipedia.org/w/index.php?title=Fan-in&amp;oldid=176479056</w:t>
        </w:r>
      </w:hyperlink>
      <w:r>
        <w:t>.</w:t>
      </w:r>
    </w:p>
    <w:p w14:paraId="669FCA90" w14:textId="70470D70" w:rsidR="00065317" w:rsidRDefault="005C7BF7" w:rsidP="00ED0DFB">
      <w:pPr>
        <w:pStyle w:val="FirstParagraph"/>
      </w:pPr>
      <w:r>
        <w:rPr>
          <w:b/>
          <w:bCs/>
        </w:rPr>
        <w:t>plusieurs à un, nécessaire,</w:t>
      </w:r>
      <w:r w:rsidR="00ED0DFB">
        <w:rPr>
          <w:b/>
          <w:bCs/>
        </w:rPr>
        <w:t xml:space="preserve"> </w:t>
      </w:r>
      <w:r>
        <w:rPr>
          <w:b/>
          <w:bCs/>
        </w:rPr>
        <w:t>dépendant</w:t>
      </w:r>
    </w:p>
    <w:p w14:paraId="1B2AD4CD" w14:textId="77777777" w:rsidR="00065317" w:rsidRDefault="005C7BF7">
      <w:pPr>
        <w:pStyle w:val="Corpsdetexte"/>
      </w:pPr>
      <w:r>
        <w:rPr>
          <w:b/>
          <w:bCs/>
        </w:rPr>
        <w:t>(1,1:1,n)</w:t>
      </w:r>
    </w:p>
    <w:p w14:paraId="553271D2" w14:textId="67627D64" w:rsidR="00065317" w:rsidRDefault="005C7BF7">
      <w:pPr>
        <w:pStyle w:val="Corpsdetexte"/>
      </w:pPr>
      <w:r>
        <w:t xml:space="preserve">Une </w:t>
      </w:r>
      <w:hyperlink w:anchor="terminologie-instance">
        <w:r>
          <w:rPr>
            <w:rStyle w:val="Lienhypertexte"/>
          </w:rPr>
          <w:t>instance</w:t>
        </w:r>
      </w:hyperlink>
      <w:r>
        <w:t xml:space="preserve"> individuelle du </w:t>
      </w:r>
      <w:hyperlink w:anchor="terminologie-domaine">
        <w:r>
          <w:rPr>
            <w:rStyle w:val="Lienhypertexte"/>
          </w:rPr>
          <w:t>domaine</w:t>
        </w:r>
      </w:hyperlink>
      <w:r>
        <w:t xml:space="preserve"> de cette </w:t>
      </w:r>
      <w:hyperlink w:anchor="terminologie-propriete">
        <w:r>
          <w:rPr>
            <w:rStyle w:val="Lienhypertexte"/>
          </w:rPr>
          <w:t>propriété</w:t>
        </w:r>
      </w:hyperlink>
      <w:r>
        <w:t xml:space="preserve"> doit n</w:t>
      </w:r>
      <w:r w:rsidR="00E84B0E">
        <w:t>’</w:t>
      </w:r>
      <w:r>
        <w:t>avoir qu</w:t>
      </w:r>
      <w:r w:rsidR="00E84B0E">
        <w:t>’</w:t>
      </w:r>
      <w:r>
        <w:t xml:space="preserve">une seule instance de cette propriété, mais une instance individuelle de sa </w:t>
      </w:r>
      <w:hyperlink w:anchor="terminologie-portee">
        <w:r>
          <w:rPr>
            <w:rStyle w:val="Lienhypertexte"/>
          </w:rPr>
          <w:t>portée</w:t>
        </w:r>
      </w:hyperlink>
      <w:r>
        <w:t xml:space="preserve"> peut être référencée par une ou plusieurs instances de cette même propriété. En d</w:t>
      </w:r>
      <w:r w:rsidR="00E84B0E">
        <w:t>’</w:t>
      </w:r>
      <w:r>
        <w:t>autres termes, le domaine de cette propriété est nécessaire et non répétable [</w:t>
      </w:r>
      <w:r w:rsidR="00AF51A3">
        <w:t xml:space="preserve">n.d.t. </w:t>
      </w:r>
      <w:r>
        <w:t>c.-à-d. qu</w:t>
      </w:r>
      <w:r w:rsidR="00E84B0E">
        <w:t>’</w:t>
      </w:r>
      <w:r>
        <w:t>une même propriété ne peut être utilisée qu</w:t>
      </w:r>
      <w:r w:rsidR="00E84B0E">
        <w:t>’</w:t>
      </w:r>
      <w:r>
        <w:t>une seule fois avec une instance spécifique de son domaine], tandis que la portée est nécessaire et répétable [</w:t>
      </w:r>
      <w:r w:rsidR="00AF51A3">
        <w:t xml:space="preserve">n.d.t. </w:t>
      </w:r>
      <w:r>
        <w:t>c.-à-d. qu</w:t>
      </w:r>
      <w:r w:rsidR="00E84B0E">
        <w:t>’</w:t>
      </w:r>
      <w:r>
        <w:t>une même propriété peut être utilisée à plusieurs reprises avec une même instance de sa portée]. Cette situation est parfois qualifiée d</w:t>
      </w:r>
      <w:r w:rsidR="00E84B0E">
        <w:t>’</w:t>
      </w:r>
      <w:r>
        <w:t>« entrance ».</w:t>
      </w:r>
    </w:p>
    <w:p w14:paraId="0B456BB8" w14:textId="77777777" w:rsidR="00065317" w:rsidRDefault="005C7BF7">
      <w:pPr>
        <w:pStyle w:val="Normalcentr"/>
      </w:pPr>
      <w:r>
        <w:rPr>
          <w:b/>
          <w:bCs/>
          <w:i/>
          <w:iCs/>
        </w:rPr>
        <w:t>Note de traduction</w:t>
      </w:r>
    </w:p>
    <w:p w14:paraId="014230F0" w14:textId="3F6DF9CE" w:rsidR="00065317" w:rsidRDefault="005C7BF7">
      <w:pPr>
        <w:pStyle w:val="Normalcentr"/>
      </w:pPr>
      <w:r>
        <w:t>Une propriété répétable est une propriété pouvant apparaître plus d</w:t>
      </w:r>
      <w:r w:rsidR="00E84B0E">
        <w:t>’</w:t>
      </w:r>
      <w:r>
        <w:t>une fois dans un enregistrement avec le(s) même(s) domaine et/ou portée.</w:t>
      </w:r>
    </w:p>
    <w:p w14:paraId="635C186A" w14:textId="1348FE7C" w:rsidR="00065317" w:rsidRDefault="005C7BF7">
      <w:pPr>
        <w:pStyle w:val="Normalcentr"/>
      </w:pPr>
      <w:r>
        <w:t>Une recherche sommaire indique que le terme « fan-in » est surtout usité dans le domaine des circuits booléens et de l</w:t>
      </w:r>
      <w:r w:rsidR="00E84B0E">
        <w:t>’</w:t>
      </w:r>
      <w:r>
        <w:t>intelligence artificielle, où il est parfois question d</w:t>
      </w:r>
      <w:r w:rsidR="00E84B0E">
        <w:t>’</w:t>
      </w:r>
      <w:r>
        <w:t>arité entrante ou d</w:t>
      </w:r>
      <w:r w:rsidR="00E84B0E">
        <w:t>’</w:t>
      </w:r>
      <w:r>
        <w:t>entrance.</w:t>
      </w:r>
    </w:p>
    <w:p w14:paraId="5F21814F" w14:textId="77777777" w:rsidR="00065317" w:rsidRDefault="005C7BF7">
      <w:pPr>
        <w:pStyle w:val="Normalcentr"/>
      </w:pPr>
      <w:r>
        <w:rPr>
          <w:b/>
          <w:bCs/>
          <w:i/>
          <w:iCs/>
        </w:rPr>
        <w:t>Références</w:t>
      </w:r>
    </w:p>
    <w:p w14:paraId="236AA119" w14:textId="77E46434" w:rsidR="00065317" w:rsidRDefault="005C7BF7">
      <w:pPr>
        <w:pStyle w:val="Normalcentr"/>
      </w:pPr>
      <w:r>
        <w:t xml:space="preserve">Termium. « fan-in ». Dans </w:t>
      </w:r>
      <w:r>
        <w:rPr>
          <w:i/>
          <w:iCs/>
        </w:rPr>
        <w:t>Termium Plus</w:t>
      </w:r>
      <w:r>
        <w:t>. Ottawa, CA-ON: Gouvernement du Canada, 8</w:t>
      </w:r>
      <w:r w:rsidR="00056DCD">
        <w:t> octobre </w:t>
      </w:r>
      <w:r>
        <w:t>2009.</w:t>
      </w:r>
      <w:hyperlink r:id="rId115" w:anchor="resultrecs">
        <w:r>
          <w:rPr>
            <w:rStyle w:val="Lienhypertexte"/>
          </w:rPr>
          <w:t xml:space="preserve"> </w:t>
        </w:r>
      </w:hyperlink>
      <w:hyperlink r:id="rId116" w:anchor="resultrecs">
        <w:r>
          <w:rPr>
            <w:rStyle w:val="Lienhypertexte"/>
          </w:rPr>
          <w:t>https://www.btb.termiumplus.gc.ca/tpv2alpha/alpha-fra.html?lang=fra&amp;i=1&amp;srchtxt=fan-in&amp;index=ent&amp;codom2nd_wet=1#resultrecs</w:t>
        </w:r>
      </w:hyperlink>
      <w:r>
        <w:t>.</w:t>
      </w:r>
    </w:p>
    <w:p w14:paraId="4CB2F70D" w14:textId="62571F5D" w:rsidR="00065317" w:rsidRDefault="005C7BF7">
      <w:pPr>
        <w:pStyle w:val="Normalcentr"/>
      </w:pPr>
      <w:r>
        <w:t xml:space="preserve">———. « répétable ». Dans </w:t>
      </w:r>
      <w:r>
        <w:rPr>
          <w:i/>
          <w:iCs/>
        </w:rPr>
        <w:t>Termium Plus</w:t>
      </w:r>
      <w:r>
        <w:t>. Ottawa, CA-ON: Gouvernement du Canada, 8</w:t>
      </w:r>
      <w:r w:rsidR="00056DCD">
        <w:t> octobre </w:t>
      </w:r>
      <w:r>
        <w:t>2009.</w:t>
      </w:r>
      <w:hyperlink r:id="rId117">
        <w:r>
          <w:rPr>
            <w:rStyle w:val="Lienhypertexte"/>
          </w:rPr>
          <w:t xml:space="preserve"> </w:t>
        </w:r>
      </w:hyperlink>
      <w:hyperlink r:id="rId118">
        <w:r>
          <w:rPr>
            <w:rStyle w:val="Lienhypertexte"/>
          </w:rPr>
          <w:t>https://www.btb.termiumplus.gc.ca/tpv2alpha/alpha-fra.html?lang=fra&amp;i=&amp;index=alt&amp;srchtxt=CATEGORIE%20REPETABLE</w:t>
        </w:r>
      </w:hyperlink>
      <w:r>
        <w:t>.</w:t>
      </w:r>
    </w:p>
    <w:p w14:paraId="5CE271C7" w14:textId="2B9B3953" w:rsidR="0050358F" w:rsidRPr="00784AE7" w:rsidRDefault="005C7BF7" w:rsidP="00784AE7">
      <w:pPr>
        <w:pStyle w:val="Normalcentr"/>
      </w:pPr>
      <w:r w:rsidRPr="00EC2D6E">
        <w:rPr>
          <w:lang w:val="en-CA"/>
        </w:rPr>
        <w:lastRenderedPageBreak/>
        <w:t xml:space="preserve">Wikipédia. « Fan-in ». Dans </w:t>
      </w:r>
      <w:r w:rsidRPr="00EC2D6E">
        <w:rPr>
          <w:i/>
          <w:iCs/>
          <w:lang w:val="en-CA"/>
        </w:rPr>
        <w:t>Wikipédia</w:t>
      </w:r>
      <w:r w:rsidRPr="00EC2D6E">
        <w:rPr>
          <w:lang w:val="en-CA"/>
        </w:rPr>
        <w:t>. San Francisco, US-CA: Wikipédia, 11</w:t>
      </w:r>
      <w:r w:rsidR="00056DCD">
        <w:rPr>
          <w:lang w:val="en-CA"/>
        </w:rPr>
        <w:t> novembre </w:t>
      </w:r>
      <w:r w:rsidRPr="00EC2D6E">
        <w:rPr>
          <w:lang w:val="en-CA"/>
        </w:rPr>
        <w:t>2020.</w:t>
      </w:r>
      <w:hyperlink r:id="rId119">
        <w:r w:rsidRPr="00EC2D6E">
          <w:rPr>
            <w:rStyle w:val="Lienhypertexte"/>
            <w:lang w:val="en-CA"/>
          </w:rPr>
          <w:t xml:space="preserve"> </w:t>
        </w:r>
      </w:hyperlink>
      <w:hyperlink r:id="rId120">
        <w:r>
          <w:rPr>
            <w:rStyle w:val="Lienhypertexte"/>
          </w:rPr>
          <w:t>https://fr.wikipedia.org/w/index.php?title=Fan-in&amp;oldid=176479056</w:t>
        </w:r>
      </w:hyperlink>
      <w:r>
        <w:t>.</w:t>
      </w:r>
    </w:p>
    <w:p w14:paraId="43619438" w14:textId="1FBE26C7" w:rsidR="00065317" w:rsidRDefault="005C7BF7">
      <w:pPr>
        <w:pStyle w:val="FirstParagraph"/>
      </w:pPr>
      <w:r>
        <w:rPr>
          <w:b/>
          <w:bCs/>
        </w:rPr>
        <w:t>un à un</w:t>
      </w:r>
    </w:p>
    <w:p w14:paraId="117FF5AC" w14:textId="77777777" w:rsidR="00065317" w:rsidRDefault="005C7BF7">
      <w:pPr>
        <w:pStyle w:val="Corpsdetexte"/>
      </w:pPr>
      <w:r>
        <w:rPr>
          <w:b/>
          <w:bCs/>
        </w:rPr>
        <w:t>(1,1:1,1)</w:t>
      </w:r>
    </w:p>
    <w:p w14:paraId="75008C57" w14:textId="7D900C35" w:rsidR="00065317" w:rsidRDefault="005C7BF7">
      <w:pPr>
        <w:pStyle w:val="Corpsdetexte"/>
      </w:pPr>
      <w:r>
        <w:t xml:space="preserve">Une </w:t>
      </w:r>
      <w:hyperlink w:anchor="terminologie-instance">
        <w:r>
          <w:rPr>
            <w:rStyle w:val="Lienhypertexte"/>
          </w:rPr>
          <w:t>instance</w:t>
        </w:r>
      </w:hyperlink>
      <w:r>
        <w:t xml:space="preserve"> individuelle du </w:t>
      </w:r>
      <w:hyperlink w:anchor="terminologie-domaine">
        <w:r>
          <w:rPr>
            <w:rStyle w:val="Lienhypertexte"/>
          </w:rPr>
          <w:t>domaine</w:t>
        </w:r>
      </w:hyperlink>
      <w:r>
        <w:t xml:space="preserve"> et une instance de la </w:t>
      </w:r>
      <w:hyperlink w:anchor="terminologie-portee">
        <w:r>
          <w:rPr>
            <w:rStyle w:val="Lienhypertexte"/>
          </w:rPr>
          <w:t>portée</w:t>
        </w:r>
      </w:hyperlink>
      <w:r>
        <w:t xml:space="preserve"> de cette </w:t>
      </w:r>
      <w:hyperlink w:anchor="terminologie-propriete">
        <w:r>
          <w:rPr>
            <w:rStyle w:val="Lienhypertexte"/>
          </w:rPr>
          <w:t>propriété</w:t>
        </w:r>
      </w:hyperlink>
      <w:r>
        <w:t xml:space="preserve"> doivent avoir exactement une instance de cette propriété. En d</w:t>
      </w:r>
      <w:r w:rsidR="00E84B0E">
        <w:t>’</w:t>
      </w:r>
      <w:r>
        <w:t>autres termes, le domaine et la portée de cette propriété sont nécessaires et non répétables [</w:t>
      </w:r>
      <w:r w:rsidR="00AF51A3">
        <w:t xml:space="preserve">n.d.t. </w:t>
      </w:r>
      <w:r>
        <w:t>c.-à-d. qu</w:t>
      </w:r>
      <w:r w:rsidR="00E84B0E">
        <w:t>’</w:t>
      </w:r>
      <w:r>
        <w:t>une même propriété ne peut être utilisée qu</w:t>
      </w:r>
      <w:r w:rsidR="00E84B0E">
        <w:t>’</w:t>
      </w:r>
      <w:r>
        <w:t>une seule fois avec une instance spécifique de son domaine et une instance spécifique de sa portée].</w:t>
      </w:r>
    </w:p>
    <w:p w14:paraId="3114E309" w14:textId="77777777" w:rsidR="00065317" w:rsidRDefault="005C7BF7">
      <w:pPr>
        <w:pStyle w:val="Normalcentr"/>
      </w:pPr>
      <w:r>
        <w:rPr>
          <w:b/>
          <w:bCs/>
          <w:i/>
          <w:iCs/>
        </w:rPr>
        <w:t>Note de traduction</w:t>
      </w:r>
    </w:p>
    <w:p w14:paraId="0956ACCF" w14:textId="7274FC3A" w:rsidR="00065317" w:rsidRDefault="005C7BF7">
      <w:pPr>
        <w:pStyle w:val="Normalcentr"/>
      </w:pPr>
      <w:r>
        <w:t>Une propriété répétable est une propriété pouvant apparaître plus d</w:t>
      </w:r>
      <w:r w:rsidR="00E84B0E">
        <w:t>’</w:t>
      </w:r>
      <w:r>
        <w:t>une fois dans un enregistrement avec le(s) même(s) domaine et/ou portée.</w:t>
      </w:r>
    </w:p>
    <w:p w14:paraId="5D304130" w14:textId="77777777" w:rsidR="00065317" w:rsidRDefault="005C7BF7">
      <w:pPr>
        <w:pStyle w:val="Normalcentr"/>
      </w:pPr>
      <w:r>
        <w:rPr>
          <w:b/>
          <w:bCs/>
          <w:i/>
          <w:iCs/>
        </w:rPr>
        <w:t>Références</w:t>
      </w:r>
    </w:p>
    <w:p w14:paraId="1F41ACED" w14:textId="1C4A0AE3" w:rsidR="00065317" w:rsidRDefault="005C7BF7">
      <w:pPr>
        <w:pStyle w:val="Normalcentr"/>
      </w:pPr>
      <w:r>
        <w:t xml:space="preserve">Termium. « répétable ». Dans </w:t>
      </w:r>
      <w:r>
        <w:rPr>
          <w:i/>
          <w:iCs/>
        </w:rPr>
        <w:t>Termium Plus</w:t>
      </w:r>
      <w:r>
        <w:t>. Ottawa, CA-ON: Gouvernement du Canada, 8</w:t>
      </w:r>
      <w:r w:rsidR="00056DCD">
        <w:t> octobre </w:t>
      </w:r>
      <w:r>
        <w:t>2009.</w:t>
      </w:r>
      <w:hyperlink r:id="rId121">
        <w:r>
          <w:rPr>
            <w:rStyle w:val="Lienhypertexte"/>
          </w:rPr>
          <w:t xml:space="preserve"> </w:t>
        </w:r>
      </w:hyperlink>
      <w:hyperlink r:id="rId122">
        <w:r>
          <w:rPr>
            <w:rStyle w:val="Lienhypertexte"/>
          </w:rPr>
          <w:t>https://www.btb.termiumplus.gc.ca/tpv2alpha/alpha-fra.html?lang=fra&amp;i=&amp;index=alt&amp;srchtxt=CATEGORIE%20REPETABLE</w:t>
        </w:r>
      </w:hyperlink>
      <w:r>
        <w:t>.</w:t>
      </w:r>
    </w:p>
    <w:p w14:paraId="3593B573" w14:textId="4DA2C365" w:rsidR="00065317" w:rsidRDefault="005C7BF7">
      <w:pPr>
        <w:pStyle w:val="FirstParagraph"/>
      </w:pPr>
      <w:r>
        <w:t xml:space="preserve">Le </w:t>
      </w:r>
      <w:r w:rsidR="00C8288F">
        <w:t>CIDOC CRM</w:t>
      </w:r>
      <w:r>
        <w:t xml:space="preserve"> définit certains dépendants entre les </w:t>
      </w:r>
      <w:hyperlink w:anchor="terminologie-propriete">
        <w:r>
          <w:rPr>
            <w:rStyle w:val="Lienhypertexte"/>
          </w:rPr>
          <w:t>propriétés</w:t>
        </w:r>
      </w:hyperlink>
      <w:r>
        <w:t xml:space="preserve"> et les </w:t>
      </w:r>
      <w:hyperlink w:anchor="terminologie-classe">
        <w:r>
          <w:rPr>
            <w:rStyle w:val="Lienhypertexte"/>
          </w:rPr>
          <w:t>classes</w:t>
        </w:r>
      </w:hyperlink>
      <w:r>
        <w:t xml:space="preserve"> sous la forme de leur </w:t>
      </w:r>
      <w:hyperlink w:anchor="terminologie-domaine">
        <w:r>
          <w:rPr>
            <w:rStyle w:val="Lienhypertexte"/>
          </w:rPr>
          <w:t>domaine</w:t>
        </w:r>
      </w:hyperlink>
      <w:r>
        <w:t xml:space="preserve"> et de leur </w:t>
      </w:r>
      <w:hyperlink w:anchor="terminologie-portee">
        <w:r>
          <w:rPr>
            <w:rStyle w:val="Lienhypertexte"/>
          </w:rPr>
          <w:t>portée</w:t>
        </w:r>
      </w:hyperlink>
      <w:r>
        <w:t>. Ceux-ci peuvent être l</w:t>
      </w:r>
      <w:r w:rsidR="00E84B0E">
        <w:t>’</w:t>
      </w:r>
      <w:r>
        <w:t>une ou une combinaison des options suivantes :</w:t>
      </w:r>
    </w:p>
    <w:p w14:paraId="7EA4BCD6" w14:textId="77777777" w:rsidR="00065317" w:rsidRDefault="005C7BF7">
      <w:pPr>
        <w:numPr>
          <w:ilvl w:val="0"/>
          <w:numId w:val="18"/>
        </w:numPr>
      </w:pPr>
      <w:r>
        <w:t>la propriété est nécessaire pour le domaine;</w:t>
      </w:r>
    </w:p>
    <w:p w14:paraId="10ED6990" w14:textId="0A23F30A" w:rsidR="00065317" w:rsidRDefault="005C7BF7">
      <w:pPr>
        <w:numPr>
          <w:ilvl w:val="0"/>
          <w:numId w:val="18"/>
        </w:numPr>
      </w:pPr>
      <w:r>
        <w:t>la propriété est nécessaire pour la portée ou, en d</w:t>
      </w:r>
      <w:r w:rsidR="00E84B0E">
        <w:t>’</w:t>
      </w:r>
      <w:r>
        <w:t>autres termes, la portée dépend de la propriété.</w:t>
      </w:r>
    </w:p>
    <w:p w14:paraId="7EF76AB0" w14:textId="04821CC8" w:rsidR="00065317" w:rsidRDefault="005C7BF7">
      <w:pPr>
        <w:pStyle w:val="FirstParagraph"/>
      </w:pPr>
      <w:r>
        <w:t>Les dépendants possibles sont définis dans le tableau ci-haut. Si une propriété n</w:t>
      </w:r>
      <w:r w:rsidR="00E84B0E">
        <w:t>’</w:t>
      </w:r>
      <w:r>
        <w:t xml:space="preserve">est pas spécifiée pour une </w:t>
      </w:r>
      <w:hyperlink w:anchor="terminologie-instance">
        <w:r>
          <w:rPr>
            <w:rStyle w:val="Lienhypertexte"/>
          </w:rPr>
          <w:t>instance</w:t>
        </w:r>
      </w:hyperlink>
      <w:r>
        <w:t xml:space="preserve"> de son domaine ou de sa portée, il est entendu que la propriété existe, mais qu</w:t>
      </w:r>
      <w:r w:rsidR="00E84B0E">
        <w:t>’</w:t>
      </w:r>
      <w:r>
        <w:t>une valeur associée à une part ou à l</w:t>
      </w:r>
      <w:r w:rsidR="00E84B0E">
        <w:t>’</w:t>
      </w:r>
      <w:r>
        <w:t xml:space="preserve">autre de la propriété est inconnue. Dans le cas des propriétés optionnelles, la méthodologie proposée par le </w:t>
      </w:r>
      <w:r w:rsidR="00C8288F">
        <w:t>CIDOC CRM</w:t>
      </w:r>
      <w:r>
        <w:t xml:space="preserve"> n</w:t>
      </w:r>
      <w:r w:rsidR="00E84B0E">
        <w:t>’</w:t>
      </w:r>
      <w:r>
        <w:t>établit pas de distinction entre une valeur inconnue et une propriété qui ne serait pas du tout applicable. Par exemple, un objet peut avoir un</w:t>
      </w:r>
      <w:r w:rsidR="0050358F">
        <w:t>·</w:t>
      </w:r>
      <w:r>
        <w:t>e propriétaire sans que l</w:t>
      </w:r>
      <w:r w:rsidR="00E84B0E">
        <w:t>’</w:t>
      </w:r>
      <w:r>
        <w:t>identité de ce</w:t>
      </w:r>
      <w:r w:rsidR="0050358F">
        <w:t>·</w:t>
      </w:r>
      <w:r>
        <w:t xml:space="preserve">tte propriétaire ne soit connue. Dans le cadre du </w:t>
      </w:r>
      <w:r w:rsidR="00C8288F">
        <w:t>CIDOC CRM</w:t>
      </w:r>
      <w:r>
        <w:t>, une telle situation ne peut être distinguée d</w:t>
      </w:r>
      <w:r w:rsidR="00E84B0E">
        <w:t>’</w:t>
      </w:r>
      <w:r>
        <w:t>un cas où l</w:t>
      </w:r>
      <w:r w:rsidR="00E84B0E">
        <w:t>’</w:t>
      </w:r>
      <w:r>
        <w:t>objet n</w:t>
      </w:r>
      <w:r w:rsidR="00E84B0E">
        <w:t>’</w:t>
      </w:r>
      <w:r>
        <w:t>aurait aucun</w:t>
      </w:r>
      <w:r w:rsidR="0050358F">
        <w:t>·</w:t>
      </w:r>
      <w:r>
        <w:t>e propriétaire. Bien entendu, de tels détails peuvent être indiqués à l</w:t>
      </w:r>
      <w:r w:rsidR="00E84B0E">
        <w:t>’</w:t>
      </w:r>
      <w:r>
        <w:t>aide de notes textuelles.</w:t>
      </w:r>
    </w:p>
    <w:p w14:paraId="74C4D6AC" w14:textId="4952F9B4" w:rsidR="00065317" w:rsidRDefault="005C7BF7">
      <w:pPr>
        <w:pStyle w:val="Corpsdetexte"/>
      </w:pPr>
      <w:r>
        <w:t>Parce que la quantification de toutes les propriétés de propriétés – les propriétés « .1 » – est « plusieurs à plusieurs » elle n</w:t>
      </w:r>
      <w:r w:rsidR="00E84B0E">
        <w:t>’</w:t>
      </w:r>
      <w:r>
        <w:t>apparaît pas explicitement dans leurs définitions.</w:t>
      </w:r>
    </w:p>
    <w:p w14:paraId="3E6C84B0" w14:textId="77777777" w:rsidR="00065317" w:rsidRDefault="005C7BF7">
      <w:pPr>
        <w:pStyle w:val="Normalcentr"/>
      </w:pPr>
      <w:r>
        <w:rPr>
          <w:b/>
          <w:bCs/>
          <w:i/>
          <w:iCs/>
        </w:rPr>
        <w:t>Note de traduction</w:t>
      </w:r>
    </w:p>
    <w:p w14:paraId="642B25AF" w14:textId="4DEFFE52" w:rsidR="00065317" w:rsidRDefault="005C7BF7">
      <w:pPr>
        <w:pStyle w:val="Normalcentr"/>
      </w:pPr>
      <w:r>
        <w:t>Le terme « dépendant » a été préféré au terme « dépendance » en guise de traduction de « dependencies » puisqu</w:t>
      </w:r>
      <w:r w:rsidR="00E84B0E">
        <w:t>’</w:t>
      </w:r>
      <w:r>
        <w:t>il transmet davantage le fait qu</w:t>
      </w:r>
      <w:r w:rsidR="00E84B0E">
        <w:t>’</w:t>
      </w:r>
      <w:r>
        <w:t>il s</w:t>
      </w:r>
      <w:r w:rsidR="00E84B0E">
        <w:t>’</w:t>
      </w:r>
      <w:r>
        <w:t>agit d</w:t>
      </w:r>
      <w:r w:rsidR="00E84B0E">
        <w:t>’</w:t>
      </w:r>
      <w:r>
        <w:t>un élément qui s</w:t>
      </w:r>
      <w:r w:rsidR="00E84B0E">
        <w:t>’</w:t>
      </w:r>
      <w:r>
        <w:t>inscrit dans la suite d</w:t>
      </w:r>
      <w:r w:rsidR="00E84B0E">
        <w:t>’</w:t>
      </w:r>
      <w:r>
        <w:t>un autre (qui en dépend) plutôt qu</w:t>
      </w:r>
      <w:r w:rsidR="00E84B0E">
        <w:t>’</w:t>
      </w:r>
      <w:r>
        <w:t>un élément qui a lui-même « besoin » d</w:t>
      </w:r>
      <w:r w:rsidR="00E84B0E">
        <w:t>’</w:t>
      </w:r>
      <w:r>
        <w:t>un autre élément (qui est en situation de dépendance).</w:t>
      </w:r>
    </w:p>
    <w:p w14:paraId="614BBCED" w14:textId="1383C24D" w:rsidR="00065317" w:rsidRDefault="005C7BF7" w:rsidP="00155590">
      <w:pPr>
        <w:pStyle w:val="Normalcentr"/>
      </w:pPr>
      <w:r>
        <w:rPr>
          <w:b/>
          <w:bCs/>
          <w:i/>
          <w:iCs/>
        </w:rPr>
        <w:t>Références</w:t>
      </w:r>
    </w:p>
    <w:p w14:paraId="319BC297" w14:textId="77777777" w:rsidR="00065317" w:rsidRDefault="005C7BF7" w:rsidP="00820F07">
      <w:pPr>
        <w:pStyle w:val="Titre2"/>
      </w:pPr>
      <w:bookmarkStart w:id="62" w:name="_Toc154048716"/>
      <w:bookmarkStart w:id="63" w:name="principes-de-modelisation"/>
      <w:bookmarkEnd w:id="9"/>
      <w:bookmarkEnd w:id="51"/>
      <w:bookmarkEnd w:id="61"/>
      <w:r>
        <w:t>Principes de modélisation</w:t>
      </w:r>
      <w:bookmarkEnd w:id="62"/>
    </w:p>
    <w:p w14:paraId="3F84E350" w14:textId="4BA96520" w:rsidR="00065317" w:rsidRDefault="005C7BF7">
      <w:pPr>
        <w:pStyle w:val="FirstParagraph"/>
      </w:pPr>
      <w:r>
        <w:t xml:space="preserve">Les principes de modélisation suivants ont guidé le développement du </w:t>
      </w:r>
      <w:r w:rsidR="00C8288F">
        <w:t>CIDOC CRM</w:t>
      </w:r>
      <w:r>
        <w:t>.</w:t>
      </w:r>
    </w:p>
    <w:p w14:paraId="68114056" w14:textId="77777777" w:rsidR="00065317" w:rsidRDefault="005C7BF7">
      <w:pPr>
        <w:pStyle w:val="Normalcentr"/>
      </w:pPr>
      <w:r>
        <w:rPr>
          <w:b/>
          <w:bCs/>
          <w:i/>
          <w:iCs/>
        </w:rPr>
        <w:t>Note de traduction</w:t>
      </w:r>
    </w:p>
    <w:p w14:paraId="7C7E6408" w14:textId="40C1B547" w:rsidR="00065317" w:rsidRDefault="005C7BF7" w:rsidP="00823F91">
      <w:pPr>
        <w:pStyle w:val="Normalcentr"/>
      </w:pPr>
      <w:r>
        <w:rPr>
          <w:b/>
          <w:bCs/>
          <w:i/>
          <w:iCs/>
        </w:rPr>
        <w:t>Références</w:t>
      </w:r>
    </w:p>
    <w:p w14:paraId="17D0846A" w14:textId="64D87F65" w:rsidR="00065317" w:rsidRDefault="005C7BF7" w:rsidP="00820F07">
      <w:pPr>
        <w:pStyle w:val="Titre3"/>
      </w:pPr>
      <w:bookmarkStart w:id="64" w:name="_Toc154048717"/>
      <w:bookmarkStart w:id="65" w:name="Xbb1d3bf6b8161f4ecfb4a0675c11d5718d532f5"/>
      <w:r>
        <w:lastRenderedPageBreak/>
        <w:t xml:space="preserve">De la réalité, des bases de connaissance et du </w:t>
      </w:r>
      <w:r w:rsidR="00C8288F">
        <w:t>CIDOC CRM</w:t>
      </w:r>
      <w:bookmarkEnd w:id="64"/>
    </w:p>
    <w:p w14:paraId="35749393" w14:textId="7674E1DD" w:rsidR="00065317" w:rsidRDefault="005C7BF7">
      <w:pPr>
        <w:pStyle w:val="FirstParagraph"/>
      </w:pPr>
      <w:r>
        <w:t xml:space="preserve">Le </w:t>
      </w:r>
      <w:r w:rsidR="00C8288F">
        <w:t>CIDOC CRM</w:t>
      </w:r>
      <w:r>
        <w:t xml:space="preserve"> est une ontologie formelle dans le sens que l</w:t>
      </w:r>
      <w:r w:rsidR="00E84B0E">
        <w:t>’</w:t>
      </w:r>
      <w:r>
        <w:t>a introduit (Guarino, 1998</w:t>
      </w:r>
      <w:r w:rsidR="001F00AF">
        <w:t>)</w:t>
      </w:r>
      <w:r w:rsidR="001F00AF">
        <w:rPr>
          <w:rStyle w:val="Appelnotedebasdep"/>
        </w:rPr>
        <w:footnoteReference w:id="4"/>
      </w:r>
      <w:r>
        <w:t>. Ce document est destiné à une audience qui n</w:t>
      </w:r>
      <w:r w:rsidR="00E84B0E">
        <w:t>’</w:t>
      </w:r>
      <w:r>
        <w:t>est spécialiste ni de la logique ni des sciences informatiques, de sorte qu</w:t>
      </w:r>
      <w:r w:rsidR="00E84B0E">
        <w:t>’</w:t>
      </w:r>
      <w:r>
        <w:t xml:space="preserve">il se concentre sur la sémantique informelle et sur les aspects pragmatiques des concepts du </w:t>
      </w:r>
      <w:r w:rsidR="00C8288F">
        <w:t>CIDOC CRM</w:t>
      </w:r>
      <w:r>
        <w:t>. Il s</w:t>
      </w:r>
      <w:r w:rsidR="00E84B0E">
        <w:t>’</w:t>
      </w:r>
      <w:r>
        <w:t>agit d</w:t>
      </w:r>
      <w:r w:rsidR="00E84B0E">
        <w:t>’</w:t>
      </w:r>
      <w:r>
        <w:t>une discussion détaillée, à travers des patrons conceptuels fondamentau</w:t>
      </w:r>
      <w:r w:rsidR="001F00AF">
        <w:t>x</w:t>
      </w:r>
      <w:r w:rsidR="001F00AF">
        <w:rPr>
          <w:rStyle w:val="Appelnotedebasdep"/>
        </w:rPr>
        <w:footnoteReference w:id="5"/>
      </w:r>
      <w:r>
        <w:t xml:space="preserve">, des principes qui sous-tendent le </w:t>
      </w:r>
      <w:r w:rsidR="00C8288F">
        <w:t>CIDOC CRM</w:t>
      </w:r>
      <w:r>
        <w:t>, une ontologie qui a pour objectif de partager, de connecter et d</w:t>
      </w:r>
      <w:r w:rsidR="00E84B0E">
        <w:t>’</w:t>
      </w:r>
      <w:r>
        <w:t>intégrer de l</w:t>
      </w:r>
      <w:r w:rsidR="00E84B0E">
        <w:t>’</w:t>
      </w:r>
      <w:r>
        <w:t>information issue de recherches sur le passé. Afin de comprendre la fonction d</w:t>
      </w:r>
      <w:r w:rsidR="00E84B0E">
        <w:t>’</w:t>
      </w:r>
      <w:r>
        <w:t>une telle ontologie formelle, les distinctions suivantes sont nécessaires :</w:t>
      </w:r>
    </w:p>
    <w:p w14:paraId="544E49AA" w14:textId="51E3FB8C" w:rsidR="00065317" w:rsidRDefault="005C7BF7">
      <w:pPr>
        <w:numPr>
          <w:ilvl w:val="0"/>
          <w:numId w:val="19"/>
        </w:numPr>
      </w:pPr>
      <w:r>
        <w:t xml:space="preserve">La </w:t>
      </w:r>
      <w:r>
        <w:rPr>
          <w:i/>
          <w:iCs/>
        </w:rPr>
        <w:t>réalité matérielle</w:t>
      </w:r>
      <w:r>
        <w:t xml:space="preserve"> est entendue comme étant tout ce qui a une substance qui peut être perçue par le biais des sens ou d</w:t>
      </w:r>
      <w:r w:rsidR="00E84B0E">
        <w:t>’</w:t>
      </w:r>
      <w:r>
        <w:t>instruments; ce</w:t>
      </w:r>
      <w:r w:rsidR="00916E12">
        <w:t>la</w:t>
      </w:r>
      <w:r>
        <w:t xml:space="preserve"> est limité par l</w:t>
      </w:r>
      <w:r w:rsidR="00E84B0E">
        <w:t>’</w:t>
      </w:r>
      <w:r>
        <w:t>espace et le temps. Ce</w:t>
      </w:r>
      <w:r w:rsidR="00714434">
        <w:t>la</w:t>
      </w:r>
      <w:r>
        <w:t xml:space="preserve"> inclut, par exemple, des peuples, une forêt, un environnement où s</w:t>
      </w:r>
      <w:r w:rsidR="00E84B0E">
        <w:t>’</w:t>
      </w:r>
      <w:r>
        <w:t>établissent des personnes, la mer, l</w:t>
      </w:r>
      <w:r w:rsidR="00E84B0E">
        <w:t>’</w:t>
      </w:r>
      <w:r>
        <w:t xml:space="preserve">atmosphère, des microstructures célestes ou cellulaires, notamment ce qui pourrait être potentiellement ou théoriquement perçu en présence, par exemple le centre de la terre ou du soleil et tout ce qui est passé. Ce qui se produit </w:t>
      </w:r>
      <w:r>
        <w:rPr>
          <w:i/>
          <w:iCs/>
        </w:rPr>
        <w:t>dans</w:t>
      </w:r>
      <w:r>
        <w:t xml:space="preserve"> l</w:t>
      </w:r>
      <w:r w:rsidR="00E84B0E">
        <w:t>’</w:t>
      </w:r>
      <w:r>
        <w:t xml:space="preserve">esprit ou est le produit </w:t>
      </w:r>
      <w:r>
        <w:rPr>
          <w:i/>
          <w:iCs/>
        </w:rPr>
        <w:t>de</w:t>
      </w:r>
      <w:r>
        <w:t xml:space="preserve"> l</w:t>
      </w:r>
      <w:r w:rsidR="00E84B0E">
        <w:t>’</w:t>
      </w:r>
      <w:r>
        <w:t>esprit est aussi reconnu comme faisant partie de la réalité matérielle dans la mesure où ce produit devient matériellement évident pour les autres par le biais d</w:t>
      </w:r>
      <w:r w:rsidR="00E84B0E">
        <w:t>’</w:t>
      </w:r>
      <w:r>
        <w:t>énonciations, de comportements et de produits.</w:t>
      </w:r>
    </w:p>
    <w:p w14:paraId="5A6CE1BD" w14:textId="2851AF7B" w:rsidR="00065317" w:rsidRDefault="005C7BF7">
      <w:pPr>
        <w:numPr>
          <w:ilvl w:val="0"/>
          <w:numId w:val="19"/>
        </w:numPr>
      </w:pPr>
      <w:r>
        <w:t xml:space="preserve">Les unités de description, ou </w:t>
      </w:r>
      <w:r>
        <w:rPr>
          <w:i/>
          <w:iCs/>
        </w:rPr>
        <w:t>éléments particuliers</w:t>
      </w:r>
      <w:r>
        <w:t xml:space="preserve"> sont les choses et relations auxquelles il est fait référence afin de distinguer des éléments de la réalité. Ce</w:t>
      </w:r>
      <w:r w:rsidR="00714434">
        <w:t>la</w:t>
      </w:r>
      <w:r>
        <w:t xml:space="preserve"> inclut le Mont Ida, le Taj Mahal, la formation de la Chine par l</w:t>
      </w:r>
      <w:r w:rsidR="00E84B0E">
        <w:t>’</w:t>
      </w:r>
      <w:r>
        <w:t>empereur Qin Shi Huang (秦始皇) en 221 AEC, Toutânkhamon et son embaumement, le prince Shōtoku du Japon envoyant une délégation en Chine en 607 EC, la participation de Socrate à la bataille de Potid</w:t>
      </w:r>
      <w:r w:rsidR="00F52177">
        <w:t>ae</w:t>
      </w:r>
      <w:r>
        <w:t>a ou encore la datation radiocarbone d</w:t>
      </w:r>
      <w:r w:rsidR="00E84B0E">
        <w:t>’</w:t>
      </w:r>
      <w:r>
        <w:t>Ötzi (Kutschera, 2002).</w:t>
      </w:r>
    </w:p>
    <w:p w14:paraId="1E1CE77A" w14:textId="7EAED6B9" w:rsidR="00065317" w:rsidRDefault="005C7BF7">
      <w:pPr>
        <w:pStyle w:val="FirstParagraph"/>
      </w:pPr>
      <w:r>
        <w:t xml:space="preserve">Une ontologie formelle telle que le </w:t>
      </w:r>
      <w:r w:rsidR="00C8288F">
        <w:t>CIDOC CRM</w:t>
      </w:r>
      <w:r>
        <w:t xml:space="preserve"> constitue en fait un langage contrôlé pour parler d</w:t>
      </w:r>
      <w:r w:rsidR="00E84B0E">
        <w:t>’</w:t>
      </w:r>
      <w:r>
        <w:t>éléments particuliers, c.-à-d. qu</w:t>
      </w:r>
      <w:r w:rsidR="00E84B0E">
        <w:t>’</w:t>
      </w:r>
      <w:r>
        <w:t xml:space="preserve">elle offre des </w:t>
      </w:r>
      <w:hyperlink w:anchor="terminologie-classe">
        <w:r>
          <w:rPr>
            <w:rStyle w:val="Lienhypertexte"/>
          </w:rPr>
          <w:t>classes</w:t>
        </w:r>
      </w:hyperlink>
      <w:r>
        <w:t xml:space="preserve"> et </w:t>
      </w:r>
      <w:hyperlink w:anchor="terminologie-propriete">
        <w:r>
          <w:rPr>
            <w:rStyle w:val="Lienhypertexte"/>
          </w:rPr>
          <w:t>propriétés</w:t>
        </w:r>
      </w:hyperlink>
      <w:r>
        <w:t xml:space="preserve"> permettant de catégoriser ces éléments particuliers comme des « </w:t>
      </w:r>
      <w:hyperlink w:anchor="terminologie-instance">
        <w:r>
          <w:rPr>
            <w:rStyle w:val="Lienhypertexte"/>
          </w:rPr>
          <w:t>instances</w:t>
        </w:r>
      </w:hyperlink>
      <w:r>
        <w:t xml:space="preserve"> », de sorte que leur individuation, leur unité et les propriétés pouvant leur être associées de manière pertinente soient aussi claires que possible. Par exemple, Toutânkhamon comme instance de </w:t>
      </w:r>
      <w:r>
        <w:rPr>
          <w:rStyle w:val="VerbatimChar"/>
        </w:rPr>
        <w:t>E21_Personne</w:t>
      </w:r>
      <w:r>
        <w:t xml:space="preserve"> </w:t>
      </w:r>
      <w:r>
        <w:rPr>
          <w:i/>
          <w:iCs/>
        </w:rPr>
        <w:t>est</w:t>
      </w:r>
      <w:r>
        <w:t xml:space="preserve"> ce pharaon depuis sa naissance jusqu</w:t>
      </w:r>
      <w:r w:rsidR="00E84B0E">
        <w:t>’</w:t>
      </w:r>
      <w:r>
        <w:t>à sa mort, mais n</w:t>
      </w:r>
      <w:r w:rsidR="00E84B0E">
        <w:t>’</w:t>
      </w:r>
      <w:r>
        <w:t xml:space="preserve">est pas sa momie conformément à la définition de la classe </w:t>
      </w:r>
      <w:r>
        <w:rPr>
          <w:rStyle w:val="VerbatimChar"/>
        </w:rPr>
        <w:t>E21_Personne</w:t>
      </w:r>
      <w:r>
        <w:t xml:space="preserve"> et de ses propriétés.</w:t>
      </w:r>
    </w:p>
    <w:p w14:paraId="55E908AA" w14:textId="04A8FADD" w:rsidR="00065317" w:rsidRDefault="005C7BF7">
      <w:pPr>
        <w:pStyle w:val="Corpsdetexte"/>
      </w:pPr>
      <w:r>
        <w:t xml:space="preserve">Le </w:t>
      </w:r>
      <w:r w:rsidR="00C8288F">
        <w:t>CIDOC CRM</w:t>
      </w:r>
      <w:r>
        <w:t xml:space="preserve"> ne statue pas sur l</w:t>
      </w:r>
      <w:r w:rsidR="00E84B0E">
        <w:t>’</w:t>
      </w:r>
      <w:r>
        <w:t>existence ou l</w:t>
      </w:r>
      <w:r w:rsidR="00E84B0E">
        <w:t>’</w:t>
      </w:r>
      <w:r>
        <w:t>inexistence d</w:t>
      </w:r>
      <w:r w:rsidR="00E84B0E">
        <w:t>’</w:t>
      </w:r>
      <w:r>
        <w:t>une substance spirituelle, ni sur l</w:t>
      </w:r>
      <w:r w:rsidR="00E84B0E">
        <w:t>’</w:t>
      </w:r>
      <w:r>
        <w:t>existence ou l</w:t>
      </w:r>
      <w:r w:rsidR="00E84B0E">
        <w:t>’</w:t>
      </w:r>
      <w:r>
        <w:t>inexistence d</w:t>
      </w:r>
      <w:r w:rsidR="00E84B0E">
        <w:t>’</w:t>
      </w:r>
      <w:r>
        <w:t>une substance qui ne soit pas accessible par les sens ou par des instruments, et ne statue pas non plus en faveur d</w:t>
      </w:r>
      <w:r w:rsidR="00E84B0E">
        <w:t>’</w:t>
      </w:r>
      <w:r>
        <w:t xml:space="preserve">une philosophie matérialiste. Cependant, pour des raisons pratiques, le </w:t>
      </w:r>
      <w:r w:rsidR="00C8288F">
        <w:t>CIDOC CRM</w:t>
      </w:r>
      <w:r>
        <w:t xml:space="preserve"> repose sur la nécessité d</w:t>
      </w:r>
      <w:r w:rsidR="00E84B0E">
        <w:t>’</w:t>
      </w:r>
      <w:r>
        <w:t>intégrer de l</w:t>
      </w:r>
      <w:r w:rsidR="00E84B0E">
        <w:t>’</w:t>
      </w:r>
      <w:r>
        <w:t>information issue d</w:t>
      </w:r>
      <w:r w:rsidR="00E84B0E">
        <w:t>’</w:t>
      </w:r>
      <w:r>
        <w:t>éléments matériels qui peuvent être appréhendés du fait de l</w:t>
      </w:r>
      <w:r w:rsidR="00E84B0E">
        <w:t>’</w:t>
      </w:r>
      <w:r>
        <w:t xml:space="preserve">expérience humaine. Le </w:t>
      </w:r>
      <w:r w:rsidR="00C8288F">
        <w:t>CIDOC CRM</w:t>
      </w:r>
      <w:r>
        <w:t xml:space="preserve"> renvoie en ce sens à une réalité matérielle indépendante de l</w:t>
      </w:r>
      <w:r w:rsidR="00E84B0E">
        <w:t>’</w:t>
      </w:r>
      <w:r>
        <w:t>observateur.</w:t>
      </w:r>
    </w:p>
    <w:p w14:paraId="67FE3753" w14:textId="3A29E606" w:rsidR="00065317" w:rsidRDefault="005C7BF7">
      <w:pPr>
        <w:pStyle w:val="Corpsdetexte"/>
      </w:pPr>
      <w:r>
        <w:t xml:space="preserve">Lorsque des </w:t>
      </w:r>
      <w:r>
        <w:rPr>
          <w:i/>
          <w:iCs/>
        </w:rPr>
        <w:t>descriptions</w:t>
      </w:r>
      <w:r>
        <w:t xml:space="preserve"> d</w:t>
      </w:r>
      <w:r w:rsidR="00E84B0E">
        <w:t>’</w:t>
      </w:r>
      <w:r>
        <w:t xml:space="preserve">éléments particuliers sont disponibles, leurs identifiants, noms ou titres uniques (toutes des instances de </w:t>
      </w:r>
      <w:r>
        <w:rPr>
          <w:rStyle w:val="VerbatimChar"/>
        </w:rPr>
        <w:t>E41_Appellation</w:t>
      </w:r>
      <w:r>
        <w:t xml:space="preserve"> dans </w:t>
      </w:r>
      <w:r w:rsidR="00C8288F">
        <w:t>CIDOC CRM</w:t>
      </w:r>
      <w:r>
        <w:t>) sont utilisés [n.d.t afin qu</w:t>
      </w:r>
      <w:r w:rsidR="00E84B0E">
        <w:t>’</w:t>
      </w:r>
      <w:r>
        <w:t>ils soient conceptualisés de manière générique (le concept) plutôt que spécifique (le concept tel qu</w:t>
      </w:r>
      <w:r w:rsidR="00E84B0E">
        <w:t>’</w:t>
      </w:r>
      <w:r>
        <w:t xml:space="preserve">il se déploie </w:t>
      </w:r>
      <w:r>
        <w:lastRenderedPageBreak/>
        <w:t>dans un contexte particulier)]. Au contraire, les éléments particuliers évoqués à l</w:t>
      </w:r>
      <w:r w:rsidR="00E84B0E">
        <w:t>’</w:t>
      </w:r>
      <w:r>
        <w:t>aide de pronoms ou d</w:t>
      </w:r>
      <w:r w:rsidR="00E84B0E">
        <w:t>’</w:t>
      </w:r>
      <w:r>
        <w:t>énumération de leurs propriétés caractéristiques (comme le nom et la date de naissance) sont spécifiques (ils s</w:t>
      </w:r>
      <w:r w:rsidR="00E84B0E">
        <w:t>’</w:t>
      </w:r>
      <w:r>
        <w:t>appuient sur le contexte particulier de leur mention). L</w:t>
      </w:r>
      <w:r w:rsidR="00E84B0E">
        <w:t>’</w:t>
      </w:r>
      <w:r>
        <w:t>appellation ainsi que la relation [n.d.t (ou le lien)] entre l</w:t>
      </w:r>
      <w:r w:rsidR="00E84B0E">
        <w:t>’</w:t>
      </w:r>
      <w:r>
        <w:t>appellation et l</w:t>
      </w:r>
      <w:r w:rsidR="00E84B0E">
        <w:t>’</w:t>
      </w:r>
      <w:r>
        <w:t>entité à laquelle elle réfère diffèrent en effet de l</w:t>
      </w:r>
      <w:r w:rsidR="00E84B0E">
        <w:t>’</w:t>
      </w:r>
      <w:r>
        <w:t xml:space="preserve">entité elle-même et de son identité. Par exemple, le nom Toutânkhamon (instance de </w:t>
      </w:r>
      <w:r>
        <w:rPr>
          <w:rStyle w:val="VerbatimChar"/>
        </w:rPr>
        <w:t>E41_Appellation</w:t>
      </w:r>
      <w:r>
        <w:t xml:space="preserve">) diffère de la personne Toutânkhamon (instance de </w:t>
      </w:r>
      <w:r>
        <w:rPr>
          <w:rStyle w:val="VerbatimChar"/>
        </w:rPr>
        <w:t>E21_Personne</w:t>
      </w:r>
      <w:r>
        <w:t>) qui diffère aussi du lien qui unit la personne à son nom (</w:t>
      </w:r>
      <w:r>
        <w:rPr>
          <w:rStyle w:val="VerbatimChar"/>
        </w:rPr>
        <w:t>P1_est_identifié_par</w:t>
      </w:r>
      <w:r>
        <w:t xml:space="preserve">). Les instances de </w:t>
      </w:r>
      <w:r w:rsidR="00C8288F">
        <w:t>CIDOC CRM</w:t>
      </w:r>
      <w:r>
        <w:t xml:space="preserve"> sont donc les </w:t>
      </w:r>
      <w:r>
        <w:rPr>
          <w:i/>
          <w:iCs/>
        </w:rPr>
        <w:t>réels</w:t>
      </w:r>
      <w:r>
        <w:t xml:space="preserve"> éléments particuliers (plutôt que leurs noms), bien que dans les descriptions les noms doivent être utilisés à titre d</w:t>
      </w:r>
      <w:r w:rsidR="00E84B0E">
        <w:t>’</w:t>
      </w:r>
      <w:r>
        <w:t>auxiliaires. Les éléments particuliers sont ainsi des différenciations approximatives de parts de la réalité (comme des sections de celle-ci). En d</w:t>
      </w:r>
      <w:r w:rsidR="00E84B0E">
        <w:t>’</w:t>
      </w:r>
      <w:r>
        <w:t>autres termes, la réalité a un caractère unique qui est indépendant de toute conceptualisation (p. ex. le fait qu</w:t>
      </w:r>
      <w:r w:rsidR="00E84B0E">
        <w:t>’</w:t>
      </w:r>
      <w:r>
        <w:t>il y ait une montagne adjacente à une vallée ne dépend pas de la frontière arbitraire qui les distingue).</w:t>
      </w:r>
    </w:p>
    <w:p w14:paraId="1E9D55A1" w14:textId="57E899FC" w:rsidR="00065317" w:rsidRDefault="005C7BF7">
      <w:pPr>
        <w:pStyle w:val="Corpsdetexte"/>
      </w:pPr>
      <w:r>
        <w:t xml:space="preserve">Une base de connaissances (BC) compatible avec </w:t>
      </w:r>
      <w:r w:rsidR="00C8288F">
        <w:t>CIDOC CRM</w:t>
      </w:r>
      <w:r>
        <w:t xml:space="preserve"> (Meghini &amp; D</w:t>
      </w:r>
      <w:r w:rsidR="003C7A4A">
        <w:t>oe</w:t>
      </w:r>
      <w:r>
        <w:t xml:space="preserve">rr 2018) est une instance de </w:t>
      </w:r>
      <w:r>
        <w:rPr>
          <w:rStyle w:val="VerbatimChar"/>
        </w:rPr>
        <w:t>E73_Objet_informationnel</w:t>
      </w:r>
      <w:r>
        <w:t xml:space="preserve"> qui contient des énoncés formels (structures d</w:t>
      </w:r>
      <w:r w:rsidR="00E84B0E">
        <w:t>’</w:t>
      </w:r>
      <w:r>
        <w:t>encodage de données) représentant des affirmations considérées vraies dans le contexte d</w:t>
      </w:r>
      <w:r w:rsidR="00E84B0E">
        <w:t>’</w:t>
      </w:r>
      <w:r>
        <w:t>une réalité par un observateur. Ces énoncés utilisent les appellations (p. ex. http://id.loc.gov/authorities/names/n7906600</w:t>
      </w:r>
      <w:r w:rsidR="001F00AF">
        <w:t>5</w:t>
      </w:r>
      <w:r w:rsidR="001F00AF">
        <w:rPr>
          <w:rStyle w:val="Appelnotedebasdep"/>
        </w:rPr>
        <w:footnoteReference w:id="6"/>
      </w:r>
      <w:r>
        <w:t xml:space="preserve">) de concepts ontologiques spécifiques ou de concepts de </w:t>
      </w:r>
      <w:r w:rsidR="00C8288F">
        <w:t>CIDOC CRM</w:t>
      </w:r>
      <w:r>
        <w:t xml:space="preserve"> (p. ex. </w:t>
      </w:r>
      <w:r>
        <w:rPr>
          <w:rStyle w:val="VerbatimChar"/>
        </w:rPr>
        <w:t>P100i_est_mort_par</w:t>
      </w:r>
      <w:r>
        <w:t>). Les utilisateurs, de par leur connaissance du monde réel et leur cognition, peuvent établir des liens entre ces énoncés formels et les affirmations auxquelles ils réfèrent pour les examiner de plus près et évaluer leur validité.</w:t>
      </w:r>
    </w:p>
    <w:p w14:paraId="14EAB93D" w14:textId="0CF0D156" w:rsidR="00065317" w:rsidRDefault="005C7BF7">
      <w:pPr>
        <w:pStyle w:val="Corpsdetexte"/>
      </w:pPr>
      <w:r>
        <w:t>Le contenu numérique fait cependant classe à part, car une BC peut contenir des énoncés au sujet d</w:t>
      </w:r>
      <w:r w:rsidR="00E84B0E">
        <w:t>’</w:t>
      </w:r>
      <w:r>
        <w:t xml:space="preserve">instances de </w:t>
      </w:r>
      <w:r>
        <w:rPr>
          <w:rStyle w:val="VerbatimChar"/>
        </w:rPr>
        <w:t>E90_Objet_symbolique</w:t>
      </w:r>
      <w:r>
        <w:t xml:space="preserve"> dont la réelle incarnation existe dans la BC elle-même. L</w:t>
      </w:r>
      <w:r w:rsidR="00E84B0E">
        <w:t>’</w:t>
      </w:r>
      <w:r>
        <w:t xml:space="preserve">instance de </w:t>
      </w:r>
      <w:r>
        <w:rPr>
          <w:rStyle w:val="VerbatimChar"/>
        </w:rPr>
        <w:t>E90_Objet_symbolique</w:t>
      </w:r>
      <w:r>
        <w:t xml:space="preserve"> et sa représentation textuelle sont cependant des entités distinctes qui peuvent néanmoins être liées par la propriété </w:t>
      </w:r>
      <w:r>
        <w:rPr>
          <w:rStyle w:val="VerbatimChar"/>
        </w:rPr>
        <w:t>P190_a_pour_contenu_symbolique</w:t>
      </w:r>
      <w:r>
        <w:t>.</w:t>
      </w:r>
    </w:p>
    <w:p w14:paraId="0BD11209" w14:textId="21558450" w:rsidR="00065317" w:rsidRDefault="005C7BF7">
      <w:pPr>
        <w:pStyle w:val="Corpsdetexte"/>
      </w:pPr>
      <w:r>
        <w:t>Une base de connaissances ne contient donc pas les connaissances elles-mêmes, mais bien les énoncés qui représentent ces connaissances tant et aussi longtemps que des personnes en mesure de résoudre les identifiants à leur</w:t>
      </w:r>
      <w:r w:rsidR="00820F07">
        <w:t>s</w:t>
      </w:r>
      <w:r>
        <w:t xml:space="preserve"> référents sont présentes. Les appellations décrites dans une base de connaissances et qui ne sont pas utilisées comme auxiliaires principaux d</w:t>
      </w:r>
      <w:r w:rsidR="00E84B0E">
        <w:t>’</w:t>
      </w:r>
      <w:r>
        <w:t xml:space="preserve">autres entités sont néanmoins toujours déclarées comme des instances de </w:t>
      </w:r>
      <w:r>
        <w:rPr>
          <w:rStyle w:val="VerbatimChar"/>
        </w:rPr>
        <w:t>E41_Appellation</w:t>
      </w:r>
      <w:r>
        <w:t xml:space="preserve"> dans la base de connaissances.</w:t>
      </w:r>
    </w:p>
    <w:p w14:paraId="17FF9710" w14:textId="77777777" w:rsidR="00065317" w:rsidRDefault="005C7BF7">
      <w:pPr>
        <w:pStyle w:val="Normalcentr"/>
      </w:pPr>
      <w:r>
        <w:rPr>
          <w:b/>
          <w:bCs/>
          <w:i/>
          <w:iCs/>
        </w:rPr>
        <w:t>Note de traduction</w:t>
      </w:r>
    </w:p>
    <w:p w14:paraId="43530F90" w14:textId="77777777" w:rsidR="00065317" w:rsidRDefault="005C7BF7">
      <w:pPr>
        <w:pStyle w:val="Normalcentr"/>
      </w:pPr>
      <w:r>
        <w:rPr>
          <w:b/>
          <w:bCs/>
          <w:i/>
          <w:iCs/>
        </w:rPr>
        <w:t>Références</w:t>
      </w:r>
    </w:p>
    <w:p w14:paraId="6488DD7A" w14:textId="1496242C" w:rsidR="00065317" w:rsidRDefault="005C7BF7">
      <w:pPr>
        <w:pStyle w:val="Normalcentr"/>
      </w:pPr>
      <w:r>
        <w:t xml:space="preserve">Office québécois de la langue française. « base de connaissances ». Dans </w:t>
      </w:r>
      <w:r>
        <w:rPr>
          <w:i/>
          <w:iCs/>
        </w:rPr>
        <w:t>Grand dictionnaire terminologique</w:t>
      </w:r>
      <w:r>
        <w:t>. Québec, CA-QC: Office québécois de la langue française, 2017.</w:t>
      </w:r>
      <w:hyperlink r:id="rId123">
        <w:r>
          <w:rPr>
            <w:rStyle w:val="Lienhypertexte"/>
          </w:rPr>
          <w:t xml:space="preserve"> </w:t>
        </w:r>
      </w:hyperlink>
      <w:hyperlink r:id="rId124">
        <w:r>
          <w:rPr>
            <w:rStyle w:val="Lienhypertexte"/>
          </w:rPr>
          <w:t>http://gdt.oqlf.gouv.qc.ca/ficheOqlf.aspx?Id_Fiche=8366746</w:t>
        </w:r>
      </w:hyperlink>
      <w:r>
        <w:t>.</w:t>
      </w:r>
    </w:p>
    <w:p w14:paraId="71A58D2D" w14:textId="362C5EE3" w:rsidR="00065317" w:rsidRDefault="005C7BF7" w:rsidP="00820F07">
      <w:pPr>
        <w:pStyle w:val="Titre3"/>
      </w:pPr>
      <w:bookmarkStart w:id="66" w:name="_Toc154048718"/>
      <w:bookmarkStart w:id="67" w:name="X8ed7dddd9eaf3521a8b039300d7d03602b42027"/>
      <w:bookmarkEnd w:id="65"/>
      <w:r>
        <w:t>De l</w:t>
      </w:r>
      <w:r w:rsidR="00E84B0E">
        <w:t>’</w:t>
      </w:r>
      <w:r>
        <w:t>auctorialité des contenus d</w:t>
      </w:r>
      <w:r w:rsidR="00E84B0E">
        <w:t>’</w:t>
      </w:r>
      <w:r>
        <w:t>une base de connaissances</w:t>
      </w:r>
      <w:bookmarkEnd w:id="66"/>
    </w:p>
    <w:p w14:paraId="7725DAD9" w14:textId="0EC28AE8" w:rsidR="00065317" w:rsidRDefault="005C7BF7">
      <w:pPr>
        <w:pStyle w:val="FirstParagraph"/>
      </w:pPr>
      <w:r>
        <w:t>Cette section présente les pratiques exemplaires qui s</w:t>
      </w:r>
      <w:r w:rsidR="00E84B0E">
        <w:t>’</w:t>
      </w:r>
      <w:r>
        <w:t>appliquent lors de la liaison de contenu d</w:t>
      </w:r>
      <w:r w:rsidR="00E84B0E">
        <w:t>’</w:t>
      </w:r>
      <w:r>
        <w:t>autorité aux contenus d</w:t>
      </w:r>
      <w:r w:rsidR="00E84B0E">
        <w:t>’</w:t>
      </w:r>
      <w:r>
        <w:t>une base de connaissances (BC).</w:t>
      </w:r>
    </w:p>
    <w:p w14:paraId="0249BF6E" w14:textId="28F13505" w:rsidR="00065317" w:rsidRDefault="005C7BF7">
      <w:pPr>
        <w:pStyle w:val="Corpsdetexte"/>
      </w:pPr>
      <w:r>
        <w:t>Les énoncés d</w:t>
      </w:r>
      <w:r w:rsidR="00E84B0E">
        <w:t>’</w:t>
      </w:r>
      <w:r>
        <w:t>une BC doivent avoir été introduits par un agent humain de manière directe ou indirecte, mais ils ne font souvent pas explicitement référence à cet agent, de sorte que l</w:t>
      </w:r>
      <w:r w:rsidR="00E84B0E">
        <w:t>’</w:t>
      </w:r>
      <w:r>
        <w:t>autorité sous laquelle une information a été émise n</w:t>
      </w:r>
      <w:r w:rsidR="00E84B0E">
        <w:t>’</w:t>
      </w:r>
      <w:r>
        <w:t>est pas établie (c</w:t>
      </w:r>
      <w:r w:rsidR="00E84B0E">
        <w:t>’</w:t>
      </w:r>
      <w:r>
        <w:t>est le cas, par exemple, lors de l</w:t>
      </w:r>
      <w:r w:rsidR="00E84B0E">
        <w:t>’</w:t>
      </w:r>
      <w:r>
        <w:t xml:space="preserve">utilisation de raccourcis tels que </w:t>
      </w:r>
      <w:r>
        <w:rPr>
          <w:rStyle w:val="VerbatimChar"/>
        </w:rPr>
        <w:t>P2_a_pour_type</w:t>
      </w:r>
      <w:r>
        <w:t>). Dans le domaine patrimonial, la responsabilité du maintien des informations dans la base de connaissances repose la plupart du temps sur des politiques institutionnelles ou des protocoles documentaires. Il est donc raisonnable de conclure que des affirmations dénuées d</w:t>
      </w:r>
      <w:r w:rsidR="00E84B0E">
        <w:t>’</w:t>
      </w:r>
      <w:r>
        <w:t xml:space="preserve">une référence </w:t>
      </w:r>
      <w:r>
        <w:lastRenderedPageBreak/>
        <w:t>explicite à leur auteur constituent néanmoins le point de vue officiel de l</w:t>
      </w:r>
      <w:r w:rsidR="00E84B0E">
        <w:t>’</w:t>
      </w:r>
      <w:r>
        <w:t>institution administrant le système (c.-à-d. le responsable de la BC). Ce</w:t>
      </w:r>
      <w:r w:rsidR="00714434">
        <w:t>la</w:t>
      </w:r>
      <w:r>
        <w:t xml:space="preserve"> n</w:t>
      </w:r>
      <w:r w:rsidR="00E84B0E">
        <w:t>’</w:t>
      </w:r>
      <w:r>
        <w:t>implique pas pour autant que les savoirs représentés dans la BC sont complets ou exhaustifs, de sorte que, tant que l</w:t>
      </w:r>
      <w:r w:rsidR="00E84B0E">
        <w:t>’</w:t>
      </w:r>
      <w:r>
        <w:t>information fait l</w:t>
      </w:r>
      <w:r w:rsidR="00E84B0E">
        <w:t>’</w:t>
      </w:r>
      <w:r>
        <w:t>objet d</w:t>
      </w:r>
      <w:r w:rsidR="00E84B0E">
        <w:t>’</w:t>
      </w:r>
      <w:r>
        <w:t>un maintien actif, elle est sujette à des révisions et à des améliorations au gré de l</w:t>
      </w:r>
      <w:r w:rsidR="00E84B0E">
        <w:t>’</w:t>
      </w:r>
      <w:r>
        <w:t>avancement de la recherche et de la compréhension qui en est fait</w:t>
      </w:r>
      <w:r w:rsidR="001F00AF">
        <w:t>e</w:t>
      </w:r>
      <w:r w:rsidR="001F00AF">
        <w:rPr>
          <w:rStyle w:val="Appelnotedebasdep"/>
        </w:rPr>
        <w:footnoteReference w:id="7"/>
      </w:r>
      <w:r>
        <w:t>. Une BC ne représente en effet pas une part de la réalité, mais bien la conception que s</w:t>
      </w:r>
      <w:r w:rsidR="00E84B0E">
        <w:t>’</w:t>
      </w:r>
      <w:r>
        <w:t xml:space="preserve">en font raisonnablement ces responsables même si, </w:t>
      </w:r>
      <w:r w:rsidR="00021E92">
        <w:t xml:space="preserve">aux </w:t>
      </w:r>
      <w:r>
        <w:t>fins de simplicité, il est souvent indiqué qu</w:t>
      </w:r>
      <w:r w:rsidR="00E84B0E">
        <w:t>’</w:t>
      </w:r>
      <w:r>
        <w:t>une BC représente une réalité.</w:t>
      </w:r>
    </w:p>
    <w:p w14:paraId="62419788" w14:textId="73B5A370" w:rsidR="00065317" w:rsidRDefault="005C7BF7">
      <w:pPr>
        <w:pStyle w:val="Corpsdetexte"/>
      </w:pPr>
      <w:r>
        <w:t>Les énoncés d</w:t>
      </w:r>
      <w:r w:rsidR="00E84B0E">
        <w:t>’</w:t>
      </w:r>
      <w:r>
        <w:t>une BC peuvent toutefois avoir des références explicites aux agents qui les ont produits (c.-à-d. des énoncés de responsabilité supplémentaires [</w:t>
      </w:r>
      <w:r w:rsidR="00AF51A3">
        <w:t xml:space="preserve">n.d.t. </w:t>
      </w:r>
      <w:r>
        <w:t>qui s</w:t>
      </w:r>
      <w:r w:rsidR="00E84B0E">
        <w:t>’</w:t>
      </w:r>
      <w:r>
        <w:t>ajoutent à l</w:t>
      </w:r>
      <w:r w:rsidR="00E84B0E">
        <w:t>’</w:t>
      </w:r>
      <w:r>
        <w:t xml:space="preserve">énoncé institutionnel implicite]). Dans </w:t>
      </w:r>
      <w:r w:rsidR="00C8288F">
        <w:t>CIDOC CRM</w:t>
      </w:r>
      <w:r>
        <w:t>, de tels énoncés de responsabilité prennent la forme d</w:t>
      </w:r>
      <w:r w:rsidR="00E84B0E">
        <w:t>’</w:t>
      </w:r>
      <w:r>
        <w:t xml:space="preserve">évènements de création de connaissances par le biais de </w:t>
      </w:r>
      <w:r>
        <w:rPr>
          <w:rStyle w:val="VerbatimChar"/>
        </w:rPr>
        <w:t>E13_Assignation_d</w:t>
      </w:r>
      <w:r w:rsidR="00E84B0E">
        <w:rPr>
          <w:rStyle w:val="VerbatimChar"/>
        </w:rPr>
        <w:t>’</w:t>
      </w:r>
      <w:r>
        <w:rPr>
          <w:rStyle w:val="VerbatimChar"/>
        </w:rPr>
        <w:t>attribut</w:t>
      </w:r>
      <w:r>
        <w:t xml:space="preserve"> ou de l</w:t>
      </w:r>
      <w:r w:rsidR="00E84B0E">
        <w:t>’</w:t>
      </w:r>
      <w:r>
        <w:t>une de ses sous-classes pertinentes. Lorsqu</w:t>
      </w:r>
      <w:r w:rsidR="00E84B0E">
        <w:t>’</w:t>
      </w:r>
      <w:r>
        <w:t>un évènement de création de connaissances comporte un énoncé indiquant explicitement qui est son auteur, l</w:t>
      </w:r>
      <w:r w:rsidR="00E84B0E">
        <w:t>’</w:t>
      </w:r>
      <w:r>
        <w:t>autorité de cet évènement est attribuée à l</w:t>
      </w:r>
      <w:r w:rsidR="00E84B0E">
        <w:t>’</w:t>
      </w:r>
      <w:r>
        <w:t>institution responsable du maintien de la BC alors que le contenu résultant de cet évènement est attribué à l</w:t>
      </w:r>
      <w:r w:rsidR="00E84B0E">
        <w:t>’</w:t>
      </w:r>
      <w:r>
        <w:t>agent l</w:t>
      </w:r>
      <w:r w:rsidR="00E84B0E">
        <w:t>’</w:t>
      </w:r>
      <w:r>
        <w:t>ayant initié.</w:t>
      </w:r>
    </w:p>
    <w:p w14:paraId="095F1B92" w14:textId="734B353E" w:rsidR="00065317" w:rsidRDefault="005C7BF7">
      <w:pPr>
        <w:pStyle w:val="Corpsdetexte"/>
      </w:pPr>
      <w:r>
        <w:t>Lorsqu</w:t>
      </w:r>
      <w:r w:rsidR="00E84B0E">
        <w:t>’</w:t>
      </w:r>
      <w:r>
        <w:t>une institution prend à sa charge une base de données dans le cadre d</w:t>
      </w:r>
      <w:r w:rsidR="00E84B0E">
        <w:t>’</w:t>
      </w:r>
      <w:r>
        <w:t>un transfert de sa garde d</w:t>
      </w:r>
      <w:r w:rsidR="00E84B0E">
        <w:t>’</w:t>
      </w:r>
      <w:r>
        <w:t>une autorité administrative à une autre, deux relations de responsabilité sur les connaissances de cette BC sont possibles. Si l</w:t>
      </w:r>
      <w:r w:rsidR="00E84B0E">
        <w:t>’</w:t>
      </w:r>
      <w:r>
        <w:t>institution hôte accepte la responsabilité du maintien des informations, elle devient l</w:t>
      </w:r>
      <w:r w:rsidR="00E84B0E">
        <w:t>’</w:t>
      </w:r>
      <w:r>
        <w:t>autorité associée par défaut aux énoncés qui s</w:t>
      </w:r>
      <w:r w:rsidR="00E84B0E">
        <w:t>’</w:t>
      </w:r>
      <w:r>
        <w:t>y trouvent. Si, par contre, l</w:t>
      </w:r>
      <w:r w:rsidR="00E84B0E">
        <w:t>’</w:t>
      </w:r>
      <w:r>
        <w:t>institution hôte traite l</w:t>
      </w:r>
      <w:r w:rsidR="00E84B0E">
        <w:t>’</w:t>
      </w:r>
      <w:r>
        <w:t>ensemble des données comme une ressource « fermée » [</w:t>
      </w:r>
      <w:r w:rsidR="00AF51A3">
        <w:t xml:space="preserve">n.d.t. </w:t>
      </w:r>
      <w:r>
        <w:t>donc traité à la manière d</w:t>
      </w:r>
      <w:r w:rsidR="00E84B0E">
        <w:t>’</w:t>
      </w:r>
      <w:r>
        <w:t>un artéfact], l</w:t>
      </w:r>
      <w:r w:rsidR="00E84B0E">
        <w:t>’</w:t>
      </w:r>
      <w:r>
        <w:t>autorité associée par défaut aux énoncés qui s</w:t>
      </w:r>
      <w:r w:rsidR="00E84B0E">
        <w:t>’</w:t>
      </w:r>
      <w:r>
        <w:t>y trouvent sera celle de l</w:t>
      </w:r>
      <w:r w:rsidR="00E84B0E">
        <w:t>’</w:t>
      </w:r>
      <w:r>
        <w:t>institution initiale (comme c</w:t>
      </w:r>
      <w:r w:rsidR="00E84B0E">
        <w:t>’</w:t>
      </w:r>
      <w:r>
        <w:t>est le cas de tout autre document de recherche se trouvant dans la collection de l</w:t>
      </w:r>
      <w:r w:rsidR="00E84B0E">
        <w:t>’</w:t>
      </w:r>
      <w:r>
        <w:t>institution hôte).</w:t>
      </w:r>
    </w:p>
    <w:p w14:paraId="20B16E62" w14:textId="1CE61D52" w:rsidR="00065317" w:rsidRDefault="005C7BF7">
      <w:pPr>
        <w:pStyle w:val="Corpsdetexte"/>
      </w:pPr>
      <w:r>
        <w:t>[</w:t>
      </w:r>
      <w:r w:rsidR="00AF51A3">
        <w:t xml:space="preserve">n.d.t. </w:t>
      </w:r>
      <w:r>
        <w:t>voir « </w:t>
      </w:r>
      <w:hyperlink w:anchor="Xc708d71018eddd02093b12763d4a6210ee1a949">
        <w:r>
          <w:rPr>
            <w:rStyle w:val="Lienhypertexte"/>
          </w:rPr>
          <w:t>Processus de création de connaissances</w:t>
        </w:r>
      </w:hyperlink>
      <w:r>
        <w:t xml:space="preserve"> » dans la section </w:t>
      </w:r>
      <w:hyperlink w:anchor="terminologie">
        <w:r>
          <w:rPr>
            <w:rStyle w:val="Lienhypertexte"/>
          </w:rPr>
          <w:t>Terminologie</w:t>
        </w:r>
      </w:hyperlink>
      <w:r>
        <w:t>.]</w:t>
      </w:r>
    </w:p>
    <w:p w14:paraId="2368BA95" w14:textId="77777777" w:rsidR="00065317" w:rsidRDefault="005C7BF7">
      <w:pPr>
        <w:pStyle w:val="Normalcentr"/>
      </w:pPr>
      <w:r>
        <w:rPr>
          <w:b/>
          <w:bCs/>
          <w:i/>
          <w:iCs/>
        </w:rPr>
        <w:t>Note de traduction</w:t>
      </w:r>
    </w:p>
    <w:p w14:paraId="104DEBA5" w14:textId="42FF94A7" w:rsidR="00065317" w:rsidRDefault="005C7BF7" w:rsidP="00D746C9">
      <w:pPr>
        <w:pStyle w:val="Normalcentr"/>
      </w:pPr>
      <w:r>
        <w:rPr>
          <w:b/>
          <w:bCs/>
          <w:i/>
          <w:iCs/>
        </w:rPr>
        <w:t>Références</w:t>
      </w:r>
    </w:p>
    <w:p w14:paraId="1855D689" w14:textId="70936059" w:rsidR="00065317" w:rsidRDefault="005C7BF7" w:rsidP="00820F07">
      <w:pPr>
        <w:pStyle w:val="Titre3"/>
      </w:pPr>
      <w:bookmarkStart w:id="68" w:name="_Toc154048719"/>
      <w:bookmarkStart w:id="69" w:name="des-extensions-de-cidoc-crm"/>
      <w:bookmarkEnd w:id="67"/>
      <w:r>
        <w:t xml:space="preserve">Des extensions de </w:t>
      </w:r>
      <w:r w:rsidR="00C8288F">
        <w:t>CIDOC CRM</w:t>
      </w:r>
      <w:bookmarkEnd w:id="68"/>
    </w:p>
    <w:p w14:paraId="30140516" w14:textId="2CFBE3BB" w:rsidR="00065317" w:rsidRDefault="005C7BF7">
      <w:pPr>
        <w:pStyle w:val="FirstParagraph"/>
      </w:pPr>
      <w:r>
        <w:t>Puisque le domaine d</w:t>
      </w:r>
      <w:r w:rsidR="00E84B0E">
        <w:t>’</w:t>
      </w:r>
      <w:r>
        <w:t xml:space="preserve">application du </w:t>
      </w:r>
      <w:r w:rsidR="00C8288F">
        <w:t>CIDOC CRM</w:t>
      </w:r>
      <w:r>
        <w:t xml:space="preserve"> est en fait un sous-ensemble du monde « réel » qui lui est infini, le modèle a été conçu pour être extensible [</w:t>
      </w:r>
      <w:r w:rsidR="00AF51A3">
        <w:t xml:space="preserve">n.d.t. </w:t>
      </w:r>
      <w:r>
        <w:t>afin de répondre aux différents besoins de documentation qui pourraient en émerger]. Cette extensibilité repose en grande partie sur la possibilité d</w:t>
      </w:r>
      <w:r w:rsidR="00E84B0E">
        <w:t>’</w:t>
      </w:r>
      <w:r>
        <w:t>établir des liens avec des systèmes externes compatibles hiérarchisés par types.</w:t>
      </w:r>
    </w:p>
    <w:p w14:paraId="0B13E321" w14:textId="22C37271" w:rsidR="00784AE7" w:rsidRDefault="005C7BF7">
      <w:pPr>
        <w:pStyle w:val="Corpsdetexte"/>
      </w:pPr>
      <w:r>
        <w:t xml:space="preserve">Certains concepts du </w:t>
      </w:r>
      <w:r w:rsidR="00C8288F">
        <w:t>CIDOC CRM</w:t>
      </w:r>
      <w:r>
        <w:t xml:space="preserve"> sont nécessairement définis plus précisément que d</w:t>
      </w:r>
      <w:r w:rsidR="00E84B0E">
        <w:t>’</w:t>
      </w:r>
      <w:r>
        <w:t xml:space="preserve">autres du fait de son application pratique dans un domaine discursif qui est, lui, illimité (p. ex. les classes </w:t>
      </w:r>
      <w:r>
        <w:rPr>
          <w:rStyle w:val="VerbatimChar"/>
        </w:rPr>
        <w:t>E39_Actant</w:t>
      </w:r>
      <w:r>
        <w:t xml:space="preserve"> et </w:t>
      </w:r>
      <w:r>
        <w:rPr>
          <w:rStyle w:val="VerbatimChar"/>
        </w:rPr>
        <w:t>E30_Droit</w:t>
      </w:r>
      <w:r>
        <w:t xml:space="preserve"> sont brièvement définies alors que d</w:t>
      </w:r>
      <w:r w:rsidR="00E84B0E">
        <w:t>’</w:t>
      </w:r>
      <w:r>
        <w:t xml:space="preserve">autres sont plus précises). Ces concepts « sous-développés » peuvent être utilisés comme </w:t>
      </w:r>
      <w:hyperlink w:anchor="terminologie-super-classe">
        <w:r>
          <w:rPr>
            <w:rStyle w:val="Lienhypertexte"/>
          </w:rPr>
          <w:t>super-classes</w:t>
        </w:r>
      </w:hyperlink>
      <w:r>
        <w:t xml:space="preserve"> possibles d</w:t>
      </w:r>
      <w:r w:rsidR="00E84B0E">
        <w:t>’</w:t>
      </w:r>
      <w:r>
        <w:t>extensions compatibles (en particulier dans le cas de disciplines qui auraient une orientation spécifique et limitée); de telles additions au modèle principal (auquel on réfère parfois comme le CRMbase) sont généralement qualifiées d</w:t>
      </w:r>
      <w:r w:rsidR="00E84B0E">
        <w:t>’</w:t>
      </w:r>
      <w:r>
        <w:t>« extensions ».</w:t>
      </w:r>
    </w:p>
    <w:p w14:paraId="0CDD599C" w14:textId="01587428" w:rsidR="00065317" w:rsidRDefault="00784AE7" w:rsidP="00784AE7">
      <w:pPr>
        <w:spacing w:after="0"/>
      </w:pPr>
      <w:r>
        <w:br w:type="page"/>
      </w:r>
    </w:p>
    <w:p w14:paraId="14FD1D11" w14:textId="53B7452F" w:rsidR="00065317" w:rsidRDefault="005C7BF7">
      <w:pPr>
        <w:pStyle w:val="Corpsdetexte"/>
      </w:pPr>
      <w:r>
        <w:lastRenderedPageBreak/>
        <w:t xml:space="preserve">La compatibilité des extensions repose sur le fait que les données structurées selon celles-ci demeurent des instances valides des </w:t>
      </w:r>
      <w:hyperlink w:anchor="terminologie-classe">
        <w:r>
          <w:rPr>
            <w:rStyle w:val="Lienhypertexte"/>
          </w:rPr>
          <w:t>classes</w:t>
        </w:r>
      </w:hyperlink>
      <w:r>
        <w:t xml:space="preserve"> de CRMbase. Ce</w:t>
      </w:r>
      <w:r w:rsidR="00714434">
        <w:t>la</w:t>
      </w:r>
      <w:r>
        <w:t xml:space="preserve"> exige, d</w:t>
      </w:r>
      <w:r w:rsidR="00E84B0E">
        <w:t>’</w:t>
      </w:r>
      <w:r>
        <w:t>un point de vue pratique, un encadrement des requêtes, de sorte que toute requête d</w:t>
      </w:r>
      <w:r w:rsidR="00E84B0E">
        <w:t>’</w:t>
      </w:r>
      <w:r>
        <w:t>une base de connaissances (BC) basée sur des concepts du CRMbase doit générer des résultats qui s</w:t>
      </w:r>
      <w:r w:rsidR="00E84B0E">
        <w:t>’</w:t>
      </w:r>
      <w:r>
        <w:t>alignent avec la sémantique du modèle, et ce peu importe si la représentation de ces connaissances (RC) est structurée uniquement selon CRMbase ou si elle repose aussi en partie sur ses extensions. Par exemple, une requête telle que « énumérer tous les évènements » devrait générer 100 % des instances considérées comme des évènements par le CRMbase peu importe la manière dont elles sont classifiées par les extensions du modèle.</w:t>
      </w:r>
    </w:p>
    <w:p w14:paraId="4D50D1DE" w14:textId="24DA39BA" w:rsidR="00065317" w:rsidRDefault="005C7BF7">
      <w:pPr>
        <w:pStyle w:val="Corpsdetexte"/>
      </w:pPr>
      <w:r>
        <w:t>Un seuil acceptable de compatibilité d</w:t>
      </w:r>
      <w:r w:rsidR="00E84B0E">
        <w:t>’</w:t>
      </w:r>
      <w:r>
        <w:t xml:space="preserve">une extension avec le </w:t>
      </w:r>
      <w:r w:rsidR="00C8288F">
        <w:t>CIDOC CRM</w:t>
      </w:r>
      <w:r>
        <w:t xml:space="preserve"> est notamment établi par les conditions suivantes (qui doivent toutes être remplies) :</w:t>
      </w:r>
    </w:p>
    <w:p w14:paraId="3090106F" w14:textId="2D9D8824" w:rsidR="00065317" w:rsidRDefault="005C7BF7">
      <w:pPr>
        <w:numPr>
          <w:ilvl w:val="0"/>
          <w:numId w:val="20"/>
        </w:numPr>
      </w:pPr>
      <w:r>
        <w:t>les classes de CRMbase à l</w:t>
      </w:r>
      <w:r w:rsidR="00E84B0E">
        <w:t>’</w:t>
      </w:r>
      <w:r>
        <w:t xml:space="preserve">exception de </w:t>
      </w:r>
      <w:r>
        <w:rPr>
          <w:rStyle w:val="VerbatimChar"/>
        </w:rPr>
        <w:t>E1_Entité_CRM</w:t>
      </w:r>
      <w:r>
        <w:t xml:space="preserve"> subsument toutes les classes de cette extension;</w:t>
      </w:r>
    </w:p>
    <w:p w14:paraId="21D3438C" w14:textId="3856827F" w:rsidR="00065317" w:rsidRDefault="005C7BF7">
      <w:pPr>
        <w:numPr>
          <w:ilvl w:val="0"/>
          <w:numId w:val="20"/>
        </w:numPr>
      </w:pPr>
      <w:r>
        <w:t xml:space="preserve">les </w:t>
      </w:r>
      <w:hyperlink w:anchor="terminologie-propriete">
        <w:r>
          <w:rPr>
            <w:rStyle w:val="Lienhypertexte"/>
          </w:rPr>
          <w:t>propriétés</w:t>
        </w:r>
      </w:hyperlink>
      <w:r>
        <w:t xml:space="preserve"> de CRMbase subsument les propriétés de cette extension ou ces dernières font partie d</w:t>
      </w:r>
      <w:r w:rsidR="00E84B0E">
        <w:t>’</w:t>
      </w:r>
      <w:r>
        <w:t xml:space="preserve">un chemin sémantique pour lequel une propriété du CRMbase fait office de </w:t>
      </w:r>
      <w:hyperlink w:anchor="terminologie-raccourci">
        <w:r>
          <w:rPr>
            <w:rStyle w:val="Lienhypertexte"/>
          </w:rPr>
          <w:t>raccourci</w:t>
        </w:r>
      </w:hyperlink>
      <w:r>
        <w:t>;</w:t>
      </w:r>
    </w:p>
    <w:p w14:paraId="40D327CD" w14:textId="56D94000" w:rsidR="00065317" w:rsidRDefault="005C7BF7">
      <w:pPr>
        <w:numPr>
          <w:ilvl w:val="0"/>
          <w:numId w:val="20"/>
        </w:numPr>
      </w:pPr>
      <w:r>
        <w:t>les classes et les propriétés de l</w:t>
      </w:r>
      <w:r w:rsidR="00E84B0E">
        <w:t>’</w:t>
      </w:r>
      <w:r>
        <w:t>extension peuvent être aisément distinguées de celle du CRMbase (p. ex. une classe « objet tangible » pourrait entrer en conflit avec des classes du CRMbase [</w:t>
      </w:r>
      <w:r w:rsidR="00AF51A3">
        <w:t xml:space="preserve">n.d.t. </w:t>
      </w:r>
      <w:r>
        <w:t xml:space="preserve">comme </w:t>
      </w:r>
      <w:r>
        <w:rPr>
          <w:rStyle w:val="VerbatimChar"/>
        </w:rPr>
        <w:t>E19_Objet_Matériel</w:t>
      </w:r>
      <w:r>
        <w:t>] et cette évaluation ne pourrait être faite qu</w:t>
      </w:r>
      <w:r w:rsidR="00E84B0E">
        <w:t>’</w:t>
      </w:r>
      <w:r>
        <w:t>intellectuellement).</w:t>
      </w:r>
    </w:p>
    <w:p w14:paraId="7FAACA6C" w14:textId="5FF3FDAF" w:rsidR="00065317" w:rsidRDefault="005C7BF7">
      <w:pPr>
        <w:pStyle w:val="FirstParagraph"/>
      </w:pPr>
      <w:r>
        <w:t>Le CRMbase fournit un certain nombre de mécanismes d</w:t>
      </w:r>
      <w:r w:rsidR="00E84B0E">
        <w:t>’</w:t>
      </w:r>
      <w:r>
        <w:t>extensibilité afin que son domaine d</w:t>
      </w:r>
      <w:r w:rsidR="00E84B0E">
        <w:t>’</w:t>
      </w:r>
      <w:r>
        <w:t>application initial puisse être élargi sans pour autant compromettre sa compatibilité :</w:t>
      </w:r>
    </w:p>
    <w:p w14:paraId="5624811A" w14:textId="037036D7" w:rsidR="00065317" w:rsidRDefault="005C7BF7">
      <w:pPr>
        <w:numPr>
          <w:ilvl w:val="0"/>
          <w:numId w:val="21"/>
        </w:numPr>
      </w:pPr>
      <w:r>
        <w:t>Les classes existantes peuvent faire l</w:t>
      </w:r>
      <w:r w:rsidR="00E84B0E">
        <w:t>’</w:t>
      </w:r>
      <w:r>
        <w:t>objet d</w:t>
      </w:r>
      <w:r w:rsidR="00E84B0E">
        <w:t>’</w:t>
      </w:r>
      <w:r>
        <w:t xml:space="preserve">une extension structurellement </w:t>
      </w:r>
      <w:r w:rsidR="000E52E8">
        <w:t>–</w:t>
      </w:r>
      <w:r>
        <w:t xml:space="preserve"> par des </w:t>
      </w:r>
      <w:hyperlink w:anchor="terminologie-sous-classe">
        <w:r>
          <w:rPr>
            <w:rStyle w:val="Lienhypertexte"/>
          </w:rPr>
          <w:t>sous-classes</w:t>
        </w:r>
      </w:hyperlink>
      <w:r>
        <w:t xml:space="preserve"> </w:t>
      </w:r>
      <w:r w:rsidR="000E52E8">
        <w:t>–</w:t>
      </w:r>
      <w:r>
        <w:t xml:space="preserve"> ou dynamiquement </w:t>
      </w:r>
      <w:r w:rsidR="000E52E8">
        <w:t>–</w:t>
      </w:r>
      <w:r>
        <w:t xml:space="preserve"> par une hiérarchie de types [</w:t>
      </w:r>
      <w:r w:rsidR="00AF51A3">
        <w:t xml:space="preserve">n.d.t. </w:t>
      </w:r>
      <w:r>
        <w:t xml:space="preserve">comme un vocabulaire contrôlé] (à ce sujet, consulter la section intitulée </w:t>
      </w:r>
      <w:hyperlink w:anchor="des-types">
        <w:r>
          <w:rPr>
            <w:rStyle w:val="Lienhypertexte"/>
          </w:rPr>
          <w:t>Des types</w:t>
        </w:r>
      </w:hyperlink>
      <w:r>
        <w:t>).</w:t>
      </w:r>
    </w:p>
    <w:p w14:paraId="5179A3A0" w14:textId="776C5DC8" w:rsidR="00065317" w:rsidRDefault="005C7BF7">
      <w:pPr>
        <w:numPr>
          <w:ilvl w:val="0"/>
          <w:numId w:val="21"/>
        </w:numPr>
      </w:pPr>
      <w:r>
        <w:t>Les propriétés existantes peuvent faire l</w:t>
      </w:r>
      <w:r w:rsidR="00E84B0E">
        <w:t>’</w:t>
      </w:r>
      <w:r>
        <w:t>objet d</w:t>
      </w:r>
      <w:r w:rsidR="00E84B0E">
        <w:t>’</w:t>
      </w:r>
      <w:r>
        <w:t xml:space="preserve">une extension structurellement </w:t>
      </w:r>
      <w:r w:rsidR="000E52E8">
        <w:t>–</w:t>
      </w:r>
      <w:r>
        <w:t xml:space="preserve"> par des </w:t>
      </w:r>
      <w:hyperlink w:anchor="terminologie-sous-propriete">
        <w:r>
          <w:rPr>
            <w:rStyle w:val="Lienhypertexte"/>
          </w:rPr>
          <w:t xml:space="preserve">sous-propriétés </w:t>
        </w:r>
      </w:hyperlink>
      <w:r w:rsidR="000E52E8">
        <w:t>–</w:t>
      </w:r>
      <w:r>
        <w:t xml:space="preserve"> ou dynamiquement </w:t>
      </w:r>
      <w:r w:rsidR="000E52E8">
        <w:t>–</w:t>
      </w:r>
      <w:r>
        <w:t xml:space="preserve"> par l</w:t>
      </w:r>
      <w:r w:rsidR="00E84B0E">
        <w:t>’</w:t>
      </w:r>
      <w:r>
        <w:t xml:space="preserve">utilisation de propriétés de propriétés permettant le sous-typage (à ce sujet, consulter la section intitulée </w:t>
      </w:r>
      <w:hyperlink w:anchor="des-types">
        <w:r>
          <w:rPr>
            <w:rStyle w:val="Lienhypertexte"/>
          </w:rPr>
          <w:t>Des types</w:t>
        </w:r>
      </w:hyperlink>
      <w:r>
        <w:t>).</w:t>
      </w:r>
    </w:p>
    <w:p w14:paraId="42872185" w14:textId="142BC1F4" w:rsidR="00065317" w:rsidRDefault="005C7BF7">
      <w:pPr>
        <w:numPr>
          <w:ilvl w:val="0"/>
          <w:numId w:val="21"/>
        </w:numPr>
      </w:pPr>
      <w:r>
        <w:t xml:space="preserve">Les informations pertinentes pour lesquelles la sémantique formelle du </w:t>
      </w:r>
      <w:r w:rsidR="00C8288F">
        <w:t>CIDOC CRM</w:t>
      </w:r>
      <w:r>
        <w:t xml:space="preserve"> serait inadéquate ou insuffisante peuvent être enregistrées à titre de données non structurées en utilisant la forme suivante :</w:t>
      </w:r>
      <w:r w:rsidR="00C8288F">
        <w:t> p. ex. </w:t>
      </w:r>
      <w:r>
        <w:rPr>
          <w:rStyle w:val="VerbatimChar"/>
        </w:rPr>
        <w:t>E1_Entité_CRM</w:t>
      </w:r>
      <w:r>
        <w:t xml:space="preserve"> . </w:t>
      </w:r>
      <w:r>
        <w:rPr>
          <w:rStyle w:val="VerbatimChar"/>
        </w:rPr>
        <w:t>P3_a_pour_note</w:t>
      </w:r>
      <w:r>
        <w:t xml:space="preserve"> : </w:t>
      </w:r>
      <w:r>
        <w:rPr>
          <w:rStyle w:val="VerbatimChar"/>
        </w:rPr>
        <w:t>E62_Chaîne_de_caractères</w:t>
      </w:r>
      <w:r>
        <w:t>.</w:t>
      </w:r>
    </w:p>
    <w:p w14:paraId="551DB079" w14:textId="2D592B1A" w:rsidR="00065317" w:rsidRDefault="005C7BF7">
      <w:pPr>
        <w:numPr>
          <w:ilvl w:val="0"/>
          <w:numId w:val="21"/>
        </w:numPr>
      </w:pPr>
      <w:r>
        <w:t>Le CRMbase lui-même peut être élargi par le biais de super-classes et de propriétés s</w:t>
      </w:r>
      <w:r w:rsidR="00E84B0E">
        <w:t>’</w:t>
      </w:r>
      <w:r>
        <w:t>appliquant à un domaine plus large (des « extensions conservatrices ») qui maintiennent néanmoins une compatibilité rétroactive avec les instances décrites dans le CRMbase.</w:t>
      </w:r>
    </w:p>
    <w:p w14:paraId="6F0804E5" w14:textId="1F62E910" w:rsidR="00065317" w:rsidRDefault="005C7BF7">
      <w:pPr>
        <w:pStyle w:val="FirstParagraph"/>
      </w:pPr>
      <w:r>
        <w:t>L</w:t>
      </w:r>
      <w:r w:rsidR="00E84B0E">
        <w:t>’</w:t>
      </w:r>
      <w:r>
        <w:t>utilisation des stratégies [</w:t>
      </w:r>
      <w:r w:rsidR="00AF51A3">
        <w:t xml:space="preserve">n.d.t. </w:t>
      </w:r>
      <w:r>
        <w:t xml:space="preserve">aussi nommées </w:t>
      </w:r>
      <w:r w:rsidR="00021E92">
        <w:t>« </w:t>
      </w:r>
      <w:r>
        <w:t>mécanismes</w:t>
      </w:r>
      <w:r w:rsidR="00021E92">
        <w:t> »</w:t>
      </w:r>
      <w:r>
        <w:t>] 1, 2 et 3 entraîne une subsomption des extensions par le CRMbase et, de fait, leur couverture complète par ce dernier, de sorte qu</w:t>
      </w:r>
      <w:r w:rsidR="00E84B0E">
        <w:t>’</w:t>
      </w:r>
      <w:r>
        <w:t>une requête n</w:t>
      </w:r>
      <w:r w:rsidR="00E84B0E">
        <w:t>’</w:t>
      </w:r>
      <w:r>
        <w:t>utilisant que des concepts du CRMbase dans une base de connaissances extensionnée [</w:t>
      </w:r>
      <w:r w:rsidR="00AF51A3">
        <w:t xml:space="preserve">n.d.t. </w:t>
      </w:r>
      <w:r>
        <w:t>mobilisant des extensions] aura pour résultat une extraction de tous les éléments décrits par le biais de ces extensions.</w:t>
      </w:r>
    </w:p>
    <w:p w14:paraId="21B0B776" w14:textId="487CFCC0" w:rsidR="00065317" w:rsidRDefault="005C7BF7">
      <w:pPr>
        <w:pStyle w:val="Corpsdetexte"/>
      </w:pPr>
      <w:r>
        <w:t xml:space="preserve">Dans le cas du </w:t>
      </w:r>
      <w:r>
        <w:rPr>
          <w:b/>
          <w:bCs/>
        </w:rPr>
        <w:t>troisième mécanisme</w:t>
      </w:r>
      <w:r>
        <w:t xml:space="preserve"> [</w:t>
      </w:r>
      <w:r w:rsidR="00AF51A3">
        <w:t xml:space="preserve">n.d.t. </w:t>
      </w:r>
      <w:r>
        <w:t>l</w:t>
      </w:r>
      <w:r w:rsidR="00E84B0E">
        <w:t>’</w:t>
      </w:r>
      <w:r>
        <w:t>utilisation de notes pour représenter des données non structurées], l</w:t>
      </w:r>
      <w:r w:rsidR="00E84B0E">
        <w:t>’</w:t>
      </w:r>
      <w:r>
        <w:t xml:space="preserve">information contenues dans les notes est accessible depuis la base de connaissances en extrayant les </w:t>
      </w:r>
      <w:hyperlink w:anchor="terminologie-instance">
        <w:r>
          <w:rPr>
            <w:rStyle w:val="Lienhypertexte"/>
          </w:rPr>
          <w:t>instances</w:t>
        </w:r>
      </w:hyperlink>
      <w:r>
        <w:t xml:space="preserve"> de </w:t>
      </w:r>
      <w:r>
        <w:rPr>
          <w:rStyle w:val="VerbatimChar"/>
        </w:rPr>
        <w:t>E1_Entité_CRM</w:t>
      </w:r>
      <w:r>
        <w:t xml:space="preserve"> qui sont le </w:t>
      </w:r>
      <w:hyperlink w:anchor="terminologie-domaine">
        <w:r>
          <w:rPr>
            <w:rStyle w:val="Lienhypertexte"/>
          </w:rPr>
          <w:t>domaine</w:t>
        </w:r>
      </w:hyperlink>
      <w:r>
        <w:t xml:space="preserve"> de </w:t>
      </w:r>
      <w:r>
        <w:rPr>
          <w:rStyle w:val="VerbatimChar"/>
        </w:rPr>
        <w:t>P3_a_pour_note</w:t>
      </w:r>
      <w:r>
        <w:t xml:space="preserve"> ou en effectuant une recherche par mot-clé. La note devrait être appliquée à l</w:t>
      </w:r>
      <w:r w:rsidR="00E84B0E">
        <w:t>’</w:t>
      </w:r>
      <w:r>
        <w:t>élément qui porte le plus spécifiquement sur le contenu de la note et des règles d</w:t>
      </w:r>
      <w:r w:rsidR="00E84B0E">
        <w:t>’</w:t>
      </w:r>
      <w:r>
        <w:t>application devraient à cet égard être mises en place [</w:t>
      </w:r>
      <w:r w:rsidR="00AF51A3">
        <w:t xml:space="preserve">n.d.t. </w:t>
      </w:r>
      <w:r>
        <w:t>par les responsables de la base de connaissances]. Par exemple, des détails quant au rôle que joue un acteur dans le contexte spécifique d</w:t>
      </w:r>
      <w:r w:rsidR="00E84B0E">
        <w:t>’</w:t>
      </w:r>
      <w:r>
        <w:t>une activité devraient être associés à l</w:t>
      </w:r>
      <w:r w:rsidR="00E84B0E">
        <w:t>’</w:t>
      </w:r>
      <w:r>
        <w:t xml:space="preserve">instance de </w:t>
      </w:r>
      <w:r>
        <w:rPr>
          <w:rStyle w:val="VerbatimChar"/>
        </w:rPr>
        <w:t>E7_Activité</w:t>
      </w:r>
      <w:r>
        <w:t xml:space="preserve"> plutôt que de </w:t>
      </w:r>
      <w:r>
        <w:rPr>
          <w:rStyle w:val="VerbatimChar"/>
        </w:rPr>
        <w:lastRenderedPageBreak/>
        <w:t>E39_Actant</w:t>
      </w:r>
      <w:r>
        <w:t xml:space="preserve"> [</w:t>
      </w:r>
      <w:r w:rsidR="00AF51A3">
        <w:t xml:space="preserve">n.d.t. </w:t>
      </w:r>
      <w:r>
        <w:t>puisque ce rôle n</w:t>
      </w:r>
      <w:r w:rsidR="00E84B0E">
        <w:t>’</w:t>
      </w:r>
      <w:r>
        <w:t>est pas généralement endossé par l</w:t>
      </w:r>
      <w:r w:rsidR="00E84B0E">
        <w:t>’</w:t>
      </w:r>
      <w:r>
        <w:t>acteur et qu</w:t>
      </w:r>
      <w:r w:rsidR="00E84B0E">
        <w:t>’</w:t>
      </w:r>
      <w:r>
        <w:t>il ne s</w:t>
      </w:r>
      <w:r w:rsidR="00E84B0E">
        <w:t>’</w:t>
      </w:r>
      <w:r>
        <w:t>applique qu</w:t>
      </w:r>
      <w:r w:rsidR="00E84B0E">
        <w:t>’</w:t>
      </w:r>
      <w:r>
        <w:t>au contexte particulier de l</w:t>
      </w:r>
      <w:r w:rsidR="00E84B0E">
        <w:t>’</w:t>
      </w:r>
      <w:r>
        <w:t>activité décrite). Cette approche est la plus appropriée tant et aussi longtemps qu</w:t>
      </w:r>
      <w:r w:rsidR="00E84B0E">
        <w:t>’</w:t>
      </w:r>
      <w:r>
        <w:t>il n</w:t>
      </w:r>
      <w:r w:rsidR="00E84B0E">
        <w:t>’</w:t>
      </w:r>
      <w:r>
        <w:t>est pas nécessaire de faire des requêtes reliant les contenus de plusieurs notes de cette nature dans une même base de connaissances.</w:t>
      </w:r>
    </w:p>
    <w:p w14:paraId="137ADD7F" w14:textId="6F006C67" w:rsidR="00065317" w:rsidRDefault="005C7BF7">
      <w:pPr>
        <w:pStyle w:val="Corpsdetexte"/>
      </w:pPr>
      <w:r>
        <w:t>De manière générale, seuls les concepts soumis à des requêtes formelles sélectionnant des instances multiples de la base de connaissances nécessitent une modélisation explicite; ce</w:t>
      </w:r>
      <w:r w:rsidR="00916E12">
        <w:t>la</w:t>
      </w:r>
      <w:r>
        <w:t xml:space="preserve"> repose cependant sur les applications anticipée et pratique de la base de connaissances. Le </w:t>
      </w:r>
      <w:r w:rsidR="00C8288F">
        <w:t>CIDOC CRM</w:t>
      </w:r>
      <w:r>
        <w:t xml:space="preserve"> accorde en effet une importance particulière à la modélisation des éléments qu</w:t>
      </w:r>
      <w:r w:rsidR="00E84B0E">
        <w:t>’</w:t>
      </w:r>
      <w:r>
        <w:t>un utilisateur aimerait extraire et lier depuis des sources hétérogènes (voire inter-institutionnelles) de contenus. Il ne priorise donc pas la modélisation d</w:t>
      </w:r>
      <w:r w:rsidR="00E84B0E">
        <w:t>’</w:t>
      </w:r>
      <w:r>
        <w:t>éléments dont l</w:t>
      </w:r>
      <w:r w:rsidR="00E84B0E">
        <w:t>’</w:t>
      </w:r>
      <w:r>
        <w:t>application est localisée et spécifique telles que les pratiques administratives internes d</w:t>
      </w:r>
      <w:r w:rsidR="00E84B0E">
        <w:t>’</w:t>
      </w:r>
      <w:r>
        <w:t>une institution.</w:t>
      </w:r>
    </w:p>
    <w:p w14:paraId="6B900A61" w14:textId="3A48F70A" w:rsidR="00065317" w:rsidRDefault="005C7BF7">
      <w:pPr>
        <w:pStyle w:val="Corpsdetexte"/>
      </w:pPr>
      <w:r>
        <w:t xml:space="preserve">Le </w:t>
      </w:r>
      <w:r>
        <w:rPr>
          <w:b/>
          <w:bCs/>
        </w:rPr>
        <w:t>quatrième mécanisme</w:t>
      </w:r>
      <w:r>
        <w:t xml:space="preserve"> (l</w:t>
      </w:r>
      <w:r w:rsidR="00E84B0E">
        <w:t>’</w:t>
      </w:r>
      <w:r>
        <w:t>extension conservatrice) est plus complexe :</w:t>
      </w:r>
    </w:p>
    <w:p w14:paraId="0FEB22C1" w14:textId="69A5D9E6" w:rsidR="00065317" w:rsidRDefault="005C7BF7">
      <w:pPr>
        <w:pStyle w:val="Corpsdetexte"/>
      </w:pPr>
      <w:r>
        <w:t>[</w:t>
      </w:r>
      <w:r w:rsidR="00AF51A3">
        <w:t xml:space="preserve">n.d.t. </w:t>
      </w:r>
      <w:r>
        <w:t>L</w:t>
      </w:r>
      <w:r w:rsidR="00E84B0E">
        <w:t>’</w:t>
      </w:r>
      <w:r>
        <w:t>utilisation des extension conservatrices découle d</w:t>
      </w:r>
      <w:r w:rsidR="00E84B0E">
        <w:t>’</w:t>
      </w:r>
      <w:r>
        <w:t xml:space="preserve">un] usage accru du </w:t>
      </w:r>
      <w:r w:rsidR="00C8288F">
        <w:t>CIDOC CRM</w:t>
      </w:r>
      <w:r>
        <w:t xml:space="preserve"> dont émane le besoin de modéliser des phénomènes issus d</w:t>
      </w:r>
      <w:r w:rsidR="00E84B0E">
        <w:t>’</w:t>
      </w:r>
      <w:r>
        <w:t>un domaine d</w:t>
      </w:r>
      <w:r w:rsidR="00E84B0E">
        <w:t>’</w:t>
      </w:r>
      <w:r>
        <w:t>application plus large que celui qu</w:t>
      </w:r>
      <w:r w:rsidR="00E84B0E">
        <w:t>’</w:t>
      </w:r>
      <w:r>
        <w:t>avait initialement anticipé le modèle bien que ceux-ci s</w:t>
      </w:r>
      <w:r w:rsidR="00E84B0E">
        <w:t>’</w:t>
      </w:r>
      <w:r>
        <w:t>inscrivent néanmoins dans le domaine d</w:t>
      </w:r>
      <w:r w:rsidR="00E84B0E">
        <w:t>’</w:t>
      </w:r>
      <w:r>
        <w:t>application des concepts de CRMbase. Dans de tels cas, les propriétés de CRMbase s</w:t>
      </w:r>
      <w:r w:rsidR="00E84B0E">
        <w:t>’</w:t>
      </w:r>
      <w:r>
        <w:t>avèrent souvent applicables aux super-classes des extensions de manière plus générale qu</w:t>
      </w:r>
      <w:r w:rsidR="00E84B0E">
        <w:t>’</w:t>
      </w:r>
      <w:r>
        <w:t>elles ne s</w:t>
      </w:r>
      <w:r w:rsidR="00E84B0E">
        <w:t>’</w:t>
      </w:r>
      <w:r>
        <w:t xml:space="preserve">appliquent à leur domaine et/ou à leur </w:t>
      </w:r>
      <w:hyperlink w:anchor="terminologie-portee">
        <w:r>
          <w:rPr>
            <w:rStyle w:val="Lienhypertexte"/>
          </w:rPr>
          <w:t>portée</w:t>
        </w:r>
      </w:hyperlink>
      <w:r>
        <w:t xml:space="preserve"> dans CRMbase. Ce</w:t>
      </w:r>
      <w:r w:rsidR="00714434">
        <w:t>la</w:t>
      </w:r>
      <w:r>
        <w:t xml:space="preserve"> résulte de l</w:t>
      </w:r>
      <w:r w:rsidR="00E84B0E">
        <w:t>’</w:t>
      </w:r>
      <w:r>
        <w:t>approche « ascendante » [</w:t>
      </w:r>
      <w:r w:rsidR="00AF51A3">
        <w:t xml:space="preserve">n.d.t. </w:t>
      </w:r>
      <w:r>
        <w:t>élaboration d</w:t>
      </w:r>
      <w:r w:rsidR="00E84B0E">
        <w:t>’</w:t>
      </w:r>
      <w:r>
        <w:t>un tout depuis ses parties nécessaires, appelée en anglais « bottom-up</w:t>
      </w:r>
      <w:r w:rsidR="00110C5D">
        <w:t> »</w:t>
      </w:r>
      <w:r>
        <w:t xml:space="preserve">] privilégiée par le </w:t>
      </w:r>
      <w:r w:rsidR="00C8288F">
        <w:t>CIDOC CRM</w:t>
      </w:r>
      <w:r>
        <w:t xml:space="preserve"> et selon laquelle les domaines et portées des propriétés sont aussi étroitement définis que possible dans le cadre du domaine d</w:t>
      </w:r>
      <w:r w:rsidR="00E84B0E">
        <w:t>’</w:t>
      </w:r>
      <w:r>
        <w:t>application concerné (et ce afin d</w:t>
      </w:r>
      <w:r w:rsidR="00E84B0E">
        <w:t>’</w:t>
      </w:r>
      <w:r>
        <w:t>éviter des généralisations qui exigeraient des corrections non monotones ou induiraient des mécompréhensions).</w:t>
      </w:r>
    </w:p>
    <w:p w14:paraId="4AA0EECD" w14:textId="4F3CE5A7" w:rsidR="00065317" w:rsidRDefault="005C7BF7">
      <w:pPr>
        <w:pStyle w:val="Corpsdetexte"/>
      </w:pPr>
      <w:r>
        <w:t>Ce quatrième mécanisme d</w:t>
      </w:r>
      <w:r w:rsidR="00E84B0E">
        <w:t>’</w:t>
      </w:r>
      <w:r>
        <w:t xml:space="preserve">extension de </w:t>
      </w:r>
      <w:r w:rsidR="00C8288F">
        <w:t>CIDOC CRM</w:t>
      </w:r>
      <w:r>
        <w:t xml:space="preserve"> peut être divisé en deux scénarios :</w:t>
      </w:r>
    </w:p>
    <w:p w14:paraId="1AF5FA27" w14:textId="1ED27097" w:rsidR="00065317" w:rsidRDefault="005C7BF7">
      <w:pPr>
        <w:numPr>
          <w:ilvl w:val="0"/>
          <w:numId w:val="22"/>
        </w:numPr>
      </w:pPr>
      <w:r>
        <w:t xml:space="preserve">Une classe </w:t>
      </w:r>
      <w:r w:rsidR="000E52E8">
        <w:t>–</w:t>
      </w:r>
      <w:r>
        <w:t xml:space="preserve"> qui n</w:t>
      </w:r>
      <w:r w:rsidR="00E84B0E">
        <w:t>’</w:t>
      </w:r>
      <w:r>
        <w:t>est pas couverte par les super-classes de CRMbase à l</w:t>
      </w:r>
      <w:r w:rsidR="00E84B0E">
        <w:t>’</w:t>
      </w:r>
      <w:r>
        <w:t xml:space="preserve">exception de </w:t>
      </w:r>
      <w:r>
        <w:rPr>
          <w:rStyle w:val="VerbatimChar"/>
        </w:rPr>
        <w:t>E1_Entité_CRM</w:t>
      </w:r>
      <w:r>
        <w:t xml:space="preserve"> </w:t>
      </w:r>
      <w:r w:rsidR="000E52E8">
        <w:t>–</w:t>
      </w:r>
      <w:r>
        <w:t xml:space="preserve"> ou une propriété </w:t>
      </w:r>
      <w:r w:rsidR="000E52E8">
        <w:t>–</w:t>
      </w:r>
      <w:r>
        <w:t xml:space="preserve"> qui n</w:t>
      </w:r>
      <w:r w:rsidR="00E84B0E">
        <w:t>’</w:t>
      </w:r>
      <w:r>
        <w:t xml:space="preserve">est pas couverte par les super-propriétés du CRMbase </w:t>
      </w:r>
      <w:r w:rsidR="000E52E8">
        <w:t>–</w:t>
      </w:r>
      <w:r>
        <w:t xml:space="preserve"> est ajoutée à une extension de </w:t>
      </w:r>
      <w:r w:rsidR="00C8288F">
        <w:t>CIDOC CRM</w:t>
      </w:r>
      <w:r>
        <w:t>, de sorte que les éléments qui ne sont décrits que par ces concepts ne sont pas extraits par une requête faite par des concepts de CRMbase uniquement. Dans un tel cas, l</w:t>
      </w:r>
      <w:r w:rsidR="00E84B0E">
        <w:t>’</w:t>
      </w:r>
      <w:r>
        <w:t>extension devrait publier un énoncé de compatibilité précisant les classes et propriétés de haut niveau nécessaires à l</w:t>
      </w:r>
      <w:r w:rsidR="00E84B0E">
        <w:t>’</w:t>
      </w:r>
      <w:r>
        <w:t>extraction de ce qui est documenté par le modèle extensionné (une extension monotone).</w:t>
      </w:r>
    </w:p>
    <w:p w14:paraId="698A6F2D" w14:textId="56CC717B" w:rsidR="00065317" w:rsidRDefault="005C7BF7">
      <w:pPr>
        <w:numPr>
          <w:ilvl w:val="0"/>
          <w:numId w:val="22"/>
        </w:numPr>
      </w:pPr>
      <w:r>
        <w:t>Le domaine ou la portée d</w:t>
      </w:r>
      <w:r w:rsidR="00E84B0E">
        <w:t>’</w:t>
      </w:r>
      <w:r>
        <w:t>une propriété du CRMbase est modifié en faveur de la super-classe de l</w:t>
      </w:r>
      <w:r w:rsidR="00E84B0E">
        <w:t>’</w:t>
      </w:r>
      <w:r>
        <w:t>un [</w:t>
      </w:r>
      <w:r w:rsidR="00AF51A3">
        <w:t xml:space="preserve">n.d.t. </w:t>
      </w:r>
      <w:r>
        <w:t>(domaine)], l</w:t>
      </w:r>
      <w:r w:rsidR="00E84B0E">
        <w:t>’</w:t>
      </w:r>
      <w:r>
        <w:t>autre [</w:t>
      </w:r>
      <w:r w:rsidR="00AF51A3">
        <w:t xml:space="preserve">n.d.t. </w:t>
      </w:r>
      <w:r>
        <w:t>(portée)] ou encore des deux en raison du fait que cette propriété couvre un domaine d</w:t>
      </w:r>
      <w:r w:rsidR="00E84B0E">
        <w:t>’</w:t>
      </w:r>
      <w:r>
        <w:t>application plus large qu</w:t>
      </w:r>
      <w:r w:rsidR="00E84B0E">
        <w:t>’</w:t>
      </w:r>
      <w:r>
        <w:t>il n</w:t>
      </w:r>
      <w:r w:rsidR="00E84B0E">
        <w:t>’</w:t>
      </w:r>
      <w:r>
        <w:t>était initialement prévu. Dans un tel cas, tous les éléments décrits par l</w:t>
      </w:r>
      <w:r w:rsidR="00E84B0E">
        <w:t>’</w:t>
      </w:r>
      <w:r>
        <w:t>extension sont accessibles par le biais d</w:t>
      </w:r>
      <w:r w:rsidR="00E84B0E">
        <w:t>’</w:t>
      </w:r>
      <w:r>
        <w:t>une requête ne mobilisant que des concepts de CRMbase, bien que l</w:t>
      </w:r>
      <w:r w:rsidR="00E84B0E">
        <w:t>’</w:t>
      </w:r>
      <w:r>
        <w:t>extension soit en mesure de décrire des éléments additionnels. Il s</w:t>
      </w:r>
      <w:r w:rsidR="00E84B0E">
        <w:t>’</w:t>
      </w:r>
      <w:r>
        <w:t>agit d</w:t>
      </w:r>
      <w:r w:rsidR="00E84B0E">
        <w:t>’</w:t>
      </w:r>
      <w:r>
        <w:t>une extension monotone, une pratique généralement recommandée, car elle permet une évolution ascendante du modèle [</w:t>
      </w:r>
      <w:r w:rsidR="00AF51A3">
        <w:t xml:space="preserve">n.d.t. </w:t>
      </w:r>
      <w:r>
        <w:t>élaboration d</w:t>
      </w:r>
      <w:r w:rsidR="00E84B0E">
        <w:t>’</w:t>
      </w:r>
      <w:r>
        <w:t>un tout depuis ses parties nécessaires, appelée en anglais « bottom-up »]. Si un tel changement s</w:t>
      </w:r>
      <w:r w:rsidR="00E84B0E">
        <w:t>’</w:t>
      </w:r>
      <w:r>
        <w:t xml:space="preserve">inscrit dans une publication du </w:t>
      </w:r>
      <w:r w:rsidR="00C8288F">
        <w:t>CIDOC CRM</w:t>
      </w:r>
      <w:r>
        <w:t xml:space="preserve"> lui-même, il est rétro-compatible (une pratique courante dans l</w:t>
      </w:r>
      <w:r w:rsidR="00E84B0E">
        <w:t>’</w:t>
      </w:r>
      <w:r>
        <w:t>évolution du modèle).</w:t>
      </w:r>
    </w:p>
    <w:p w14:paraId="7ED7F659" w14:textId="33BA2526" w:rsidR="00065317" w:rsidRDefault="005C7BF7">
      <w:pPr>
        <w:pStyle w:val="FirstParagraph"/>
      </w:pPr>
      <w:r>
        <w:t>La documentation et l</w:t>
      </w:r>
      <w:r w:rsidR="00E84B0E">
        <w:t>’</w:t>
      </w:r>
      <w:r>
        <w:t>implémentation de ce second scénario dans le cadre d</w:t>
      </w:r>
      <w:r w:rsidR="00E84B0E">
        <w:t>’</w:t>
      </w:r>
      <w:r>
        <w:t xml:space="preserve">un module </w:t>
      </w:r>
      <w:r>
        <w:rPr>
          <w:b/>
          <w:bCs/>
        </w:rPr>
        <w:t>distinct</w:t>
      </w:r>
      <w:r>
        <w:t xml:space="preserve"> du CRMbase peut mener à des conflits lors du traitement par des langages de représentation des connaissances tels que </w:t>
      </w:r>
      <w:hyperlink r:id="rId125">
        <w:r>
          <w:rPr>
            <w:rStyle w:val="Lienhypertexte"/>
          </w:rPr>
          <w:t>RDF</w:t>
        </w:r>
      </w:hyperlink>
      <w:r>
        <w:t xml:space="preserve">/OWL. </w:t>
      </w:r>
      <w:r w:rsidR="00714434">
        <w:t>Cela</w:t>
      </w:r>
      <w:r>
        <w:t xml:space="preserve"> est dû au fait que, du point de vue de la logique formelle, la modification du domaine ou de la portée d</w:t>
      </w:r>
      <w:r w:rsidR="00E84B0E">
        <w:t>’</w:t>
      </w:r>
      <w:r>
        <w:t xml:space="preserve">une propriété </w:t>
      </w:r>
      <w:r>
        <w:rPr>
          <w:b/>
          <w:bCs/>
        </w:rPr>
        <w:t>constitue</w:t>
      </w:r>
      <w:r>
        <w:t xml:space="preserve"> un changement de signification ontologique </w:t>
      </w:r>
      <w:r>
        <w:rPr>
          <w:b/>
          <w:bCs/>
        </w:rPr>
        <w:t>complet</w:t>
      </w:r>
      <w:r>
        <w:t xml:space="preserve"> : il n</w:t>
      </w:r>
      <w:r w:rsidR="00E84B0E">
        <w:t>’</w:t>
      </w:r>
      <w:r>
        <w:t xml:space="preserve">y a pas de distinction, dans ce contexte, entre la </w:t>
      </w:r>
      <w:r>
        <w:rPr>
          <w:b/>
          <w:bCs/>
        </w:rPr>
        <w:t xml:space="preserve">signification de la propriété (indépendamment de son domaine et de sa portée) et la spécialisation de son domaine et de sa </w:t>
      </w:r>
      <w:r>
        <w:rPr>
          <w:b/>
          <w:bCs/>
        </w:rPr>
        <w:lastRenderedPageBreak/>
        <w:t>portée</w:t>
      </w:r>
      <w:r>
        <w:t xml:space="preserve">. </w:t>
      </w:r>
      <w:r w:rsidR="00714434">
        <w:t>Cela</w:t>
      </w:r>
      <w:r>
        <w:t xml:space="preserve"> est comparable à l</w:t>
      </w:r>
      <w:r w:rsidR="00E84B0E">
        <w:t>’</w:t>
      </w:r>
      <w:r>
        <w:t>extension conservatrice d</w:t>
      </w:r>
      <w:r w:rsidR="00E84B0E">
        <w:t>’</w:t>
      </w:r>
      <w:r>
        <w:t>une théorie dans un contexte logique, une pratique nécessaire à la gestion modulaire d</w:t>
      </w:r>
      <w:r w:rsidR="00E84B0E">
        <w:t>’</w:t>
      </w:r>
      <w:r>
        <w:t>ontologies de manière efficace.</w:t>
      </w:r>
    </w:p>
    <w:p w14:paraId="3E12AED7" w14:textId="77777777" w:rsidR="00065317" w:rsidRDefault="005C7BF7">
      <w:pPr>
        <w:pStyle w:val="Corpsdetexte"/>
      </w:pPr>
      <w:r>
        <w:t>Un tel cas décrit en logique du premier ordre illustre comment atteindre la modularité formellement dans ce contexte :</w:t>
      </w:r>
    </w:p>
    <w:p w14:paraId="6DCA4758" w14:textId="10A36D84" w:rsidR="00065317" w:rsidRDefault="005C7BF7">
      <w:pPr>
        <w:pStyle w:val="Corpsdetexte"/>
      </w:pPr>
      <w:r>
        <w:t>Assumant qu</w:t>
      </w:r>
      <w:r w:rsidR="00E84B0E">
        <w:t>’</w:t>
      </w:r>
      <w:r>
        <w:t xml:space="preserve">une propriété </w:t>
      </w:r>
      <w:r>
        <w:rPr>
          <w:rStyle w:val="VerbatimChar"/>
        </w:rPr>
        <w:t>P</w:t>
      </w:r>
      <w:r>
        <w:t xml:space="preserve"> est définie avec pour domaine une classe </w:t>
      </w:r>
      <w:r>
        <w:rPr>
          <w:rStyle w:val="VerbatimChar"/>
        </w:rPr>
        <w:t>A</w:t>
      </w:r>
      <w:r>
        <w:t xml:space="preserve"> et pour portée une classe </w:t>
      </w:r>
      <w:r>
        <w:rPr>
          <w:rStyle w:val="VerbatimChar"/>
        </w:rPr>
        <w:t>C</w:t>
      </w:r>
      <w:r>
        <w:t>, mais qu</w:t>
      </w:r>
      <w:r w:rsidR="00E84B0E">
        <w:t>’</w:t>
      </w:r>
      <w:r>
        <w:t xml:space="preserve">elle porte aussi pour domaine une classe </w:t>
      </w:r>
      <w:r>
        <w:rPr>
          <w:rStyle w:val="VerbatimChar"/>
        </w:rPr>
        <w:t>B</w:t>
      </w:r>
      <w:r>
        <w:t xml:space="preserve"> (une super-classe de </w:t>
      </w:r>
      <w:r>
        <w:rPr>
          <w:rStyle w:val="VerbatimChar"/>
        </w:rPr>
        <w:t>A</w:t>
      </w:r>
      <w:r>
        <w:t xml:space="preserve">) et pour portée une classe </w:t>
      </w:r>
      <w:r>
        <w:rPr>
          <w:rStyle w:val="VerbatimChar"/>
        </w:rPr>
        <w:t>D</w:t>
      </w:r>
      <w:r>
        <w:t xml:space="preserve"> (une super-classe de </w:t>
      </w:r>
      <w:r>
        <w:rPr>
          <w:rStyle w:val="VerbatimChar"/>
        </w:rPr>
        <w:t>C</w:t>
      </w:r>
      <w:r>
        <w:t>).</w:t>
      </w:r>
    </w:p>
    <w:p w14:paraId="041FE1A0" w14:textId="7C6AB1C3" w:rsidR="00065317" w:rsidRDefault="005C7BF7">
      <w:pPr>
        <w:pStyle w:val="Corpsdetexte"/>
      </w:pPr>
      <w:r>
        <w:t>Cette situation peut être décrite plus aisément par l</w:t>
      </w:r>
      <w:r w:rsidR="00E84B0E">
        <w:t>’</w:t>
      </w:r>
      <w:r>
        <w:t>introduction d</w:t>
      </w:r>
      <w:r w:rsidR="00E84B0E">
        <w:t>’</w:t>
      </w:r>
      <w:r>
        <w:t xml:space="preserve">une propriété </w:t>
      </w:r>
      <w:r>
        <w:rPr>
          <w:rStyle w:val="VerbatimChar"/>
        </w:rPr>
        <w:t>P</w:t>
      </w:r>
      <w:r w:rsidR="00E84B0E">
        <w:rPr>
          <w:rStyle w:val="VerbatimChar"/>
        </w:rPr>
        <w:t>’</w:t>
      </w:r>
      <w:r>
        <w:t xml:space="preserve"> dont le domaine est la classe </w:t>
      </w:r>
      <w:r>
        <w:rPr>
          <w:rStyle w:val="VerbatimChar"/>
        </w:rPr>
        <w:t>B</w:t>
      </w:r>
      <w:r>
        <w:t xml:space="preserve"> et la portée la classe </w:t>
      </w:r>
      <w:r>
        <w:rPr>
          <w:rStyle w:val="VerbatimChar"/>
        </w:rPr>
        <w:t>D</w:t>
      </w:r>
      <w:r>
        <w:t>.</w:t>
      </w:r>
    </w:p>
    <w:p w14:paraId="561F64E8" w14:textId="42D9D3E5" w:rsidR="00065317" w:rsidRDefault="005C7BF7">
      <w:pPr>
        <w:pStyle w:val="Corpsdetexte"/>
      </w:pPr>
      <w:r>
        <w:t>La logique suivante s</w:t>
      </w:r>
      <w:r w:rsidR="00E84B0E">
        <w:t>’</w:t>
      </w:r>
      <w:r>
        <w:t>applique donc :</w:t>
      </w:r>
    </w:p>
    <w:p w14:paraId="0D6EF173" w14:textId="77777777" w:rsidR="00065317" w:rsidRDefault="005C7BF7">
      <w:pPr>
        <w:pStyle w:val="Corpsdetexte"/>
      </w:pPr>
      <w:r>
        <w:t>A(x) ⇒ B(x)</w:t>
      </w:r>
    </w:p>
    <w:p w14:paraId="74318218" w14:textId="77777777" w:rsidR="00065317" w:rsidRDefault="005C7BF7">
      <w:pPr>
        <w:pStyle w:val="Corpsdetexte"/>
      </w:pPr>
      <w:r>
        <w:t>C(x) ⇒ D(x)</w:t>
      </w:r>
    </w:p>
    <w:p w14:paraId="2A58D133" w14:textId="77777777" w:rsidR="00065317" w:rsidRDefault="005C7BF7">
      <w:pPr>
        <w:pStyle w:val="Corpsdetexte"/>
      </w:pPr>
      <w:r>
        <w:t>P(x,y) ⇒ A(x)</w:t>
      </w:r>
    </w:p>
    <w:p w14:paraId="2C5E5C62" w14:textId="77777777" w:rsidR="00065317" w:rsidRDefault="005C7BF7">
      <w:pPr>
        <w:pStyle w:val="Corpsdetexte"/>
      </w:pPr>
      <w:r>
        <w:t>P(x,y) ⇒ C(y)</w:t>
      </w:r>
    </w:p>
    <w:p w14:paraId="3B0AE0B0" w14:textId="385D17B0" w:rsidR="00065317" w:rsidRDefault="005C7BF7">
      <w:pPr>
        <w:pStyle w:val="Corpsdetexte"/>
      </w:pPr>
      <w:r>
        <w:t>P</w:t>
      </w:r>
      <w:r w:rsidR="00E84B0E">
        <w:t>’</w:t>
      </w:r>
      <w:r>
        <w:t>(x,y) ⇒ B(x)</w:t>
      </w:r>
    </w:p>
    <w:p w14:paraId="2B5A858C" w14:textId="6ECD09A5" w:rsidR="00065317" w:rsidRDefault="005C7BF7">
      <w:pPr>
        <w:pStyle w:val="Corpsdetexte"/>
      </w:pPr>
      <w:r>
        <w:t>P</w:t>
      </w:r>
      <w:r w:rsidR="00E84B0E">
        <w:t>’</w:t>
      </w:r>
      <w:r>
        <w:t>(x,y) ⇒ D(y)</w:t>
      </w:r>
    </w:p>
    <w:p w14:paraId="4AC21BE2" w14:textId="04F26F75" w:rsidR="00065317" w:rsidRDefault="005C7BF7">
      <w:pPr>
        <w:pStyle w:val="Corpsdetexte"/>
      </w:pPr>
      <w:r>
        <w:t xml:space="preserve">Ainsi, </w:t>
      </w:r>
      <w:r>
        <w:rPr>
          <w:rStyle w:val="VerbatimChar"/>
        </w:rPr>
        <w:t>P</w:t>
      </w:r>
      <w:r w:rsidR="00E84B0E">
        <w:rPr>
          <w:rStyle w:val="VerbatimChar"/>
        </w:rPr>
        <w:t>’</w:t>
      </w:r>
      <w:r>
        <w:t xml:space="preserve"> est une extension conservatrice de </w:t>
      </w:r>
      <w:r>
        <w:rPr>
          <w:rStyle w:val="VerbatimChar"/>
        </w:rPr>
        <w:t>P</w:t>
      </w:r>
      <w:r>
        <w:t xml:space="preserve"> si A(x) ∧ C(y) ∧ P</w:t>
      </w:r>
      <w:r w:rsidR="00E84B0E">
        <w:t>’</w:t>
      </w:r>
      <w:r>
        <w:t>(x,y) ⇔ P(x,y)</w:t>
      </w:r>
    </w:p>
    <w:p w14:paraId="13B486A5" w14:textId="2B3ABFAA" w:rsidR="00065317" w:rsidRDefault="005C7BF7">
      <w:pPr>
        <w:pStyle w:val="Corpsdetexte"/>
      </w:pPr>
      <w:r>
        <w:t>En d</w:t>
      </w:r>
      <w:r w:rsidR="00E84B0E">
        <w:t>’</w:t>
      </w:r>
      <w:r>
        <w:t>autres termes, un module d</w:t>
      </w:r>
      <w:r w:rsidR="00E84B0E">
        <w:t>’</w:t>
      </w:r>
      <w:r>
        <w:t>extension distinct peut re-déclarer une propriété avec un autre identifiant (préférablement en utilisant une même étiquette) et implémenter la règle ci-haut.</w:t>
      </w:r>
    </w:p>
    <w:p w14:paraId="0F9E1DBE" w14:textId="77777777" w:rsidR="00065317" w:rsidRDefault="005C7BF7">
      <w:pPr>
        <w:pStyle w:val="Normalcentr"/>
      </w:pPr>
      <w:r>
        <w:rPr>
          <w:b/>
          <w:bCs/>
          <w:i/>
          <w:iCs/>
        </w:rPr>
        <w:t>Note de traduction</w:t>
      </w:r>
    </w:p>
    <w:p w14:paraId="3FE7C589" w14:textId="769CC8A8" w:rsidR="00065317" w:rsidRDefault="005C7BF7">
      <w:pPr>
        <w:pStyle w:val="Normalcentr"/>
      </w:pPr>
      <w:r>
        <w:t xml:space="preserve">Certains paragraphes ont été édités dans la version francophone </w:t>
      </w:r>
      <w:r w:rsidR="00806228">
        <w:t>aux</w:t>
      </w:r>
      <w:r>
        <w:t xml:space="preserve"> fins de compréhension. Les sections concernées sont indiquées de [</w:t>
      </w:r>
      <w:r w:rsidR="00AF51A3">
        <w:t xml:space="preserve">n.d.t. </w:t>
      </w:r>
      <w:r>
        <w:t>texte concerné].</w:t>
      </w:r>
    </w:p>
    <w:p w14:paraId="3991E57F" w14:textId="1E6853E9" w:rsidR="00065317" w:rsidRDefault="005C7BF7">
      <w:pPr>
        <w:pStyle w:val="Normalcentr"/>
      </w:pPr>
      <w:r>
        <w:t>Le terme « fact » pour référer à un élément se trouvant dans une base de connaissances a été traduit par « élément » puisqu</w:t>
      </w:r>
      <w:r w:rsidR="00E84B0E">
        <w:t>’</w:t>
      </w:r>
      <w:r>
        <w:t>il ne semble pas y avoir de référence à la nature attestée de l</w:t>
      </w:r>
      <w:r w:rsidR="00E84B0E">
        <w:t>’</w:t>
      </w:r>
      <w:r>
        <w:t>élément en question.</w:t>
      </w:r>
    </w:p>
    <w:p w14:paraId="2D1E12FA" w14:textId="77777777" w:rsidR="00065317" w:rsidRDefault="005C7BF7">
      <w:pPr>
        <w:pStyle w:val="Normalcentr"/>
      </w:pPr>
      <w:r>
        <w:rPr>
          <w:b/>
          <w:bCs/>
          <w:i/>
          <w:iCs/>
        </w:rPr>
        <w:t>Références</w:t>
      </w:r>
    </w:p>
    <w:p w14:paraId="75CAD27D" w14:textId="583CA904" w:rsidR="00065317" w:rsidRDefault="005C7BF7">
      <w:pPr>
        <w:pStyle w:val="Normalcentr"/>
      </w:pPr>
      <w:r>
        <w:t xml:space="preserve">Wikipédia. « Extension conservatrice ». Dans </w:t>
      </w:r>
      <w:r>
        <w:rPr>
          <w:i/>
          <w:iCs/>
        </w:rPr>
        <w:t>Wikipédia</w:t>
      </w:r>
      <w:r>
        <w:t>. San Francisco, US-CA: Wikipédia, 17</w:t>
      </w:r>
      <w:r w:rsidR="00056DCD">
        <w:t> décembre </w:t>
      </w:r>
      <w:r>
        <w:t>2017.</w:t>
      </w:r>
      <w:hyperlink r:id="rId126">
        <w:r>
          <w:rPr>
            <w:rStyle w:val="Lienhypertexte"/>
          </w:rPr>
          <w:t xml:space="preserve"> </w:t>
        </w:r>
      </w:hyperlink>
      <w:hyperlink r:id="rId127">
        <w:r>
          <w:rPr>
            <w:rStyle w:val="Lienhypertexte"/>
          </w:rPr>
          <w:t>https://fr.wikipedia.org/w/index.php?title=Extension_conservatrice&amp;oldid=143598511</w:t>
        </w:r>
      </w:hyperlink>
      <w:r>
        <w:t>.</w:t>
      </w:r>
    </w:p>
    <w:p w14:paraId="00FA052B" w14:textId="6B47FBAF" w:rsidR="00065317" w:rsidRDefault="005C7BF7">
      <w:pPr>
        <w:pStyle w:val="Normalcentr"/>
      </w:pPr>
      <w:r>
        <w:t xml:space="preserve">———. « Monotonie ». Dans </w:t>
      </w:r>
      <w:r>
        <w:rPr>
          <w:i/>
          <w:iCs/>
        </w:rPr>
        <w:t>Wikipédia</w:t>
      </w:r>
      <w:r>
        <w:t xml:space="preserve">. </w:t>
      </w:r>
      <w:r w:rsidRPr="00523021">
        <w:rPr>
          <w:lang w:val="en-CA"/>
        </w:rPr>
        <w:t>San Francisco, US-CA: Wikipédia, 19</w:t>
      </w:r>
      <w:r w:rsidR="00056DCD" w:rsidRPr="00523021">
        <w:rPr>
          <w:lang w:val="en-CA"/>
        </w:rPr>
        <w:t> février </w:t>
      </w:r>
      <w:r w:rsidRPr="00523021">
        <w:rPr>
          <w:lang w:val="en-CA"/>
        </w:rPr>
        <w:t>2017.</w:t>
      </w:r>
      <w:hyperlink r:id="rId128">
        <w:r w:rsidRPr="00523021">
          <w:rPr>
            <w:rStyle w:val="Lienhypertexte"/>
            <w:lang w:val="en-CA"/>
          </w:rPr>
          <w:t xml:space="preserve"> </w:t>
        </w:r>
      </w:hyperlink>
      <w:hyperlink r:id="rId129">
        <w:r>
          <w:rPr>
            <w:rStyle w:val="Lienhypertexte"/>
          </w:rPr>
          <w:t>https://fr.wikipedia.org/w/index.php?title=Monotonie&amp;oldid=134697868</w:t>
        </w:r>
      </w:hyperlink>
      <w:r>
        <w:t>.</w:t>
      </w:r>
    </w:p>
    <w:p w14:paraId="12A4EA90" w14:textId="77777777" w:rsidR="00065317" w:rsidRDefault="005C7BF7" w:rsidP="00110C5D">
      <w:pPr>
        <w:pStyle w:val="Titre3"/>
      </w:pPr>
      <w:bookmarkStart w:id="70" w:name="_Toc154048720"/>
      <w:bookmarkStart w:id="71" w:name="de-la-minimalite"/>
      <w:bookmarkEnd w:id="69"/>
      <w:r>
        <w:t>De la minimalité</w:t>
      </w:r>
      <w:bookmarkEnd w:id="70"/>
    </w:p>
    <w:p w14:paraId="5BC742AB" w14:textId="7E061406" w:rsidR="00065317" w:rsidRDefault="005C7BF7">
      <w:pPr>
        <w:pStyle w:val="FirstParagraph"/>
      </w:pPr>
      <w:r>
        <w:t>Bien que le domaine d</w:t>
      </w:r>
      <w:r w:rsidR="00E84B0E">
        <w:t>’</w:t>
      </w:r>
      <w:r>
        <w:t xml:space="preserve">application du </w:t>
      </w:r>
      <w:r w:rsidR="00C8288F">
        <w:t>CIDOC CRM</w:t>
      </w:r>
      <w:r>
        <w:t xml:space="preserve"> soit très large, le modèle lui-même promeut une économie de moyens, de sorte que :</w:t>
      </w:r>
    </w:p>
    <w:p w14:paraId="065593D9" w14:textId="580CE36C" w:rsidR="00065317" w:rsidRDefault="00110C5D">
      <w:pPr>
        <w:numPr>
          <w:ilvl w:val="0"/>
          <w:numId w:val="23"/>
        </w:numPr>
      </w:pPr>
      <w:r>
        <w:t>L</w:t>
      </w:r>
      <w:r w:rsidR="005C7BF7">
        <w:t xml:space="preserve">es </w:t>
      </w:r>
      <w:hyperlink w:anchor="terminologie-classe">
        <w:r w:rsidR="005C7BF7">
          <w:rPr>
            <w:rStyle w:val="Lienhypertexte"/>
          </w:rPr>
          <w:t>classes</w:t>
        </w:r>
      </w:hyperlink>
      <w:r w:rsidR="005C7BF7">
        <w:t xml:space="preserve"> et </w:t>
      </w:r>
      <w:hyperlink w:anchor="terminologie-propriete">
        <w:r w:rsidR="005C7BF7">
          <w:rPr>
            <w:rStyle w:val="Lienhypertexte"/>
          </w:rPr>
          <w:t>propriétés</w:t>
        </w:r>
      </w:hyperlink>
      <w:r w:rsidR="005C7BF7">
        <w:t xml:space="preserve"> de </w:t>
      </w:r>
      <w:r w:rsidR="00C8288F">
        <w:t>CIDOC CRM</w:t>
      </w:r>
      <w:r w:rsidR="005C7BF7">
        <w:t xml:space="preserve"> sont soit primitives, soit d</w:t>
      </w:r>
      <w:r w:rsidR="00E84B0E">
        <w:t>’</w:t>
      </w:r>
      <w:r w:rsidR="005C7BF7">
        <w:t>une utilité avérée dans le cadre d</w:t>
      </w:r>
      <w:r w:rsidR="00E84B0E">
        <w:t>’</w:t>
      </w:r>
      <w:r w:rsidR="005C7BF7">
        <w:t>une application pratique;</w:t>
      </w:r>
    </w:p>
    <w:p w14:paraId="1C158F0D" w14:textId="4590571E" w:rsidR="00065317" w:rsidRDefault="00110C5D">
      <w:pPr>
        <w:numPr>
          <w:ilvl w:val="0"/>
          <w:numId w:val="23"/>
        </w:numPr>
      </w:pPr>
      <w:r>
        <w:t>E</w:t>
      </w:r>
      <w:r w:rsidR="005C7BF7">
        <w:t>n raison de l</w:t>
      </w:r>
      <w:r w:rsidR="00E84B0E">
        <w:t>’</w:t>
      </w:r>
      <w:hyperlink w:anchor="terminologie-monde-ouvert">
        <w:r w:rsidR="005C7BF7">
          <w:rPr>
            <w:rStyle w:val="Lienhypertexte"/>
          </w:rPr>
          <w:t>hypothèse du monde ouvert</w:t>
        </w:r>
      </w:hyperlink>
      <w:r w:rsidR="005C7BF7">
        <w:t xml:space="preserve"> qui statue qu</w:t>
      </w:r>
      <w:r w:rsidR="00E84B0E">
        <w:t>’</w:t>
      </w:r>
      <w:r w:rsidR="005C7BF7">
        <w:t>il n</w:t>
      </w:r>
      <w:r w:rsidR="00E84B0E">
        <w:t>’</w:t>
      </w:r>
      <w:r w:rsidR="005C7BF7">
        <w:t>y a pas de propriétés associées aux compléments d</w:t>
      </w:r>
      <w:r w:rsidR="00E84B0E">
        <w:t>’</w:t>
      </w:r>
      <w:r w:rsidR="005C7BF7">
        <w:t xml:space="preserve">une classe (voir </w:t>
      </w:r>
      <w:hyperlink w:anchor="terminologie">
        <w:r w:rsidR="005C7BF7">
          <w:rPr>
            <w:rStyle w:val="Lienhypertexte"/>
          </w:rPr>
          <w:t>Terminologie</w:t>
        </w:r>
      </w:hyperlink>
      <w:r w:rsidR="005C7BF7">
        <w:t xml:space="preserve"> et la première conséquence de la </w:t>
      </w:r>
      <w:hyperlink w:anchor="de-la-monotonicite">
        <w:r w:rsidR="005C7BF7">
          <w:rPr>
            <w:rStyle w:val="Lienhypertexte"/>
          </w:rPr>
          <w:t>Monotonicité</w:t>
        </w:r>
      </w:hyperlink>
      <w:r w:rsidR="005C7BF7">
        <w:t xml:space="preserve">), de tels </w:t>
      </w:r>
      <w:hyperlink w:anchor="terminologie-complement">
        <w:r w:rsidR="005C7BF7">
          <w:rPr>
            <w:rStyle w:val="Lienhypertexte"/>
          </w:rPr>
          <w:t>compléments</w:t>
        </w:r>
      </w:hyperlink>
      <w:r w:rsidR="005C7BF7">
        <w:t xml:space="preserve"> ne sont pas déclarés dans le cadre du </w:t>
      </w:r>
      <w:r w:rsidR="00C8288F">
        <w:t>CIDOC CRM</w:t>
      </w:r>
      <w:r w:rsidR="005C7BF7">
        <w:t>.</w:t>
      </w:r>
    </w:p>
    <w:p w14:paraId="021DA770" w14:textId="1D6E3BC5" w:rsidR="00065317" w:rsidRDefault="005C7BF7">
      <w:pPr>
        <w:pStyle w:val="FirstParagraph"/>
      </w:pPr>
      <w:r>
        <w:lastRenderedPageBreak/>
        <w:t xml:space="preserve">Une classe </w:t>
      </w:r>
      <w:r w:rsidR="00C8288F">
        <w:t>CIDOC CRM</w:t>
      </w:r>
      <w:r>
        <w:t xml:space="preserve"> est déclarée lorsque :</w:t>
      </w:r>
    </w:p>
    <w:p w14:paraId="46AD32A1" w14:textId="60774097" w:rsidR="00065317" w:rsidRDefault="00110C5D">
      <w:pPr>
        <w:numPr>
          <w:ilvl w:val="0"/>
          <w:numId w:val="24"/>
        </w:numPr>
      </w:pPr>
      <w:r>
        <w:t>L</w:t>
      </w:r>
      <w:r w:rsidR="005C7BF7">
        <w:t xml:space="preserve">e </w:t>
      </w:r>
      <w:hyperlink w:anchor="terminologie-domaine">
        <w:r w:rsidR="005C7BF7">
          <w:rPr>
            <w:rStyle w:val="Lienhypertexte"/>
          </w:rPr>
          <w:t>domaine</w:t>
        </w:r>
      </w:hyperlink>
      <w:r w:rsidR="005C7BF7">
        <w:t xml:space="preserve"> ou la </w:t>
      </w:r>
      <w:hyperlink w:anchor="terminologie-portee">
        <w:r w:rsidR="005C7BF7">
          <w:rPr>
            <w:rStyle w:val="Lienhypertexte"/>
          </w:rPr>
          <w:t>portée</w:t>
        </w:r>
      </w:hyperlink>
      <w:r w:rsidR="005C7BF7">
        <w:t xml:space="preserve"> d</w:t>
      </w:r>
      <w:r w:rsidR="00E84B0E">
        <w:t>’</w:t>
      </w:r>
      <w:r w:rsidR="005C7BF7">
        <w:t xml:space="preserve">une propriété ne sont pas compatibles avec une </w:t>
      </w:r>
      <w:hyperlink w:anchor="terminologie-super-classe">
        <w:r w:rsidR="005C7BF7">
          <w:rPr>
            <w:rStyle w:val="Lienhypertexte"/>
          </w:rPr>
          <w:t>super-classe</w:t>
        </w:r>
      </w:hyperlink>
      <w:r w:rsidR="005C7BF7">
        <w:t xml:space="preserve"> [</w:t>
      </w:r>
      <w:r w:rsidR="00AF51A3">
        <w:t xml:space="preserve">n.d.t. </w:t>
      </w:r>
      <w:r w:rsidR="005C7BF7">
        <w:t>de sorte que son utilisation exige la création d</w:t>
      </w:r>
      <w:r w:rsidR="00E84B0E">
        <w:t>’</w:t>
      </w:r>
      <w:r w:rsidR="005C7BF7">
        <w:t>une nouvelle classe].</w:t>
      </w:r>
    </w:p>
    <w:p w14:paraId="7D7C1424" w14:textId="41D969F1" w:rsidR="00065317" w:rsidRDefault="00110C5D">
      <w:pPr>
        <w:numPr>
          <w:ilvl w:val="0"/>
          <w:numId w:val="24"/>
        </w:numPr>
      </w:pPr>
      <w:r>
        <w:t>C</w:t>
      </w:r>
      <w:r w:rsidR="005C7BF7">
        <w:t xml:space="preserve">ette nouvelle classe fonctionne comme point de convergence de deux branches de classes </w:t>
      </w:r>
      <w:r w:rsidR="00C8288F">
        <w:t>CIDOC CRM</w:t>
      </w:r>
      <w:r w:rsidR="005C7BF7">
        <w:t xml:space="preserve"> par le biais de multiples liens </w:t>
      </w:r>
      <w:r w:rsidR="005C7BF7">
        <w:rPr>
          <w:rStyle w:val="VerbatimChar"/>
        </w:rPr>
        <w:t>estUn</w:t>
      </w:r>
      <w:r w:rsidR="005C7BF7">
        <w:t xml:space="preserve"> (p. ex. </w:t>
      </w:r>
      <w:r w:rsidR="005C7BF7">
        <w:rPr>
          <w:rStyle w:val="VerbatimChar"/>
        </w:rPr>
        <w:t>E25_Caractéristique_élaborée_par_l</w:t>
      </w:r>
      <w:r w:rsidR="00E84B0E">
        <w:rPr>
          <w:rStyle w:val="VerbatimChar"/>
        </w:rPr>
        <w:t>’</w:t>
      </w:r>
      <w:r w:rsidR="005C7BF7">
        <w:rPr>
          <w:rStyle w:val="VerbatimChar"/>
        </w:rPr>
        <w:t>humain</w:t>
      </w:r>
      <w:r w:rsidR="005C7BF7">
        <w:t>). Lorsque les super-classes de ces branches sont utilisées afin d</w:t>
      </w:r>
      <w:r w:rsidR="00E84B0E">
        <w:t>’</w:t>
      </w:r>
      <w:r w:rsidR="005C7BF7">
        <w:t>instancier à plusieurs reprises une entité, cette entité se trouve à l</w:t>
      </w:r>
      <w:r w:rsidR="00E84B0E">
        <w:t>’</w:t>
      </w:r>
      <w:r w:rsidR="005C7BF7">
        <w:t>intersection des domaines d</w:t>
      </w:r>
      <w:r w:rsidR="00E84B0E">
        <w:t>’</w:t>
      </w:r>
      <w:r w:rsidR="005C7BF7">
        <w:t>application de chacune, de sorte qu</w:t>
      </w:r>
      <w:r w:rsidR="00E84B0E">
        <w:t>’</w:t>
      </w:r>
      <w:r w:rsidR="005C7BF7">
        <w:t xml:space="preserve">une classe résultant de multiples </w:t>
      </w:r>
      <w:r w:rsidR="005C7BF7">
        <w:rPr>
          <w:rStyle w:val="VerbatimChar"/>
        </w:rPr>
        <w:t>estUn</w:t>
      </w:r>
      <w:r w:rsidR="005C7BF7">
        <w:t xml:space="preserve"> devrait avoir un domaine d</w:t>
      </w:r>
      <w:r w:rsidR="00E84B0E">
        <w:t>’</w:t>
      </w:r>
      <w:r w:rsidR="005C7BF7">
        <w:t>application plus restreint que ceux de ses super-classes.</w:t>
      </w:r>
    </w:p>
    <w:p w14:paraId="37A80DEC" w14:textId="4D71BDE1" w:rsidR="008E0906" w:rsidRPr="00110C5D" w:rsidRDefault="00110C5D" w:rsidP="00110C5D">
      <w:pPr>
        <w:numPr>
          <w:ilvl w:val="0"/>
          <w:numId w:val="24"/>
        </w:numPr>
        <w:rPr>
          <w:b/>
          <w:bCs/>
          <w:i/>
          <w:iCs/>
        </w:rPr>
      </w:pPr>
      <w:r>
        <w:t>L</w:t>
      </w:r>
      <w:r w:rsidR="005C7BF7">
        <w:t xml:space="preserve">es praticiens du </w:t>
      </w:r>
      <w:r w:rsidR="00C8288F">
        <w:t>CIDOC CRM</w:t>
      </w:r>
      <w:r w:rsidR="005C7BF7">
        <w:t xml:space="preserve"> qui élaborent des extensions de celui-ci ou s</w:t>
      </w:r>
      <w:r w:rsidR="00E84B0E">
        <w:t>’</w:t>
      </w:r>
      <w:r w:rsidR="005C7BF7">
        <w:t>affairent à établir des équivalences avec des classes essentielles d</w:t>
      </w:r>
      <w:r w:rsidR="00E84B0E">
        <w:t>’</w:t>
      </w:r>
      <w:r w:rsidR="005C7BF7">
        <w:t>autres modèles en identifiant le besoin; dans de tels cas, il est important que la classe soit située à la fin de la branche et qu</w:t>
      </w:r>
      <w:r w:rsidR="00E84B0E">
        <w:t>’</w:t>
      </w:r>
      <w:r w:rsidR="005C7BF7">
        <w:t xml:space="preserve">elle ne contienne pas de </w:t>
      </w:r>
      <w:hyperlink w:anchor="terminologie-sous-classe">
        <w:r w:rsidR="005C7BF7">
          <w:rPr>
            <w:rStyle w:val="Lienhypertexte"/>
          </w:rPr>
          <w:t>sous-classes</w:t>
        </w:r>
      </w:hyperlink>
      <w:r w:rsidR="005C7BF7">
        <w:t xml:space="preserve"> (p. ex. </w:t>
      </w:r>
      <w:r w:rsidR="005C7BF7">
        <w:rPr>
          <w:rStyle w:val="VerbatimChar"/>
        </w:rPr>
        <w:t>E34_Inscription</w:t>
      </w:r>
      <w:r w:rsidR="005C7BF7">
        <w:t>).</w:t>
      </w:r>
    </w:p>
    <w:p w14:paraId="39D436D1" w14:textId="2338086D" w:rsidR="00065317" w:rsidRDefault="005C7BF7">
      <w:pPr>
        <w:pStyle w:val="Normalcentr"/>
      </w:pPr>
      <w:r>
        <w:rPr>
          <w:b/>
          <w:bCs/>
          <w:i/>
          <w:iCs/>
        </w:rPr>
        <w:t>Note de traduction</w:t>
      </w:r>
    </w:p>
    <w:p w14:paraId="1D47C1C0" w14:textId="21CF875D" w:rsidR="00065317" w:rsidRDefault="005C7BF7">
      <w:pPr>
        <w:pStyle w:val="Normalcentr"/>
      </w:pPr>
      <w:r>
        <w:t xml:space="preserve">Certains paragraphes ont été édités dans la version francophone </w:t>
      </w:r>
      <w:r w:rsidR="00806228">
        <w:t>aux</w:t>
      </w:r>
      <w:r>
        <w:t xml:space="preserve"> fins de compréhension. Les sections concernées sont indiquées de [</w:t>
      </w:r>
      <w:r w:rsidR="00AF51A3">
        <w:t xml:space="preserve">n.d.t. </w:t>
      </w:r>
      <w:r>
        <w:t>texte concerné].</w:t>
      </w:r>
    </w:p>
    <w:p w14:paraId="18F56977" w14:textId="3188B322" w:rsidR="00065317" w:rsidRDefault="005C7BF7" w:rsidP="00D746C9">
      <w:pPr>
        <w:pStyle w:val="Normalcentr"/>
      </w:pPr>
      <w:r>
        <w:rPr>
          <w:b/>
          <w:bCs/>
          <w:i/>
          <w:iCs/>
        </w:rPr>
        <w:t>Références</w:t>
      </w:r>
    </w:p>
    <w:p w14:paraId="19DBC6BC" w14:textId="77777777" w:rsidR="00065317" w:rsidRDefault="005C7BF7" w:rsidP="00110C5D">
      <w:pPr>
        <w:pStyle w:val="Titre3"/>
      </w:pPr>
      <w:bookmarkStart w:id="72" w:name="_Toc154048721"/>
      <w:bookmarkStart w:id="73" w:name="de-la-monotonicite"/>
      <w:bookmarkEnd w:id="71"/>
      <w:r>
        <w:t>De la monotonicité</w:t>
      </w:r>
      <w:bookmarkEnd w:id="72"/>
    </w:p>
    <w:p w14:paraId="1F63DF3C" w14:textId="76C919EA" w:rsidR="00065317" w:rsidRDefault="005C7BF7">
      <w:pPr>
        <w:pStyle w:val="FirstParagraph"/>
      </w:pPr>
      <w:r>
        <w:t xml:space="preserve">La fonction primaire du </w:t>
      </w:r>
      <w:r w:rsidR="00C8288F">
        <w:t>CIDOC CRM</w:t>
      </w:r>
      <w:r>
        <w:t xml:space="preserve"> est de soutenir l</w:t>
      </w:r>
      <w:r w:rsidR="00E84B0E">
        <w:t>’</w:t>
      </w:r>
      <w:r>
        <w:t>intégration d</w:t>
      </w:r>
      <w:r w:rsidR="00E84B0E">
        <w:t>’</w:t>
      </w:r>
      <w:r>
        <w:t>information sur la base de l</w:t>
      </w:r>
      <w:r w:rsidR="00E84B0E">
        <w:t>’</w:t>
      </w:r>
      <w:hyperlink w:anchor="terminologie-monde-ouvert">
        <w:r>
          <w:rPr>
            <w:rStyle w:val="Lienhypertexte"/>
          </w:rPr>
          <w:t>hypothèse du monde ouvert</w:t>
        </w:r>
      </w:hyperlink>
      <w:r>
        <w:t xml:space="preserve"> [</w:t>
      </w:r>
      <w:r w:rsidR="00AF51A3">
        <w:t xml:space="preserve">n.d.t. </w:t>
      </w:r>
      <w:r>
        <w:t>selon laquelle la véracité d</w:t>
      </w:r>
      <w:r w:rsidR="00E84B0E">
        <w:t>’</w:t>
      </w:r>
      <w:r>
        <w:t>une affirmation ne repose pas sur le fait qu</w:t>
      </w:r>
      <w:r w:rsidR="00E84B0E">
        <w:t>’</w:t>
      </w:r>
      <w:r>
        <w:t>un agent ou un observateur sache qu</w:t>
      </w:r>
      <w:r w:rsidR="00E84B0E">
        <w:t>’</w:t>
      </w:r>
      <w:r>
        <w:t xml:space="preserve">elle est vraie]. </w:t>
      </w:r>
      <w:r w:rsidR="00714434">
        <w:t>Cela</w:t>
      </w:r>
      <w:r>
        <w:t xml:space="preserve"> implique que le </w:t>
      </w:r>
      <w:r w:rsidR="00C8288F">
        <w:t>CIDOC CRM</w:t>
      </w:r>
      <w:r>
        <w:t xml:space="preserve"> lui-même doit être ouvert et que les bases de connaissances implémentées avec celui-ci doivent être suffisamment flexibles pour accueillir de nouvelles idées. Au niveau du modèle, ce</w:t>
      </w:r>
      <w:r w:rsidR="00714434">
        <w:t>la</w:t>
      </w:r>
      <w:r>
        <w:t xml:space="preserve"> implique que de nouvelles </w:t>
      </w:r>
      <w:hyperlink w:anchor="terminologie-classe">
        <w:r>
          <w:rPr>
            <w:rStyle w:val="Lienhypertexte"/>
          </w:rPr>
          <w:t>classes</w:t>
        </w:r>
      </w:hyperlink>
      <w:r>
        <w:t xml:space="preserve"> et/ou </w:t>
      </w:r>
      <w:hyperlink w:anchor="terminologie-propriete">
        <w:r>
          <w:rPr>
            <w:rStyle w:val="Lienhypertexte"/>
          </w:rPr>
          <w:t>propriétés</w:t>
        </w:r>
      </w:hyperlink>
      <w:r>
        <w:t xml:space="preserve"> puissent être créées lors de l</w:t>
      </w:r>
      <w:r w:rsidR="00E84B0E">
        <w:t>’</w:t>
      </w:r>
      <w:r>
        <w:t>intégration de nouveaux enregistrements documentaires ou lorsque [</w:t>
      </w:r>
      <w:r w:rsidR="00AF51A3">
        <w:t xml:space="preserve">n.d.t. </w:t>
      </w:r>
      <w:r>
        <w:t>la nécessité de représenter] des éléments inédits est portée à l</w:t>
      </w:r>
      <w:r w:rsidR="00E84B0E">
        <w:t>’</w:t>
      </w:r>
      <w:r>
        <w:t xml:space="preserve">attention des responsables du </w:t>
      </w:r>
      <w:r w:rsidR="00C8288F">
        <w:t>CIDOC CRM</w:t>
      </w:r>
      <w:r>
        <w:t>. Au niveau des bases de connaissances, la nécessité d</w:t>
      </w:r>
      <w:r w:rsidR="00E84B0E">
        <w:t>’</w:t>
      </w:r>
      <w:r>
        <w:t>ajouter ou de réviser de l</w:t>
      </w:r>
      <w:r w:rsidR="00E84B0E">
        <w:t>’</w:t>
      </w:r>
      <w:r>
        <w:t>information en raison de facteurs externes doit être prise en compte (de tels facteurs incluent, par exemple, l</w:t>
      </w:r>
      <w:r w:rsidR="00E84B0E">
        <w:t>’</w:t>
      </w:r>
      <w:r>
        <w:t>avancement du milieu de la recherche qui soulève de nouvelles questions, la documentation de nouveaux phénomènes, ou encore l</w:t>
      </w:r>
      <w:r w:rsidR="00E84B0E">
        <w:t>’</w:t>
      </w:r>
      <w:r>
        <w:t>évolution sociale ou naturelle qui révèle de nouveaux objets d</w:t>
      </w:r>
      <w:r w:rsidR="00E84B0E">
        <w:t>’</w:t>
      </w:r>
      <w:r>
        <w:t>étude).</w:t>
      </w:r>
    </w:p>
    <w:p w14:paraId="5577B878" w14:textId="7D4B9B50" w:rsidR="00065317" w:rsidRDefault="005C7BF7">
      <w:pPr>
        <w:pStyle w:val="Corpsdetexte"/>
      </w:pPr>
      <w:r>
        <w:t xml:space="preserve">Les responsables du </w:t>
      </w:r>
      <w:r w:rsidR="00C8288F">
        <w:t>CIDOC CRM</w:t>
      </w:r>
      <w:r>
        <w:t xml:space="preserve"> ont pour objectif de respecter les tenants de l</w:t>
      </w:r>
      <w:r w:rsidR="00E84B0E">
        <w:t>’</w:t>
      </w:r>
      <w:r>
        <w:t>hypothèse du monde ouvert, en particulier le principe de la monotonicité qui exige que l</w:t>
      </w:r>
      <w:r w:rsidR="00E84B0E">
        <w:t>’</w:t>
      </w:r>
      <w:r>
        <w:t>ajout de nouvelles classes et/ou propriétés (au modèle) ou de nouveaux énoncés (à la base de connaissances) n</w:t>
      </w:r>
      <w:r w:rsidR="00E84B0E">
        <w:t>’</w:t>
      </w:r>
      <w:r>
        <w:t>invalident pas les structures et énoncés préexistants [</w:t>
      </w:r>
      <w:r w:rsidR="00AF51A3">
        <w:t xml:space="preserve">n.d.t. </w:t>
      </w:r>
      <w:r>
        <w:t xml:space="preserve">voir </w:t>
      </w:r>
      <w:hyperlink w:anchor="terminologie-raisonnement-monotone">
        <w:r>
          <w:rPr>
            <w:rStyle w:val="Lienhypertexte"/>
          </w:rPr>
          <w:t>Raisonnement monotone</w:t>
        </w:r>
      </w:hyperlink>
      <w:r>
        <w:t xml:space="preserve"> dans la section </w:t>
      </w:r>
      <w:hyperlink w:anchor="terminologie">
        <w:r>
          <w:rPr>
            <w:rStyle w:val="Lienhypertexte"/>
          </w:rPr>
          <w:t>Terminologie</w:t>
        </w:r>
      </w:hyperlink>
      <w:r>
        <w:t>].</w:t>
      </w:r>
    </w:p>
    <w:p w14:paraId="6CECABDB" w14:textId="3CD8A90C" w:rsidR="00784AE7" w:rsidRDefault="005C7BF7">
      <w:pPr>
        <w:pStyle w:val="Corpsdetexte"/>
      </w:pPr>
      <w:r>
        <w:t xml:space="preserve">La </w:t>
      </w:r>
      <w:r>
        <w:rPr>
          <w:b/>
          <w:bCs/>
        </w:rPr>
        <w:t>première conséquence</w:t>
      </w:r>
      <w:r>
        <w:t xml:space="preserve"> de ce choix est que le </w:t>
      </w:r>
      <w:r w:rsidR="00C8288F">
        <w:t>CIDOC CRM</w:t>
      </w:r>
      <w:r>
        <w:t xml:space="preserve"> tente d</w:t>
      </w:r>
      <w:r w:rsidR="00E84B0E">
        <w:t>’</w:t>
      </w:r>
      <w:r>
        <w:t xml:space="preserve">être monotone au sens de la théorie des domaines : les construits du </w:t>
      </w:r>
      <w:r w:rsidR="00C8288F">
        <w:t>CIDOC CRM</w:t>
      </w:r>
      <w:r>
        <w:t xml:space="preserve"> et les déductions qui peuvent en découler doivent donc demeurer formellement et conceptuellement valides malgré l</w:t>
      </w:r>
      <w:r w:rsidR="00E84B0E">
        <w:t>’</w:t>
      </w:r>
      <w:r>
        <w:t>ajout de construits issus d</w:t>
      </w:r>
      <w:r w:rsidR="00E84B0E">
        <w:t>’</w:t>
      </w:r>
      <w:r>
        <w:t xml:space="preserve">extensions du </w:t>
      </w:r>
      <w:r w:rsidR="00C8288F">
        <w:t>CIDOC CRM</w:t>
      </w:r>
      <w:r>
        <w:t>, de sorte que toute extension doit être rétro-compatible avec les modèles qui la précèdent. La seule exception à cette règle serait une situation où un construit est considéré objectivement incorrect par les experts du domaine dont ce construit émane et qu</w:t>
      </w:r>
      <w:r w:rsidR="00E84B0E">
        <w:t>’</w:t>
      </w:r>
      <w:r>
        <w:t>il soit en conséquence soumis à une révision corrective. L</w:t>
      </w:r>
      <w:r w:rsidR="00E84B0E">
        <w:t>’</w:t>
      </w:r>
      <w:r>
        <w:t>adoption du principe de monotonicité a des conséquence</w:t>
      </w:r>
      <w:r w:rsidR="00110C5D">
        <w:t>s</w:t>
      </w:r>
      <w:r>
        <w:t xml:space="preserve"> notables sur la manière dont les classes et propriétés sont conceptualisées et déclarées dans le </w:t>
      </w:r>
      <w:r w:rsidR="00C8288F">
        <w:t>CIDOC CRM</w:t>
      </w:r>
      <w:r>
        <w:t>, car cela interdit la déclaration de classes complémentaires (c.-à-d. des classes définies uniquement par l</w:t>
      </w:r>
      <w:r w:rsidR="00E84B0E">
        <w:t>’</w:t>
      </w:r>
      <w:r>
        <w:t>exclusion d</w:t>
      </w:r>
      <w:r w:rsidR="00E84B0E">
        <w:t>’</w:t>
      </w:r>
      <w:hyperlink w:anchor="terminologie-instance">
        <w:r>
          <w:rPr>
            <w:rStyle w:val="Lienhypertexte"/>
          </w:rPr>
          <w:t>instances</w:t>
        </w:r>
      </w:hyperlink>
      <w:r>
        <w:t xml:space="preserve"> d</w:t>
      </w:r>
      <w:r w:rsidR="00E84B0E">
        <w:t>’</w:t>
      </w:r>
      <w:r>
        <w:t>autres classes).</w:t>
      </w:r>
    </w:p>
    <w:p w14:paraId="19793348" w14:textId="43EDD29E" w:rsidR="00065317" w:rsidRDefault="00784AE7" w:rsidP="00784AE7">
      <w:pPr>
        <w:spacing w:after="0"/>
      </w:pPr>
      <w:r>
        <w:br w:type="page"/>
      </w:r>
    </w:p>
    <w:p w14:paraId="4E89EFB6" w14:textId="77777777" w:rsidR="00065317" w:rsidRDefault="005C7BF7">
      <w:pPr>
        <w:pStyle w:val="Corpsdetexte"/>
      </w:pPr>
      <w:r>
        <w:lastRenderedPageBreak/>
        <w:t>Par exemple :</w:t>
      </w:r>
    </w:p>
    <w:p w14:paraId="1CBDFC66" w14:textId="494CC417" w:rsidR="00065317" w:rsidRDefault="005C7BF7">
      <w:pPr>
        <w:pStyle w:val="Corpsdetexte"/>
      </w:pPr>
      <w:r>
        <w:t xml:space="preserve">FRBRoo (Bekiari </w:t>
      </w:r>
      <w:r w:rsidR="00484B0E">
        <w:t>&amp;</w:t>
      </w:r>
      <w:r>
        <w:t xml:space="preserve"> al (eds). 2015), qui extensionne le </w:t>
      </w:r>
      <w:r w:rsidR="00C8288F">
        <w:t>CIDOC CRM</w:t>
      </w:r>
      <w:r>
        <w:t xml:space="preserve">, a dans sa version 2.4 une classe </w:t>
      </w:r>
      <w:r>
        <w:rPr>
          <w:rStyle w:val="VerbatimChar"/>
        </w:rPr>
        <w:t>F51_Activité_d</w:t>
      </w:r>
      <w:r w:rsidR="00E84B0E">
        <w:rPr>
          <w:rStyle w:val="VerbatimChar"/>
        </w:rPr>
        <w:t>’</w:t>
      </w:r>
      <w:r>
        <w:rPr>
          <w:rStyle w:val="VerbatimChar"/>
        </w:rPr>
        <w:t>utilisation_de_nom</w:t>
      </w:r>
      <w:r>
        <w:t xml:space="preserve"> déclarée sous-classe de </w:t>
      </w:r>
      <w:r>
        <w:rPr>
          <w:rStyle w:val="VerbatimChar"/>
        </w:rPr>
        <w:t>E7_Activité</w:t>
      </w:r>
      <w:r>
        <w:t xml:space="preserve">. </w:t>
      </w:r>
      <w:r>
        <w:rPr>
          <w:rStyle w:val="VerbatimChar"/>
        </w:rPr>
        <w:t>F51_Activité_d</w:t>
      </w:r>
      <w:r w:rsidR="00E84B0E">
        <w:rPr>
          <w:rStyle w:val="VerbatimChar"/>
        </w:rPr>
        <w:t>’</w:t>
      </w:r>
      <w:r>
        <w:rPr>
          <w:rStyle w:val="VerbatimChar"/>
        </w:rPr>
        <w:t>utilisation_de_nom</w:t>
      </w:r>
      <w:r>
        <w:t xml:space="preserve"> a pour fonction de décrire un phénomène bibliothéconomique spécifique qui n</w:t>
      </w:r>
      <w:r w:rsidR="00E84B0E">
        <w:t>’</w:t>
      </w:r>
      <w:r>
        <w:t xml:space="preserve">est pas couvert par le </w:t>
      </w:r>
      <w:r w:rsidR="00C8288F">
        <w:t>CIDOC CRM</w:t>
      </w:r>
      <w:r>
        <w:t>, mais qui recense le fait qu</w:t>
      </w:r>
      <w:r w:rsidR="00E84B0E">
        <w:t>’</w:t>
      </w:r>
      <w:r>
        <w:t xml:space="preserve">un </w:t>
      </w:r>
      <w:r>
        <w:rPr>
          <w:rStyle w:val="VerbatimChar"/>
        </w:rPr>
        <w:t>E74_Groupe</w:t>
      </w:r>
      <w:r>
        <w:t xml:space="preserve"> adopte et fasse l</w:t>
      </w:r>
      <w:r w:rsidR="00E84B0E">
        <w:t>’</w:t>
      </w:r>
      <w:r>
        <w:t>usage d</w:t>
      </w:r>
      <w:r w:rsidR="00E84B0E">
        <w:t>’</w:t>
      </w:r>
      <w:r>
        <w:t>un nom particulier dans le contexte d</w:t>
      </w:r>
      <w:r w:rsidR="00E84B0E">
        <w:t>’</w:t>
      </w:r>
      <w:r>
        <w:t xml:space="preserve">un intervalle temporel. La création de cette extension est monotone dans la mesure où (1) aucune relation </w:t>
      </w:r>
      <w:r>
        <w:rPr>
          <w:rStyle w:val="VerbatimChar"/>
        </w:rPr>
        <w:t>estUn</w:t>
      </w:r>
      <w:r>
        <w:t xml:space="preserve"> ou règle d</w:t>
      </w:r>
      <w:r w:rsidR="00E84B0E">
        <w:t>’</w:t>
      </w:r>
      <w:hyperlink w:anchor="terminologie-heritage">
        <w:r>
          <w:rPr>
            <w:rStyle w:val="Lienhypertexte"/>
          </w:rPr>
          <w:t>héritage</w:t>
        </w:r>
      </w:hyperlink>
      <w:r>
        <w:t xml:space="preserve"> s</w:t>
      </w:r>
      <w:r w:rsidR="00E84B0E">
        <w:t>’</w:t>
      </w:r>
      <w:r>
        <w:t>appliquant aux propriétés du CRMbase n</w:t>
      </w:r>
      <w:r w:rsidR="00E84B0E">
        <w:t>’</w:t>
      </w:r>
      <w:r>
        <w:t>est compromise et où (2) la création de futures extensions n</w:t>
      </w:r>
      <w:r w:rsidR="00E84B0E">
        <w:t>’</w:t>
      </w:r>
      <w:r>
        <w:t xml:space="preserve">est pas inhibée par cette création. Au contraire, si pour gérer cette situation une </w:t>
      </w:r>
      <w:hyperlink w:anchor="terminologie-sous-classe">
        <w:r>
          <w:rPr>
            <w:rStyle w:val="Lienhypertexte"/>
          </w:rPr>
          <w:t>sous-classe</w:t>
        </w:r>
      </w:hyperlink>
      <w:r>
        <w:t xml:space="preserve"> « Autre Activité » avait été déclarée, un changement non monotone aurait été introduit dans le CRMbase, car la </w:t>
      </w:r>
      <w:hyperlink w:anchor="terminologie-note-dapplication">
        <w:r>
          <w:rPr>
            <w:rStyle w:val="Lienhypertexte"/>
          </w:rPr>
          <w:t>note d</w:t>
        </w:r>
        <w:r w:rsidR="00E84B0E">
          <w:rPr>
            <w:rStyle w:val="Lienhypertexte"/>
          </w:rPr>
          <w:t>’</w:t>
        </w:r>
        <w:r>
          <w:rPr>
            <w:rStyle w:val="Lienhypertexte"/>
          </w:rPr>
          <w:t>application</w:t>
        </w:r>
      </w:hyperlink>
      <w:r>
        <w:t xml:space="preserve"> d</w:t>
      </w:r>
      <w:r w:rsidR="00E84B0E">
        <w:t>’</w:t>
      </w:r>
      <w:r>
        <w:t>une telle classe complémentaire aurait proscrit la déclaration d</w:t>
      </w:r>
      <w:r w:rsidR="00E84B0E">
        <w:t>’</w:t>
      </w:r>
      <w:r>
        <w:t xml:space="preserve">autres spécialisations de </w:t>
      </w:r>
      <w:r>
        <w:rPr>
          <w:rStyle w:val="VerbatimChar"/>
        </w:rPr>
        <w:t>E7_Activité</w:t>
      </w:r>
      <w:r>
        <w:t xml:space="preserve"> comme « Activité d</w:t>
      </w:r>
      <w:r w:rsidR="00E84B0E">
        <w:t>’</w:t>
      </w:r>
      <w:r>
        <w:t>utilisation de nom ». Dans l</w:t>
      </w:r>
      <w:r w:rsidR="00E84B0E">
        <w:t>’</w:t>
      </w:r>
      <w:r>
        <w:t>éventualité où il serait nécessaire de déclarer des sous-classes spécialisées, une révision non monotone devrait être effectuée, car il ne serait pas possible de déterminer quelles instances relèvent de la nouvelle classe spécialisée et lesquelles n</w:t>
      </w:r>
      <w:r w:rsidR="00E84B0E">
        <w:t>’</w:t>
      </w:r>
      <w:r>
        <w:t>en relèvent pas (un changement et une révision qui sont extrêmement exigeants du point de vue des utilisateurs et qui compromettent sérieusement la rétro-compatibilité et l</w:t>
      </w:r>
      <w:r w:rsidR="00E84B0E">
        <w:t>’</w:t>
      </w:r>
      <w:r>
        <w:t>intégration du système à long-terme).</w:t>
      </w:r>
    </w:p>
    <w:p w14:paraId="3F88A262" w14:textId="22D86EA5" w:rsidR="00065317" w:rsidRDefault="005C7BF7">
      <w:pPr>
        <w:pStyle w:val="Corpsdetexte"/>
      </w:pPr>
      <w:r>
        <w:t xml:space="preserve">La </w:t>
      </w:r>
      <w:r>
        <w:rPr>
          <w:b/>
          <w:bCs/>
        </w:rPr>
        <w:t>seconde conséquence</w:t>
      </w:r>
      <w:r>
        <w:t xml:space="preserve"> de ce choix [</w:t>
      </w:r>
      <w:r w:rsidR="00AF51A3">
        <w:t xml:space="preserve">n.d.t. </w:t>
      </w:r>
      <w:r>
        <w:t>méthodologique d</w:t>
      </w:r>
      <w:r w:rsidR="00E84B0E">
        <w:t>’</w:t>
      </w:r>
      <w:r>
        <w:t>adopter l</w:t>
      </w:r>
      <w:r w:rsidR="00E84B0E">
        <w:t>’</w:t>
      </w:r>
      <w:r>
        <w:t>hypothèse du monde ouvert] est qu</w:t>
      </w:r>
      <w:r w:rsidR="00E84B0E">
        <w:t>’</w:t>
      </w:r>
      <w:r>
        <w:t>il est nécessaire de maintenir la monotonicité même lors de la révision ou de l</w:t>
      </w:r>
      <w:r w:rsidR="00E84B0E">
        <w:t>’</w:t>
      </w:r>
      <w:r>
        <w:t xml:space="preserve">ajout de données dans des systèmes compatibles avec le </w:t>
      </w:r>
      <w:r w:rsidR="00C8288F">
        <w:t>CIDOC CRM</w:t>
      </w:r>
      <w:r>
        <w:t>. En d</w:t>
      </w:r>
      <w:r w:rsidR="00E84B0E">
        <w:t>’</w:t>
      </w:r>
      <w:r>
        <w:t xml:space="preserve">autres termes, les instances des classes du </w:t>
      </w:r>
      <w:r w:rsidR="00C8288F">
        <w:t>CIDOC CRM</w:t>
      </w:r>
      <w:r>
        <w:t>, leurs propriétés et les déductions qui en découlent doivent demeurer formellement et conceptuellement valides, et ce même lorsque de nouvelles instances considérées par les experts d</w:t>
      </w:r>
      <w:r w:rsidR="00E84B0E">
        <w:t>’</w:t>
      </w:r>
      <w:r>
        <w:t>un domaine précis considèrent qu</w:t>
      </w:r>
      <w:r w:rsidR="00E84B0E">
        <w:t>’</w:t>
      </w:r>
      <w:r>
        <w:t>elles s</w:t>
      </w:r>
      <w:r w:rsidR="00E84B0E">
        <w:t>’</w:t>
      </w:r>
      <w:r>
        <w:t>insèrent de manière cohérente dans l</w:t>
      </w:r>
      <w:r w:rsidR="00E84B0E">
        <w:t>’</w:t>
      </w:r>
      <w:r>
        <w:t>ensemble du système.</w:t>
      </w:r>
    </w:p>
    <w:p w14:paraId="77CA4E75" w14:textId="77777777" w:rsidR="00065317" w:rsidRDefault="005C7BF7">
      <w:pPr>
        <w:pStyle w:val="Corpsdetexte"/>
      </w:pPr>
      <w:r>
        <w:t>Par exemple :</w:t>
      </w:r>
    </w:p>
    <w:p w14:paraId="2730DBF0" w14:textId="08C8C332" w:rsidR="00065317" w:rsidRDefault="005C7BF7">
      <w:pPr>
        <w:pStyle w:val="Corpsdetexte"/>
      </w:pPr>
      <w:r>
        <w:t>Si quelqu</w:t>
      </w:r>
      <w:r w:rsidR="00E84B0E">
        <w:t>’</w:t>
      </w:r>
      <w:r>
        <w:t>un indique correctement qu</w:t>
      </w:r>
      <w:r w:rsidR="00E84B0E">
        <w:t>’</w:t>
      </w:r>
      <w:r>
        <w:t xml:space="preserve">un élément est une instance de </w:t>
      </w:r>
      <w:r>
        <w:rPr>
          <w:rStyle w:val="VerbatimChar"/>
        </w:rPr>
        <w:t>E19_Objet_matériel</w:t>
      </w:r>
      <w:r>
        <w:t xml:space="preserve"> et que ce même élément est subséquemment qualifié de </w:t>
      </w:r>
      <w:r>
        <w:rPr>
          <w:rStyle w:val="VerbatimChar"/>
        </w:rPr>
        <w:t>E20_Objet_biologique</w:t>
      </w:r>
      <w:r>
        <w:t xml:space="preserve">, le système ne devrait pas cesser de traiter cet élément comme une instance de </w:t>
      </w:r>
      <w:r>
        <w:rPr>
          <w:rStyle w:val="VerbatimChar"/>
        </w:rPr>
        <w:t>E19_Objet_matériel</w:t>
      </w:r>
      <w:r>
        <w:t xml:space="preserve">, car </w:t>
      </w:r>
      <w:r>
        <w:rPr>
          <w:rStyle w:val="VerbatimChar"/>
        </w:rPr>
        <w:t>E20_Objet_biologique</w:t>
      </w:r>
      <w:r>
        <w:t xml:space="preserve"> est une sous-classe de </w:t>
      </w:r>
      <w:r>
        <w:rPr>
          <w:rStyle w:val="VerbatimChar"/>
        </w:rPr>
        <w:t>E19_Objet_matériel</w:t>
      </w:r>
      <w:r>
        <w:t>.</w:t>
      </w:r>
    </w:p>
    <w:p w14:paraId="18723C5D" w14:textId="3E3E4394" w:rsidR="00065317" w:rsidRDefault="005C7BF7">
      <w:pPr>
        <w:pStyle w:val="Corpsdetexte"/>
      </w:pPr>
      <w:r>
        <w:t xml:space="preserve">Cet exemple démontre en outre que la hiérarchie </w:t>
      </w:r>
      <w:r>
        <w:rPr>
          <w:rStyle w:val="VerbatimChar"/>
        </w:rPr>
        <w:t>estUn</w:t>
      </w:r>
      <w:r>
        <w:t xml:space="preserve"> de classes et de propriétés peut rendre compte des étapes caractéristiques de précision des connaissances au sujet d</w:t>
      </w:r>
      <w:r w:rsidR="00E84B0E">
        <w:t>’</w:t>
      </w:r>
      <w:r>
        <w:t>un élément tel qu</w:t>
      </w:r>
      <w:r w:rsidR="00E84B0E">
        <w:t>’</w:t>
      </w:r>
      <w:r>
        <w:t>il se décline au fur et à mesure des processus d</w:t>
      </w:r>
      <w:r w:rsidR="00E84B0E">
        <w:t>’</w:t>
      </w:r>
      <w:r>
        <w:t>investigation et de cueillette d</w:t>
      </w:r>
      <w:r w:rsidR="00E84B0E">
        <w:t>’</w:t>
      </w:r>
      <w:r>
        <w:t>information et de contenus. Les classes de plus haut niveau peuvent ainsi être utilisées afin de classifier des objets dont les caractéristiques particulières ne sont pas initialement toutes connues ou recensées. Par exemple, un objet biologique dont la nature est incertaine peut d</w:t>
      </w:r>
      <w:r w:rsidR="00E84B0E">
        <w:t>’</w:t>
      </w:r>
      <w:r>
        <w:t xml:space="preserve">abord être classifié comme </w:t>
      </w:r>
      <w:r>
        <w:rPr>
          <w:rStyle w:val="VerbatimChar"/>
        </w:rPr>
        <w:t>E19_Objet_matériel</w:t>
      </w:r>
      <w:r>
        <w:t>, mais des investigations subséquentes peuvent établir qu</w:t>
      </w:r>
      <w:r w:rsidR="00E84B0E">
        <w:t>’</w:t>
      </w:r>
      <w:r>
        <w:t>il s</w:t>
      </w:r>
      <w:r w:rsidR="00E84B0E">
        <w:t>’</w:t>
      </w:r>
      <w:r>
        <w:t>agit en fait d</w:t>
      </w:r>
      <w:r w:rsidR="00E84B0E">
        <w:t>’</w:t>
      </w:r>
      <w:r>
        <w:t xml:space="preserve">un </w:t>
      </w:r>
      <w:r>
        <w:rPr>
          <w:rStyle w:val="VerbatimChar"/>
        </w:rPr>
        <w:t>E20_Objet_biologique</w:t>
      </w:r>
      <w:r>
        <w:t xml:space="preserve">. Une base de connaissances construite avec des classes </w:t>
      </w:r>
      <w:r w:rsidR="00C8288F">
        <w:t>CIDOC CRM</w:t>
      </w:r>
      <w:r>
        <w:t xml:space="preserve"> conçues de manière à permettre une révision monotone rendra possible, dans un tel cas, une recherche des objets physiques qui [</w:t>
      </w:r>
      <w:r w:rsidR="00AF51A3">
        <w:t xml:space="preserve">n.d.t. </w:t>
      </w:r>
      <w:r>
        <w:t>à un certain point de leur historique de documentation] n</w:t>
      </w:r>
      <w:r w:rsidR="00E84B0E">
        <w:t>’</w:t>
      </w:r>
      <w:r>
        <w:t>étaient pas encore reconnus comme des objets biologiques. Cette capacité d</w:t>
      </w:r>
      <w:r w:rsidR="00E84B0E">
        <w:t>’</w:t>
      </w:r>
      <w:r>
        <w:t>intégrer de l</w:t>
      </w:r>
      <w:r w:rsidR="00E84B0E">
        <w:t>’</w:t>
      </w:r>
      <w:r>
        <w:t>information dont les niveaux de spécificité descriptive diffèrent est particulièrement importante dans le contexte d</w:t>
      </w:r>
      <w:r w:rsidR="00E84B0E">
        <w:t>’</w:t>
      </w:r>
      <w:r>
        <w:t>une agrégation à large échelle. C</w:t>
      </w:r>
      <w:r w:rsidR="00E84B0E">
        <w:t>’</w:t>
      </w:r>
      <w:r>
        <w:t>est aussi une pratique qui permet aux chercheurs d</w:t>
      </w:r>
      <w:r w:rsidR="00E84B0E">
        <w:t>’</w:t>
      </w:r>
      <w:r>
        <w:t>intégrer dans un même système de l</w:t>
      </w:r>
      <w:r w:rsidR="00E84B0E">
        <w:t>’</w:t>
      </w:r>
      <w:r>
        <w:t>information au sujet de divers phénomènes sans nécessiter une connaissance exhaustive ou minimale de l</w:t>
      </w:r>
      <w:r w:rsidR="00E84B0E">
        <w:t>’</w:t>
      </w:r>
      <w:r>
        <w:t>objet [</w:t>
      </w:r>
      <w:r w:rsidR="00AF51A3">
        <w:t xml:space="preserve">n.d.t. </w:t>
      </w:r>
      <w:r>
        <w:t>pour se concentrer sur celui-ci plutôt que sur l</w:t>
      </w:r>
      <w:r w:rsidR="00E84B0E">
        <w:t>’</w:t>
      </w:r>
      <w:r>
        <w:t>acquisition de connaissances qui l</w:t>
      </w:r>
      <w:r w:rsidR="00E84B0E">
        <w:t>’</w:t>
      </w:r>
      <w:r>
        <w:t>entourent]. Puisque l</w:t>
      </w:r>
      <w:r w:rsidR="00E84B0E">
        <w:t>’</w:t>
      </w:r>
      <w:r>
        <w:t>intégration d</w:t>
      </w:r>
      <w:r w:rsidR="00E84B0E">
        <w:t>’</w:t>
      </w:r>
      <w:r>
        <w:t>information à large échelle implique de facto des connaissances dont le niveau de précision varie, cette caractéristique est essentielle pour une intégration cohérente des données.</w:t>
      </w:r>
    </w:p>
    <w:p w14:paraId="71827BC5" w14:textId="256E0903" w:rsidR="00065317" w:rsidRDefault="005C7BF7">
      <w:pPr>
        <w:pStyle w:val="Corpsdetexte"/>
      </w:pPr>
      <w:r>
        <w:t xml:space="preserve">La </w:t>
      </w:r>
      <w:r>
        <w:rPr>
          <w:b/>
          <w:bCs/>
        </w:rPr>
        <w:t>troisième conséquence</w:t>
      </w:r>
      <w:r>
        <w:t xml:space="preserve"> de ce choix [</w:t>
      </w:r>
      <w:r w:rsidR="00AF51A3">
        <w:t xml:space="preserve">n.d.t. </w:t>
      </w:r>
      <w:r>
        <w:t>d</w:t>
      </w:r>
      <w:r w:rsidR="00E84B0E">
        <w:t>’</w:t>
      </w:r>
      <w:r>
        <w:t>une méthodologie monotone] est la nécessité d</w:t>
      </w:r>
      <w:r w:rsidR="00E84B0E">
        <w:t>’</w:t>
      </w:r>
      <w:r>
        <w:t xml:space="preserve">une implémentation formelle illimitée (plusieurs à plusieurs) des propriétés recensant des enregistrements ou opinions alternatifs au sujet de phénomènes dans une base de connaissances, de telle sorte que des </w:t>
      </w:r>
      <w:r>
        <w:lastRenderedPageBreak/>
        <w:t>instances qui pourraient s</w:t>
      </w:r>
      <w:r w:rsidR="00E84B0E">
        <w:t>’</w:t>
      </w:r>
      <w:r>
        <w:t>avérer conflictuelles s</w:t>
      </w:r>
      <w:r w:rsidR="00E84B0E">
        <w:t>’</w:t>
      </w:r>
      <w:r>
        <w:t>accumulent [</w:t>
      </w:r>
      <w:r w:rsidR="00AF51A3">
        <w:t xml:space="preserve">n.d.t. </w:t>
      </w:r>
      <w:r>
        <w:t>plutôt que d</w:t>
      </w:r>
      <w:r w:rsidR="00E84B0E">
        <w:t>’</w:t>
      </w:r>
      <w:r>
        <w:t>établir des contradictions]. Ainsi, les bases de connaissances [</w:t>
      </w:r>
      <w:r w:rsidR="00AF51A3">
        <w:t xml:space="preserve">n.d.t. </w:t>
      </w:r>
      <w:r>
        <w:t>où se retrouvent les informations et savoirs intégrés] peuvent être utilisées afin d</w:t>
      </w:r>
      <w:r w:rsidR="00E84B0E">
        <w:t>’</w:t>
      </w:r>
      <w:r>
        <w:t>accumuler ou de recenser des opinions alternatives pertinentes au sujet d</w:t>
      </w:r>
      <w:r w:rsidR="00E84B0E">
        <w:t>’</w:t>
      </w:r>
      <w:r>
        <w:t>un phénomène par l</w:t>
      </w:r>
      <w:r w:rsidR="00E84B0E">
        <w:t>’</w:t>
      </w:r>
      <w:r>
        <w:t>utilisation d</w:t>
      </w:r>
      <w:r w:rsidR="00E84B0E">
        <w:t>’</w:t>
      </w:r>
      <w:r>
        <w:t>entités sémantiques clairement définies alors que les constats experts ou conclusions sur ce même sujet [</w:t>
      </w:r>
      <w:r w:rsidR="00AF51A3">
        <w:t xml:space="preserve">n.d.t. </w:t>
      </w:r>
      <w:r>
        <w:t>qui peuvent s</w:t>
      </w:r>
      <w:r w:rsidR="00E84B0E">
        <w:t>’</w:t>
      </w:r>
      <w:r>
        <w:t>appuyer sur l</w:t>
      </w:r>
      <w:r w:rsidR="00E84B0E">
        <w:t>’</w:t>
      </w:r>
      <w:r>
        <w:t>information trouvée dans ces bases de connaissances] relèvent de l</w:t>
      </w:r>
      <w:r w:rsidR="00E84B0E">
        <w:t>’</w:t>
      </w:r>
      <w:r>
        <w:t>analyse scientifique ou experte.</w:t>
      </w:r>
    </w:p>
    <w:p w14:paraId="35D3396A" w14:textId="77777777" w:rsidR="00065317" w:rsidRDefault="005C7BF7">
      <w:pPr>
        <w:pStyle w:val="Corpsdetexte"/>
      </w:pPr>
      <w:r>
        <w:t>Par exemple :</w:t>
      </w:r>
    </w:p>
    <w:p w14:paraId="034E734D" w14:textId="79BA9A96" w:rsidR="00065317" w:rsidRDefault="005C7BF7">
      <w:pPr>
        <w:pStyle w:val="Corpsdetexte"/>
      </w:pPr>
      <w:r>
        <w:t>Les évènements rythmant la vie du Roi Arthur font l</w:t>
      </w:r>
      <w:r w:rsidR="00E84B0E">
        <w:t>’</w:t>
      </w:r>
      <w:r>
        <w:t>objet de beaucoup de spéculations et de désaccords [</w:t>
      </w:r>
      <w:r w:rsidR="00AF51A3">
        <w:t xml:space="preserve">n.d.t. </w:t>
      </w:r>
      <w:r>
        <w:t xml:space="preserve">qui doivent néanmoins être recensés dans les bases de connaissances traitant de lui]. Le </w:t>
      </w:r>
      <w:r w:rsidR="00C8288F">
        <w:t>CIDOC CRM</w:t>
      </w:r>
      <w:r>
        <w:t xml:space="preserve"> préconise un recensement selon la formule suivante :</w:t>
      </w:r>
    </w:p>
    <w:p w14:paraId="73A9F1A3" w14:textId="714D82C0" w:rsidR="00065317" w:rsidRDefault="005C7BF7">
      <w:pPr>
        <w:pStyle w:val="Corpsdetexte"/>
      </w:pPr>
      <w:r>
        <w:t>Une fois recensé dans une base de connaissances, le Roi Arthur [</w:t>
      </w:r>
      <w:r w:rsidR="00AF51A3">
        <w:t xml:space="preserve">n.d.t. </w:t>
      </w:r>
      <w:r>
        <w:t>en tant qu</w:t>
      </w:r>
      <w:r w:rsidR="00E84B0E">
        <w:t>’</w:t>
      </w:r>
      <w:r>
        <w:t xml:space="preserve">individu] devrait être défini comme une instance de </w:t>
      </w:r>
      <w:r>
        <w:rPr>
          <w:rStyle w:val="VerbatimChar"/>
        </w:rPr>
        <w:t>E21_Personne</w:t>
      </w:r>
      <w:r>
        <w:t xml:space="preserve"> et traité comme une figure historique ayant « réellement » existé (au regard de la discipline qu</w:t>
      </w:r>
      <w:r w:rsidR="00E84B0E">
        <w:t>’</w:t>
      </w:r>
      <w:r>
        <w:t>est l</w:t>
      </w:r>
      <w:r w:rsidR="00E84B0E">
        <w:t>’</w:t>
      </w:r>
      <w:r>
        <w:t xml:space="preserve">histoire et des discours qui la construisent). Cette instance de </w:t>
      </w:r>
      <w:r>
        <w:rPr>
          <w:rStyle w:val="VerbatimChar"/>
        </w:rPr>
        <w:t>E21_Personne</w:t>
      </w:r>
      <w:r>
        <w:t xml:space="preserve"> devrait ainsi être utilisée afin de fédérer les possibles propriétés de l</w:t>
      </w:r>
      <w:r w:rsidR="00E84B0E">
        <w:t>’</w:t>
      </w:r>
      <w:r>
        <w:t>existence de l</w:t>
      </w:r>
      <w:r w:rsidR="00E84B0E">
        <w:t>’</w:t>
      </w:r>
      <w:r>
        <w:t>individu sachant que les opinions alternatives au sujet de ces propriétés (par exemple le lieu de naissance ou les endroits où il a résidé) devraient être recensés sans qu</w:t>
      </w:r>
      <w:r w:rsidR="00E84B0E">
        <w:t>’</w:t>
      </w:r>
      <w:r>
        <w:t>un constat sur leur validité ne soit fait à l</w:t>
      </w:r>
      <w:r w:rsidR="00E84B0E">
        <w:t>’</w:t>
      </w:r>
      <w:r>
        <w:t>étape de la compilation des données.</w:t>
      </w:r>
    </w:p>
    <w:p w14:paraId="59A801E9" w14:textId="5582F2A7" w:rsidR="00065317" w:rsidRDefault="005C7BF7">
      <w:pPr>
        <w:pStyle w:val="Corpsdetexte"/>
      </w:pPr>
      <w:r>
        <w:t>Le recensement du Roi Arthur à titre de figure mythologique [</w:t>
      </w:r>
      <w:r w:rsidR="00AF51A3">
        <w:t xml:space="preserve">n.d.t. </w:t>
      </w:r>
      <w:r>
        <w:t xml:space="preserve">plutôt que comme individu historique] requiert pour sa part une instance de </w:t>
      </w:r>
      <w:r>
        <w:rPr>
          <w:rStyle w:val="VerbatimChar"/>
        </w:rPr>
        <w:t>E28_Objet_conceptuel</w:t>
      </w:r>
      <w:r>
        <w:t xml:space="preserve"> qui permettra de recueillir les informations qui s</w:t>
      </w:r>
      <w:r w:rsidR="00E84B0E">
        <w:t>’</w:t>
      </w:r>
      <w:r>
        <w:t>y rapportent.</w:t>
      </w:r>
    </w:p>
    <w:p w14:paraId="1D5E369E" w14:textId="6D0BBDC5" w:rsidR="00065317" w:rsidRDefault="005C7BF7">
      <w:pPr>
        <w:pStyle w:val="Corpsdetexte"/>
      </w:pPr>
      <w:r>
        <w:t xml:space="preserve">La </w:t>
      </w:r>
      <w:r>
        <w:rPr>
          <w:b/>
          <w:bCs/>
        </w:rPr>
        <w:t>quatrième conséquence</w:t>
      </w:r>
      <w:r>
        <w:t xml:space="preserve"> de ce choix d</w:t>
      </w:r>
      <w:r w:rsidR="00E84B0E">
        <w:t>’</w:t>
      </w:r>
      <w:r>
        <w:t>une méthodologie monotone [</w:t>
      </w:r>
      <w:r w:rsidR="00AF51A3">
        <w:t xml:space="preserve">n.d.t. </w:t>
      </w:r>
      <w:r>
        <w:t>reposant sur l</w:t>
      </w:r>
      <w:r w:rsidR="00E84B0E">
        <w:t>’</w:t>
      </w:r>
      <w:r>
        <w:t>hypothèse du monde ouvert] est la possibilité pour certaines propriétés de nature temporelle (telles que celles qui se rapportent au fait d</w:t>
      </w:r>
      <w:r w:rsidR="00E84B0E">
        <w:t>’</w:t>
      </w:r>
      <w:r>
        <w:t>avoir des composantes, des propriétaires ou des localisations) de changer plusieurs fois en référence à un même élément au cours de son existence. Dans ce contexte, affirmer qu</w:t>
      </w:r>
      <w:r w:rsidR="00E84B0E">
        <w:t>’</w:t>
      </w:r>
      <w:r>
        <w:t>une propriété est valide pour un élément implique qu</w:t>
      </w:r>
      <w:r w:rsidR="00E84B0E">
        <w:t>’</w:t>
      </w:r>
      <w:r>
        <w:t>elle soit aussi valide pour un intervalle temporel particulier, mais indéterminé et situé dans le cours de l</w:t>
      </w:r>
      <w:r w:rsidR="00E84B0E">
        <w:t>’</w:t>
      </w:r>
      <w:r>
        <w:t>existence de ce même élément. Il en résulte qu</w:t>
      </w:r>
      <w:r w:rsidR="00E84B0E">
        <w:t>’</w:t>
      </w:r>
      <w:r>
        <w:t>un même élément puisse faire l</w:t>
      </w:r>
      <w:r w:rsidR="00E84B0E">
        <w:t>’</w:t>
      </w:r>
      <w:r>
        <w:t>objet de nombreux énoncés affirmant l</w:t>
      </w:r>
      <w:r w:rsidR="00E84B0E">
        <w:t>’</w:t>
      </w:r>
      <w:r>
        <w:t>instanciation d</w:t>
      </w:r>
      <w:r w:rsidR="00E84B0E">
        <w:t>’</w:t>
      </w:r>
      <w:r>
        <w:t xml:space="preserve">une propriété sans que </w:t>
      </w:r>
      <w:r w:rsidR="00714434">
        <w:t>cela</w:t>
      </w:r>
      <w:r>
        <w:t xml:space="preserve"> ne soit conflictuel ou ne nécessite de révision. La collecte de tels énoncés résulterait ainsi en une agrégation des instances de cette propriété en tant qu</w:t>
      </w:r>
      <w:r w:rsidR="00E84B0E">
        <w:t>’</w:t>
      </w:r>
      <w:r>
        <w:t>elle s</w:t>
      </w:r>
      <w:r w:rsidR="00E84B0E">
        <w:t>’</w:t>
      </w:r>
      <w:r>
        <w:t>applique à l</w:t>
      </w:r>
      <w:r w:rsidR="00E84B0E">
        <w:t>’</w:t>
      </w:r>
      <w:r>
        <w:t>entièreté de l</w:t>
      </w:r>
      <w:r w:rsidR="00E84B0E">
        <w:t>’</w:t>
      </w:r>
      <w:r>
        <w:t>existence de l</w:t>
      </w:r>
      <w:r w:rsidR="00E84B0E">
        <w:t>’</w:t>
      </w:r>
      <w:r>
        <w:t>élément. Si des informations temporelles plus spécifiques sont nécessaires ou disponibles, il est recommandé de décrire explicitement les évènements qui sous-tendent l</w:t>
      </w:r>
      <w:r w:rsidR="00E84B0E">
        <w:t>’</w:t>
      </w:r>
      <w:r>
        <w:t>application d</w:t>
      </w:r>
      <w:r w:rsidR="00E84B0E">
        <w:t>’</w:t>
      </w:r>
      <w:r>
        <w:t>une propriété à un élément.</w:t>
      </w:r>
    </w:p>
    <w:p w14:paraId="4261FF40" w14:textId="77777777" w:rsidR="00065317" w:rsidRDefault="005C7BF7">
      <w:pPr>
        <w:pStyle w:val="Corpsdetexte"/>
      </w:pPr>
      <w:r>
        <w:t>Par exemple :</w:t>
      </w:r>
    </w:p>
    <w:p w14:paraId="448A0866" w14:textId="76BDCD08" w:rsidR="00065317" w:rsidRDefault="005C7BF7">
      <w:pPr>
        <w:pStyle w:val="Corpsdetexte"/>
      </w:pPr>
      <w:r>
        <w:t>Si un élément fait l</w:t>
      </w:r>
      <w:r w:rsidR="00E84B0E">
        <w:t>’</w:t>
      </w:r>
      <w:r>
        <w:t>objet d</w:t>
      </w:r>
      <w:r w:rsidR="00E84B0E">
        <w:t>’</w:t>
      </w:r>
      <w:r>
        <w:t>une acquisition ou d</w:t>
      </w:r>
      <w:r w:rsidR="00E84B0E">
        <w:t>’</w:t>
      </w:r>
      <w:r>
        <w:t xml:space="preserve">une perte, une instance de </w:t>
      </w:r>
      <w:r>
        <w:rPr>
          <w:rStyle w:val="VerbatimChar"/>
        </w:rPr>
        <w:t>E9_Déplacement</w:t>
      </w:r>
      <w:r>
        <w:t xml:space="preserve"> devrait être liée et déclarée. Une telle approche permet de maintenir la monotonicité du </w:t>
      </w:r>
      <w:r w:rsidR="00C8288F">
        <w:t>CIDOC CRM</w:t>
      </w:r>
      <w:r>
        <w:t xml:space="preserve"> malgré un accroissement des connaissances au sujet de l</w:t>
      </w:r>
      <w:r w:rsidR="00E84B0E">
        <w:t>’</w:t>
      </w:r>
      <w:r>
        <w:t>état d</w:t>
      </w:r>
      <w:r w:rsidR="00E84B0E">
        <w:t>’</w:t>
      </w:r>
      <w:r>
        <w:t>un élément à différents moments, et ce indépendamment de leur chronologie.</w:t>
      </w:r>
    </w:p>
    <w:p w14:paraId="7E711C33" w14:textId="4EDA5FE9" w:rsidR="00784AE7" w:rsidRDefault="005C7BF7">
      <w:pPr>
        <w:pStyle w:val="Corpsdetexte"/>
      </w:pPr>
      <w:r>
        <w:t>Des propriétés temporellement neutres peuvent faire l</w:t>
      </w:r>
      <w:r w:rsidR="00E84B0E">
        <w:t>’</w:t>
      </w:r>
      <w:r>
        <w:t>objet d</w:t>
      </w:r>
      <w:r w:rsidR="00E84B0E">
        <w:t>’</w:t>
      </w:r>
      <w:r>
        <w:t>une spécialisation par des propriétés temporellement spécifiques dans le cadre d</w:t>
      </w:r>
      <w:r w:rsidR="00E84B0E">
        <w:t>’</w:t>
      </w:r>
      <w:r>
        <w:t>extensions monotones futures, mais le contraire n</w:t>
      </w:r>
      <w:r w:rsidR="00E84B0E">
        <w:t>’</w:t>
      </w:r>
      <w:r>
        <w:t xml:space="preserve">est pas possible. En outre, plusieurs propriétés du </w:t>
      </w:r>
      <w:r w:rsidR="00C8288F">
        <w:t>CIDOC CRM</w:t>
      </w:r>
      <w:r>
        <w:t xml:space="preserve"> n</w:t>
      </w:r>
      <w:r w:rsidR="00E84B0E">
        <w:t>’</w:t>
      </w:r>
      <w:r>
        <w:t>ont pas de composante temporelle ou sont déjà définies par rapport à des évènements précis [</w:t>
      </w:r>
      <w:r w:rsidR="00AF51A3">
        <w:t xml:space="preserve">n.d.t. </w:t>
      </w:r>
      <w:r>
        <w:t xml:space="preserve">et celles-ci devraient être envisagées avant la création de nouvelles propriétés]. Le </w:t>
      </w:r>
      <w:r w:rsidR="00C8288F">
        <w:t>CIDOC CRM</w:t>
      </w:r>
      <w:r>
        <w:t xml:space="preserve"> privilégie la modélisation de propriétés qui sont temporellement neutres et l</w:t>
      </w:r>
      <w:r w:rsidR="00E84B0E">
        <w:t>’</w:t>
      </w:r>
      <w:r>
        <w:t>utilisation d</w:t>
      </w:r>
      <w:r w:rsidR="00E84B0E">
        <w:t>’</w:t>
      </w:r>
      <w:r>
        <w:t>évènements pour représenter le changement.</w:t>
      </w:r>
    </w:p>
    <w:p w14:paraId="7C11B85A" w14:textId="17FD9122" w:rsidR="00065317" w:rsidRDefault="00784AE7" w:rsidP="00784AE7">
      <w:pPr>
        <w:spacing w:after="0"/>
      </w:pPr>
      <w:r>
        <w:br w:type="page"/>
      </w:r>
    </w:p>
    <w:p w14:paraId="5453C6FD" w14:textId="3B862FF9" w:rsidR="00065317" w:rsidRDefault="005C7BF7">
      <w:pPr>
        <w:pStyle w:val="Corpsdetexte"/>
      </w:pPr>
      <w:r>
        <w:lastRenderedPageBreak/>
        <w:t>Toutefois, dans le cas de certaines de ces propriétés, de nombreuses bases de données indiqueront parfois un statut « actuel » relatif à une autre propriété (p. ex. « localisation actuelle » ou « propriétaire actuel »). L</w:t>
      </w:r>
      <w:r w:rsidR="00E84B0E">
        <w:t>’</w:t>
      </w:r>
      <w:r>
        <w:t>utilisation d</w:t>
      </w:r>
      <w:r w:rsidR="00E84B0E">
        <w:t>’</w:t>
      </w:r>
      <w:r>
        <w:t>un tel état « actuel » implique que le responsable de la base de données en question soit garant de l</w:t>
      </w:r>
      <w:r w:rsidR="00E84B0E">
        <w:t>’</w:t>
      </w:r>
      <w:r>
        <w:t>information en date de la dernière date statuant la validité des contenus. Cette information, évidemment, est de nature non monotone (c.-à-d. qu</w:t>
      </w:r>
      <w:r w:rsidR="00E84B0E">
        <w:t>’</w:t>
      </w:r>
      <w:r>
        <w:t>elle doit être supprimée lorsque l</w:t>
      </w:r>
      <w:r w:rsidR="00E84B0E">
        <w:t>’</w:t>
      </w:r>
      <w:r>
        <w:t>état de l</w:t>
      </w:r>
      <w:r w:rsidR="00E84B0E">
        <w:t>’</w:t>
      </w:r>
      <w:r>
        <w:t>élément change). Afin de préserver malgré cela une forme (réduite) de monotonicité, de telles propriétés s</w:t>
      </w:r>
      <w:r w:rsidR="00E84B0E">
        <w:t>’</w:t>
      </w:r>
      <w:r>
        <w:t>inscrivent dans les super-propriétés temporellement neutres qui permettent de reclassifier leurs instances dans l</w:t>
      </w:r>
      <w:r w:rsidR="00E84B0E">
        <w:t>’</w:t>
      </w:r>
      <w:r>
        <w:t>éventualité où la validité de cette information échoit ou devient inconnue. Ainsi, l</w:t>
      </w:r>
      <w:r w:rsidR="00E84B0E">
        <w:t>’</w:t>
      </w:r>
      <w:r>
        <w:t xml:space="preserve">usage de telles propriétés dans le cadre du </w:t>
      </w:r>
      <w:r w:rsidR="00C8288F">
        <w:t>CIDOC CRM</w:t>
      </w:r>
      <w:r>
        <w:t xml:space="preserve"> n</w:t>
      </w:r>
      <w:r w:rsidR="00E84B0E">
        <w:t>’</w:t>
      </w:r>
      <w:r>
        <w:t xml:space="preserve">est recommandé que lorsque leur maintien régulier et rigoureux peut être assuré, sans quoi ces propriétés devraient être reclassifiées en faveur de leur </w:t>
      </w:r>
      <w:hyperlink w:anchor="terminologie-super-propriete">
        <w:r>
          <w:rPr>
            <w:rStyle w:val="Lienhypertexte"/>
          </w:rPr>
          <w:t>super-propriétés</w:t>
        </w:r>
      </w:hyperlink>
      <w:r>
        <w:t xml:space="preserve"> temporellement neutres; cette pratique s</w:t>
      </w:r>
      <w:r w:rsidR="00E84B0E">
        <w:t>’</w:t>
      </w:r>
      <w:r>
        <w:t>applique notamment lors de l</w:t>
      </w:r>
      <w:r w:rsidR="00E84B0E">
        <w:t>’</w:t>
      </w:r>
      <w:r>
        <w:t xml:space="preserve">exportation de données vers des répertoires autres (voir </w:t>
      </w:r>
      <w:hyperlink w:anchor="X8ed7dddd9eaf3521a8b039300d7d03602b42027">
        <w:r>
          <w:rPr>
            <w:rStyle w:val="Lienhypertexte"/>
          </w:rPr>
          <w:t>De l</w:t>
        </w:r>
        <w:r w:rsidR="00E84B0E">
          <w:rPr>
            <w:rStyle w:val="Lienhypertexte"/>
          </w:rPr>
          <w:t>’</w:t>
        </w:r>
        <w:r>
          <w:rPr>
            <w:rStyle w:val="Lienhypertexte"/>
          </w:rPr>
          <w:t>auctorialité des contenus d</w:t>
        </w:r>
        <w:r w:rsidR="00E84B0E">
          <w:rPr>
            <w:rStyle w:val="Lienhypertexte"/>
          </w:rPr>
          <w:t>’</w:t>
        </w:r>
        <w:r>
          <w:rPr>
            <w:rStyle w:val="Lienhypertexte"/>
          </w:rPr>
          <w:t>une base de connaissances</w:t>
        </w:r>
      </w:hyperlink>
      <w:r>
        <w:t>).</w:t>
      </w:r>
    </w:p>
    <w:p w14:paraId="2D05B87F" w14:textId="77777777" w:rsidR="00065317" w:rsidRDefault="005C7BF7">
      <w:pPr>
        <w:pStyle w:val="Normalcentr"/>
      </w:pPr>
      <w:r>
        <w:rPr>
          <w:b/>
          <w:bCs/>
          <w:i/>
          <w:iCs/>
        </w:rPr>
        <w:t>Note de traduction</w:t>
      </w:r>
    </w:p>
    <w:p w14:paraId="19BE1BB3" w14:textId="35B6041E" w:rsidR="008E0906" w:rsidRDefault="005C7BF7" w:rsidP="00D746C9">
      <w:pPr>
        <w:pStyle w:val="Normalcentr"/>
        <w:rPr>
          <w:b/>
          <w:bCs/>
          <w:i/>
          <w:iCs/>
        </w:rPr>
      </w:pPr>
      <w:r>
        <w:t xml:space="preserve">Certains paragraphes ont été édités dans la version francophone </w:t>
      </w:r>
      <w:r w:rsidR="00806228">
        <w:t xml:space="preserve">aux </w:t>
      </w:r>
      <w:r>
        <w:t>fins de compréhension. Les sections concernées sont indiquées de [</w:t>
      </w:r>
      <w:r w:rsidR="00AF51A3">
        <w:t xml:space="preserve">n.d.t. </w:t>
      </w:r>
      <w:r>
        <w:t>texte concerné].</w:t>
      </w:r>
    </w:p>
    <w:p w14:paraId="068916CA" w14:textId="452AE5C9" w:rsidR="00065317" w:rsidRDefault="005C7BF7">
      <w:pPr>
        <w:pStyle w:val="Normalcentr"/>
      </w:pPr>
      <w:r>
        <w:rPr>
          <w:b/>
          <w:bCs/>
          <w:i/>
          <w:iCs/>
        </w:rPr>
        <w:t>Références</w:t>
      </w:r>
    </w:p>
    <w:p w14:paraId="543BE699" w14:textId="6F714EF0" w:rsidR="00065317" w:rsidRDefault="005C7BF7">
      <w:pPr>
        <w:pStyle w:val="Normalcentr"/>
      </w:pPr>
      <w:r>
        <w:t xml:space="preserve">Wikipédia. « Monotonie ». Dans </w:t>
      </w:r>
      <w:r>
        <w:rPr>
          <w:i/>
          <w:iCs/>
        </w:rPr>
        <w:t>Wikipédia</w:t>
      </w:r>
      <w:r>
        <w:t xml:space="preserve">. </w:t>
      </w:r>
      <w:r w:rsidRPr="00484B0E">
        <w:rPr>
          <w:lang w:val="en-US"/>
        </w:rPr>
        <w:t>San Francisco, US-CA: Wikipédia, 19</w:t>
      </w:r>
      <w:r w:rsidR="00056DCD">
        <w:rPr>
          <w:lang w:val="en-US"/>
        </w:rPr>
        <w:t> février </w:t>
      </w:r>
      <w:r w:rsidRPr="00484B0E">
        <w:rPr>
          <w:lang w:val="en-US"/>
        </w:rPr>
        <w:t>2017.</w:t>
      </w:r>
      <w:hyperlink r:id="rId130">
        <w:r w:rsidRPr="00484B0E">
          <w:rPr>
            <w:rStyle w:val="Lienhypertexte"/>
            <w:lang w:val="en-CA"/>
          </w:rPr>
          <w:t xml:space="preserve"> </w:t>
        </w:r>
      </w:hyperlink>
      <w:hyperlink r:id="rId131">
        <w:r>
          <w:rPr>
            <w:rStyle w:val="Lienhypertexte"/>
          </w:rPr>
          <w:t>https://fr.wikipedia.org/w/index.php?title=Monotonie&amp;oldid=134697868</w:t>
        </w:r>
      </w:hyperlink>
      <w:r>
        <w:t>.</w:t>
      </w:r>
    </w:p>
    <w:p w14:paraId="190A63A9" w14:textId="77777777" w:rsidR="00065317" w:rsidRDefault="005C7BF7" w:rsidP="00484B0E">
      <w:pPr>
        <w:pStyle w:val="Titre3"/>
      </w:pPr>
      <w:bookmarkStart w:id="74" w:name="_Toc154048722"/>
      <w:bookmarkStart w:id="75" w:name="de-la-disjonction"/>
      <w:bookmarkEnd w:id="73"/>
      <w:r>
        <w:t>De la disjonction</w:t>
      </w:r>
      <w:bookmarkEnd w:id="74"/>
    </w:p>
    <w:p w14:paraId="3E9E0956" w14:textId="4A5D69B8" w:rsidR="00065317" w:rsidRDefault="005C7BF7">
      <w:pPr>
        <w:pStyle w:val="FirstParagraph"/>
      </w:pPr>
      <w:r>
        <w:t xml:space="preserve">Des </w:t>
      </w:r>
      <w:hyperlink w:anchor="terminologie-classe">
        <w:r>
          <w:rPr>
            <w:rStyle w:val="Lienhypertexte"/>
          </w:rPr>
          <w:t>classes</w:t>
        </w:r>
      </w:hyperlink>
      <w:r>
        <w:t xml:space="preserve"> qui ne peuvent pas partager </w:t>
      </w:r>
      <w:hyperlink w:anchor="terminologie-instance">
        <w:r>
          <w:rPr>
            <w:rStyle w:val="Lienhypertexte"/>
          </w:rPr>
          <w:t>d</w:t>
        </w:r>
        <w:r w:rsidR="00E84B0E">
          <w:rPr>
            <w:rStyle w:val="Lienhypertexte"/>
          </w:rPr>
          <w:t>’</w:t>
        </w:r>
        <w:r>
          <w:rPr>
            <w:rStyle w:val="Lienhypertexte"/>
          </w:rPr>
          <w:t>instances</w:t>
        </w:r>
      </w:hyperlink>
      <w:r>
        <w:t xml:space="preserve"> à quelque moment que ce soit (par le passé, dans le présent ou dans le futur) sont qualifiées de </w:t>
      </w:r>
      <w:hyperlink w:anchor="terminologie-disjointe">
        <w:r>
          <w:rPr>
            <w:rStyle w:val="Lienhypertexte"/>
            <w:b/>
            <w:bCs/>
          </w:rPr>
          <w:t>disjointes</w:t>
        </w:r>
      </w:hyperlink>
      <w:r>
        <w:t xml:space="preserve">. Un élément ne peut pas être instancié avec une combinaison de classes qui sont mutuellement disjointes ou qui sont des </w:t>
      </w:r>
      <w:hyperlink w:anchor="terminologie-sous-classe">
        <w:r>
          <w:rPr>
            <w:rStyle w:val="Lienhypertexte"/>
          </w:rPr>
          <w:t>sous-classes</w:t>
        </w:r>
      </w:hyperlink>
      <w:r>
        <w:t xml:space="preserve"> de </w:t>
      </w:r>
      <w:hyperlink w:anchor="terminologie-super-classe">
        <w:r>
          <w:rPr>
            <w:rStyle w:val="Lienhypertexte"/>
          </w:rPr>
          <w:t>super-classes</w:t>
        </w:r>
      </w:hyperlink>
      <w:r>
        <w:t xml:space="preserve"> mutuellement disjointes (voir « </w:t>
      </w:r>
      <w:hyperlink w:anchor="terminologie-instanciation-multiple">
        <w:r>
          <w:rPr>
            <w:rStyle w:val="Lienhypertexte"/>
          </w:rPr>
          <w:t>Instanciation multiple</w:t>
        </w:r>
      </w:hyperlink>
      <w:r>
        <w:t xml:space="preserve"> » dans la section </w:t>
      </w:r>
      <w:hyperlink w:anchor="terminologie">
        <w:r>
          <w:rPr>
            <w:rStyle w:val="Lienhypertexte"/>
          </w:rPr>
          <w:t>Terminologie</w:t>
        </w:r>
      </w:hyperlink>
      <w:r>
        <w:t>).</w:t>
      </w:r>
    </w:p>
    <w:p w14:paraId="4FD8F1E5" w14:textId="3663B5DE" w:rsidR="00065317" w:rsidRDefault="005C7BF7">
      <w:pPr>
        <w:pStyle w:val="Corpsdetexte"/>
      </w:pPr>
      <w:r>
        <w:t xml:space="preserve">Il y a de nombreuses paires de classes disjointes dans le </w:t>
      </w:r>
      <w:r w:rsidR="00C8288F">
        <w:t>CIDOC CRM</w:t>
      </w:r>
      <w:r>
        <w:t xml:space="preserve"> et une déclaration exhaustive de toutes les combinaisons possibles de celles-ci n</w:t>
      </w:r>
      <w:r w:rsidR="00E84B0E">
        <w:t>’</w:t>
      </w:r>
      <w:r>
        <w:t>aurait qu</w:t>
      </w:r>
      <w:r w:rsidR="00E84B0E">
        <w:t>’</w:t>
      </w:r>
      <w:r>
        <w:t>une utilité pratique limitée, en plus d</w:t>
      </w:r>
      <w:r w:rsidR="00E84B0E">
        <w:t>’</w:t>
      </w:r>
      <w:r>
        <w:t>entrer en conflit avec l</w:t>
      </w:r>
      <w:r w:rsidR="00E84B0E">
        <w:t>’</w:t>
      </w:r>
      <w:r>
        <w:t xml:space="preserve">objectif du </w:t>
      </w:r>
      <w:r w:rsidR="00C8288F">
        <w:t>CIDOC CRM</w:t>
      </w:r>
      <w:r>
        <w:t xml:space="preserve"> d</w:t>
      </w:r>
      <w:r w:rsidR="00E84B0E">
        <w:t>’</w:t>
      </w:r>
      <w:r>
        <w:t>offrir des définitions concises, de sorte qu</w:t>
      </w:r>
      <w:r w:rsidR="00E84B0E">
        <w:t>’</w:t>
      </w:r>
      <w:r>
        <w:t>une telle liste n</w:t>
      </w:r>
      <w:r w:rsidR="00E84B0E">
        <w:t>’</w:t>
      </w:r>
      <w:r>
        <w:t xml:space="preserve">est pas recensée ici. Deux exemples emblématiques de disjonction de classes sont néanmoins essentiels à une bonne compréhension du </w:t>
      </w:r>
      <w:r w:rsidR="00C8288F">
        <w:t>CIDOC CRM</w:t>
      </w:r>
      <w:r>
        <w:t xml:space="preserve"> :</w:t>
      </w:r>
    </w:p>
    <w:p w14:paraId="50C4CD3C" w14:textId="2C16D46D" w:rsidR="00065317" w:rsidRDefault="005C7BF7">
      <w:pPr>
        <w:numPr>
          <w:ilvl w:val="0"/>
          <w:numId w:val="25"/>
        </w:numPr>
      </w:pPr>
      <w:r>
        <w:rPr>
          <w:rStyle w:val="VerbatimChar"/>
        </w:rPr>
        <w:t>E2_Entité_temporelle</w:t>
      </w:r>
      <w:r>
        <w:t xml:space="preserve"> est disjoint de </w:t>
      </w:r>
      <w:r>
        <w:rPr>
          <w:rStyle w:val="VerbatimChar"/>
        </w:rPr>
        <w:t>E77_Entité_persistante</w:t>
      </w:r>
      <w:r>
        <w:t xml:space="preserve"> : les instances de la classe </w:t>
      </w:r>
      <w:r>
        <w:rPr>
          <w:rStyle w:val="VerbatimChar"/>
        </w:rPr>
        <w:t>E2_Entité_temporelle</w:t>
      </w:r>
      <w:r>
        <w:t xml:space="preserve"> sont perdurantes alors que les instances de </w:t>
      </w:r>
      <w:r>
        <w:rPr>
          <w:rStyle w:val="VerbatimChar"/>
        </w:rPr>
        <w:t>E77_Entité_persistante</w:t>
      </w:r>
      <w:r>
        <w:t xml:space="preserve"> sont endurantes. Même si les instances de </w:t>
      </w:r>
      <w:r>
        <w:rPr>
          <w:rStyle w:val="VerbatimChar"/>
        </w:rPr>
        <w:t>E77_Entité_persistante</w:t>
      </w:r>
      <w:r>
        <w:t xml:space="preserve"> ont une existence temporellement limitée, elles sont d</w:t>
      </w:r>
      <w:r w:rsidR="00E84B0E">
        <w:t>’</w:t>
      </w:r>
      <w:r>
        <w:t xml:space="preserve">une nature fondamentalement différente des instances de </w:t>
      </w:r>
      <w:r>
        <w:rPr>
          <w:rStyle w:val="VerbatimChar"/>
        </w:rPr>
        <w:t>E2_Entité_temporelle</w:t>
      </w:r>
      <w:r>
        <w:t>, car elles préservent leur identité d</w:t>
      </w:r>
      <w:r w:rsidR="00E84B0E">
        <w:t>’</w:t>
      </w:r>
      <w:r>
        <w:t>un évènement à un autre. La disjonction de classes endurantes et perdurantes s</w:t>
      </w:r>
      <w:r w:rsidR="00E84B0E">
        <w:t>’</w:t>
      </w:r>
      <w:r>
        <w:t>aligne à cet égard avec les distinctions structurelles des ensembles de données du domaine d</w:t>
      </w:r>
      <w:r w:rsidR="00E84B0E">
        <w:t>’</w:t>
      </w:r>
      <w:r>
        <w:t xml:space="preserve">application du </w:t>
      </w:r>
      <w:r w:rsidR="00C8288F">
        <w:t>CIDOC CRM</w:t>
      </w:r>
      <w:r>
        <w:t>.</w:t>
      </w:r>
    </w:p>
    <w:p w14:paraId="290257FB" w14:textId="6E238FEB" w:rsidR="00784AE7" w:rsidRDefault="005C7BF7">
      <w:pPr>
        <w:numPr>
          <w:ilvl w:val="0"/>
          <w:numId w:val="25"/>
        </w:numPr>
      </w:pPr>
      <w:r>
        <w:rPr>
          <w:rStyle w:val="VerbatimChar"/>
        </w:rPr>
        <w:t>E18_Chose_matérielle</w:t>
      </w:r>
      <w:r>
        <w:t xml:space="preserve"> est disjoint de </w:t>
      </w:r>
      <w:r>
        <w:rPr>
          <w:rStyle w:val="VerbatimChar"/>
        </w:rPr>
        <w:t>E28_Objet_conceptuel</w:t>
      </w:r>
      <w:r>
        <w:t xml:space="preserve"> : les instances de la classe </w:t>
      </w:r>
      <w:r>
        <w:rPr>
          <w:rStyle w:val="VerbatimChar"/>
        </w:rPr>
        <w:t>E18_Chose_matérielle</w:t>
      </w:r>
      <w:r>
        <w:t xml:space="preserve"> sont de nature physique alors que les instances de la classe </w:t>
      </w:r>
      <w:r>
        <w:rPr>
          <w:rStyle w:val="VerbatimChar"/>
        </w:rPr>
        <w:t>E28_Objet_conceptuel</w:t>
      </w:r>
      <w:r>
        <w:t xml:space="preserve"> sont de nature immatérielle et sont exclusivement élaborées par l</w:t>
      </w:r>
      <w:r w:rsidR="00E84B0E">
        <w:t>’</w:t>
      </w:r>
      <w:r>
        <w:t>humain. Elles diffèrent fondamentalement, notamment en raison du fait que la production d</w:t>
      </w:r>
      <w:r w:rsidR="00E84B0E">
        <w:t>’</w:t>
      </w:r>
      <w:r>
        <w:t xml:space="preserve">instances de </w:t>
      </w:r>
      <w:r>
        <w:rPr>
          <w:rStyle w:val="VerbatimChar"/>
        </w:rPr>
        <w:t>E18_Chose_matérielle</w:t>
      </w:r>
      <w:r>
        <w:t xml:space="preserve"> implique des matériaux physiques alors que ce n</w:t>
      </w:r>
      <w:r w:rsidR="00E84B0E">
        <w:t>’</w:t>
      </w:r>
      <w:r>
        <w:t>est pas le cas de la production d</w:t>
      </w:r>
      <w:r w:rsidR="00E84B0E">
        <w:t>’</w:t>
      </w:r>
      <w:r>
        <w:t xml:space="preserve">instances de </w:t>
      </w:r>
      <w:r>
        <w:rPr>
          <w:rStyle w:val="VerbatimChar"/>
        </w:rPr>
        <w:t>E28_Objet_conceptuel</w:t>
      </w:r>
      <w:r>
        <w:t xml:space="preserve">. De la même manière, les instances de </w:t>
      </w:r>
      <w:r>
        <w:rPr>
          <w:rStyle w:val="VerbatimChar"/>
        </w:rPr>
        <w:t>E18_Chose_matérielle</w:t>
      </w:r>
      <w:r>
        <w:t xml:space="preserve"> cessent d</w:t>
      </w:r>
      <w:r w:rsidR="00E84B0E">
        <w:t>’</w:t>
      </w:r>
      <w:r>
        <w:t>exister lorsqu</w:t>
      </w:r>
      <w:r w:rsidR="00E84B0E">
        <w:t>’</w:t>
      </w:r>
      <w:r>
        <w:t xml:space="preserve">elles sont détruites alors que les instances de </w:t>
      </w:r>
      <w:r>
        <w:rPr>
          <w:rStyle w:val="VerbatimChar"/>
        </w:rPr>
        <w:t>E28_Objet_conceptuel</w:t>
      </w:r>
      <w:r>
        <w:t xml:space="preserve"> s</w:t>
      </w:r>
      <w:r w:rsidR="00E84B0E">
        <w:t>’</w:t>
      </w:r>
      <w:r>
        <w:t>éteignent lorsqu</w:t>
      </w:r>
      <w:r w:rsidR="00E84B0E">
        <w:t>’</w:t>
      </w:r>
      <w:r>
        <w:t>elles sont oubliées ou que leur support physique est détruit.</w:t>
      </w:r>
    </w:p>
    <w:p w14:paraId="4D70741E" w14:textId="0B35EA6E" w:rsidR="00065317" w:rsidRDefault="00784AE7" w:rsidP="00784AE7">
      <w:pPr>
        <w:spacing w:after="0"/>
      </w:pPr>
      <w:r>
        <w:br w:type="page"/>
      </w:r>
    </w:p>
    <w:p w14:paraId="59F60236" w14:textId="77777777" w:rsidR="00065317" w:rsidRDefault="005C7BF7">
      <w:pPr>
        <w:pStyle w:val="Normalcentr"/>
      </w:pPr>
      <w:r>
        <w:rPr>
          <w:b/>
          <w:bCs/>
          <w:i/>
          <w:iCs/>
        </w:rPr>
        <w:lastRenderedPageBreak/>
        <w:t>Note de traduction</w:t>
      </w:r>
    </w:p>
    <w:p w14:paraId="4FC7DAA7" w14:textId="1A044F79" w:rsidR="00065317" w:rsidRDefault="005C7BF7" w:rsidP="00D746C9">
      <w:pPr>
        <w:pStyle w:val="Normalcentr"/>
      </w:pPr>
      <w:r>
        <w:rPr>
          <w:b/>
          <w:bCs/>
          <w:i/>
          <w:iCs/>
        </w:rPr>
        <w:t>Références</w:t>
      </w:r>
    </w:p>
    <w:p w14:paraId="411C2AEF" w14:textId="77777777" w:rsidR="00065317" w:rsidRDefault="005C7BF7" w:rsidP="00484B0E">
      <w:pPr>
        <w:pStyle w:val="Titre2"/>
      </w:pPr>
      <w:bookmarkStart w:id="76" w:name="_Toc154048723"/>
      <w:bookmarkStart w:id="77" w:name="introduction-aux-concepts-fondamentaux"/>
      <w:bookmarkEnd w:id="63"/>
      <w:bookmarkEnd w:id="75"/>
      <w:r>
        <w:t>Introduction aux concepts fondamentaux</w:t>
      </w:r>
      <w:bookmarkEnd w:id="76"/>
    </w:p>
    <w:p w14:paraId="70A7ECBC" w14:textId="5A2F8167" w:rsidR="00065317" w:rsidRDefault="005C7BF7">
      <w:pPr>
        <w:pStyle w:val="FirstParagraph"/>
      </w:pPr>
      <w:r>
        <w:t xml:space="preserve">Les paragraphes suivants expliquent la logique générale du </w:t>
      </w:r>
      <w:r w:rsidR="00C8288F">
        <w:t>CIDOC CRM</w:t>
      </w:r>
      <w:r>
        <w:t xml:space="preserve">, une ontologie formelle représentant le discours historique. À ce titre, le </w:t>
      </w:r>
      <w:r w:rsidR="00C8288F">
        <w:t>CIDOC CRM</w:t>
      </w:r>
      <w:r>
        <w:t xml:space="preserve"> a pour objectif de soutenir la (re)présentation d</w:t>
      </w:r>
      <w:r w:rsidR="00E84B0E">
        <w:t>’</w:t>
      </w:r>
      <w:r>
        <w:t>un discours analytique basé sur des faits reflétant ce qui s</w:t>
      </w:r>
      <w:r w:rsidR="00E84B0E">
        <w:t>’</w:t>
      </w:r>
      <w:r>
        <w:t>est produit dans le passé, et ce de manière à être compréhensible par l</w:t>
      </w:r>
      <w:r w:rsidR="00E84B0E">
        <w:t>’</w:t>
      </w:r>
      <w:r>
        <w:t xml:space="preserve">humain ainsi que par la machine. Le </w:t>
      </w:r>
      <w:r w:rsidR="00C8288F">
        <w:t>CIDOC CRM</w:t>
      </w:r>
      <w:r>
        <w:t xml:space="preserve"> atteint cet objectif en proposant une série de propriétés (relations) et de classes formalisées. Ces propriétés formalisées soutiennent l</w:t>
      </w:r>
      <w:r w:rsidR="00E84B0E">
        <w:t>’</w:t>
      </w:r>
      <w:r>
        <w:t>élaboration d</w:t>
      </w:r>
      <w:r w:rsidR="00E84B0E">
        <w:t>’</w:t>
      </w:r>
      <w:r>
        <w:t>énoncés sémantiques explicites reliant des classes de choses.</w:t>
      </w:r>
      <w:r w:rsidR="00484B0E">
        <w:t xml:space="preserve"> </w:t>
      </w:r>
      <w:r>
        <w:t xml:space="preserve">Leur définition formelle explique logiquement les classes de choses auxquelles elles sont pertinentes. Ces propriétés du </w:t>
      </w:r>
      <w:r w:rsidR="00C8288F">
        <w:t>CIDOC CRM</w:t>
      </w:r>
      <w:r>
        <w:t xml:space="preserve"> permettent ainsi une description formelle, explicitée logiquement, des relations entre des entités individuelles du monde réel classifiées sous des classes ontologiques distinctes. L</w:t>
      </w:r>
      <w:r w:rsidR="00E84B0E">
        <w:t>’</w:t>
      </w:r>
      <w:r>
        <w:t>encodage de données analytiques au sujet du passé en utilisant un tel système permet de standardiser la représentation des données et permet l</w:t>
      </w:r>
      <w:r w:rsidR="00E84B0E">
        <w:t>’</w:t>
      </w:r>
      <w:r>
        <w:t>application uniforme de processus de raisonnement logique à des ensembles de données de large taille.</w:t>
      </w:r>
    </w:p>
    <w:p w14:paraId="7531E74C" w14:textId="47A584AF" w:rsidR="00065317" w:rsidRDefault="005C7BF7">
      <w:pPr>
        <w:pStyle w:val="Corpsdetexte"/>
      </w:pPr>
      <w:r>
        <w:t>Un système de classes et de relations hiérarchisé sous-tend la logique de ce système ainsi que des distinctions ontologiques de base qui permettent de représenter le discours historique. Une familiarité avec ces distinctions ontologiques de base dans les classes supérieures de la hiérarchie est nécessaire à la compréhension et à l</w:t>
      </w:r>
      <w:r w:rsidR="00E84B0E">
        <w:t>’</w:t>
      </w:r>
      <w:r>
        <w:t xml:space="preserve">utilisation du </w:t>
      </w:r>
      <w:r w:rsidR="00C8288F">
        <w:t>CIDOC CRM</w:t>
      </w:r>
      <w:r>
        <w:t xml:space="preserve"> </w:t>
      </w:r>
      <w:r w:rsidR="00806228">
        <w:t>aux</w:t>
      </w:r>
      <w:r>
        <w:t xml:space="preserve"> fins de représentation des connaissances.</w:t>
      </w:r>
    </w:p>
    <w:p w14:paraId="16834A52" w14:textId="33AEC902" w:rsidR="00065317" w:rsidRDefault="005C7BF7">
      <w:pPr>
        <w:pStyle w:val="Corpsdetexte"/>
      </w:pPr>
      <w:r>
        <w:t xml:space="preserve">Dans le </w:t>
      </w:r>
      <w:r w:rsidR="00C8288F">
        <w:t>CIDOC CRM</w:t>
      </w:r>
      <w:r>
        <w:t>, le plus haut niveau de distinction est représenté par les concepts suivants:</w:t>
      </w:r>
    </w:p>
    <w:p w14:paraId="45C6DB12" w14:textId="77777777" w:rsidR="00065317" w:rsidRDefault="005C7BF7">
      <w:pPr>
        <w:numPr>
          <w:ilvl w:val="0"/>
          <w:numId w:val="26"/>
        </w:numPr>
      </w:pPr>
      <w:r>
        <w:rPr>
          <w:rStyle w:val="VerbatimChar"/>
        </w:rPr>
        <w:t>E2_Entité_temporelle</w:t>
      </w:r>
      <w:r>
        <w:t>, qui correspond à la notion philosophique de perdurance;</w:t>
      </w:r>
    </w:p>
    <w:p w14:paraId="78CF0C9D" w14:textId="3190F99C" w:rsidR="00065317" w:rsidRDefault="005C7BF7">
      <w:pPr>
        <w:numPr>
          <w:ilvl w:val="0"/>
          <w:numId w:val="26"/>
        </w:numPr>
      </w:pPr>
      <w:r>
        <w:rPr>
          <w:rStyle w:val="VerbatimChar"/>
        </w:rPr>
        <w:t>E77_Entité_persistante</w:t>
      </w:r>
      <w:r>
        <w:t>, qui correspond à la notion philosophique d</w:t>
      </w:r>
      <w:r w:rsidR="00E84B0E">
        <w:t>’</w:t>
      </w:r>
      <w:r>
        <w:t>endurance;</w:t>
      </w:r>
    </w:p>
    <w:p w14:paraId="3A23E363" w14:textId="77777777" w:rsidR="00065317" w:rsidRDefault="005C7BF7">
      <w:pPr>
        <w:numPr>
          <w:ilvl w:val="0"/>
          <w:numId w:val="26"/>
        </w:numPr>
      </w:pPr>
      <w:r>
        <w:rPr>
          <w:rStyle w:val="VerbatimChar"/>
        </w:rPr>
        <w:t>E92_Volume_spatio-temporel</w:t>
      </w:r>
      <w:r>
        <w:t>.</w:t>
      </w:r>
    </w:p>
    <w:p w14:paraId="0DD72CA7" w14:textId="790E6142" w:rsidR="00065317" w:rsidRDefault="005C7BF7">
      <w:pPr>
        <w:pStyle w:val="FirstParagraph"/>
      </w:pPr>
      <w:r>
        <w:t xml:space="preserve">Le </w:t>
      </w:r>
      <w:r w:rsidR="00C8288F">
        <w:t>CIDOC CRM</w:t>
      </w:r>
      <w:r>
        <w:t xml:space="preserve"> est un modèle construit autour de la notion d</w:t>
      </w:r>
      <w:r w:rsidR="00E84B0E">
        <w:t>’</w:t>
      </w:r>
      <w:r>
        <w:t>évènement qui soutient le discours historique. À ce titre, il permet la description d</w:t>
      </w:r>
      <w:r w:rsidR="00E84B0E">
        <w:t>’</w:t>
      </w:r>
      <w:r>
        <w:t>entités qui sont elles-mêmes des processus limités dans le temps ou des évolutions s</w:t>
      </w:r>
      <w:r w:rsidR="00E84B0E">
        <w:t>’</w:t>
      </w:r>
      <w:r>
        <w:t>inscrivant dans le passage du temps, et ce grâce à l</w:t>
      </w:r>
      <w:r w:rsidR="00E84B0E">
        <w:t>’</w:t>
      </w:r>
      <w:r>
        <w:t xml:space="preserve">usage de la classe </w:t>
      </w:r>
      <w:r>
        <w:rPr>
          <w:rStyle w:val="VerbatimChar"/>
        </w:rPr>
        <w:t>E2_Entité_temporelle</w:t>
      </w:r>
      <w:r>
        <w:t xml:space="preserve"> et de ses sous-classes. La principale fonction de </w:t>
      </w:r>
      <w:r>
        <w:rPr>
          <w:rStyle w:val="VerbatimChar"/>
        </w:rPr>
        <w:t>E2_Entité_temporelle</w:t>
      </w:r>
      <w:r>
        <w:t xml:space="preserve"> et de ses sous-classes est de capturer le fait que quelque chose s</w:t>
      </w:r>
      <w:r w:rsidR="00E84B0E">
        <w:t>’</w:t>
      </w:r>
      <w:r>
        <w:t xml:space="preserve">est produit à travers le temps. Ces sous-classes sont utilisées non seulement pour signaler une durée temporelle, mais aussi pour documenter des relations historiques entre des objets (à la manière des verbes actifs dans une phrase de langage naturel). Les sous-classes de </w:t>
      </w:r>
      <w:r>
        <w:rPr>
          <w:rStyle w:val="VerbatimChar"/>
        </w:rPr>
        <w:t>E2_Entité_temporelle</w:t>
      </w:r>
      <w:r>
        <w:t>, lesquelles sont plus spécifiques, permettent la documentation d</w:t>
      </w:r>
      <w:r w:rsidR="00E84B0E">
        <w:t>’</w:t>
      </w:r>
      <w:r>
        <w:t xml:space="preserve">évènements qui concernent des matériaux individuellement reliés ou affectés, ou encore des objets sociaux ou mentaux qui sont décrits grâce aux sous-classes de </w:t>
      </w:r>
      <w:r>
        <w:rPr>
          <w:rStyle w:val="VerbatimChar"/>
        </w:rPr>
        <w:t>E77_Entité_persistante</w:t>
      </w:r>
      <w:r>
        <w:t>. Cette documentation précise est possible grâce à l</w:t>
      </w:r>
      <w:r w:rsidR="00E84B0E">
        <w:t>’</w:t>
      </w:r>
      <w:r>
        <w:t>utilisation de propriétés spécialisées formalisant la manière de la relation ou de l</w:t>
      </w:r>
      <w:r w:rsidR="00E84B0E">
        <w:t>’</w:t>
      </w:r>
      <w:r>
        <w:t xml:space="preserve">affect. Des exemples de sous-classes spécifiques de </w:t>
      </w:r>
      <w:r>
        <w:rPr>
          <w:rStyle w:val="VerbatimChar"/>
        </w:rPr>
        <w:t>E2_Entité_temporelle</w:t>
      </w:r>
      <w:r>
        <w:t xml:space="preserve"> sont</w:t>
      </w:r>
      <w:r w:rsidR="00D746C9">
        <w:t> </w:t>
      </w:r>
      <w:r>
        <w:t>:</w:t>
      </w:r>
    </w:p>
    <w:p w14:paraId="12D8B46C" w14:textId="41D6F763" w:rsidR="00065317" w:rsidRDefault="005C7BF7">
      <w:pPr>
        <w:numPr>
          <w:ilvl w:val="0"/>
          <w:numId w:val="27"/>
        </w:numPr>
      </w:pPr>
      <w:r>
        <w:rPr>
          <w:rStyle w:val="VerbatimChar"/>
        </w:rPr>
        <w:t>E12_Production</w:t>
      </w:r>
      <w:r>
        <w:t xml:space="preserve"> qui permet la représentation d</w:t>
      </w:r>
      <w:r w:rsidR="00E84B0E">
        <w:t>’</w:t>
      </w:r>
      <w:r>
        <w:t>évènements où des humains fabriquent des choses;</w:t>
      </w:r>
    </w:p>
    <w:p w14:paraId="1E8E5E17" w14:textId="7ED50E57" w:rsidR="00065317" w:rsidRDefault="005C7BF7">
      <w:pPr>
        <w:numPr>
          <w:ilvl w:val="0"/>
          <w:numId w:val="27"/>
        </w:numPr>
      </w:pPr>
      <w:r>
        <w:rPr>
          <w:rStyle w:val="VerbatimChar"/>
        </w:rPr>
        <w:t>E5_Évènement</w:t>
      </w:r>
      <w:r>
        <w:t xml:space="preserve"> qui permet la documentation d</w:t>
      </w:r>
      <w:r w:rsidR="00E84B0E">
        <w:t>’</w:t>
      </w:r>
      <w:r>
        <w:t>évènements géologiques ou d</w:t>
      </w:r>
      <w:r w:rsidR="00E84B0E">
        <w:t>’</w:t>
      </w:r>
      <w:r>
        <w:t>évènements sociaux de grande envergure (p. ex. une guerre).</w:t>
      </w:r>
    </w:p>
    <w:p w14:paraId="56BC5D70" w14:textId="5EE4CD52" w:rsidR="00065317" w:rsidRDefault="005C7BF7">
      <w:pPr>
        <w:pStyle w:val="FirstParagraph"/>
      </w:pPr>
      <w:r>
        <w:t xml:space="preserve">Des propriétés spécifiques à chacune de ces sous-classes permettent de représenter les connexions réelles entre des instances de </w:t>
      </w:r>
      <w:r>
        <w:rPr>
          <w:rStyle w:val="VerbatimChar"/>
        </w:rPr>
        <w:t>E77_Entité_persistante</w:t>
      </w:r>
      <w:r>
        <w:t>, par exemple la relation d</w:t>
      </w:r>
      <w:r w:rsidR="00E84B0E">
        <w:t>’</w:t>
      </w:r>
      <w:r>
        <w:t xml:space="preserve">un objet au moment de sa production grâce à la propriété </w:t>
      </w:r>
      <w:r>
        <w:rPr>
          <w:rStyle w:val="VerbatimChar"/>
        </w:rPr>
        <w:t>P108_a_produit</w:t>
      </w:r>
      <w:r>
        <w:t xml:space="preserve"> (</w:t>
      </w:r>
      <w:r>
        <w:rPr>
          <w:rStyle w:val="VerbatimChar"/>
        </w:rPr>
        <w:t>E12_Production</w:t>
      </w:r>
      <w:r>
        <w:t>) ou la relation d</w:t>
      </w:r>
      <w:r w:rsidR="00E84B0E">
        <w:t>’</w:t>
      </w:r>
      <w:r>
        <w:t xml:space="preserve">un lieu à un </w:t>
      </w:r>
      <w:r>
        <w:lastRenderedPageBreak/>
        <w:t xml:space="preserve">phénomène géologique grâce à la propriété </w:t>
      </w:r>
      <w:r>
        <w:rPr>
          <w:rStyle w:val="VerbatimChar"/>
        </w:rPr>
        <w:t xml:space="preserve">P7_a_eu_lieu_dans </w:t>
      </w:r>
      <w:r>
        <w:t>(</w:t>
      </w:r>
      <w:r>
        <w:rPr>
          <w:rStyle w:val="VerbatimChar"/>
        </w:rPr>
        <w:t>E5_Évènement</w:t>
      </w:r>
      <w:r>
        <w:t xml:space="preserve">). Les entités que documente </w:t>
      </w:r>
      <w:r>
        <w:rPr>
          <w:rStyle w:val="VerbatimChar"/>
        </w:rPr>
        <w:t>E2_Entité_temporelle</w:t>
      </w:r>
      <w:r>
        <w:t>, puisqu</w:t>
      </w:r>
      <w:r w:rsidR="00E84B0E">
        <w:t>’</w:t>
      </w:r>
      <w:r>
        <w:t>elles sont des processus limités dans le temps ou des occurrences, sont d</w:t>
      </w:r>
      <w:r w:rsidR="00E84B0E">
        <w:t>’</w:t>
      </w:r>
      <w:r>
        <w:t>une telle nature que leur existence ne peut être déclarée que sur la base d</w:t>
      </w:r>
      <w:r w:rsidR="00E84B0E">
        <w:t>’</w:t>
      </w:r>
      <w:r>
        <w:t>observations</w:t>
      </w:r>
      <w:r w:rsidR="00484B0E">
        <w:t xml:space="preserve"> </w:t>
      </w:r>
      <w:r>
        <w:t>: directes ou d</w:t>
      </w:r>
      <w:r w:rsidR="00E84B0E">
        <w:t>’</w:t>
      </w:r>
      <w:r>
        <w:t>enregistrements d</w:t>
      </w:r>
      <w:r w:rsidR="00E84B0E">
        <w:t>’</w:t>
      </w:r>
      <w:r>
        <w:t>un évènement, ou sur la base d</w:t>
      </w:r>
      <w:r w:rsidR="00E84B0E">
        <w:t>’</w:t>
      </w:r>
      <w:r>
        <w:t>observations indirectes des manifestations d</w:t>
      </w:r>
      <w:r w:rsidR="00E84B0E">
        <w:t>’</w:t>
      </w:r>
      <w:r>
        <w:t>un évènement sur un objet matériel ayant subi un changement en raison de ce même évènement. Des évènements peuvent aussi avoir été documentés textuellement ou inscrits dans l</w:t>
      </w:r>
      <w:r w:rsidR="00E84B0E">
        <w:t>’</w:t>
      </w:r>
      <w:r>
        <w:t>histoire et la mémoire orale d</w:t>
      </w:r>
      <w:r w:rsidR="00E84B0E">
        <w:t>’</w:t>
      </w:r>
      <w:r>
        <w:t xml:space="preserve">une collectivité. </w:t>
      </w:r>
      <w:r>
        <w:rPr>
          <w:rStyle w:val="VerbatimChar"/>
        </w:rPr>
        <w:t>E2_Entité_temporelle</w:t>
      </w:r>
      <w:r>
        <w:t xml:space="preserve"> et ses sous-classes sont des éléments centraux du </w:t>
      </w:r>
      <w:r w:rsidR="00C8288F">
        <w:t>CIDOC CRM</w:t>
      </w:r>
      <w:r>
        <w:t xml:space="preserve"> et sont essentielles à presque toutes les tâches de modélisation (p. ex. il n</w:t>
      </w:r>
      <w:r w:rsidR="00E84B0E">
        <w:t>’</w:t>
      </w:r>
      <w:r>
        <w:t>est pas possible, dans un catalogue muséal, de considérer un objet en dehors de son évènement de production).</w:t>
      </w:r>
    </w:p>
    <w:p w14:paraId="13597DAA" w14:textId="123992D7" w:rsidR="00065317" w:rsidRDefault="005C7BF7">
      <w:pPr>
        <w:pStyle w:val="Corpsdetexte"/>
      </w:pPr>
      <w:r>
        <w:t xml:space="preserve">La modélisation évènementielle du </w:t>
      </w:r>
      <w:r w:rsidR="00C8288F">
        <w:t>CIDOC CRM</w:t>
      </w:r>
      <w:r>
        <w:t xml:space="preserve"> a pour objectif de permettre une description historique fidèle en représentant des entités du monde réel grâce à la classe </w:t>
      </w:r>
      <w:r>
        <w:rPr>
          <w:rStyle w:val="VerbatimChar"/>
        </w:rPr>
        <w:t>E77_Entité_persistante</w:t>
      </w:r>
      <w:r>
        <w:t xml:space="preserve"> et à ses sous-classes. </w:t>
      </w:r>
      <w:r>
        <w:rPr>
          <w:rStyle w:val="VerbatimChar"/>
        </w:rPr>
        <w:t>E77_Entité_persistante</w:t>
      </w:r>
      <w:r>
        <w:t xml:space="preserve"> est utilisée pour décrire des entités qui sont formellement relativement stables à travers le temps et qui maintiennent une identité reconnaissable en raison du fait que leurs attributs significatifs ne changent pas. Des sous-classes spécifiques de </w:t>
      </w:r>
      <w:r>
        <w:rPr>
          <w:rStyle w:val="VerbatimChar"/>
        </w:rPr>
        <w:t>E77_Entité_persistante</w:t>
      </w:r>
      <w:r>
        <w:t xml:space="preserve"> illustrent </w:t>
      </w:r>
      <w:r w:rsidR="00714434">
        <w:t>cela</w:t>
      </w:r>
      <w:r w:rsidR="007A212E">
        <w:t> </w:t>
      </w:r>
      <w:r>
        <w:t>:</w:t>
      </w:r>
    </w:p>
    <w:p w14:paraId="6B368C6A" w14:textId="43E4B25C" w:rsidR="00065317" w:rsidRDefault="005C7BF7">
      <w:pPr>
        <w:numPr>
          <w:ilvl w:val="0"/>
          <w:numId w:val="28"/>
        </w:numPr>
      </w:pPr>
      <w:r>
        <w:rPr>
          <w:rStyle w:val="VerbatimChar"/>
        </w:rPr>
        <w:t>E22_Objet_élaboré_par_l</w:t>
      </w:r>
      <w:r w:rsidR="00E84B0E">
        <w:rPr>
          <w:rStyle w:val="VerbatimChar"/>
        </w:rPr>
        <w:t>’</w:t>
      </w:r>
      <w:r>
        <w:rPr>
          <w:rStyle w:val="VerbatimChar"/>
        </w:rPr>
        <w:t>humain</w:t>
      </w:r>
      <w:r>
        <w:t xml:space="preserve"> est utilisée pour la description d</w:t>
      </w:r>
      <w:r w:rsidR="00E84B0E">
        <w:t>’</w:t>
      </w:r>
      <w:r>
        <w:t>objets physiques distincts étant le produit de l</w:t>
      </w:r>
      <w:r w:rsidR="00E84B0E">
        <w:t>’</w:t>
      </w:r>
      <w:r>
        <w:t>action humaine (p. ex. une œuvre d</w:t>
      </w:r>
      <w:r w:rsidR="00E84B0E">
        <w:t>’</w:t>
      </w:r>
      <w:r>
        <w:t>art ou un monument est persistant quant à sa constitution physique et tant qu</w:t>
      </w:r>
      <w:r w:rsidR="00E84B0E">
        <w:t>’</w:t>
      </w:r>
      <w:r>
        <w:t>il conserve sa forme physique générale, il est considéré exister et participer au flux des évènements historiques)</w:t>
      </w:r>
      <w:r w:rsidR="00484B0E">
        <w:t>.</w:t>
      </w:r>
    </w:p>
    <w:p w14:paraId="26B5BE6A" w14:textId="427878A8" w:rsidR="00065317" w:rsidRDefault="005C7BF7">
      <w:pPr>
        <w:numPr>
          <w:ilvl w:val="0"/>
          <w:numId w:val="28"/>
        </w:numPr>
      </w:pPr>
      <w:r>
        <w:rPr>
          <w:rStyle w:val="VerbatimChar"/>
        </w:rPr>
        <w:t>E28_Objet_conceptuel</w:t>
      </w:r>
      <w:r>
        <w:t xml:space="preserve"> est utilisée pour la description d</w:t>
      </w:r>
      <w:r w:rsidR="00E84B0E">
        <w:t>’</w:t>
      </w:r>
      <w:r>
        <w:t>entités persistantes ayant un caractère mental, à savoir pour la description d</w:t>
      </w:r>
      <w:r w:rsidR="00E84B0E">
        <w:t>’</w:t>
      </w:r>
      <w:r>
        <w:t>idées identifiables qui sont nommées et qui constituent un objet du discours historique, et dont les conditions identitaires reposent sur le fait qu</w:t>
      </w:r>
      <w:r w:rsidR="00E84B0E">
        <w:t>’</w:t>
      </w:r>
      <w:r>
        <w:t>elles s</w:t>
      </w:r>
      <w:r w:rsidR="00E84B0E">
        <w:t>’</w:t>
      </w:r>
      <w:r>
        <w:t>incarnent dans une chose grâce à laquelle ces idées peuvent être convoquées de nouveau ou rappelées.</w:t>
      </w:r>
    </w:p>
    <w:p w14:paraId="25569E62" w14:textId="6C05CBE3" w:rsidR="00065317" w:rsidRDefault="005C7BF7">
      <w:pPr>
        <w:pStyle w:val="FirstParagraph"/>
      </w:pPr>
      <w:r>
        <w:t xml:space="preserve">Les entités décrites par </w:t>
      </w:r>
      <w:r>
        <w:rPr>
          <w:rStyle w:val="VerbatimChar"/>
        </w:rPr>
        <w:t>E77_Entité_persistante</w:t>
      </w:r>
      <w:r>
        <w:t xml:space="preserve"> sont sujettes au changement du fait d</w:t>
      </w:r>
      <w:r w:rsidR="00E84B0E">
        <w:t>’</w:t>
      </w:r>
      <w:r>
        <w:t>activités humaines ou biologiques, ou du fait de processus géologiques ou environnementaux. Elles sont néanmoins considérées continuer d</w:t>
      </w:r>
      <w:r w:rsidR="00E84B0E">
        <w:t>’</w:t>
      </w:r>
      <w:r>
        <w:t>exister et d</w:t>
      </w:r>
      <w:r w:rsidR="00E84B0E">
        <w:t>’</w:t>
      </w:r>
      <w:r>
        <w:t>être pareilles à elles-mêmes tant que ces changements n</w:t>
      </w:r>
      <w:r w:rsidR="00E84B0E">
        <w:t>’</w:t>
      </w:r>
      <w:r>
        <w:t>altèrent pas leur identité fondamentale (essence) telle qu</w:t>
      </w:r>
      <w:r w:rsidR="00E84B0E">
        <w:t>’</w:t>
      </w:r>
      <w:r>
        <w:t>elle est définie dans la note d</w:t>
      </w:r>
      <w:r w:rsidR="00E84B0E">
        <w:t>’</w:t>
      </w:r>
      <w:r>
        <w:t>application de la classe concernée.</w:t>
      </w:r>
    </w:p>
    <w:p w14:paraId="0706E016" w14:textId="2D5C0120" w:rsidR="00065317" w:rsidRDefault="005C7BF7">
      <w:pPr>
        <w:pStyle w:val="Corpsdetexte"/>
      </w:pPr>
      <w:r>
        <w:t>La notion d</w:t>
      </w:r>
      <w:r w:rsidR="00E84B0E">
        <w:t>’</w:t>
      </w:r>
      <w:r>
        <w:t>identité est clé pour l</w:t>
      </w:r>
      <w:r w:rsidR="00E84B0E">
        <w:t>’</w:t>
      </w:r>
      <w:r>
        <w:t xml:space="preserve">application du </w:t>
      </w:r>
      <w:r w:rsidR="00C8288F">
        <w:t>CIDOC CRM</w:t>
      </w:r>
      <w:r>
        <w:t>. Les propriétés et les relations que fournit le modèle sont conçues pour permettre la description historique fidèle de l</w:t>
      </w:r>
      <w:r w:rsidR="00E84B0E">
        <w:t>’</w:t>
      </w:r>
      <w:r>
        <w:t>évolution d</w:t>
      </w:r>
      <w:r w:rsidR="00E84B0E">
        <w:t>’</w:t>
      </w:r>
      <w:r>
        <w:t xml:space="preserve">entités réelles à travers le temps. Les classes et les propriétés sont donc créées afin de fournir une définition permettant leur application aux mêmes entités réelles par des utilisateurs divers. Ainsi, au sens du </w:t>
      </w:r>
      <w:r w:rsidR="00C8288F">
        <w:t>CIDOC CRM</w:t>
      </w:r>
      <w:r>
        <w:t>, l</w:t>
      </w:r>
      <w:r w:rsidR="00E84B0E">
        <w:t>’</w:t>
      </w:r>
      <w:r>
        <w:t>identité implique que des personnes informées sont à même de convenir qu</w:t>
      </w:r>
      <w:r w:rsidR="00E84B0E">
        <w:t>’</w:t>
      </w:r>
      <w:r>
        <w:t>elles réfèrent à une seule et même chose distincte tout au long des étendues et de la durée de son existence. Les critères permettant de déterminer ce</w:t>
      </w:r>
      <w:r w:rsidR="00916E12">
        <w:t>la</w:t>
      </w:r>
      <w:r>
        <w:t xml:space="preserve"> émanent de la note d</w:t>
      </w:r>
      <w:r w:rsidR="00E84B0E">
        <w:t>’</w:t>
      </w:r>
      <w:r>
        <w:t xml:space="preserve">application de la classe du </w:t>
      </w:r>
      <w:r w:rsidR="00C8288F">
        <w:t>CIDOC CRM</w:t>
      </w:r>
      <w:r>
        <w:t xml:space="preserve"> dont la chose est considérée être une instance, car la communication informatique ne soutient pas un dialogue entre utilisateurs. Par exemple, le Sphinx de Gizeh a été endommagé, notamment au niveau du nez qui est absent, mais il est considéré être le même monument qu</w:t>
      </w:r>
      <w:r w:rsidR="00E84B0E">
        <w:t>’</w:t>
      </w:r>
      <w:r>
        <w:t>avant sa mutilation car il continue de représenter les caractéristiques distinctes d</w:t>
      </w:r>
      <w:r w:rsidR="00E84B0E">
        <w:t>’</w:t>
      </w:r>
      <w:r>
        <w:t>une forme passée ayant une pertinence archéologique. Les choses n</w:t>
      </w:r>
      <w:r w:rsidR="00E84B0E">
        <w:t>’</w:t>
      </w:r>
      <w:r>
        <w:t>étant pas dotées d</w:t>
      </w:r>
      <w:r w:rsidR="00E84B0E">
        <w:t>’</w:t>
      </w:r>
      <w:r>
        <w:t>une stabilité et d</w:t>
      </w:r>
      <w:r w:rsidR="00E84B0E">
        <w:t>’</w:t>
      </w:r>
      <w:r>
        <w:t xml:space="preserve">une distinction suffisantes ne sont pas des instances de </w:t>
      </w:r>
      <w:r>
        <w:rPr>
          <w:rStyle w:val="VerbatimChar"/>
        </w:rPr>
        <w:t>E77_Entité_persistante</w:t>
      </w:r>
      <w:r>
        <w:t xml:space="preserve"> et elles ne se prêtent pas à l</w:t>
      </w:r>
      <w:r w:rsidR="00E84B0E">
        <w:t>’</w:t>
      </w:r>
      <w:r>
        <w:t xml:space="preserve">intégration dans le </w:t>
      </w:r>
      <w:r w:rsidR="00C8288F">
        <w:t>CIDOC CRM</w:t>
      </w:r>
      <w:r>
        <w:t xml:space="preserve"> (p. ex. l</w:t>
      </w:r>
      <w:r w:rsidR="00E84B0E">
        <w:t>’</w:t>
      </w:r>
      <w:r>
        <w:t>atmosphère, les nuages, les vagues ou le sol). Un discours au sujet de telles entités peut être documenté sous forme d</w:t>
      </w:r>
      <w:r w:rsidR="00E84B0E">
        <w:t>’</w:t>
      </w:r>
      <w:r>
        <w:t>observations au sujet des relations entre des choses à l</w:t>
      </w:r>
      <w:r w:rsidR="00E84B0E">
        <w:t>’</w:t>
      </w:r>
      <w:r>
        <w:t>identité persistante (p. ex. des lieux) à l</w:t>
      </w:r>
      <w:r w:rsidR="00E84B0E">
        <w:t>’</w:t>
      </w:r>
      <w:r>
        <w:t xml:space="preserve">aide de concepts du </w:t>
      </w:r>
      <w:r w:rsidR="00C8288F">
        <w:t>CIDOC CRM</w:t>
      </w:r>
      <w:r>
        <w:t>.</w:t>
      </w:r>
    </w:p>
    <w:p w14:paraId="2DCF4E3C" w14:textId="53733547" w:rsidR="00065317" w:rsidRDefault="005C7BF7">
      <w:pPr>
        <w:pStyle w:val="Corpsdetexte"/>
      </w:pPr>
      <w:r>
        <w:lastRenderedPageBreak/>
        <w:t xml:space="preserve">Il est crucial, afin de représenter formellement des données analytiques historiques, de savoir distinguer et interrelier des instances de </w:t>
      </w:r>
      <w:r>
        <w:rPr>
          <w:rStyle w:val="VerbatimChar"/>
        </w:rPr>
        <w:t>E2_Entité_temporelle</w:t>
      </w:r>
      <w:r>
        <w:t xml:space="preserve"> (perdurants) et de </w:t>
      </w:r>
      <w:r>
        <w:rPr>
          <w:rStyle w:val="VerbatimChar"/>
        </w:rPr>
        <w:t>E77_Entité_persistante</w:t>
      </w:r>
      <w:r>
        <w:t xml:space="preserve"> (endurants) grâce aux propriétés appropriées. Dans la majorité des cas, cette distinction combinée à l</w:t>
      </w:r>
      <w:r w:rsidR="00E84B0E">
        <w:t>’</w:t>
      </w:r>
      <w:r>
        <w:t>élaboration de sous-classes et de propriétés est suffisante à la description des entrées de bases de données patrimoniales des domaines patrimoniaux culturel et scientifique. Exceptionnellement, lorsque des combinaisons complexes de changements de l</w:t>
      </w:r>
      <w:r w:rsidR="00E84B0E">
        <w:t>’</w:t>
      </w:r>
      <w:r>
        <w:t>étendue spatiale à travers le temps doivent être documentées, il est nécessaire d</w:t>
      </w:r>
      <w:r w:rsidR="00E84B0E">
        <w:t>’</w:t>
      </w:r>
      <w:r>
        <w:t xml:space="preserve">utiliser </w:t>
      </w:r>
      <w:r>
        <w:rPr>
          <w:rStyle w:val="VerbatimChar"/>
        </w:rPr>
        <w:t>E92_Volume_spatio-temporel</w:t>
      </w:r>
      <w:r>
        <w:t xml:space="preserve"> qui décrit des entités dont la substance est ou contient une étendue identifiable et confinée géométriquement dans le monde réel, lequel peut varier à travers le temps indépendamment de frontières floues. Par exemple, les constructions de l</w:t>
      </w:r>
      <w:r w:rsidR="00E84B0E">
        <w:t>’</w:t>
      </w:r>
      <w:r>
        <w:t>établissement de la ville d</w:t>
      </w:r>
      <w:r w:rsidR="00E84B0E">
        <w:t>’</w:t>
      </w:r>
      <w:r>
        <w:t>Athènes sont contraintes par leur intervalle temporel (depuis la fondation jusqu</w:t>
      </w:r>
      <w:r w:rsidR="00E84B0E">
        <w:t>’</w:t>
      </w:r>
      <w:r>
        <w:t>à aujourd</w:t>
      </w:r>
      <w:r w:rsidR="00E84B0E">
        <w:t>’</w:t>
      </w:r>
      <w:r>
        <w:t>hui) par leur étendue géographique changeante à travers les</w:t>
      </w:r>
      <w:r w:rsidR="00056DCD">
        <w:t> siècles </w:t>
      </w:r>
      <w:r>
        <w:t xml:space="preserve">(ce qui peut être plus ou moins évident au regard des observations actuelles, des documents historiques, et des excavations). Bien que </w:t>
      </w:r>
      <w:r>
        <w:rPr>
          <w:rStyle w:val="VerbatimChar"/>
        </w:rPr>
        <w:t>E92_Volume_spatio-temporel</w:t>
      </w:r>
      <w:r>
        <w:t xml:space="preserve"> soit une part théorique importante du </w:t>
      </w:r>
      <w:r w:rsidR="00C8288F">
        <w:t>CIDOC CRM</w:t>
      </w:r>
      <w:r>
        <w:t>, il peut dans la plupart des cas être ignoré en faveur d</w:t>
      </w:r>
      <w:r w:rsidR="00E84B0E">
        <w:t>’</w:t>
      </w:r>
      <w:r>
        <w:t>une documentation et d</w:t>
      </w:r>
      <w:r w:rsidR="00E84B0E">
        <w:t>’</w:t>
      </w:r>
      <w:r>
        <w:t>une modélisation appliquées.</w:t>
      </w:r>
    </w:p>
    <w:p w14:paraId="04F92E04" w14:textId="0FDA8850" w:rsidR="00065317" w:rsidRDefault="005C7BF7">
      <w:pPr>
        <w:pStyle w:val="Corpsdetexte"/>
      </w:pPr>
      <w:r>
        <w:t xml:space="preserve">La clé de la compréhension adéquate du </w:t>
      </w:r>
      <w:r w:rsidR="00C8288F">
        <w:t>CIDOC CRM</w:t>
      </w:r>
      <w:r>
        <w:t xml:space="preserve"> est l</w:t>
      </w:r>
      <w:r w:rsidR="00E84B0E">
        <w:t>’</w:t>
      </w:r>
      <w:r>
        <w:t>appropriation de ses divisions fondamentales et de la logique qu</w:t>
      </w:r>
      <w:r w:rsidR="00E84B0E">
        <w:t>’</w:t>
      </w:r>
      <w:r>
        <w:t xml:space="preserve">elles représentent. Malgré cela, le </w:t>
      </w:r>
      <w:r w:rsidR="00C8288F">
        <w:t>CIDOC CRM</w:t>
      </w:r>
      <w:r>
        <w:t xml:space="preserve"> n</w:t>
      </w:r>
      <w:r w:rsidR="00E84B0E">
        <w:t>’</w:t>
      </w:r>
      <w:r>
        <w:t>est pas un système de classification ou un vocabulaire contrôlé. Ses divisions de classes sont déclarées afin de pouvoir appliquer des propriétés distinctes qui permettent d</w:t>
      </w:r>
      <w:r w:rsidR="00E84B0E">
        <w:t>’</w:t>
      </w:r>
      <w:r>
        <w:t xml:space="preserve">énoncer des propositions analytiques représentant précisément des réalités historiques. Ainsi, le pouvoir expressif du </w:t>
      </w:r>
      <w:r w:rsidR="00C8288F">
        <w:t>CIDOC CRM</w:t>
      </w:r>
      <w:r>
        <w:t xml:space="preserve"> n</w:t>
      </w:r>
      <w:r w:rsidR="00E84B0E">
        <w:t>’</w:t>
      </w:r>
      <w:r>
        <w:t>émane pas de la classification d</w:t>
      </w:r>
      <w:r w:rsidR="00E84B0E">
        <w:t>’</w:t>
      </w:r>
      <w:r>
        <w:t>entités, mais de la documentation des interrelations entre des entités individuelles historiques grâce à des propriétés adéquatement définies. Typiquement, ces propriétés recoupent différents sujets comme :</w:t>
      </w:r>
    </w:p>
    <w:p w14:paraId="6666F73D" w14:textId="371C2EDD" w:rsidR="00065317" w:rsidRDefault="005C7BF7">
      <w:pPr>
        <w:numPr>
          <w:ilvl w:val="0"/>
          <w:numId w:val="29"/>
        </w:numPr>
      </w:pPr>
      <w:r>
        <w:t>les relations d</w:t>
      </w:r>
      <w:r w:rsidR="00E84B0E">
        <w:t>’</w:t>
      </w:r>
      <w:r>
        <w:t>identification d</w:t>
      </w:r>
      <w:r w:rsidR="00E84B0E">
        <w:t>’</w:t>
      </w:r>
      <w:r>
        <w:t>entités grâce à des noms et des identifiants;</w:t>
      </w:r>
    </w:p>
    <w:p w14:paraId="1727CA4F" w14:textId="322F38DC" w:rsidR="00065317" w:rsidRDefault="005C7BF7">
      <w:pPr>
        <w:numPr>
          <w:ilvl w:val="0"/>
          <w:numId w:val="29"/>
        </w:numPr>
      </w:pPr>
      <w:r>
        <w:t>les participations d</w:t>
      </w:r>
      <w:r w:rsidR="00E84B0E">
        <w:t>’</w:t>
      </w:r>
      <w:r>
        <w:t>entités persistantes à des entités temporelles;</w:t>
      </w:r>
    </w:p>
    <w:p w14:paraId="6C8908CC" w14:textId="12D56BA8" w:rsidR="00065317" w:rsidRDefault="005C7BF7">
      <w:pPr>
        <w:numPr>
          <w:ilvl w:val="0"/>
          <w:numId w:val="29"/>
        </w:numPr>
      </w:pPr>
      <w:r>
        <w:t>les lieux d</w:t>
      </w:r>
      <w:r w:rsidR="00E84B0E">
        <w:t>’</w:t>
      </w:r>
      <w:r>
        <w:t>entités temporelles et de choses matérielles dans l</w:t>
      </w:r>
      <w:r w:rsidR="00E84B0E">
        <w:t>’</w:t>
      </w:r>
      <w:r>
        <w:t>espace et dans le temps;</w:t>
      </w:r>
    </w:p>
    <w:p w14:paraId="60235A9E" w14:textId="449101DC" w:rsidR="00065317" w:rsidRDefault="005C7BF7">
      <w:pPr>
        <w:numPr>
          <w:ilvl w:val="0"/>
          <w:numId w:val="29"/>
        </w:numPr>
      </w:pPr>
      <w:r>
        <w:t>les relations d</w:t>
      </w:r>
      <w:r w:rsidR="00E84B0E">
        <w:t>’</w:t>
      </w:r>
      <w:r>
        <w:t>observation et d</w:t>
      </w:r>
      <w:r w:rsidR="00E84B0E">
        <w:t>’</w:t>
      </w:r>
      <w:r>
        <w:t>évaluation;</w:t>
      </w:r>
    </w:p>
    <w:p w14:paraId="47583770" w14:textId="77777777" w:rsidR="00065317" w:rsidRDefault="005C7BF7">
      <w:pPr>
        <w:numPr>
          <w:ilvl w:val="0"/>
          <w:numId w:val="29"/>
        </w:numPr>
      </w:pPr>
      <w:r>
        <w:t>les propriétés structurelles et les décompositions en parties de choses;</w:t>
      </w:r>
    </w:p>
    <w:p w14:paraId="1E53ADF0" w14:textId="689FD534" w:rsidR="00065317" w:rsidRDefault="005C7BF7">
      <w:pPr>
        <w:numPr>
          <w:ilvl w:val="0"/>
          <w:numId w:val="29"/>
        </w:numPr>
      </w:pPr>
      <w:r>
        <w:t>l</w:t>
      </w:r>
      <w:r w:rsidR="00E84B0E">
        <w:t>’</w:t>
      </w:r>
      <w:r>
        <w:t>influence des choses et des expériences sur les activités des personnes et des produits;</w:t>
      </w:r>
    </w:p>
    <w:p w14:paraId="0B449965" w14:textId="13C25CF8" w:rsidR="00065317" w:rsidRDefault="005C7BF7">
      <w:pPr>
        <w:numPr>
          <w:ilvl w:val="0"/>
          <w:numId w:val="29"/>
        </w:numPr>
      </w:pPr>
      <w:r>
        <w:t>les références d</w:t>
      </w:r>
      <w:r w:rsidR="00E84B0E">
        <w:t>’</w:t>
      </w:r>
      <w:r>
        <w:t>objets informationnels à quoi que ce soit.</w:t>
      </w:r>
    </w:p>
    <w:p w14:paraId="61BD7CEC" w14:textId="0A6BA281" w:rsidR="00065317" w:rsidRDefault="005C7BF7">
      <w:pPr>
        <w:pStyle w:val="FirstParagraph"/>
      </w:pPr>
      <w:r>
        <w:t>Les sections suivantes expliquent ces concepts à l</w:t>
      </w:r>
      <w:r w:rsidR="00E84B0E">
        <w:t>’</w:t>
      </w:r>
      <w:r>
        <w:t>aide de diagrammes.</w:t>
      </w:r>
    </w:p>
    <w:p w14:paraId="3D6E63A5" w14:textId="77777777" w:rsidR="00065317" w:rsidRDefault="005C7BF7">
      <w:pPr>
        <w:pStyle w:val="Normalcentr"/>
      </w:pPr>
      <w:r>
        <w:rPr>
          <w:b/>
          <w:bCs/>
          <w:i/>
          <w:iCs/>
        </w:rPr>
        <w:t>Note de traduction</w:t>
      </w:r>
    </w:p>
    <w:p w14:paraId="20B12B7F" w14:textId="4FBD9412" w:rsidR="00065317" w:rsidRDefault="005C7BF7" w:rsidP="00D746C9">
      <w:pPr>
        <w:pStyle w:val="Normalcentr"/>
      </w:pPr>
      <w:r>
        <w:rPr>
          <w:b/>
          <w:bCs/>
          <w:i/>
          <w:iCs/>
        </w:rPr>
        <w:t>Références</w:t>
      </w:r>
    </w:p>
    <w:p w14:paraId="47DE7C41" w14:textId="77777777" w:rsidR="00065317" w:rsidRDefault="005C7BF7" w:rsidP="00484B0E">
      <w:pPr>
        <w:pStyle w:val="Titre3"/>
      </w:pPr>
      <w:bookmarkStart w:id="78" w:name="_Toc154048724"/>
      <w:bookmarkStart w:id="79" w:name="des-relations-evenementielles"/>
      <w:r>
        <w:t>Des relations évènementielles</w:t>
      </w:r>
      <w:bookmarkEnd w:id="78"/>
    </w:p>
    <w:p w14:paraId="3D51B0A4" w14:textId="03C4FBEB" w:rsidR="0050375F" w:rsidRDefault="005C7BF7">
      <w:pPr>
        <w:pStyle w:val="FirstParagraph"/>
      </w:pPr>
      <w:r>
        <w:t>La figure 1 illustre les propriétés minimales pour documenter « ce qui s</w:t>
      </w:r>
      <w:r w:rsidR="00E84B0E">
        <w:t>’</w:t>
      </w:r>
      <w:r>
        <w:t xml:space="preserve">est produit », à savoir le patron fondamental du </w:t>
      </w:r>
      <w:r w:rsidR="00C8288F">
        <w:t>CIDOC CRM</w:t>
      </w:r>
      <w:r>
        <w:t xml:space="preserve">. La classe </w:t>
      </w:r>
      <w:r>
        <w:rPr>
          <w:rStyle w:val="VerbatimChar"/>
        </w:rPr>
        <w:t>E1_Entité_CRM</w:t>
      </w:r>
      <w:r>
        <w:t xml:space="preserve"> est la classe à la tête de la hiérarchie du modèle; elle a pour fonction de fédérer les concepts ontologiquement signifiants du modèle. De plus, cette classe déclare deux propriétés essentielles à la validité générale et aux caractéristiques distinctes du </w:t>
      </w:r>
      <w:r w:rsidR="00C8288F">
        <w:t>CIDOC CRM</w:t>
      </w:r>
      <w:r w:rsidR="00484B0E">
        <w:t xml:space="preserve"> </w:t>
      </w:r>
      <w:r>
        <w:t>:</w:t>
      </w:r>
    </w:p>
    <w:p w14:paraId="47E3A886" w14:textId="3F83146D" w:rsidR="00065317" w:rsidRDefault="0050375F" w:rsidP="0050375F">
      <w:pPr>
        <w:spacing w:after="0"/>
      </w:pPr>
      <w:r>
        <w:br w:type="page"/>
      </w:r>
    </w:p>
    <w:p w14:paraId="01F2540E" w14:textId="2559E409" w:rsidR="00065317" w:rsidRDefault="005C7BF7">
      <w:pPr>
        <w:numPr>
          <w:ilvl w:val="0"/>
          <w:numId w:val="30"/>
        </w:numPr>
      </w:pPr>
      <w:r>
        <w:rPr>
          <w:rStyle w:val="VerbatimChar"/>
        </w:rPr>
        <w:lastRenderedPageBreak/>
        <w:t>P1_est_identifié_par</w:t>
      </w:r>
      <w:r>
        <w:t xml:space="preserve"> avec pour portée </w:t>
      </w:r>
      <w:r>
        <w:rPr>
          <w:rStyle w:val="VerbatimChar"/>
        </w:rPr>
        <w:t>E41_Appellation</w:t>
      </w:r>
      <w:r>
        <w:t xml:space="preserve"> établit une distinction ontologique fondamentale entre l</w:t>
      </w:r>
      <w:r w:rsidR="00E84B0E">
        <w:t>’</w:t>
      </w:r>
      <w:r>
        <w:t>identité d</w:t>
      </w:r>
      <w:r w:rsidR="00E84B0E">
        <w:t>’</w:t>
      </w:r>
      <w:r>
        <w:t xml:space="preserve">un particulier et son identifiant (voir la section </w:t>
      </w:r>
      <w:hyperlink w:anchor="Xbb1d3bf6b8161f4ecfb4a0675c11d5718d532f5">
        <w:r>
          <w:rPr>
            <w:rStyle w:val="Lienhypertexte"/>
          </w:rPr>
          <w:t xml:space="preserve">De la réalité, des bases de connaissance, et du </w:t>
        </w:r>
        <w:r w:rsidR="00C8288F">
          <w:rPr>
            <w:rStyle w:val="Lienhypertexte"/>
          </w:rPr>
          <w:t>CIDOC CRM</w:t>
        </w:r>
      </w:hyperlink>
      <w:r>
        <w:t>), ce qui permet de décrire un discours solutionnant des ambiguïtés historiques de noms ainsi que de réconcilier de multiples identifiants</w:t>
      </w:r>
      <w:r w:rsidR="00484B0E">
        <w:t>.</w:t>
      </w:r>
    </w:p>
    <w:p w14:paraId="488F53B5" w14:textId="7E24C5F3" w:rsidR="00065317" w:rsidRDefault="005C7BF7">
      <w:pPr>
        <w:numPr>
          <w:ilvl w:val="0"/>
          <w:numId w:val="30"/>
        </w:numPr>
      </w:pPr>
      <w:r>
        <w:rPr>
          <w:rStyle w:val="VerbatimChar"/>
        </w:rPr>
        <w:t>P2_a_pour_type</w:t>
      </w:r>
      <w:r>
        <w:t xml:space="preserve"> avec pour portée </w:t>
      </w:r>
      <w:r>
        <w:rPr>
          <w:rStyle w:val="VerbatimChar"/>
        </w:rPr>
        <w:t>E55_Type</w:t>
      </w:r>
      <w:r>
        <w:t xml:space="preserve"> constitue une interface pratique pour </w:t>
      </w:r>
      <w:r w:rsidR="00484B0E">
        <w:t>raffiner</w:t>
      </w:r>
      <w:r>
        <w:t xml:space="preserve"> des classes par le biais de terminologies, lesquelles sont souvent fluctuantes (voir la section </w:t>
      </w:r>
      <w:hyperlink w:anchor="des-types">
        <w:r>
          <w:rPr>
            <w:rStyle w:val="Lienhypertexte"/>
          </w:rPr>
          <w:t>Des types</w:t>
        </w:r>
      </w:hyperlink>
      <w:r>
        <w:t>).</w:t>
      </w:r>
    </w:p>
    <w:p w14:paraId="3D8B308E" w14:textId="77777777" w:rsidR="00065317" w:rsidRDefault="005C7BF7">
      <w:pPr>
        <w:pStyle w:val="FirstParagraph"/>
      </w:pPr>
      <w:r>
        <w:rPr>
          <w:noProof/>
        </w:rPr>
        <w:drawing>
          <wp:inline distT="0" distB="0" distL="0" distR="0" wp14:anchorId="7826C19F" wp14:editId="01DEE8A7">
            <wp:extent cx="6858000" cy="3418619"/>
            <wp:effectExtent l="0" t="0" r="0" b="0"/>
            <wp:docPr id="110" name="Picture" descr="Un diagramme illustre les principales classes et propriétés du CIDOC CRM ainsi que certains des liens qui les unissent. Les classes sont identifiées par des rectangles. Les propriétés sont identifiées par des flèches reliant les classes entre elles. Les liens entre ces classes et propriétés sont décrites dans le texte ci-dessous. "/>
            <wp:cNvGraphicFramePr/>
            <a:graphic xmlns:a="http://schemas.openxmlformats.org/drawingml/2006/main">
              <a:graphicData uri="http://schemas.openxmlformats.org/drawingml/2006/picture">
                <pic:pic xmlns:pic="http://schemas.openxmlformats.org/drawingml/2006/picture">
                  <pic:nvPicPr>
                    <pic:cNvPr id="111" name="Picture" descr="../../drawio/PNG/FR/Fig_1_FR.png"/>
                    <pic:cNvPicPr>
                      <a:picLocks noChangeAspect="1" noChangeArrowheads="1"/>
                    </pic:cNvPicPr>
                  </pic:nvPicPr>
                  <pic:blipFill>
                    <a:blip r:embed="rId132"/>
                    <a:stretch>
                      <a:fillRect/>
                    </a:stretch>
                  </pic:blipFill>
                  <pic:spPr bwMode="auto">
                    <a:xfrm>
                      <a:off x="0" y="0"/>
                      <a:ext cx="6858000" cy="3418619"/>
                    </a:xfrm>
                    <a:prstGeom prst="rect">
                      <a:avLst/>
                    </a:prstGeom>
                    <a:noFill/>
                    <a:ln w="9525">
                      <a:noFill/>
                      <a:headEnd/>
                      <a:tailEnd/>
                    </a:ln>
                  </pic:spPr>
                </pic:pic>
              </a:graphicData>
            </a:graphic>
          </wp:inline>
        </w:drawing>
      </w:r>
    </w:p>
    <w:p w14:paraId="1FD29459" w14:textId="55778894" w:rsidR="00065317" w:rsidRPr="00D54C28" w:rsidRDefault="005C7BF7" w:rsidP="0050375F">
      <w:pPr>
        <w:pStyle w:val="Corpsdetexte"/>
        <w:spacing w:before="0" w:after="0"/>
        <w:rPr>
          <w:sz w:val="20"/>
          <w:szCs w:val="20"/>
        </w:rPr>
      </w:pPr>
      <w:r w:rsidRPr="00D54C28">
        <w:rPr>
          <w:i/>
          <w:iCs/>
          <w:sz w:val="20"/>
          <w:szCs w:val="20"/>
        </w:rPr>
        <w:t xml:space="preserve">Figure 1 : Propriétés et classes de haut-niveau du </w:t>
      </w:r>
      <w:r w:rsidR="00C8288F">
        <w:rPr>
          <w:i/>
          <w:iCs/>
          <w:sz w:val="20"/>
          <w:szCs w:val="20"/>
        </w:rPr>
        <w:t>CIDOC CRM</w:t>
      </w:r>
    </w:p>
    <w:p w14:paraId="6C91EF39" w14:textId="76A6EEEE" w:rsidR="00065317" w:rsidRPr="00D54C28" w:rsidRDefault="005C7BF7" w:rsidP="0050375F">
      <w:pPr>
        <w:pStyle w:val="Corpsdetexte"/>
        <w:spacing w:before="0" w:after="0"/>
        <w:rPr>
          <w:sz w:val="20"/>
          <w:szCs w:val="20"/>
        </w:rPr>
      </w:pPr>
      <w:r w:rsidRPr="00D54C28">
        <w:rPr>
          <w:i/>
          <w:iCs/>
          <w:sz w:val="20"/>
          <w:szCs w:val="20"/>
        </w:rPr>
        <w:t>Mentions de source des figures : Bibliothèques logicielles diagrams.net</w:t>
      </w:r>
      <w:r w:rsidRPr="00D54C28">
        <w:rPr>
          <w:sz w:val="20"/>
          <w:szCs w:val="20"/>
        </w:rPr>
        <w:t>, © Réseau canadien d</w:t>
      </w:r>
      <w:r w:rsidR="00E84B0E">
        <w:rPr>
          <w:sz w:val="20"/>
          <w:szCs w:val="20"/>
        </w:rPr>
        <w:t>’</w:t>
      </w:r>
      <w:r w:rsidRPr="00D54C28">
        <w:rPr>
          <w:sz w:val="20"/>
          <w:szCs w:val="20"/>
        </w:rPr>
        <w:t>information sur le patrimoine 2021</w:t>
      </w:r>
    </w:p>
    <w:p w14:paraId="35935631" w14:textId="2AA717B3" w:rsidR="00065317" w:rsidRDefault="005C7BF7">
      <w:pPr>
        <w:pStyle w:val="Corpsdetexte"/>
      </w:pPr>
      <w:r>
        <w:t xml:space="preserve">Toutes les classes de la figure 1 sont des sous-classes directes ou indirectes de </w:t>
      </w:r>
      <w:r>
        <w:rPr>
          <w:rStyle w:val="VerbatimChar"/>
        </w:rPr>
        <w:t>E1_Entité_CRM</w:t>
      </w:r>
      <w:r>
        <w:t xml:space="preserve">, mais </w:t>
      </w:r>
      <w:r w:rsidR="00806228">
        <w:t>aux</w:t>
      </w:r>
      <w:r>
        <w:t xml:space="preserve"> fins de lisibilité seuls les liens de sous-classe depuis </w:t>
      </w:r>
      <w:r>
        <w:rPr>
          <w:rStyle w:val="VerbatimChar"/>
        </w:rPr>
        <w:t>E2_Entité_temporelle</w:t>
      </w:r>
      <w:r>
        <w:t xml:space="preserve"> sont illustrés.</w:t>
      </w:r>
    </w:p>
    <w:p w14:paraId="705E72A2" w14:textId="2BC6034D" w:rsidR="00065317" w:rsidRDefault="005C7BF7">
      <w:pPr>
        <w:pStyle w:val="Corpsdetexte"/>
      </w:pPr>
      <w:r>
        <w:t xml:space="preserve">La classe </w:t>
      </w:r>
      <w:r>
        <w:rPr>
          <w:rStyle w:val="VerbatimChar"/>
        </w:rPr>
        <w:t>E2_Entité_temporelle</w:t>
      </w:r>
      <w:r>
        <w:t xml:space="preserve"> comprend des phénomènes qui se produisent de manière continue sur une étendue de temps déterminée (</w:t>
      </w:r>
      <w:r>
        <w:rPr>
          <w:rStyle w:val="VerbatimChar"/>
        </w:rPr>
        <w:t>E52_Intervalle_temporel</w:t>
      </w:r>
      <w:r>
        <w:t>) dans la dimension naturelle du temps bien que certains de ces phénomènes puissent de pas être confinés à une aire spécifique (p. ex. le statut d</w:t>
      </w:r>
      <w:r w:rsidR="00E84B0E">
        <w:t>’</w:t>
      </w:r>
      <w:r>
        <w:t>être une personne mariée).</w:t>
      </w:r>
    </w:p>
    <w:p w14:paraId="7260B313" w14:textId="4E651B2C" w:rsidR="00065317" w:rsidRDefault="005C7BF7">
      <w:pPr>
        <w:pStyle w:val="Corpsdetexte"/>
      </w:pPr>
      <w:r>
        <w:t xml:space="preserve">La classe </w:t>
      </w:r>
      <w:r>
        <w:rPr>
          <w:rStyle w:val="VerbatimChar"/>
        </w:rPr>
        <w:t>E4_Période</w:t>
      </w:r>
      <w:r>
        <w:t xml:space="preserve"> est encore plus spécifique et comprend des phénomènes se produisant dans l</w:t>
      </w:r>
      <w:r w:rsidR="00E84B0E">
        <w:t>’</w:t>
      </w:r>
      <w:r>
        <w:t xml:space="preserve">espace et dans le temps, information qui peut être représentée par la propriété </w:t>
      </w:r>
      <w:r>
        <w:rPr>
          <w:rStyle w:val="VerbatimChar"/>
        </w:rPr>
        <w:t>P7_a_eu_lieu_dans</w:t>
      </w:r>
      <w:r>
        <w:t xml:space="preserve"> avec pour portée </w:t>
      </w:r>
      <w:r>
        <w:rPr>
          <w:rStyle w:val="VerbatimChar"/>
        </w:rPr>
        <w:t>E53_Lieu</w:t>
      </w:r>
      <w:r>
        <w:t xml:space="preserve">. Les instances de </w:t>
      </w:r>
      <w:r>
        <w:rPr>
          <w:rStyle w:val="VerbatimChar"/>
        </w:rPr>
        <w:t>E4_Période</w:t>
      </w:r>
      <w:r>
        <w:t xml:space="preserve"> peuvent avoir des tailles variables (p. ex. la période des Royaumes combattants, la période Romaine, un siège, ou encore la procédure d</w:t>
      </w:r>
      <w:r w:rsidR="00E84B0E">
        <w:t>’</w:t>
      </w:r>
      <w:r>
        <w:t>une signature).</w:t>
      </w:r>
    </w:p>
    <w:p w14:paraId="02C2D46B" w14:textId="2E9B0A90" w:rsidR="00065317" w:rsidRDefault="005C7BF7">
      <w:pPr>
        <w:pStyle w:val="Corpsdetexte"/>
      </w:pPr>
      <w:r>
        <w:t xml:space="preserve">La classe </w:t>
      </w:r>
      <w:r>
        <w:rPr>
          <w:rStyle w:val="VerbatimChar"/>
        </w:rPr>
        <w:t>E5_Évènement</w:t>
      </w:r>
      <w:r>
        <w:t xml:space="preserve"> est encore plus spécifique et comprend des phénomènes impliquant et affectant certaines instances de </w:t>
      </w:r>
      <w:r>
        <w:rPr>
          <w:rStyle w:val="VerbatimChar"/>
        </w:rPr>
        <w:t>E77_Entité_persistante</w:t>
      </w:r>
      <w:r>
        <w:t xml:space="preserve"> d</w:t>
      </w:r>
      <w:r w:rsidR="00E84B0E">
        <w:t>’</w:t>
      </w:r>
      <w:r>
        <w:t xml:space="preserve">une manière caractéristique de types de processus précisés par la propriété </w:t>
      </w:r>
      <w:r>
        <w:rPr>
          <w:rStyle w:val="VerbatimChar"/>
        </w:rPr>
        <w:t>P12_a_eu_lieu_en_présence_de</w:t>
      </w:r>
      <w:r>
        <w:t>. Ce concept de présence est particulièrement puissant dans la mesure où il :</w:t>
      </w:r>
    </w:p>
    <w:p w14:paraId="075BD1BC" w14:textId="14D7D2EF" w:rsidR="00065317" w:rsidRDefault="005C7BF7">
      <w:pPr>
        <w:numPr>
          <w:ilvl w:val="0"/>
          <w:numId w:val="31"/>
        </w:numPr>
      </w:pPr>
      <w:r>
        <w:t>contraint l</w:t>
      </w:r>
      <w:r w:rsidR="00E84B0E">
        <w:t>’</w:t>
      </w:r>
      <w:r>
        <w:t>existence des choses impliquées aux lieux qui leur sont associés dans un temps spécifié;</w:t>
      </w:r>
    </w:p>
    <w:p w14:paraId="6889CA00" w14:textId="0FD13D07" w:rsidR="00065317" w:rsidRDefault="005C7BF7">
      <w:pPr>
        <w:numPr>
          <w:ilvl w:val="0"/>
          <w:numId w:val="31"/>
        </w:numPr>
      </w:pPr>
      <w:r>
        <w:t>indique le potentiel d</w:t>
      </w:r>
      <w:r w:rsidR="00E84B0E">
        <w:t>’</w:t>
      </w:r>
      <w:r>
        <w:t>une implication passive ou active [</w:t>
      </w:r>
      <w:r w:rsidR="00AF51A3">
        <w:t xml:space="preserve">n.d.t. </w:t>
      </w:r>
      <w:r>
        <w:t>des entités impliquées] ainsi que leur impact mutuel les unes sur les autres.</w:t>
      </w:r>
    </w:p>
    <w:p w14:paraId="09175562" w14:textId="6467D942" w:rsidR="00065317" w:rsidRDefault="005C7BF7">
      <w:pPr>
        <w:pStyle w:val="FirstParagraph"/>
      </w:pPr>
      <w:r>
        <w:lastRenderedPageBreak/>
        <w:t>Du fait de ce concept de présence, les évènements représentent des nœuds dans un réseau de choses reliées entre elles dans des combinaisons diverses à travers le temps et dans différents lieux [</w:t>
      </w:r>
      <w:r w:rsidR="00AF51A3">
        <w:t xml:space="preserve">n.d.t. </w:t>
      </w:r>
      <w:r>
        <w:t>(en d</w:t>
      </w:r>
      <w:r w:rsidR="00E84B0E">
        <w:t>’</w:t>
      </w:r>
      <w:r>
        <w:t>autres termes, un patron de « rencontre » des entités)].</w:t>
      </w:r>
    </w:p>
    <w:p w14:paraId="5F3350AA" w14:textId="2CC24427" w:rsidR="00065317" w:rsidRDefault="005C7BF7">
      <w:pPr>
        <w:pStyle w:val="Corpsdetexte"/>
      </w:pPr>
      <w:r>
        <w:t xml:space="preserve">Les spécialisations les plus importantes de </w:t>
      </w:r>
      <w:r>
        <w:rPr>
          <w:rStyle w:val="VerbatimChar"/>
        </w:rPr>
        <w:t>E77_Entité_persistante</w:t>
      </w:r>
      <w:r>
        <w:t xml:space="preserve"> dans ce contexte sont</w:t>
      </w:r>
      <w:r w:rsidR="00041658">
        <w:t xml:space="preserve"> </w:t>
      </w:r>
      <w:r>
        <w:t>:</w:t>
      </w:r>
    </w:p>
    <w:p w14:paraId="4EAA6F36" w14:textId="3E517E86" w:rsidR="00065317" w:rsidRDefault="005C7BF7">
      <w:pPr>
        <w:numPr>
          <w:ilvl w:val="0"/>
          <w:numId w:val="32"/>
        </w:numPr>
      </w:pPr>
      <w:r>
        <w:rPr>
          <w:rStyle w:val="VerbatimChar"/>
        </w:rPr>
        <w:t>E18_Chose_matérielle</w:t>
      </w:r>
      <w:r>
        <w:t>, qui désigne des entités dont l</w:t>
      </w:r>
      <w:r w:rsidR="00E84B0E">
        <w:t>’</w:t>
      </w:r>
      <w:r>
        <w:t>identité est déterminée par la stabilité relative de leur forme matérielle;</w:t>
      </w:r>
    </w:p>
    <w:p w14:paraId="7B794234" w14:textId="77777777" w:rsidR="00065317" w:rsidRDefault="005C7BF7">
      <w:pPr>
        <w:numPr>
          <w:ilvl w:val="0"/>
          <w:numId w:val="32"/>
        </w:numPr>
      </w:pPr>
      <w:r>
        <w:rPr>
          <w:rStyle w:val="VerbatimChar"/>
        </w:rPr>
        <w:t>E28_Objet_conceptuel</w:t>
      </w:r>
      <w:r>
        <w:t>, qui désigne des choses idéalisées qui peuvent être reconnues, mais ont une identité indépendante de leur matérialisation sur un support physique;</w:t>
      </w:r>
    </w:p>
    <w:p w14:paraId="75EDD20D" w14:textId="72CC2B3A" w:rsidR="00065317" w:rsidRDefault="005C7BF7">
      <w:pPr>
        <w:numPr>
          <w:ilvl w:val="0"/>
          <w:numId w:val="32"/>
        </w:numPr>
      </w:pPr>
      <w:r>
        <w:rPr>
          <w:rStyle w:val="VerbatimChar"/>
        </w:rPr>
        <w:t>E39_Actant</w:t>
      </w:r>
      <w:r>
        <w:t>, qui désigne des entités capables d</w:t>
      </w:r>
      <w:r w:rsidR="00E84B0E">
        <w:t>’</w:t>
      </w:r>
      <w:r>
        <w:t>actions intentionnelles.</w:t>
      </w:r>
    </w:p>
    <w:p w14:paraId="3FA04504" w14:textId="7E42E6CB" w:rsidR="00065317" w:rsidRDefault="005C7BF7">
      <w:pPr>
        <w:pStyle w:val="FirstParagraph"/>
      </w:pPr>
      <w:r>
        <w:t xml:space="preserve">La propriété </w:t>
      </w:r>
      <w:r>
        <w:rPr>
          <w:rStyle w:val="VerbatimChar"/>
        </w:rPr>
        <w:t>P12_a_eu_lieu_en_présence_de</w:t>
      </w:r>
      <w:r>
        <w:t xml:space="preserve"> a 36 sous-propriétés directes et indirectes qui permettent de relier de nombreuses sous-classes de </w:t>
      </w:r>
      <w:r>
        <w:rPr>
          <w:rStyle w:val="VerbatimChar"/>
        </w:rPr>
        <w:t>E5_Évènement</w:t>
      </w:r>
      <w:r>
        <w:t xml:space="preserve"> et de </w:t>
      </w:r>
      <w:r>
        <w:rPr>
          <w:rStyle w:val="VerbatimChar"/>
        </w:rPr>
        <w:t>E77_Entité_persistante</w:t>
      </w:r>
      <w:r>
        <w:t xml:space="preserve"> telles que celles mentionnées ci-haut. Qu</w:t>
      </w:r>
      <w:r w:rsidR="00E84B0E">
        <w:t>’</w:t>
      </w:r>
      <w:r>
        <w:t xml:space="preserve">une base de connaissances compatible avec le </w:t>
      </w:r>
      <w:r w:rsidR="00C8288F">
        <w:t>CIDOC CRM</w:t>
      </w:r>
      <w:r>
        <w:t xml:space="preserve"> soit créée uniquement avec ces propriétés ou qu</w:t>
      </w:r>
      <w:r w:rsidR="00E84B0E">
        <w:t>’</w:t>
      </w:r>
      <w:r>
        <w:t>elle le soit avec leurs spécialisations (qui sont beaucoup plus expressives), des requêtes utilisant les quatre propriétés susmentionnées (</w:t>
      </w:r>
      <w:r>
        <w:rPr>
          <w:rStyle w:val="VerbatimChar"/>
        </w:rPr>
        <w:t>P1_est_identifié_par</w:t>
      </w:r>
      <w:r>
        <w:t xml:space="preserve">, </w:t>
      </w:r>
      <w:r>
        <w:rPr>
          <w:rStyle w:val="VerbatimChar"/>
        </w:rPr>
        <w:t>P2_a_pour_type</w:t>
      </w:r>
      <w:r>
        <w:t xml:space="preserve">, </w:t>
      </w:r>
      <w:r>
        <w:rPr>
          <w:rStyle w:val="VerbatimChar"/>
        </w:rPr>
        <w:t>P7_a_eu_lieu_dans</w:t>
      </w:r>
      <w:r>
        <w:t xml:space="preserve">, </w:t>
      </w:r>
      <w:r>
        <w:rPr>
          <w:rStyle w:val="VerbatimChar"/>
        </w:rPr>
        <w:t>P12_a_eu_lieu_en_présence_de</w:t>
      </w:r>
      <w:r>
        <w:t>) permettent de répondre à la plupart des questions de type « qui, quand, où, quoi et comment » et permettent de rapatrier des histoires richement élaborées de personnes, de lieux, de temps et de choses.</w:t>
      </w:r>
    </w:p>
    <w:p w14:paraId="028493E2" w14:textId="2A64D6E4" w:rsidR="00065317" w:rsidRDefault="005C7BF7">
      <w:pPr>
        <w:pStyle w:val="Corpsdetexte"/>
      </w:pPr>
      <w:r>
        <w:t xml:space="preserve">Ce patron de « rencontre » des entités est assorti de deux sous-classes supplémentaires de </w:t>
      </w:r>
      <w:r>
        <w:rPr>
          <w:rStyle w:val="VerbatimChar"/>
        </w:rPr>
        <w:t>E5_Évènement</w:t>
      </w:r>
      <w:r w:rsidR="007A212E">
        <w:t> </w:t>
      </w:r>
      <w:r>
        <w:t xml:space="preserve">: </w:t>
      </w:r>
      <w:r>
        <w:rPr>
          <w:rStyle w:val="VerbatimChar"/>
        </w:rPr>
        <w:t>E63_Début_d</w:t>
      </w:r>
      <w:r w:rsidR="00E84B0E">
        <w:rPr>
          <w:rStyle w:val="VerbatimChar"/>
        </w:rPr>
        <w:t>’</w:t>
      </w:r>
      <w:r>
        <w:rPr>
          <w:rStyle w:val="VerbatimChar"/>
        </w:rPr>
        <w:t>existence</w:t>
      </w:r>
      <w:r>
        <w:t xml:space="preserve"> et </w:t>
      </w:r>
      <w:r>
        <w:rPr>
          <w:rStyle w:val="VerbatimChar"/>
        </w:rPr>
        <w:t>E64_Fin_d</w:t>
      </w:r>
      <w:r w:rsidR="00E84B0E">
        <w:rPr>
          <w:rStyle w:val="VerbatimChar"/>
        </w:rPr>
        <w:t>’</w:t>
      </w:r>
      <w:r>
        <w:rPr>
          <w:rStyle w:val="VerbatimChar"/>
        </w:rPr>
        <w:t>existence</w:t>
      </w:r>
      <w:r>
        <w:t>. Celles-ci impliquent non seulement la présence des entités, mais constituent aussi les frontières externes de l</w:t>
      </w:r>
      <w:r w:rsidR="00E84B0E">
        <w:t>’</w:t>
      </w:r>
      <w:r>
        <w:t>existence de choses et de personnes dans l</w:t>
      </w:r>
      <w:r w:rsidR="00E84B0E">
        <w:t>’</w:t>
      </w:r>
      <w:r>
        <w:t>espace et dans le temps, et ce le plus souvent en présence et en interaction directes avec d</w:t>
      </w:r>
      <w:r w:rsidR="00E84B0E">
        <w:t>’</w:t>
      </w:r>
      <w:r>
        <w:t>autres entités, notamment de manière causale par le fait de produire, de consommer, ou d</w:t>
      </w:r>
      <w:r w:rsidR="00E84B0E">
        <w:t>’</w:t>
      </w:r>
      <w:r>
        <w:t>être témoin d</w:t>
      </w:r>
      <w:r w:rsidR="00E84B0E">
        <w:t>’</w:t>
      </w:r>
      <w:r>
        <w:t>une chose.</w:t>
      </w:r>
    </w:p>
    <w:p w14:paraId="3329E805" w14:textId="0B9B178C" w:rsidR="00065317" w:rsidRDefault="005C7BF7">
      <w:pPr>
        <w:pStyle w:val="Corpsdetexte"/>
      </w:pPr>
      <w:r>
        <w:t xml:space="preserve">Puisque le </w:t>
      </w:r>
      <w:r w:rsidR="00C8288F">
        <w:t>CIDOC CRM</w:t>
      </w:r>
      <w:r>
        <w:t xml:space="preserve"> supporte la multi-instanciation, des évènements particuliers peuvent être des instances de combinaisons de ces classes ou d</w:t>
      </w:r>
      <w:r w:rsidR="00E84B0E">
        <w:t>’</w:t>
      </w:r>
      <w:r>
        <w:t>autres classes afin de décrire des processus étroitement interreliés de natures multiples. La représentation de choses connectées à des évènements par leur présence, par le début de leur existence, ou par la fin de celle-ci, est suffisante à la description d</w:t>
      </w:r>
      <w:r w:rsidR="00E84B0E">
        <w:t>’</w:t>
      </w:r>
      <w:r>
        <w:t xml:space="preserve">une logique </w:t>
      </w:r>
      <w:r>
        <w:rPr>
          <w:i/>
          <w:iCs/>
        </w:rPr>
        <w:t>termini postquos et antequos</w:t>
      </w:r>
      <w:r>
        <w:t>, une forme de raisonnement logique crucial à la chronologie des études historiques.</w:t>
      </w:r>
    </w:p>
    <w:p w14:paraId="69B6D405" w14:textId="77777777" w:rsidR="00065317" w:rsidRDefault="005C7BF7">
      <w:pPr>
        <w:pStyle w:val="Corpsdetexte"/>
      </w:pPr>
      <w:r>
        <w:t>Par exemple :</w:t>
      </w:r>
    </w:p>
    <w:p w14:paraId="25F0AA3F" w14:textId="56A36060" w:rsidR="0050375F" w:rsidRDefault="005C7BF7">
      <w:pPr>
        <w:pStyle w:val="Corpsdetexte"/>
      </w:pPr>
      <w:r>
        <w:t>Un exemple représentant adéquatement l</w:t>
      </w:r>
      <w:r w:rsidR="00E84B0E">
        <w:t>’</w:t>
      </w:r>
      <w:r>
        <w:t>application des concepts susmentionnés dans le contexte de l</w:t>
      </w:r>
      <w:r w:rsidR="00E84B0E">
        <w:t>’</w:t>
      </w:r>
      <w:r>
        <w:t>histoire de l</w:t>
      </w:r>
      <w:r w:rsidR="00E84B0E">
        <w:t>’</w:t>
      </w:r>
      <w:r>
        <w:t>art est celui de Johann Joachim Winckelmann (érudit allemand) voyant l</w:t>
      </w:r>
      <w:r w:rsidR="00E84B0E">
        <w:t>’</w:t>
      </w:r>
      <w:r>
        <w:t xml:space="preserve">œuvre sculptée intitulée </w:t>
      </w:r>
      <w:r>
        <w:rPr>
          <w:i/>
          <w:iCs/>
        </w:rPr>
        <w:t>Groupe du Laocoön</w:t>
      </w:r>
      <w:r>
        <w:t xml:space="preserve"> en 1755 au vatican à Rome (exposée dans le Cortile del Belvedere). En 1764, dans son article « Histoire de l</w:t>
      </w:r>
      <w:r w:rsidR="00E84B0E">
        <w:t>’</w:t>
      </w:r>
      <w:r>
        <w:t>art dans l</w:t>
      </w:r>
      <w:r w:rsidR="00E84B0E">
        <w:t>’</w:t>
      </w:r>
      <w:r>
        <w:t>Antiquité », il décrit ses impressions et articule les différences entre l</w:t>
      </w:r>
      <w:r w:rsidR="00E84B0E">
        <w:t>’</w:t>
      </w:r>
      <w:r>
        <w:t>art grec, l</w:t>
      </w:r>
      <w:r w:rsidR="00E84B0E">
        <w:t>’</w:t>
      </w:r>
      <w:r>
        <w:t>art gréco-romain, et l</w:t>
      </w:r>
      <w:r w:rsidR="00E84B0E">
        <w:t>’</w:t>
      </w:r>
      <w:r>
        <w:t>art romain (il a d</w:t>
      </w:r>
      <w:r w:rsidR="00E84B0E">
        <w:t>’</w:t>
      </w:r>
      <w:r>
        <w:t>ailleurs indiqué dans un article précédent que l</w:t>
      </w:r>
      <w:r w:rsidR="00E84B0E">
        <w:t>’</w:t>
      </w:r>
      <w:r>
        <w:t>art grec se distingue par une « noble simplicité et une grandeur tranquille, tant dans l</w:t>
      </w:r>
      <w:r w:rsidR="00E84B0E">
        <w:t>’</w:t>
      </w:r>
      <w:r>
        <w:t>attitude que dans l</w:t>
      </w:r>
      <w:r w:rsidR="00E84B0E">
        <w:t>’</w:t>
      </w:r>
      <w:r>
        <w:t>expression »). La sculpture, de style hellenistique pergamene baroque (Bieber 1961, Brilliant 2000), est reconnue être une copie, d</w:t>
      </w:r>
      <w:r w:rsidR="00E84B0E">
        <w:t>’</w:t>
      </w:r>
      <w:r>
        <w:t>un original grec, effectuée entre 27 AEC et 68 EC à la suite d</w:t>
      </w:r>
      <w:r w:rsidR="00E84B0E">
        <w:t>’</w:t>
      </w:r>
      <w:r>
        <w:t>une commande par un mécène romain. Johann Joachim Winckelmann, fils de Martin Winckelmann et de Anna-Maria Meyer, est né en 1717 [à Stendal (Allemagne)] et décédé en 1768 à Trieste (Italie).</w:t>
      </w:r>
    </w:p>
    <w:p w14:paraId="362222F2" w14:textId="43C50286" w:rsidR="00065317" w:rsidRDefault="0050375F" w:rsidP="0050375F">
      <w:pPr>
        <w:spacing w:after="0"/>
      </w:pPr>
      <w:r>
        <w:br w:type="page"/>
      </w:r>
    </w:p>
    <w:p w14:paraId="1CBFF1FB" w14:textId="3E98FB01" w:rsidR="00065317" w:rsidRDefault="005C7BF7">
      <w:pPr>
        <w:pStyle w:val="Corpsdetexte"/>
      </w:pPr>
      <w:r>
        <w:lastRenderedPageBreak/>
        <w:t>La figure 2 représente un graphe sémantique de ces évènements à l</w:t>
      </w:r>
      <w:r w:rsidR="00E84B0E">
        <w:t>’</w:t>
      </w:r>
      <w:r>
        <w:t xml:space="preserve">aide des concepts du </w:t>
      </w:r>
      <w:r w:rsidR="00C8288F">
        <w:t>CIDOC CRM</w:t>
      </w:r>
      <w:r w:rsidR="00041658">
        <w:t xml:space="preserve"> </w:t>
      </w:r>
      <w:r>
        <w:t>:</w:t>
      </w:r>
    </w:p>
    <w:p w14:paraId="0AB2DB6A" w14:textId="0D83CEA5" w:rsidR="00065317" w:rsidRDefault="005C7BF7">
      <w:pPr>
        <w:numPr>
          <w:ilvl w:val="0"/>
          <w:numId w:val="33"/>
        </w:numPr>
      </w:pPr>
      <w:r>
        <w:t xml:space="preserve">Les éléments entre parenthèses ne sont pas représentés dans le diagramme ci-dessous </w:t>
      </w:r>
      <w:r w:rsidR="00806228">
        <w:t>aux</w:t>
      </w:r>
      <w:r>
        <w:t xml:space="preserve"> fins de clarté et de simplicité</w:t>
      </w:r>
      <w:r w:rsidR="00041658">
        <w:t>.</w:t>
      </w:r>
    </w:p>
    <w:p w14:paraId="0A9831F3" w14:textId="7E264B6C" w:rsidR="00065317" w:rsidRDefault="005C7BF7">
      <w:pPr>
        <w:numPr>
          <w:ilvl w:val="0"/>
          <w:numId w:val="33"/>
        </w:numPr>
      </w:pPr>
      <w:r>
        <w:t>Les instances de classes sont représentées par des libellés informatifs plutôt que par des identifiants, eux-mêmes surmontés des libellés de leurs classes précédés de leur code</w:t>
      </w:r>
      <w:r w:rsidR="00041658">
        <w:t>.</w:t>
      </w:r>
    </w:p>
    <w:p w14:paraId="0BC0F2D9" w14:textId="69AD21D2" w:rsidR="00065317" w:rsidRDefault="005C7BF7">
      <w:pPr>
        <w:numPr>
          <w:ilvl w:val="0"/>
          <w:numId w:val="33"/>
        </w:numPr>
      </w:pPr>
      <w:r>
        <w:t>Les propriétés sont représentées à l</w:t>
      </w:r>
      <w:r w:rsidR="00E84B0E">
        <w:t>’</w:t>
      </w:r>
      <w:r>
        <w:t>aide de flèches auxquelles sont associés les libellés des propriétés en question</w:t>
      </w:r>
      <w:r w:rsidR="00041658">
        <w:t>.</w:t>
      </w:r>
    </w:p>
    <w:p w14:paraId="043131D2" w14:textId="6581FF05" w:rsidR="00065317" w:rsidRDefault="005C7BF7">
      <w:pPr>
        <w:numPr>
          <w:ilvl w:val="0"/>
          <w:numId w:val="33"/>
        </w:numPr>
      </w:pPr>
      <w:r>
        <w:t>Les identifiants entre parenthèses représentent les super-classes et super-propriétés de haut niveau illustrées dans la figure 1, et ce afin d</w:t>
      </w:r>
      <w:r w:rsidR="00E84B0E">
        <w:t>’</w:t>
      </w:r>
      <w:r>
        <w:t>indiquer comment cette information aurait pu être représentée et faire l</w:t>
      </w:r>
      <w:r w:rsidR="00E84B0E">
        <w:t>’</w:t>
      </w:r>
      <w:r>
        <w:t>objet de requêtes en utilisant un nombre limité de concepts (</w:t>
      </w:r>
      <w:r w:rsidR="00714434">
        <w:t>cela</w:t>
      </w:r>
      <w:r>
        <w:t xml:space="preserve"> illustre aussi en quoi la spécialisation des classes et propriétés permet d</w:t>
      </w:r>
      <w:r w:rsidR="00E84B0E">
        <w:t>’</w:t>
      </w:r>
      <w:r>
        <w:t>augmenter l</w:t>
      </w:r>
      <w:r w:rsidR="00E84B0E">
        <w:t>’</w:t>
      </w:r>
      <w:r>
        <w:t>expressivité du modèle sans en perdre la généricité)</w:t>
      </w:r>
      <w:r w:rsidR="00041658">
        <w:t>.</w:t>
      </w:r>
    </w:p>
    <w:p w14:paraId="6E510799" w14:textId="1ACCB859" w:rsidR="00065317" w:rsidRDefault="005C7BF7">
      <w:pPr>
        <w:numPr>
          <w:ilvl w:val="0"/>
          <w:numId w:val="33"/>
        </w:numPr>
      </w:pPr>
      <w:r>
        <w:t xml:space="preserve">La propriété de haut niveau </w:t>
      </w: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est aussi illustrée dans ce diagramme, celle-ci décrit un fait appuyé par des preuves qu</w:t>
      </w:r>
      <w:r w:rsidR="00E84B0E">
        <w:t>’</w:t>
      </w:r>
      <w:r>
        <w:t>un objet informationnel (</w:t>
      </w:r>
      <w:r>
        <w:rPr>
          <w:rStyle w:val="VerbatimChar"/>
        </w:rPr>
        <w:t>E33_Objet_linguistique</w:t>
      </w:r>
      <w:r>
        <w:t>) réfère à une entité identifiable.</w:t>
      </w:r>
    </w:p>
    <w:p w14:paraId="52308D4C" w14:textId="3B087ABE" w:rsidR="00ED0DFB" w:rsidRPr="00ED0DFB" w:rsidRDefault="005C7BF7" w:rsidP="00041658">
      <w:pPr>
        <w:pStyle w:val="FirstParagraph"/>
      </w:pPr>
      <w:r>
        <w:t>Il est intéressant de noter que le transfert d</w:t>
      </w:r>
      <w:r w:rsidR="00E84B0E">
        <w:t>’</w:t>
      </w:r>
      <w:r>
        <w:t>information depuis l</w:t>
      </w:r>
      <w:r w:rsidR="00E84B0E">
        <w:t>’</w:t>
      </w:r>
      <w:r>
        <w:t>original grec, vers sa copie romaine, puis vers l</w:t>
      </w:r>
      <w:r w:rsidR="00E84B0E">
        <w:t>’</w:t>
      </w:r>
      <w:r>
        <w:t>esprit de Winckelmann et finalement vers ses écrits ne peut être compris que par cette chaîne de rencontres entre des entités présentes à différentes occasions. Il faut aussi noter que le degré de véracité perçue d</w:t>
      </w:r>
      <w:r w:rsidR="00E84B0E">
        <w:t>’</w:t>
      </w:r>
      <w:r>
        <w:t>un fait n</w:t>
      </w:r>
      <w:r w:rsidR="00E84B0E">
        <w:t>’</w:t>
      </w:r>
      <w:r>
        <w:t xml:space="preserve">affecte pas le choix des concepts du </w:t>
      </w:r>
      <w:r w:rsidR="00C8288F">
        <w:t>CIDOC CRM</w:t>
      </w:r>
      <w:r>
        <w:t xml:space="preserve"> utilisés pour représenter ce fait; il n</w:t>
      </w:r>
      <w:r w:rsidR="00E84B0E">
        <w:t>’</w:t>
      </w:r>
      <w:r>
        <w:t>affecte pas non plus le concept de réalité qui sous-tend le modèle lui-même.</w:t>
      </w:r>
    </w:p>
    <w:p w14:paraId="73C2791D" w14:textId="77777777" w:rsidR="00065317" w:rsidRDefault="005C7BF7" w:rsidP="0050375F">
      <w:pPr>
        <w:pStyle w:val="Corpsdetexte"/>
        <w:spacing w:before="0" w:after="0"/>
      </w:pPr>
      <w:r>
        <w:rPr>
          <w:noProof/>
        </w:rPr>
        <w:drawing>
          <wp:inline distT="0" distB="0" distL="0" distR="0" wp14:anchorId="5F8FF3C2" wp14:editId="3A7A4E9B">
            <wp:extent cx="5244123" cy="3681046"/>
            <wp:effectExtent l="0" t="0" r="0" b="0"/>
            <wp:docPr id="113" name="Picture" descr="Un diagramme illustre les classes et propriétés servant à décrire une série d'évènements dans la vie de Joachim Winckelmann après qu'il ait vu l'oeuvre sculptée « Groupe du Laocoön ». Les évènements en question sont décrits ci-dessus. Une peinture représentant Joachim Winckelmann et une photographie représentant l'oeuvre sculptée « Groupe du Laocoön » sont insérées dans les rectangles illustrant les classes qui les représentent dans le diagramme. "/>
            <wp:cNvGraphicFramePr/>
            <a:graphic xmlns:a="http://schemas.openxmlformats.org/drawingml/2006/main">
              <a:graphicData uri="http://schemas.openxmlformats.org/drawingml/2006/picture">
                <pic:pic xmlns:pic="http://schemas.openxmlformats.org/drawingml/2006/picture">
                  <pic:nvPicPr>
                    <pic:cNvPr id="114" name="Picture" descr="../../drawio/PNG/FR/Fig_2_FR.png"/>
                    <pic:cNvPicPr>
                      <a:picLocks noChangeAspect="1" noChangeArrowheads="1"/>
                    </pic:cNvPicPr>
                  </pic:nvPicPr>
                  <pic:blipFill>
                    <a:blip r:embed="rId133"/>
                    <a:stretch>
                      <a:fillRect/>
                    </a:stretch>
                  </pic:blipFill>
                  <pic:spPr bwMode="auto">
                    <a:xfrm>
                      <a:off x="0" y="0"/>
                      <a:ext cx="5277031" cy="3704146"/>
                    </a:xfrm>
                    <a:prstGeom prst="rect">
                      <a:avLst/>
                    </a:prstGeom>
                    <a:noFill/>
                    <a:ln w="9525">
                      <a:noFill/>
                      <a:headEnd/>
                      <a:tailEnd/>
                    </a:ln>
                  </pic:spPr>
                </pic:pic>
              </a:graphicData>
            </a:graphic>
          </wp:inline>
        </w:drawing>
      </w:r>
    </w:p>
    <w:p w14:paraId="06AD3F94" w14:textId="3B533843" w:rsidR="00065317" w:rsidRPr="00D54C28" w:rsidRDefault="005C7BF7" w:rsidP="0050375F">
      <w:pPr>
        <w:pStyle w:val="Corpsdetexte"/>
        <w:spacing w:before="0" w:after="0"/>
        <w:rPr>
          <w:sz w:val="20"/>
          <w:szCs w:val="20"/>
        </w:rPr>
      </w:pPr>
      <w:r w:rsidRPr="00D54C28">
        <w:rPr>
          <w:i/>
          <w:iCs/>
          <w:sz w:val="20"/>
          <w:szCs w:val="20"/>
        </w:rPr>
        <w:t>Figure 2 : Exemple d</w:t>
      </w:r>
      <w:r w:rsidR="00E84B0E">
        <w:rPr>
          <w:i/>
          <w:iCs/>
          <w:sz w:val="20"/>
          <w:szCs w:val="20"/>
        </w:rPr>
        <w:t>’</w:t>
      </w:r>
      <w:r w:rsidRPr="00D54C28">
        <w:rPr>
          <w:i/>
          <w:iCs/>
          <w:sz w:val="20"/>
          <w:szCs w:val="20"/>
        </w:rPr>
        <w:t xml:space="preserve">encodage avec le </w:t>
      </w:r>
      <w:r w:rsidR="00C8288F">
        <w:rPr>
          <w:i/>
          <w:iCs/>
          <w:sz w:val="20"/>
          <w:szCs w:val="20"/>
        </w:rPr>
        <w:t>CIDOC CRM</w:t>
      </w:r>
      <w:r w:rsidRPr="00D54C28">
        <w:rPr>
          <w:i/>
          <w:iCs/>
          <w:sz w:val="20"/>
          <w:szCs w:val="20"/>
        </w:rPr>
        <w:t xml:space="preserve"> (Winckelmann voyant le</w:t>
      </w:r>
      <w:r w:rsidRPr="00D54C28">
        <w:rPr>
          <w:sz w:val="20"/>
          <w:szCs w:val="20"/>
        </w:rPr>
        <w:t xml:space="preserve"> Laocoön</w:t>
      </w:r>
      <w:r w:rsidRPr="00D54C28">
        <w:rPr>
          <w:i/>
          <w:iCs/>
          <w:sz w:val="20"/>
          <w:szCs w:val="20"/>
        </w:rPr>
        <w:t>)</w:t>
      </w:r>
    </w:p>
    <w:p w14:paraId="3F6CD5ED" w14:textId="77777777" w:rsidR="00065317" w:rsidRPr="00D54C28" w:rsidRDefault="005C7BF7" w:rsidP="0050375F">
      <w:pPr>
        <w:pStyle w:val="Corpsdetexte"/>
        <w:spacing w:before="0" w:after="0"/>
        <w:rPr>
          <w:sz w:val="20"/>
          <w:szCs w:val="20"/>
        </w:rPr>
      </w:pPr>
      <w:r w:rsidRPr="00D54C28">
        <w:rPr>
          <w:i/>
          <w:iCs/>
          <w:sz w:val="20"/>
          <w:szCs w:val="20"/>
        </w:rPr>
        <w:t>Mentions de source des figures :</w:t>
      </w:r>
    </w:p>
    <w:p w14:paraId="4D57B1AD" w14:textId="6352F0D4" w:rsidR="00065317" w:rsidRPr="00D54C28" w:rsidRDefault="005C7BF7" w:rsidP="0050375F">
      <w:pPr>
        <w:numPr>
          <w:ilvl w:val="0"/>
          <w:numId w:val="34"/>
        </w:numPr>
        <w:spacing w:after="0"/>
        <w:rPr>
          <w:sz w:val="20"/>
          <w:szCs w:val="20"/>
        </w:rPr>
      </w:pPr>
      <w:r w:rsidRPr="00D54C28">
        <w:rPr>
          <w:i/>
          <w:iCs/>
          <w:sz w:val="20"/>
          <w:szCs w:val="20"/>
        </w:rPr>
        <w:t>Bibliothèques logicielles diagrams.net</w:t>
      </w:r>
      <w:r w:rsidRPr="00D54C28">
        <w:rPr>
          <w:sz w:val="20"/>
          <w:szCs w:val="20"/>
        </w:rPr>
        <w:t>, © Réseau canadien d</w:t>
      </w:r>
      <w:r w:rsidR="00E84B0E">
        <w:rPr>
          <w:sz w:val="20"/>
          <w:szCs w:val="20"/>
        </w:rPr>
        <w:t>’</w:t>
      </w:r>
      <w:r w:rsidRPr="00D54C28">
        <w:rPr>
          <w:sz w:val="20"/>
          <w:szCs w:val="20"/>
        </w:rPr>
        <w:t>information sur le patrimoine 2021</w:t>
      </w:r>
    </w:p>
    <w:p w14:paraId="384805C0" w14:textId="77777777" w:rsidR="00065317" w:rsidRPr="00D54C28" w:rsidRDefault="005C7BF7" w:rsidP="0050375F">
      <w:pPr>
        <w:numPr>
          <w:ilvl w:val="0"/>
          <w:numId w:val="34"/>
        </w:numPr>
        <w:spacing w:after="0"/>
        <w:rPr>
          <w:sz w:val="20"/>
          <w:szCs w:val="20"/>
          <w:lang w:val="en-CA"/>
        </w:rPr>
      </w:pPr>
      <w:r w:rsidRPr="00D54C28">
        <w:rPr>
          <w:i/>
          <w:iCs/>
          <w:sz w:val="20"/>
          <w:szCs w:val="20"/>
          <w:lang w:val="en-CA"/>
        </w:rPr>
        <w:t>Johann Joachim Winckelmann</w:t>
      </w:r>
      <w:r w:rsidRPr="00D54C28">
        <w:rPr>
          <w:sz w:val="20"/>
          <w:szCs w:val="20"/>
          <w:lang w:val="en-CA"/>
        </w:rPr>
        <w:t>, © Wikimedia Commons CC BY-SA 4.0</w:t>
      </w:r>
    </w:p>
    <w:p w14:paraId="3E1170AA" w14:textId="77777777" w:rsidR="00065317" w:rsidRPr="00D54C28" w:rsidRDefault="005C7BF7" w:rsidP="0050375F">
      <w:pPr>
        <w:numPr>
          <w:ilvl w:val="0"/>
          <w:numId w:val="34"/>
        </w:numPr>
        <w:spacing w:after="0"/>
        <w:rPr>
          <w:sz w:val="20"/>
          <w:szCs w:val="20"/>
          <w:lang w:val="en-CA"/>
        </w:rPr>
      </w:pPr>
      <w:r w:rsidRPr="00D54C28">
        <w:rPr>
          <w:i/>
          <w:iCs/>
          <w:sz w:val="20"/>
          <w:szCs w:val="20"/>
          <w:lang w:val="en-CA"/>
        </w:rPr>
        <w:t>Laocoön</w:t>
      </w:r>
      <w:r w:rsidRPr="00D54C28">
        <w:rPr>
          <w:sz w:val="20"/>
          <w:szCs w:val="20"/>
          <w:lang w:val="en-CA"/>
        </w:rPr>
        <w:t>, © Wikimedia Commons CC BY-SA 4.0</w:t>
      </w:r>
    </w:p>
    <w:p w14:paraId="3E1C0266" w14:textId="2413EC16" w:rsidR="00065317" w:rsidRDefault="005C7BF7">
      <w:pPr>
        <w:pStyle w:val="FirstParagraph"/>
      </w:pPr>
      <w:r>
        <w:lastRenderedPageBreak/>
        <w:t xml:space="preserve">La figure 2 représente aussi une propriété de haut niveau du </w:t>
      </w:r>
      <w:r w:rsidR="00C8288F">
        <w:t>CIDOC CRM</w:t>
      </w:r>
      <w:r>
        <w:t xml:space="preserve"> soit </w:t>
      </w: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qui décrit un fait fondé sur des preuves [</w:t>
      </w:r>
      <w:r w:rsidR="00AF51A3">
        <w:t xml:space="preserve">n.d.t. </w:t>
      </w:r>
      <w:r>
        <w:t>(</w:t>
      </w:r>
      <w:r>
        <w:rPr>
          <w:i/>
          <w:iCs/>
        </w:rPr>
        <w:t>Laocoön</w:t>
      </w:r>
      <w:r>
        <w:t>)] auquel un objet informationnel (</w:t>
      </w:r>
      <w:r>
        <w:rPr>
          <w:rStyle w:val="VerbatimChar"/>
        </w:rPr>
        <w:t>E73_Objet_informationnel</w:t>
      </w:r>
      <w:r>
        <w:t>) fait référence [</w:t>
      </w:r>
      <w:r w:rsidR="00AF51A3">
        <w:t xml:space="preserve">n.d.t. </w:t>
      </w:r>
      <w:r>
        <w:t>(« Histoire de l</w:t>
      </w:r>
      <w:r w:rsidR="00E84B0E">
        <w:t>’</w:t>
      </w:r>
      <w:r>
        <w:t>art dans l</w:t>
      </w:r>
      <w:r w:rsidR="00E84B0E">
        <w:t>’</w:t>
      </w:r>
      <w:r>
        <w:t>Antiquité »)].</w:t>
      </w:r>
    </w:p>
    <w:p w14:paraId="5394D852" w14:textId="6CEAF04B" w:rsidR="00065317" w:rsidRDefault="005C7BF7">
      <w:pPr>
        <w:pStyle w:val="Corpsdetexte"/>
      </w:pPr>
      <w:r>
        <w:t xml:space="preserve">Tel que mentionné plus haut, le concept central du </w:t>
      </w:r>
      <w:r w:rsidR="00C8288F">
        <w:t>CIDOC CRM</w:t>
      </w:r>
      <w:r>
        <w:t xml:space="preserve"> est la représentation d</w:t>
      </w:r>
      <w:r w:rsidR="00E84B0E">
        <w:t>’</w:t>
      </w:r>
      <w:r>
        <w:t>une part de la réalité qui peut être représentée approximativement par un réseau de choses se rencontrant selon des combinaisons variées à travers le temps et l</w:t>
      </w:r>
      <w:r w:rsidR="00E84B0E">
        <w:t>’</w:t>
      </w:r>
      <w:r>
        <w:t>espace. La figure 3 reprend l</w:t>
      </w:r>
      <w:r w:rsidR="00E84B0E">
        <w:t>’</w:t>
      </w:r>
      <w:r>
        <w:t>exemple ci-haut afin de représenter symboliquement ce concept de « rencontre ». Ce diagramme a pour objectif d</w:t>
      </w:r>
      <w:r w:rsidR="00E84B0E">
        <w:t>’</w:t>
      </w:r>
      <w:r>
        <w:t>illustrer comment par le passé les personnes et les choses ont performé des trajectoires dans l</w:t>
      </w:r>
      <w:r w:rsidR="00E84B0E">
        <w:t>’</w:t>
      </w:r>
      <w:r>
        <w:t>espace et dans le temps qui sont en grande partie inconnues. Néanmoins, les faits historiques connus indiquent des intervalles temporels limités lors desquels les trajectoires de ces personnes et de ces choses se sont croisées à des lieux connus ou inconnus, ce qui permet de contraindre les hypothèses quant à leur présence.</w:t>
      </w:r>
    </w:p>
    <w:p w14:paraId="103BB6C1" w14:textId="0F7ED61F" w:rsidR="00065317" w:rsidRDefault="005C7BF7">
      <w:pPr>
        <w:pStyle w:val="Corpsdetexte"/>
      </w:pPr>
      <w:r>
        <w:t xml:space="preserve">Le </w:t>
      </w:r>
      <w:r w:rsidR="00C8288F">
        <w:t>CIDOC CRM</w:t>
      </w:r>
      <w:r>
        <w:t xml:space="preserve"> fait usage d</w:t>
      </w:r>
      <w:r w:rsidR="00E84B0E">
        <w:t>’</w:t>
      </w:r>
      <w:r>
        <w:t>un axe temporel vertical et d</w:t>
      </w:r>
      <w:r w:rsidR="00E84B0E">
        <w:t>’</w:t>
      </w:r>
      <w:r>
        <w:t>une représentation unidimensionnelle de l</w:t>
      </w:r>
      <w:r w:rsidR="00E84B0E">
        <w:t>’</w:t>
      </w:r>
      <w:r>
        <w:t>espace telle qu</w:t>
      </w:r>
      <w:r w:rsidR="00E84B0E">
        <w:t>’</w:t>
      </w:r>
      <w:r>
        <w:t>elle est utilisée en archéologie afin de décrire l</w:t>
      </w:r>
      <w:r w:rsidR="00E84B0E">
        <w:t>’</w:t>
      </w:r>
      <w:r>
        <w:t>évolution à travers le temps de périodes ou de cultures.</w:t>
      </w:r>
    </w:p>
    <w:p w14:paraId="5DDED258" w14:textId="7A62561E" w:rsidR="00065317" w:rsidRDefault="005C7BF7">
      <w:pPr>
        <w:pStyle w:val="Corpsdetexte"/>
      </w:pPr>
      <w:r>
        <w:t xml:space="preserve">La figure 3 offre un aperçu du système relationnel spatial et temporel du </w:t>
      </w:r>
      <w:r w:rsidR="00C8288F">
        <w:t>CIDOC CRM</w:t>
      </w:r>
      <w:r>
        <w:t>.</w:t>
      </w:r>
    </w:p>
    <w:p w14:paraId="483857B4" w14:textId="0B244517" w:rsidR="00065317" w:rsidRDefault="005C7BF7">
      <w:pPr>
        <w:numPr>
          <w:ilvl w:val="0"/>
          <w:numId w:val="35"/>
        </w:numPr>
      </w:pPr>
      <w:r>
        <w:t>La trajectoire des personnes et des choses est symbolisée par des lignes reliant les évènements et dotées d</w:t>
      </w:r>
      <w:r w:rsidR="00E84B0E">
        <w:t>’</w:t>
      </w:r>
      <w:r>
        <w:t>une ombre afin d</w:t>
      </w:r>
      <w:r w:rsidR="00E84B0E">
        <w:t>’</w:t>
      </w:r>
      <w:r>
        <w:t>illustrer leur indétermination et leur nature floue</w:t>
      </w:r>
      <w:r w:rsidR="00041658">
        <w:t>.</w:t>
      </w:r>
    </w:p>
    <w:p w14:paraId="34897726" w14:textId="02B086C5" w:rsidR="00065317" w:rsidRDefault="005C7BF7">
      <w:pPr>
        <w:numPr>
          <w:ilvl w:val="0"/>
          <w:numId w:val="35"/>
        </w:numPr>
      </w:pPr>
      <w:r>
        <w:t>Les trajectoires des personnes, capables de se mouvoir de leur propre volition, sont illustrées par des flèches pleines</w:t>
      </w:r>
      <w:r w:rsidR="00041658">
        <w:t>.</w:t>
      </w:r>
    </w:p>
    <w:p w14:paraId="18ACAFB8" w14:textId="492ED463" w:rsidR="00065317" w:rsidRDefault="005C7BF7">
      <w:pPr>
        <w:numPr>
          <w:ilvl w:val="0"/>
          <w:numId w:val="35"/>
        </w:numPr>
      </w:pPr>
      <w:r>
        <w:t>Les trajectoires des choses inanimées, incapables de se mouvoir de leur propre volition, sont illustrées par des flèches pointillées</w:t>
      </w:r>
      <w:r w:rsidR="00041658">
        <w:t>.</w:t>
      </w:r>
    </w:p>
    <w:p w14:paraId="33DDE130" w14:textId="567AA07B" w:rsidR="00065317" w:rsidRDefault="005C7BF7">
      <w:pPr>
        <w:numPr>
          <w:ilvl w:val="0"/>
          <w:numId w:val="35"/>
        </w:numPr>
      </w:pPr>
      <w:r>
        <w:t>Les évènements, dont la nature spatiale et temporelle est floue, sont représentés dans des bulles à l</w:t>
      </w:r>
      <w:r w:rsidR="00E84B0E">
        <w:t>’</w:t>
      </w:r>
      <w:r>
        <w:t>effet glacé</w:t>
      </w:r>
      <w:r w:rsidR="00041658">
        <w:t>.</w:t>
      </w:r>
    </w:p>
    <w:p w14:paraId="6214C2E1" w14:textId="6B758D3E" w:rsidR="00065317" w:rsidRDefault="005C7BF7">
      <w:pPr>
        <w:numPr>
          <w:ilvl w:val="0"/>
          <w:numId w:val="35"/>
        </w:numPr>
      </w:pPr>
      <w:r>
        <w:t>Dans le contexte de cette illustration qui représente un patron général, les choses peuvent « survivre » aux évènements, en émerger, ou s</w:t>
      </w:r>
      <w:r w:rsidR="00E84B0E">
        <w:t>’</w:t>
      </w:r>
      <w:r>
        <w:t>y éteindre</w:t>
      </w:r>
      <w:r w:rsidR="00041658">
        <w:t>.</w:t>
      </w:r>
    </w:p>
    <w:p w14:paraId="518526C7" w14:textId="4C2B7300" w:rsidR="00065317" w:rsidRDefault="005C7BF7">
      <w:pPr>
        <w:numPr>
          <w:ilvl w:val="0"/>
          <w:numId w:val="35"/>
        </w:numPr>
      </w:pPr>
      <w:r>
        <w:t>Le début et la fin de l</w:t>
      </w:r>
      <w:r w:rsidR="00E84B0E">
        <w:t>’</w:t>
      </w:r>
      <w:r>
        <w:t>existence imposent des contraintes temporelles additionnelles aux évènements de nature causale interreliés dans cet exemple, ce qui peut parfois être plus signifiant que l</w:t>
      </w:r>
      <w:r w:rsidR="00E84B0E">
        <w:t>’</w:t>
      </w:r>
      <w:r>
        <w:t>usage de dates explicites</w:t>
      </w:r>
      <w:r w:rsidR="00041658">
        <w:t>.</w:t>
      </w:r>
    </w:p>
    <w:p w14:paraId="7C2D6F7D" w14:textId="0CC327F8" w:rsidR="00065317" w:rsidRDefault="005C7BF7">
      <w:pPr>
        <w:numPr>
          <w:ilvl w:val="0"/>
          <w:numId w:val="35"/>
        </w:numPr>
      </w:pPr>
      <w:r>
        <w:t>Les fins d</w:t>
      </w:r>
      <w:r w:rsidR="00E84B0E">
        <w:t>’</w:t>
      </w:r>
      <w:r>
        <w:t>existence non</w:t>
      </w:r>
      <w:r w:rsidR="003773B9">
        <w:t xml:space="preserve"> </w:t>
      </w:r>
      <w:r>
        <w:t>recensées de personnes et de choses, ces fins étant elles aussi des évènements, sont illustrées par la présence d</w:t>
      </w:r>
      <w:r w:rsidR="00E84B0E">
        <w:t>’</w:t>
      </w:r>
      <w:r>
        <w:t>un point à la fin de leur trajectoire, elle-même représentée par une flèche.</w:t>
      </w:r>
    </w:p>
    <w:p w14:paraId="761B0E62" w14:textId="77777777" w:rsidR="00065317" w:rsidRDefault="005C7BF7">
      <w:pPr>
        <w:pStyle w:val="FirstParagraph"/>
      </w:pPr>
      <w:r>
        <w:t>Ce système constitue un outil important pour la documentation du passé et possède une certaine complexité qui doit sommairement être comprise.</w:t>
      </w:r>
    </w:p>
    <w:p w14:paraId="0703CF19" w14:textId="2A23CC98" w:rsidR="00065317" w:rsidRDefault="00FF047F" w:rsidP="0050375F">
      <w:pPr>
        <w:pStyle w:val="Corpsdetexte"/>
        <w:spacing w:before="0" w:after="0"/>
      </w:pPr>
      <w:r>
        <w:rPr>
          <w:noProof/>
        </w:rPr>
        <w:lastRenderedPageBreak/>
        <w:drawing>
          <wp:inline distT="0" distB="0" distL="0" distR="0" wp14:anchorId="3A6CB27E" wp14:editId="77086C5A">
            <wp:extent cx="6285714" cy="4000000"/>
            <wp:effectExtent l="0" t="0" r="1270" b="635"/>
            <wp:docPr id="1254629503" name="Image 1" descr="Une image contenant tex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29503" name="Image 1" descr="Une image contenant texte, capture d’écran, diagramme&#10;&#10;Description générée automatiquement"/>
                    <pic:cNvPicPr/>
                  </pic:nvPicPr>
                  <pic:blipFill>
                    <a:blip r:embed="rId134"/>
                    <a:stretch>
                      <a:fillRect/>
                    </a:stretch>
                  </pic:blipFill>
                  <pic:spPr>
                    <a:xfrm>
                      <a:off x="0" y="0"/>
                      <a:ext cx="6285714" cy="4000000"/>
                    </a:xfrm>
                    <a:prstGeom prst="rect">
                      <a:avLst/>
                    </a:prstGeom>
                  </pic:spPr>
                </pic:pic>
              </a:graphicData>
            </a:graphic>
          </wp:inline>
        </w:drawing>
      </w:r>
    </w:p>
    <w:p w14:paraId="382CB18C" w14:textId="6675AB1D" w:rsidR="00065317" w:rsidRPr="0050375F" w:rsidRDefault="005C7BF7" w:rsidP="0050375F">
      <w:pPr>
        <w:pStyle w:val="Corpsdetexte"/>
        <w:spacing w:before="0" w:after="0"/>
        <w:rPr>
          <w:i/>
          <w:iCs/>
          <w:sz w:val="20"/>
          <w:szCs w:val="20"/>
        </w:rPr>
      </w:pPr>
      <w:r w:rsidRPr="0050375F">
        <w:rPr>
          <w:i/>
          <w:iCs/>
          <w:sz w:val="20"/>
          <w:szCs w:val="20"/>
        </w:rPr>
        <w:t>Figure 3 : Représentation symbolique de « Winckelmann voyant le Laocoön » en tant qu</w:t>
      </w:r>
      <w:r w:rsidR="00E84B0E" w:rsidRPr="0050375F">
        <w:rPr>
          <w:i/>
          <w:iCs/>
          <w:sz w:val="20"/>
          <w:szCs w:val="20"/>
        </w:rPr>
        <w:t>’</w:t>
      </w:r>
      <w:r w:rsidRPr="0050375F">
        <w:rPr>
          <w:i/>
          <w:iCs/>
          <w:sz w:val="20"/>
          <w:szCs w:val="20"/>
        </w:rPr>
        <w:t>évolution dans le temps et l</w:t>
      </w:r>
      <w:r w:rsidR="00E84B0E" w:rsidRPr="0050375F">
        <w:rPr>
          <w:i/>
          <w:iCs/>
          <w:sz w:val="20"/>
          <w:szCs w:val="20"/>
        </w:rPr>
        <w:t>’</w:t>
      </w:r>
      <w:r w:rsidRPr="0050375F">
        <w:rPr>
          <w:i/>
          <w:iCs/>
          <w:sz w:val="20"/>
          <w:szCs w:val="20"/>
        </w:rPr>
        <w:t>espace</w:t>
      </w:r>
    </w:p>
    <w:p w14:paraId="25A41BEE" w14:textId="77777777" w:rsidR="00065317" w:rsidRPr="0050375F" w:rsidRDefault="005C7BF7" w:rsidP="0050375F">
      <w:pPr>
        <w:pStyle w:val="Corpsdetexte"/>
        <w:spacing w:before="0" w:after="0"/>
        <w:rPr>
          <w:i/>
          <w:iCs/>
          <w:sz w:val="20"/>
          <w:szCs w:val="20"/>
        </w:rPr>
      </w:pPr>
      <w:r w:rsidRPr="0050375F">
        <w:rPr>
          <w:i/>
          <w:iCs/>
          <w:sz w:val="20"/>
          <w:szCs w:val="20"/>
        </w:rPr>
        <w:t>Mentions de source des figures :</w:t>
      </w:r>
    </w:p>
    <w:p w14:paraId="23D04BA9" w14:textId="676AFEE3" w:rsidR="00065317" w:rsidRPr="0050375F" w:rsidRDefault="005C7BF7" w:rsidP="0050375F">
      <w:pPr>
        <w:numPr>
          <w:ilvl w:val="0"/>
          <w:numId w:val="36"/>
        </w:numPr>
        <w:spacing w:after="0"/>
        <w:rPr>
          <w:i/>
          <w:iCs/>
          <w:sz w:val="20"/>
          <w:szCs w:val="20"/>
        </w:rPr>
      </w:pPr>
      <w:r w:rsidRPr="0050375F">
        <w:rPr>
          <w:i/>
          <w:iCs/>
          <w:sz w:val="20"/>
          <w:szCs w:val="20"/>
        </w:rPr>
        <w:t>Bibliothèques logicielles diagrams.net, © Réseau canadien d</w:t>
      </w:r>
      <w:r w:rsidR="00E84B0E" w:rsidRPr="0050375F">
        <w:rPr>
          <w:i/>
          <w:iCs/>
          <w:sz w:val="20"/>
          <w:szCs w:val="20"/>
        </w:rPr>
        <w:t>’</w:t>
      </w:r>
      <w:r w:rsidRPr="0050375F">
        <w:rPr>
          <w:i/>
          <w:iCs/>
          <w:sz w:val="20"/>
          <w:szCs w:val="20"/>
        </w:rPr>
        <w:t>information sur le patrimoine 2021</w:t>
      </w:r>
    </w:p>
    <w:p w14:paraId="08F34FD7" w14:textId="77777777" w:rsidR="00065317" w:rsidRPr="0050375F" w:rsidRDefault="005C7BF7" w:rsidP="0050375F">
      <w:pPr>
        <w:numPr>
          <w:ilvl w:val="0"/>
          <w:numId w:val="36"/>
        </w:numPr>
        <w:spacing w:after="0"/>
        <w:rPr>
          <w:i/>
          <w:iCs/>
          <w:sz w:val="20"/>
          <w:szCs w:val="20"/>
        </w:rPr>
      </w:pPr>
      <w:r w:rsidRPr="0050375F">
        <w:rPr>
          <w:i/>
          <w:iCs/>
          <w:sz w:val="20"/>
          <w:szCs w:val="20"/>
        </w:rPr>
        <w:t>Icônes de statues par Smashicons - Flaticon, © Freepik Company S.L. 2022</w:t>
      </w:r>
    </w:p>
    <w:p w14:paraId="794A9C7B" w14:textId="77777777" w:rsidR="00065317" w:rsidRPr="0050375F" w:rsidRDefault="005C7BF7" w:rsidP="0050375F">
      <w:pPr>
        <w:numPr>
          <w:ilvl w:val="0"/>
          <w:numId w:val="36"/>
        </w:numPr>
        <w:spacing w:after="0"/>
        <w:rPr>
          <w:i/>
          <w:iCs/>
          <w:sz w:val="20"/>
          <w:szCs w:val="20"/>
        </w:rPr>
      </w:pPr>
      <w:r w:rsidRPr="0050375F">
        <w:rPr>
          <w:i/>
          <w:iCs/>
          <w:sz w:val="20"/>
          <w:szCs w:val="20"/>
        </w:rPr>
        <w:t>Icône du créateur romain inconnu par Freepik - Flaticon, © Freepik Company S.L. 2022</w:t>
      </w:r>
    </w:p>
    <w:p w14:paraId="3E620F6C" w14:textId="77777777" w:rsidR="00065317" w:rsidRPr="0050375F" w:rsidRDefault="005C7BF7" w:rsidP="0050375F">
      <w:pPr>
        <w:numPr>
          <w:ilvl w:val="0"/>
          <w:numId w:val="36"/>
        </w:numPr>
        <w:spacing w:after="0"/>
        <w:rPr>
          <w:i/>
          <w:iCs/>
          <w:sz w:val="20"/>
          <w:szCs w:val="20"/>
          <w:lang w:val="en-CA"/>
        </w:rPr>
      </w:pPr>
      <w:r w:rsidRPr="0050375F">
        <w:rPr>
          <w:i/>
          <w:iCs/>
          <w:sz w:val="20"/>
          <w:szCs w:val="20"/>
          <w:lang w:val="en-CA"/>
        </w:rPr>
        <w:t>Icône de Winckelmann par Freepik - Flaticon, © Freepik Company S.L. 2022</w:t>
      </w:r>
    </w:p>
    <w:p w14:paraId="52F67C13" w14:textId="77777777" w:rsidR="00065317" w:rsidRPr="0050375F" w:rsidRDefault="005C7BF7" w:rsidP="0050375F">
      <w:pPr>
        <w:numPr>
          <w:ilvl w:val="0"/>
          <w:numId w:val="36"/>
        </w:numPr>
        <w:spacing w:after="0"/>
        <w:rPr>
          <w:i/>
          <w:iCs/>
          <w:sz w:val="20"/>
          <w:szCs w:val="20"/>
        </w:rPr>
      </w:pPr>
      <w:r w:rsidRPr="0050375F">
        <w:rPr>
          <w:i/>
          <w:iCs/>
          <w:sz w:val="20"/>
          <w:szCs w:val="20"/>
        </w:rPr>
        <w:t>Icône de la mère de Winckelmann par max.icons - Flaticon, © Freepik Company S.L. 2022</w:t>
      </w:r>
    </w:p>
    <w:p w14:paraId="5FDD68AD" w14:textId="60A96644" w:rsidR="00ED0DFB" w:rsidRDefault="005C7BF7" w:rsidP="00041658">
      <w:pPr>
        <w:pStyle w:val="FirstParagraph"/>
      </w:pPr>
      <w:r>
        <w:t xml:space="preserve">Les sections suivantes présentent un aperçu du système de relations spatiales et temporelles du </w:t>
      </w:r>
      <w:r w:rsidR="00C8288F">
        <w:t>CIDOC CRM</w:t>
      </w:r>
      <w:r>
        <w:t>, car ce dernier constitue un outil important pour une documentation précise du passé. La nature complexe de ce système de relations explique la nécessité de l</w:t>
      </w:r>
      <w:r w:rsidR="00E84B0E">
        <w:t>’</w:t>
      </w:r>
      <w:r>
        <w:t xml:space="preserve">examiner davantage dans le cadre de la présente synthèse. </w:t>
      </w:r>
    </w:p>
    <w:p w14:paraId="6422FECA" w14:textId="204706D2" w:rsidR="00065317" w:rsidRDefault="005C7BF7">
      <w:pPr>
        <w:pStyle w:val="Normalcentr"/>
      </w:pPr>
      <w:r>
        <w:rPr>
          <w:b/>
          <w:bCs/>
          <w:i/>
          <w:iCs/>
        </w:rPr>
        <w:t>Note de traduction</w:t>
      </w:r>
    </w:p>
    <w:p w14:paraId="2D957FF9" w14:textId="309681AC" w:rsidR="00065317" w:rsidRDefault="005C7BF7">
      <w:pPr>
        <w:pStyle w:val="Normalcentr"/>
      </w:pPr>
      <w:r>
        <w:t>Les auteurs mentionnent les « </w:t>
      </w:r>
      <w:r>
        <w:rPr>
          <w:i/>
          <w:iCs/>
        </w:rPr>
        <w:t>termini postquos and antequos</w:t>
      </w:r>
      <w:r>
        <w:t xml:space="preserve"> » qui réfèrent aux concepts de </w:t>
      </w:r>
      <w:r>
        <w:rPr>
          <w:i/>
          <w:iCs/>
        </w:rPr>
        <w:t>terminus ante quem</w:t>
      </w:r>
      <w:r>
        <w:t xml:space="preserve"> (c.-à-d. « date avant laquelle », qui signale la date avant laquelle un événement s</w:t>
      </w:r>
      <w:r w:rsidR="00E84B0E">
        <w:t>’</w:t>
      </w:r>
      <w:r>
        <w:t xml:space="preserve">est nécessairement produit) et de </w:t>
      </w:r>
      <w:r>
        <w:rPr>
          <w:i/>
          <w:iCs/>
        </w:rPr>
        <w:t>terminus post quem</w:t>
      </w:r>
      <w:r>
        <w:t xml:space="preserve"> (c.-à-d. « date à partir de laquelle », qui signale la date à partir de laquelle un événement s</w:t>
      </w:r>
      <w:r w:rsidR="00E84B0E">
        <w:t>’</w:t>
      </w:r>
      <w:r>
        <w:t>est nécessairement produit).</w:t>
      </w:r>
    </w:p>
    <w:p w14:paraId="5B5B3F35" w14:textId="743F4B32" w:rsidR="00065317" w:rsidRDefault="005C7BF7">
      <w:pPr>
        <w:pStyle w:val="Normalcentr"/>
      </w:pPr>
      <w:r>
        <w:t>La traduction de la citation de Wincklemann « noble simplicity, silent grandeur » (« noble simplicité et une grandeur tranquille, tant dans l</w:t>
      </w:r>
      <w:r w:rsidR="00E84B0E">
        <w:t>’</w:t>
      </w:r>
      <w:r>
        <w:t>attitude que dans l</w:t>
      </w:r>
      <w:r w:rsidR="00E84B0E">
        <w:t>’</w:t>
      </w:r>
      <w:r>
        <w:t xml:space="preserve">expression ») est issue de la traduction par Laure Cahen-Maurel de </w:t>
      </w:r>
      <w:r>
        <w:rPr>
          <w:i/>
          <w:iCs/>
        </w:rPr>
        <w:t>Pensées sur l</w:t>
      </w:r>
      <w:r w:rsidR="00E84B0E">
        <w:rPr>
          <w:i/>
          <w:iCs/>
        </w:rPr>
        <w:t>’</w:t>
      </w:r>
      <w:r>
        <w:rPr>
          <w:i/>
          <w:iCs/>
        </w:rPr>
        <w:t xml:space="preserve">imitation des </w:t>
      </w:r>
      <w:r w:rsidR="00C012B4">
        <w:rPr>
          <w:i/>
          <w:iCs/>
        </w:rPr>
        <w:t>œ</w:t>
      </w:r>
      <w:r>
        <w:rPr>
          <w:i/>
          <w:iCs/>
        </w:rPr>
        <w:t>uvres grecques en peinture et en sculpture</w:t>
      </w:r>
      <w:r>
        <w:t>, où Winckelmann utilise cette expression dès 1755.</w:t>
      </w:r>
    </w:p>
    <w:p w14:paraId="5694C698" w14:textId="221496AC" w:rsidR="0050375F" w:rsidRDefault="005C7BF7">
      <w:pPr>
        <w:pStyle w:val="Normalcentr"/>
        <w:rPr>
          <w:lang w:val="en-CA"/>
        </w:rPr>
      </w:pPr>
      <w:r w:rsidRPr="00EC2D6E">
        <w:rPr>
          <w:lang w:val="en-CA"/>
        </w:rPr>
        <w:t>Après consultation de la figure 3 à laquelle le texte fait référence, la phrase « Non-animate things use to be stationary if not transferred, whereas people may move around on their own » a été interprétée de la manière suivante</w:t>
      </w:r>
      <w:r w:rsidR="00041658">
        <w:rPr>
          <w:lang w:val="en-CA"/>
        </w:rPr>
        <w:t xml:space="preserve"> </w:t>
      </w:r>
      <w:r w:rsidRPr="00EC2D6E">
        <w:rPr>
          <w:lang w:val="en-CA"/>
        </w:rPr>
        <w:t>: « Non-animate things use dotted lines to illustrate they are stationary if not transferred, whereas people may move around on their own and are using full lines ».</w:t>
      </w:r>
    </w:p>
    <w:p w14:paraId="72E04DC6" w14:textId="1142396A" w:rsidR="00065317" w:rsidRPr="0050375F" w:rsidRDefault="0050375F" w:rsidP="0050375F">
      <w:pPr>
        <w:spacing w:after="0"/>
        <w:rPr>
          <w:sz w:val="22"/>
          <w:lang w:val="en-CA"/>
        </w:rPr>
      </w:pPr>
      <w:r>
        <w:rPr>
          <w:lang w:val="en-CA"/>
        </w:rPr>
        <w:br w:type="page"/>
      </w:r>
    </w:p>
    <w:p w14:paraId="2493961A" w14:textId="77777777" w:rsidR="00065317" w:rsidRDefault="005C7BF7">
      <w:pPr>
        <w:pStyle w:val="Normalcentr"/>
      </w:pPr>
      <w:r>
        <w:rPr>
          <w:b/>
          <w:bCs/>
          <w:i/>
          <w:iCs/>
        </w:rPr>
        <w:lastRenderedPageBreak/>
        <w:t>Références</w:t>
      </w:r>
    </w:p>
    <w:p w14:paraId="4CF237F7" w14:textId="22342315" w:rsidR="00065317" w:rsidRDefault="005C7BF7">
      <w:pPr>
        <w:pStyle w:val="Normalcentr"/>
      </w:pPr>
      <w:r>
        <w:t xml:space="preserve">Winckelmann, Johann Joachim. </w:t>
      </w:r>
      <w:r>
        <w:rPr>
          <w:i/>
          <w:iCs/>
        </w:rPr>
        <w:t>Pensées sur l</w:t>
      </w:r>
      <w:r w:rsidR="00E84B0E">
        <w:rPr>
          <w:i/>
          <w:iCs/>
        </w:rPr>
        <w:t>’</w:t>
      </w:r>
      <w:r>
        <w:rPr>
          <w:i/>
          <w:iCs/>
        </w:rPr>
        <w:t xml:space="preserve">imitation des </w:t>
      </w:r>
      <w:r w:rsidR="00C012B4">
        <w:rPr>
          <w:i/>
          <w:iCs/>
        </w:rPr>
        <w:t>œ</w:t>
      </w:r>
      <w:r>
        <w:rPr>
          <w:i/>
          <w:iCs/>
        </w:rPr>
        <w:t>uvre</w:t>
      </w:r>
      <w:r w:rsidR="00041658">
        <w:rPr>
          <w:i/>
          <w:iCs/>
        </w:rPr>
        <w:t>s</w:t>
      </w:r>
      <w:r>
        <w:rPr>
          <w:i/>
          <w:iCs/>
        </w:rPr>
        <w:t xml:space="preserve"> grecques en peinture et en sculpture</w:t>
      </w:r>
      <w:r>
        <w:t>. Traduit par Laure Cahen-Maurel. Le dix-huitième</w:t>
      </w:r>
      <w:r w:rsidR="00056DCD">
        <w:t> siècle </w:t>
      </w:r>
      <w:r>
        <w:t>– entre les lumières et l</w:t>
      </w:r>
      <w:r w:rsidR="00E84B0E">
        <w:t>’</w:t>
      </w:r>
      <w:r>
        <w:t>incendie. 1755. Reprint, Paris, FR-IDF: Allia, 2005.</w:t>
      </w:r>
      <w:hyperlink r:id="rId135">
        <w:r>
          <w:rPr>
            <w:rStyle w:val="Lienhypertexte"/>
          </w:rPr>
          <w:t xml:space="preserve"> </w:t>
        </w:r>
      </w:hyperlink>
      <w:hyperlink r:id="rId136">
        <w:r>
          <w:rPr>
            <w:rStyle w:val="Lienhypertexte"/>
          </w:rPr>
          <w:t>https://www.editions-allia.com/fr/livre/91/pensees-sur-limitation-des-uvres-grecques-en-peinture-et-en-sculpture</w:t>
        </w:r>
      </w:hyperlink>
      <w:r>
        <w:t>.</w:t>
      </w:r>
    </w:p>
    <w:p w14:paraId="0359D461" w14:textId="77777777" w:rsidR="00065317" w:rsidRDefault="005C7BF7" w:rsidP="00041658">
      <w:pPr>
        <w:pStyle w:val="Titre4"/>
      </w:pPr>
      <w:bookmarkStart w:id="80" w:name="_Toc154048725"/>
      <w:bookmarkStart w:id="81" w:name="des-relations-spatiales"/>
      <w:r>
        <w:t>Des relations spatiales</w:t>
      </w:r>
      <w:bookmarkEnd w:id="80"/>
    </w:p>
    <w:p w14:paraId="283531F4" w14:textId="7130D14A" w:rsidR="00065317" w:rsidRDefault="005C7BF7">
      <w:pPr>
        <w:pStyle w:val="FirstParagraph"/>
      </w:pPr>
      <w:r>
        <w:t>L</w:t>
      </w:r>
      <w:r w:rsidR="00E84B0E">
        <w:t>’</w:t>
      </w:r>
      <w:r>
        <w:t>un des axes centraux de la recherche historique et documentaire est le positionnement dans l</w:t>
      </w:r>
      <w:r w:rsidR="00E84B0E">
        <w:t>’</w:t>
      </w:r>
      <w:r>
        <w:t>espace de ce qui s</w:t>
      </w:r>
      <w:r w:rsidR="00E84B0E">
        <w:t>’</w:t>
      </w:r>
      <w:r>
        <w:t xml:space="preserve">est produit ainsi que des entités impliquées, de même que le raisonnement logique associé à ces relations spatiales. La classe essentielle à la modélisation de cette information dans le </w:t>
      </w:r>
      <w:r w:rsidR="00C8288F">
        <w:t>CIDOC CRM</w:t>
      </w:r>
      <w:r>
        <w:t xml:space="preserve"> est </w:t>
      </w:r>
      <w:r>
        <w:rPr>
          <w:rStyle w:val="VerbatimChar"/>
        </w:rPr>
        <w:t>E53_Lieu</w:t>
      </w:r>
      <w:r>
        <w:t>. Cette dernière est utilisée pour documenter des étendues géométriques dans un espace physique contenant des positions réelles ou possibles de choses ou d</w:t>
      </w:r>
      <w:r w:rsidR="00E84B0E">
        <w:t>’</w:t>
      </w:r>
      <w:r>
        <w:t xml:space="preserve">évènements. Les classes et propriétés de haut niveau associées à </w:t>
      </w:r>
      <w:r>
        <w:rPr>
          <w:rStyle w:val="VerbatimChar"/>
        </w:rPr>
        <w:t>E53_Lieu</w:t>
      </w:r>
      <w:r>
        <w:t xml:space="preserve"> permettent de documenter :</w:t>
      </w:r>
    </w:p>
    <w:p w14:paraId="1BCA37A2" w14:textId="06A9DE03" w:rsidR="00065317" w:rsidRDefault="00CA5429">
      <w:pPr>
        <w:numPr>
          <w:ilvl w:val="0"/>
          <w:numId w:val="37"/>
        </w:numPr>
      </w:pPr>
      <w:r>
        <w:t>l</w:t>
      </w:r>
      <w:r w:rsidR="005C7BF7">
        <w:t>es relations entre des lieux;</w:t>
      </w:r>
    </w:p>
    <w:p w14:paraId="37C4FB19" w14:textId="3DB6BF3B" w:rsidR="00065317" w:rsidRDefault="00CA5429">
      <w:pPr>
        <w:numPr>
          <w:ilvl w:val="0"/>
          <w:numId w:val="37"/>
        </w:numPr>
      </w:pPr>
      <w:r>
        <w:t>l</w:t>
      </w:r>
      <w:r w:rsidR="005C7BF7">
        <w:t>es expressions géométriques définissant ou approximant un lieu ainsi que de documenter la fonction sémantique de ces expressions;</w:t>
      </w:r>
    </w:p>
    <w:p w14:paraId="1AE1BF3B" w14:textId="26D2FF5F" w:rsidR="00065317" w:rsidRDefault="00CA5429">
      <w:pPr>
        <w:numPr>
          <w:ilvl w:val="0"/>
          <w:numId w:val="37"/>
        </w:numPr>
      </w:pPr>
      <w:r>
        <w:t>l</w:t>
      </w:r>
      <w:r w:rsidR="00E84B0E">
        <w:t>’</w:t>
      </w:r>
      <w:r w:rsidR="005C7BF7">
        <w:t>historiques des localisations d</w:t>
      </w:r>
      <w:r w:rsidR="00E84B0E">
        <w:t>’</w:t>
      </w:r>
      <w:r w:rsidR="005C7BF7">
        <w:t>un objet physique (traçage);</w:t>
      </w:r>
    </w:p>
    <w:p w14:paraId="61720968" w14:textId="079B9730" w:rsidR="00065317" w:rsidRDefault="00CA5429">
      <w:pPr>
        <w:numPr>
          <w:ilvl w:val="0"/>
          <w:numId w:val="37"/>
        </w:numPr>
      </w:pPr>
      <w:r>
        <w:t>l</w:t>
      </w:r>
      <w:r w:rsidR="00E84B0E">
        <w:t>’</w:t>
      </w:r>
      <w:r w:rsidR="005C7BF7">
        <w:t>historiques des localisations d</w:t>
      </w:r>
      <w:r w:rsidR="00E84B0E">
        <w:t>’</w:t>
      </w:r>
      <w:r w:rsidR="005C7BF7">
        <w:t>un individu ou d</w:t>
      </w:r>
      <w:r w:rsidR="00E84B0E">
        <w:t>’</w:t>
      </w:r>
      <w:r w:rsidR="005C7BF7">
        <w:t>un groupe;</w:t>
      </w:r>
    </w:p>
    <w:p w14:paraId="6EDFC5DA" w14:textId="7703BE56" w:rsidR="00065317" w:rsidRDefault="00CA5429">
      <w:pPr>
        <w:numPr>
          <w:ilvl w:val="0"/>
          <w:numId w:val="37"/>
        </w:numPr>
      </w:pPr>
      <w:r>
        <w:t>l</w:t>
      </w:r>
      <w:r w:rsidR="005C7BF7">
        <w:t>es lieux situés sur un objet physique;</w:t>
      </w:r>
    </w:p>
    <w:p w14:paraId="19B62BB1" w14:textId="65A9E865" w:rsidR="00065317" w:rsidRDefault="00CA5429">
      <w:pPr>
        <w:numPr>
          <w:ilvl w:val="0"/>
          <w:numId w:val="37"/>
        </w:numPr>
      </w:pPr>
      <w:r>
        <w:t>l</w:t>
      </w:r>
      <w:r w:rsidR="005C7BF7">
        <w:t>es étendues spatiales de certaines entités temporelles.</w:t>
      </w:r>
    </w:p>
    <w:p w14:paraId="7CB6E390" w14:textId="77777777" w:rsidR="00065317" w:rsidRDefault="005C7BF7">
      <w:pPr>
        <w:pStyle w:val="FirstParagraph"/>
      </w:pPr>
      <w:r>
        <w:t>Les expressions géométriques des lieux :</w:t>
      </w:r>
    </w:p>
    <w:p w14:paraId="0F450958" w14:textId="263B2797" w:rsidR="00065317" w:rsidRDefault="005C7BF7">
      <w:pPr>
        <w:pStyle w:val="Corpsdetexte"/>
      </w:pPr>
      <w:r>
        <w:t>La documentation contemporaine d</w:t>
      </w:r>
      <w:r w:rsidR="00E84B0E">
        <w:t>’</w:t>
      </w:r>
      <w:r>
        <w:t>information spatiale bénéficie, d</w:t>
      </w:r>
      <w:r w:rsidR="00E84B0E">
        <w:t>’</w:t>
      </w:r>
      <w:r>
        <w:t>une part, d</w:t>
      </w:r>
      <w:r w:rsidR="00E84B0E">
        <w:t>’</w:t>
      </w:r>
      <w:r>
        <w:t>équipements spécialisés pour le recensement précis de lieux et, d</w:t>
      </w:r>
      <w:r w:rsidR="00E84B0E">
        <w:t>’</w:t>
      </w:r>
      <w:r>
        <w:t>autre part, de bibliothèques d</w:t>
      </w:r>
      <w:r w:rsidR="00E84B0E">
        <w:t>’</w:t>
      </w:r>
      <w:r>
        <w:t>informations géoréférencées au sujet des lieux. Pour cette raison, la documentation des lieux inclut souvent le recensement de coordonnées précises pour un lieu référencé.</w:t>
      </w:r>
    </w:p>
    <w:p w14:paraId="66843C86" w14:textId="42454DF9" w:rsidR="00065317" w:rsidRDefault="005C7BF7">
      <w:pPr>
        <w:pStyle w:val="Corpsdetexte"/>
      </w:pPr>
      <w:r>
        <w:t>Il est crucial, d</w:t>
      </w:r>
      <w:r w:rsidR="00E84B0E">
        <w:t>’</w:t>
      </w:r>
      <w:r>
        <w:t>un point de vue sémantique, de comprendre la manière dont l</w:t>
      </w:r>
      <w:r w:rsidR="00E84B0E">
        <w:t>’</w:t>
      </w:r>
      <w:r>
        <w:t>expression géométrique d</w:t>
      </w:r>
      <w:r w:rsidR="00E84B0E">
        <w:t>’</w:t>
      </w:r>
      <w:r>
        <w:t xml:space="preserve">un lieu </w:t>
      </w:r>
      <w:r>
        <w:rPr>
          <w:rStyle w:val="VerbatimChar"/>
        </w:rPr>
        <w:t>A</w:t>
      </w:r>
      <w:r>
        <w:t xml:space="preserve"> est liée à un lieu référencé </w:t>
      </w:r>
      <w:r>
        <w:rPr>
          <w:rStyle w:val="VerbatimChar"/>
        </w:rPr>
        <w:t>B</w:t>
      </w:r>
      <w:r>
        <w:t xml:space="preserve">. Le regroupement des relations </w:t>
      </w:r>
      <w:r>
        <w:rPr>
          <w:rStyle w:val="VerbatimChar"/>
        </w:rPr>
        <w:t>P168_lieu_défini_par (définit_le_lieu)</w:t>
      </w:r>
      <w:r>
        <w:t xml:space="preserve">, </w:t>
      </w:r>
      <w:r>
        <w:rPr>
          <w:rStyle w:val="VerbatimChar"/>
        </w:rPr>
        <w:t>P171_quelque_part_dans</w:t>
      </w:r>
      <w:r>
        <w:t xml:space="preserve"> et </w:t>
      </w:r>
      <w:r>
        <w:rPr>
          <w:rStyle w:val="VerbatimChar"/>
        </w:rPr>
        <w:t>P172_contient</w:t>
      </w:r>
      <w:r>
        <w:t xml:space="preserve"> permet </w:t>
      </w:r>
      <w:r w:rsidR="00714434">
        <w:t>cela</w:t>
      </w:r>
      <w:r>
        <w:t xml:space="preserve"> en liant des expressions géométriques de lieux </w:t>
      </w:r>
      <w:r>
        <w:rPr>
          <w:rStyle w:val="VerbatimChar"/>
        </w:rPr>
        <w:t>A</w:t>
      </w:r>
      <w:r>
        <w:t xml:space="preserve"> tout en indiquant précisément comment ces expressions sont liées au lieu référencé </w:t>
      </w:r>
      <w:r>
        <w:rPr>
          <w:rStyle w:val="VerbatimChar"/>
        </w:rPr>
        <w:t>B</w:t>
      </w:r>
      <w:r>
        <w:t>.</w:t>
      </w:r>
    </w:p>
    <w:p w14:paraId="7A12CC6C" w14:textId="39B3A7FA" w:rsidR="00065317" w:rsidRDefault="005C7BF7">
      <w:pPr>
        <w:pStyle w:val="Corpsdetexte"/>
      </w:pPr>
      <w:r>
        <w:t xml:space="preserve">Les expressions géométriques de lieux sont des instances de </w:t>
      </w:r>
      <w:r>
        <w:rPr>
          <w:rStyle w:val="VerbatimChar"/>
        </w:rPr>
        <w:t>E94_Primitive_spatiale</w:t>
      </w:r>
      <w:r>
        <w:t>, une classe primitive ayant pour fonction d</w:t>
      </w:r>
      <w:r w:rsidR="00E84B0E">
        <w:t>’</w:t>
      </w:r>
      <w:r>
        <w:t xml:space="preserve">exprimer des valeurs dans des systèmes de données qui ne sont pas couverts par le </w:t>
      </w:r>
      <w:r w:rsidR="00C8288F">
        <w:t>CIDOC CRM</w:t>
      </w:r>
      <w:r>
        <w:t>. Les propriétés susmentionnées procurent une interface valide pour CRMgeo (D</w:t>
      </w:r>
      <w:r w:rsidR="003C7A4A">
        <w:t>oe</w:t>
      </w:r>
      <w:r>
        <w:t>rr &amp; Hiebel 2013) qui mobilise les standards OGC [</w:t>
      </w:r>
      <w:r w:rsidR="00AF51A3">
        <w:t xml:space="preserve">n.d.t. </w:t>
      </w:r>
      <w:r>
        <w:t>standards de l</w:t>
      </w:r>
      <w:r w:rsidR="00E84B0E">
        <w:t>’</w:t>
      </w:r>
      <w:r>
        <w:t>Open Geospatial Consortium qui assurent l</w:t>
      </w:r>
      <w:r w:rsidR="00E84B0E">
        <w:t>’</w:t>
      </w:r>
      <w:r>
        <w:t>interopérabilité dans les domaines de la géomatique et de l</w:t>
      </w:r>
      <w:r w:rsidR="00E84B0E">
        <w:t>’</w:t>
      </w:r>
      <w:r>
        <w:t>information].</w:t>
      </w:r>
    </w:p>
    <w:p w14:paraId="3E395314" w14:textId="77777777" w:rsidR="00065317" w:rsidRDefault="005C7BF7" w:rsidP="0050375F">
      <w:pPr>
        <w:pStyle w:val="Corpsdetexte"/>
        <w:spacing w:before="0" w:after="0"/>
      </w:pPr>
      <w:r>
        <w:rPr>
          <w:noProof/>
        </w:rPr>
        <w:lastRenderedPageBreak/>
        <w:drawing>
          <wp:inline distT="0" distB="0" distL="0" distR="0" wp14:anchorId="2AB2677E" wp14:editId="12C9CA32">
            <wp:extent cx="6270833" cy="3852984"/>
            <wp:effectExtent l="0" t="0" r="0" b="0"/>
            <wp:docPr id="120" name="Picture" descr="Un diagramme illustre les classes et les propriétés fondamentales servant au raisonnement logique au sujet d'information spatiale. Les classes sont identifiées par des rectangles. Les propriétés sont identifiées par des flèches reliant les classes entre elles. Les liens entre ces classes et propriétés sont décrites dans le texte ci-dessous."/>
            <wp:cNvGraphicFramePr/>
            <a:graphic xmlns:a="http://schemas.openxmlformats.org/drawingml/2006/main">
              <a:graphicData uri="http://schemas.openxmlformats.org/drawingml/2006/picture">
                <pic:pic xmlns:pic="http://schemas.openxmlformats.org/drawingml/2006/picture">
                  <pic:nvPicPr>
                    <pic:cNvPr id="121" name="Picture" descr="../../drawio/PNG/FR/Fig_4_FR.png"/>
                    <pic:cNvPicPr>
                      <a:picLocks noChangeAspect="1" noChangeArrowheads="1"/>
                    </pic:cNvPicPr>
                  </pic:nvPicPr>
                  <pic:blipFill>
                    <a:blip r:embed="rId137"/>
                    <a:stretch>
                      <a:fillRect/>
                    </a:stretch>
                  </pic:blipFill>
                  <pic:spPr bwMode="auto">
                    <a:xfrm>
                      <a:off x="0" y="0"/>
                      <a:ext cx="6280617" cy="3858996"/>
                    </a:xfrm>
                    <a:prstGeom prst="rect">
                      <a:avLst/>
                    </a:prstGeom>
                    <a:noFill/>
                    <a:ln w="9525">
                      <a:noFill/>
                      <a:headEnd/>
                      <a:tailEnd/>
                    </a:ln>
                  </pic:spPr>
                </pic:pic>
              </a:graphicData>
            </a:graphic>
          </wp:inline>
        </w:drawing>
      </w:r>
    </w:p>
    <w:p w14:paraId="38350C3E" w14:textId="7AE77A68" w:rsidR="00065317" w:rsidRPr="00D93D69" w:rsidRDefault="005C7BF7" w:rsidP="0050375F">
      <w:pPr>
        <w:pStyle w:val="Corpsdetexte"/>
        <w:spacing w:before="0" w:after="0"/>
        <w:rPr>
          <w:sz w:val="20"/>
          <w:szCs w:val="20"/>
        </w:rPr>
      </w:pPr>
      <w:r w:rsidRPr="00D93D69">
        <w:rPr>
          <w:i/>
          <w:iCs/>
          <w:sz w:val="20"/>
          <w:szCs w:val="20"/>
        </w:rPr>
        <w:t>Figure 4 : Propriétés et classes fondamentales pour le raisonnement logique au sujet d</w:t>
      </w:r>
      <w:r w:rsidR="00E84B0E">
        <w:rPr>
          <w:i/>
          <w:iCs/>
          <w:sz w:val="20"/>
          <w:szCs w:val="20"/>
        </w:rPr>
        <w:t>’</w:t>
      </w:r>
      <w:r w:rsidRPr="00D93D69">
        <w:rPr>
          <w:i/>
          <w:iCs/>
          <w:sz w:val="20"/>
          <w:szCs w:val="20"/>
        </w:rPr>
        <w:t>information spatiale</w:t>
      </w:r>
    </w:p>
    <w:p w14:paraId="66238887" w14:textId="1A6FE3BB" w:rsidR="00065317" w:rsidRPr="00D93D69" w:rsidRDefault="005C7BF7" w:rsidP="0050375F">
      <w:pPr>
        <w:pStyle w:val="Corpsdetexte"/>
        <w:spacing w:before="0" w:after="0"/>
        <w:rPr>
          <w:sz w:val="20"/>
          <w:szCs w:val="20"/>
        </w:rPr>
      </w:pPr>
      <w:r w:rsidRPr="00D93D69">
        <w:rPr>
          <w:i/>
          <w:iCs/>
          <w:sz w:val="20"/>
          <w:szCs w:val="20"/>
        </w:rPr>
        <w:t>Mentions de source des figures : Bibliothèques logicielles diagrams.net</w:t>
      </w:r>
      <w:r w:rsidRPr="00D93D69">
        <w:rPr>
          <w:sz w:val="20"/>
          <w:szCs w:val="20"/>
        </w:rPr>
        <w:t>, © Réseau canadien d</w:t>
      </w:r>
      <w:r w:rsidR="00E84B0E">
        <w:rPr>
          <w:sz w:val="20"/>
          <w:szCs w:val="20"/>
        </w:rPr>
        <w:t>’</w:t>
      </w:r>
      <w:r w:rsidRPr="00D93D69">
        <w:rPr>
          <w:sz w:val="20"/>
          <w:szCs w:val="20"/>
        </w:rPr>
        <w:t>information sur le patrimoine 2021</w:t>
      </w:r>
    </w:p>
    <w:p w14:paraId="7C39935B" w14:textId="71A0DA17" w:rsidR="00065317" w:rsidRDefault="005C7BF7">
      <w:pPr>
        <w:pStyle w:val="Corpsdetexte"/>
      </w:pPr>
      <w:r>
        <w:t>Les relations entre les lieux</w:t>
      </w:r>
      <w:r w:rsidR="00CA5429">
        <w:t xml:space="preserve"> </w:t>
      </w:r>
      <w:r>
        <w:t>:</w:t>
      </w:r>
    </w:p>
    <w:p w14:paraId="47D714FA" w14:textId="6862A44D" w:rsidR="00065317" w:rsidRDefault="005C7BF7">
      <w:pPr>
        <w:pStyle w:val="Corpsdetexte"/>
      </w:pPr>
      <w:r>
        <w:t xml:space="preserve">Le regroupement des relations </w:t>
      </w:r>
      <w:r>
        <w:rPr>
          <w:rStyle w:val="VerbatimChar"/>
        </w:rPr>
        <w:t>P89_s</w:t>
      </w:r>
      <w:r w:rsidR="00E84B0E">
        <w:rPr>
          <w:rStyle w:val="VerbatimChar"/>
        </w:rPr>
        <w:t>’</w:t>
      </w:r>
      <w:r>
        <w:rPr>
          <w:rStyle w:val="VerbatimChar"/>
        </w:rPr>
        <w:t>insère_dans (contient)</w:t>
      </w:r>
      <w:r>
        <w:t xml:space="preserve">, </w:t>
      </w:r>
      <w:r>
        <w:rPr>
          <w:rStyle w:val="VerbatimChar"/>
        </w:rPr>
        <w:t>P121_se_superpose_partiellement_à</w:t>
      </w:r>
      <w:r>
        <w:t xml:space="preserve">, </w:t>
      </w:r>
      <w:r>
        <w:rPr>
          <w:rStyle w:val="VerbatimChar"/>
        </w:rPr>
        <w:t>P122_est_limitrophe_de</w:t>
      </w:r>
      <w:r>
        <w:t xml:space="preserve"> et </w:t>
      </w:r>
      <w:r>
        <w:rPr>
          <w:rStyle w:val="VerbatimChar"/>
        </w:rPr>
        <w:t>P189_approxime (est_approximé_par)</w:t>
      </w:r>
      <w:r>
        <w:t xml:space="preserve"> permet d</w:t>
      </w:r>
      <w:r w:rsidR="00E84B0E">
        <w:t>’</w:t>
      </w:r>
      <w:r>
        <w:t xml:space="preserve">exprimer des relations relatives entre des lieux. Ces propriétés se situent entre des instances de </w:t>
      </w:r>
      <w:r>
        <w:rPr>
          <w:rStyle w:val="VerbatimChar"/>
        </w:rPr>
        <w:t>E53_Lieu</w:t>
      </w:r>
      <w:r>
        <w:t xml:space="preserve"> et permettent d</w:t>
      </w:r>
      <w:r w:rsidR="00E84B0E">
        <w:t>’</w:t>
      </w:r>
      <w:r>
        <w:t>ordonner de manière interne des lieux en utilisant des concepts méréotopologiques communs.</w:t>
      </w:r>
    </w:p>
    <w:p w14:paraId="214C8BAC" w14:textId="23051ED9" w:rsidR="00065317" w:rsidRDefault="005C7BF7">
      <w:pPr>
        <w:pStyle w:val="Corpsdetexte"/>
      </w:pPr>
      <w:r>
        <w:t>L</w:t>
      </w:r>
      <w:r w:rsidR="00E84B0E">
        <w:t>’</w:t>
      </w:r>
      <w:r>
        <w:t>historique des localisations d</w:t>
      </w:r>
      <w:r w:rsidR="00E84B0E">
        <w:t>’</w:t>
      </w:r>
      <w:r>
        <w:t>objets physiques :</w:t>
      </w:r>
    </w:p>
    <w:p w14:paraId="1096F897" w14:textId="06F35219" w:rsidR="00065317" w:rsidRDefault="005C7BF7">
      <w:pPr>
        <w:pStyle w:val="Corpsdetexte"/>
      </w:pPr>
      <w:r>
        <w:t xml:space="preserve">Les instances de </w:t>
      </w:r>
      <w:r>
        <w:rPr>
          <w:rStyle w:val="VerbatimChar"/>
        </w:rPr>
        <w:t>E53_Lieu</w:t>
      </w:r>
      <w:r>
        <w:t xml:space="preserve"> sont souvent référencées afin d</w:t>
      </w:r>
      <w:r w:rsidR="00E84B0E">
        <w:t>’</w:t>
      </w:r>
      <w:r>
        <w:t>enregistrer la localisation d</w:t>
      </w:r>
      <w:r w:rsidR="00E84B0E">
        <w:t>’</w:t>
      </w:r>
      <w:r>
        <w:t>un objet et, lorsque les déplacements d</w:t>
      </w:r>
      <w:r w:rsidR="00E84B0E">
        <w:t>’</w:t>
      </w:r>
      <w:r>
        <w:t xml:space="preserve">un objet à travers le temps sont eux-mêmes pertinents, il est aussi important de pouvoir recenser ces différentes localisations tant de manière spatiale que temporelle. Pour ce faire, le </w:t>
      </w:r>
      <w:r w:rsidR="00C8288F">
        <w:t>CIDOC CRM</w:t>
      </w:r>
      <w:r>
        <w:t xml:space="preserve"> propose deux mécanismes de haut niveau permettant de tracer la relation des objets aux lieux.</w:t>
      </w:r>
    </w:p>
    <w:p w14:paraId="0ACB67B0" w14:textId="408ED5AE" w:rsidR="00065317" w:rsidRDefault="005C7BF7">
      <w:pPr>
        <w:pStyle w:val="Corpsdetexte"/>
      </w:pPr>
      <w:r>
        <w:t>Dans l</w:t>
      </w:r>
      <w:r w:rsidR="00E84B0E">
        <w:t>’</w:t>
      </w:r>
      <w:r>
        <w:t>éventualité où l</w:t>
      </w:r>
      <w:r w:rsidR="00E84B0E">
        <w:t>’</w:t>
      </w:r>
      <w:r>
        <w:t>aspect temporel n</w:t>
      </w:r>
      <w:r w:rsidR="00E84B0E">
        <w:t>’</w:t>
      </w:r>
      <w:r>
        <w:t>est pas d</w:t>
      </w:r>
      <w:r w:rsidR="00E84B0E">
        <w:t>’</w:t>
      </w:r>
      <w:r>
        <w:t xml:space="preserve">intérêt ou est inconnu, un objet peut être lié à un lieu grâce aux propriétés </w:t>
      </w:r>
      <w:r>
        <w:rPr>
          <w:rStyle w:val="VerbatimChar"/>
        </w:rPr>
        <w:t>P53_a_pour_localisation_actuelle_ou_antérieure (est_la_localisation_actuelle_ou_antérieure_de)</w:t>
      </w:r>
      <w:r>
        <w:t xml:space="preserve"> et </w:t>
      </w:r>
      <w:r>
        <w:rPr>
          <w:rStyle w:val="VerbatimChar"/>
        </w:rPr>
        <w:t>P55_a_actuellement_pour_localisation (est_actuellement_la_localisation_de)</w:t>
      </w:r>
      <w:r>
        <w:t>. La première est appropriée pour documenter la relation d</w:t>
      </w:r>
      <w:r w:rsidR="00E84B0E">
        <w:t>’</w:t>
      </w:r>
      <w:r>
        <w:t>un objet à un lieu lorsque les éléments temporels sont inconnus. La seconde est appropriée lorsque la localisation actuelle est activement suivie.</w:t>
      </w:r>
    </w:p>
    <w:p w14:paraId="38559292" w14:textId="42DB9F03" w:rsidR="00065317" w:rsidRDefault="005C7BF7">
      <w:pPr>
        <w:pStyle w:val="Corpsdetexte"/>
      </w:pPr>
      <w:r>
        <w:t>Lorsqu</w:t>
      </w:r>
      <w:r w:rsidR="00E84B0E">
        <w:t>’</w:t>
      </w:r>
      <w:r>
        <w:t>un historique précis des aspects temporels de la localisation est disponible, il est préférable d</w:t>
      </w:r>
      <w:r w:rsidR="00E84B0E">
        <w:t>’</w:t>
      </w:r>
      <w:r>
        <w:t xml:space="preserve">utiliser la classe temporelle </w:t>
      </w:r>
      <w:r>
        <w:rPr>
          <w:rStyle w:val="VerbatimChar"/>
        </w:rPr>
        <w:t>E9_Déplacement</w:t>
      </w:r>
      <w:r>
        <w:t xml:space="preserve"> dont l</w:t>
      </w:r>
      <w:r w:rsidR="00E84B0E">
        <w:t>’</w:t>
      </w:r>
      <w:r>
        <w:t>instanciation permet de documenter l</w:t>
      </w:r>
      <w:r w:rsidR="00E84B0E">
        <w:t>’</w:t>
      </w:r>
      <w:r>
        <w:t>origine, la destination, et l</w:t>
      </w:r>
      <w:r w:rsidR="00E84B0E">
        <w:t>’</w:t>
      </w:r>
      <w:r>
        <w:t>objet d</w:t>
      </w:r>
      <w:r w:rsidR="00E84B0E">
        <w:t>’</w:t>
      </w:r>
      <w:r>
        <w:t xml:space="preserve">un évènement de déplacement de concert avec les propriétés </w:t>
      </w:r>
      <w:r>
        <w:rPr>
          <w:rStyle w:val="VerbatimChar"/>
        </w:rPr>
        <w:t>P25_a_déplacé (a_été_déplacé_par)</w:t>
      </w:r>
      <w:r>
        <w:t xml:space="preserve">, </w:t>
      </w:r>
      <w:r>
        <w:rPr>
          <w:rStyle w:val="VerbatimChar"/>
        </w:rPr>
        <w:t>P26_a_déplacé_vers (a_été_la_destination_de)</w:t>
      </w:r>
      <w:r>
        <w:t xml:space="preserve"> et </w:t>
      </w:r>
      <w:r>
        <w:rPr>
          <w:rStyle w:val="VerbatimChar"/>
        </w:rPr>
        <w:t>P27_a_déplacé_depuis (a_été_le_point_de_départ_de)</w:t>
      </w:r>
      <w:r>
        <w:t>. Puisque c</w:t>
      </w:r>
      <w:r w:rsidR="00E84B0E">
        <w:t>’</w:t>
      </w:r>
      <w:r>
        <w:t xml:space="preserve">est une classe temporelle, </w:t>
      </w:r>
      <w:r>
        <w:rPr>
          <w:rStyle w:val="VerbatimChar"/>
        </w:rPr>
        <w:t>E9_Déplacement</w:t>
      </w:r>
      <w:r>
        <w:t xml:space="preserve"> permet aussi de tracer la temporalité, l</w:t>
      </w:r>
      <w:r w:rsidR="00E84B0E">
        <w:t>’</w:t>
      </w:r>
      <w:r>
        <w:t>agentivité [</w:t>
      </w:r>
      <w:r w:rsidR="00AF51A3">
        <w:t xml:space="preserve">n.d.t. </w:t>
      </w:r>
      <w:r>
        <w:t>d</w:t>
      </w:r>
      <w:r w:rsidR="00E84B0E">
        <w:t>’</w:t>
      </w:r>
      <w:r>
        <w:t>un actant], etc.</w:t>
      </w:r>
    </w:p>
    <w:p w14:paraId="45E4B764" w14:textId="6BC95514" w:rsidR="00065317" w:rsidRDefault="005C7BF7">
      <w:pPr>
        <w:pStyle w:val="Corpsdetexte"/>
      </w:pPr>
      <w:r>
        <w:lastRenderedPageBreak/>
        <w:t>Il est important de prendre en considération que des choses peuvent être déplacées indirectement du fait de leur appartenance à d</w:t>
      </w:r>
      <w:r w:rsidR="00E84B0E">
        <w:t>’</w:t>
      </w:r>
      <w:r>
        <w:t>autres choses (c.-à-d. parce qu</w:t>
      </w:r>
      <w:r w:rsidR="00E84B0E">
        <w:t>’</w:t>
      </w:r>
      <w:r>
        <w:t>elles sont des parties d</w:t>
      </w:r>
      <w:r w:rsidR="00E84B0E">
        <w:t>’</w:t>
      </w:r>
      <w:r>
        <w:t>ensembles ou parce qu</w:t>
      </w:r>
      <w:r w:rsidR="00E84B0E">
        <w:t>’</w:t>
      </w:r>
      <w:r>
        <w:t>elles sont contenues par une autre chose).</w:t>
      </w:r>
    </w:p>
    <w:p w14:paraId="725C54B0" w14:textId="099B5D32" w:rsidR="00065317" w:rsidRDefault="005C7BF7">
      <w:pPr>
        <w:pStyle w:val="Corpsdetexte"/>
      </w:pPr>
      <w:r>
        <w:t>L</w:t>
      </w:r>
      <w:r w:rsidR="00E84B0E">
        <w:t>’</w:t>
      </w:r>
      <w:r>
        <w:t>historique des localisations d</w:t>
      </w:r>
      <w:r w:rsidR="00E84B0E">
        <w:t>’</w:t>
      </w:r>
      <w:r>
        <w:t>actants :</w:t>
      </w:r>
    </w:p>
    <w:p w14:paraId="5B29CA37" w14:textId="4A7B446C" w:rsidR="00065317" w:rsidRDefault="005C7BF7">
      <w:pPr>
        <w:pStyle w:val="Corpsdetexte"/>
      </w:pPr>
      <w:r>
        <w:t>L</w:t>
      </w:r>
      <w:r w:rsidR="00E84B0E">
        <w:t>’</w:t>
      </w:r>
      <w:r>
        <w:t>historique des localisations d</w:t>
      </w:r>
      <w:r w:rsidR="00E84B0E">
        <w:t>’</w:t>
      </w:r>
      <w:r>
        <w:t>actants est comparable à l</w:t>
      </w:r>
      <w:r w:rsidR="00E84B0E">
        <w:t>’</w:t>
      </w:r>
      <w:r>
        <w:t>historique des localisations d</w:t>
      </w:r>
      <w:r w:rsidR="00E84B0E">
        <w:t>’</w:t>
      </w:r>
      <w:r>
        <w:t xml:space="preserve">objets physiques à la différence que dans le </w:t>
      </w:r>
      <w:r w:rsidR="00C8288F">
        <w:t>CIDOC CRM</w:t>
      </w:r>
      <w:r>
        <w:t xml:space="preserve"> l</w:t>
      </w:r>
      <w:r w:rsidR="00E84B0E">
        <w:t>’</w:t>
      </w:r>
      <w:r>
        <w:t>actant est défini comme étant une entité dotée d</w:t>
      </w:r>
      <w:r w:rsidR="00E84B0E">
        <w:t>’</w:t>
      </w:r>
      <w:r>
        <w:t>agentivité (contrairement à d</w:t>
      </w:r>
      <w:r w:rsidR="00E84B0E">
        <w:t>’</w:t>
      </w:r>
      <w:r>
        <w:t>autres entités physiques ou objets). L</w:t>
      </w:r>
      <w:r w:rsidR="00E84B0E">
        <w:t>’</w:t>
      </w:r>
      <w:r>
        <w:t>essence de l</w:t>
      </w:r>
      <w:r w:rsidR="00E84B0E">
        <w:t>’</w:t>
      </w:r>
      <w:r>
        <w:t>actant n</w:t>
      </w:r>
      <w:r w:rsidR="00E84B0E">
        <w:t>’</w:t>
      </w:r>
      <w:r>
        <w:t>étant pas physique, celui-ci ne peut pas être le sujet d</w:t>
      </w:r>
      <w:r w:rsidR="00E84B0E">
        <w:t>’</w:t>
      </w:r>
      <w:r>
        <w:t xml:space="preserve">instances de </w:t>
      </w:r>
      <w:r>
        <w:rPr>
          <w:rStyle w:val="VerbatimChar"/>
        </w:rPr>
        <w:t>E9_Déplacement</w:t>
      </w:r>
      <w:r>
        <w:t xml:space="preserve"> afin de documenter ses relocalisations. Le </w:t>
      </w:r>
      <w:r w:rsidR="00C8288F">
        <w:t>CIDOC CRM</w:t>
      </w:r>
      <w:r>
        <w:t xml:space="preserve"> offre donc la notion de résidence (</w:t>
      </w:r>
      <w:r>
        <w:rPr>
          <w:rStyle w:val="VerbatimChar"/>
        </w:rPr>
        <w:t>P74_a_pour_résidence_actuelle_ou_antérieure (est_la_résidence_actuelle_ou_antérieure_de)</w:t>
      </w:r>
      <w:r>
        <w:t>) afin de documenter la relation d</w:t>
      </w:r>
      <w:r w:rsidR="00E84B0E">
        <w:t>’</w:t>
      </w:r>
      <w:r>
        <w:t>une personne ou d</w:t>
      </w:r>
      <w:r w:rsidR="00E84B0E">
        <w:t>’</w:t>
      </w:r>
      <w:r>
        <w:t>un groupe à une localisation le temps d</w:t>
      </w:r>
      <w:r w:rsidR="00E84B0E">
        <w:t>’</w:t>
      </w:r>
      <w:r>
        <w:t>une résidence dans un lieu.</w:t>
      </w:r>
    </w:p>
    <w:p w14:paraId="6D3F7792" w14:textId="77777777" w:rsidR="00065317" w:rsidRDefault="005C7BF7">
      <w:pPr>
        <w:pStyle w:val="Corpsdetexte"/>
      </w:pPr>
      <w:r>
        <w:t>Les lieux situés sur des objets physiques :</w:t>
      </w:r>
    </w:p>
    <w:p w14:paraId="36DB02D7" w14:textId="7D3AFCF0" w:rsidR="00065317" w:rsidRDefault="005C7BF7">
      <w:pPr>
        <w:pStyle w:val="Corpsdetexte"/>
      </w:pPr>
      <w:r>
        <w:t>L</w:t>
      </w:r>
      <w:r w:rsidR="00E84B0E">
        <w:t>’</w:t>
      </w:r>
      <w:r>
        <w:t>enregistrement de données patrimoniales et scientifiques exige souvent le recensement de l</w:t>
      </w:r>
      <w:r w:rsidR="00E84B0E">
        <w:t>’</w:t>
      </w:r>
      <w:r>
        <w:t>emplacement précis d</w:t>
      </w:r>
      <w:r w:rsidR="00E84B0E">
        <w:t>’</w:t>
      </w:r>
      <w:r>
        <w:t>un objet, d</w:t>
      </w:r>
      <w:r w:rsidR="00E84B0E">
        <w:t>’</w:t>
      </w:r>
      <w:r>
        <w:t>une caractéristique, d</w:t>
      </w:r>
      <w:r w:rsidR="00E84B0E">
        <w:t>’</w:t>
      </w:r>
      <w:r>
        <w:t>un phénomène ou de son observation (p. ex. dans le cas d</w:t>
      </w:r>
      <w:r w:rsidR="00E84B0E">
        <w:t>’</w:t>
      </w:r>
      <w:r>
        <w:t xml:space="preserve">objets mobiles comme des bateaux). La propriété </w:t>
      </w:r>
      <w:r>
        <w:rPr>
          <w:rStyle w:val="VerbatimChar"/>
        </w:rPr>
        <w:t>P59_a_pour_section (se_situe_sur_ou_dans)</w:t>
      </w:r>
      <w:r>
        <w:t xml:space="preserve"> peut être utilisée dans ce contexte afin de lier l</w:t>
      </w:r>
      <w:r w:rsidR="00E84B0E">
        <w:t>’</w:t>
      </w:r>
      <w:r>
        <w:t>objet aux lieux qui sont définis sur ou dans celui-ci.</w:t>
      </w:r>
    </w:p>
    <w:p w14:paraId="0B08D40A" w14:textId="2AD79742" w:rsidR="00065317" w:rsidRDefault="005C7BF7">
      <w:pPr>
        <w:pStyle w:val="Corpsdetexte"/>
      </w:pPr>
      <w:r>
        <w:t>Par défaut, c</w:t>
      </w:r>
      <w:r w:rsidR="00E84B0E">
        <w:t>’</w:t>
      </w:r>
      <w:r>
        <w:t>est la planète Terre qui est désignée comme objet physique sur lequel les lieux sont interreliés. Des relations plus précises grâce à des références aux plaques tectoniques peuvent cependant être nécessaires dans le cadre d</w:t>
      </w:r>
      <w:r w:rsidR="00E84B0E">
        <w:t>’</w:t>
      </w:r>
      <w:r>
        <w:t>analyses géologiques.</w:t>
      </w:r>
    </w:p>
    <w:p w14:paraId="6CBB469E" w14:textId="4512EB94" w:rsidR="00065317" w:rsidRDefault="005C7BF7">
      <w:pPr>
        <w:pStyle w:val="Corpsdetexte"/>
      </w:pPr>
      <w:r>
        <w:t>Les étendues spatiales d</w:t>
      </w:r>
      <w:r w:rsidR="00E84B0E">
        <w:t>’</w:t>
      </w:r>
      <w:r>
        <w:t>entités temporelles :</w:t>
      </w:r>
    </w:p>
    <w:p w14:paraId="67910412" w14:textId="7A4AA674" w:rsidR="00065317" w:rsidRDefault="005C7BF7">
      <w:pPr>
        <w:pStyle w:val="Corpsdetexte"/>
      </w:pPr>
      <w:r>
        <w:t xml:space="preserve">Le </w:t>
      </w:r>
      <w:r w:rsidR="00C8288F">
        <w:t>CIDOC CRM</w:t>
      </w:r>
      <w:r>
        <w:t xml:space="preserve"> offre deux propriétés permettant de définir spatialement l</w:t>
      </w:r>
      <w:r w:rsidR="00E84B0E">
        <w:t>’</w:t>
      </w:r>
      <w:r>
        <w:t>étendue temporelle de phénomènes (celles-ci s</w:t>
      </w:r>
      <w:r w:rsidR="00E84B0E">
        <w:t>’</w:t>
      </w:r>
      <w:r>
        <w:t>appliquent à toutes les instances d</w:t>
      </w:r>
      <w:r w:rsidR="00E84B0E">
        <w:t>’</w:t>
      </w:r>
      <w:r>
        <w:t xml:space="preserve">entités temporelles relevant de la classe </w:t>
      </w:r>
      <w:r>
        <w:rPr>
          <w:rStyle w:val="VerbatimChar"/>
        </w:rPr>
        <w:t>E4_Période</w:t>
      </w:r>
      <w:r>
        <w:t>) :</w:t>
      </w:r>
    </w:p>
    <w:p w14:paraId="41561D4D" w14:textId="0D1B6548" w:rsidR="00065317" w:rsidRDefault="005C7BF7">
      <w:pPr>
        <w:numPr>
          <w:ilvl w:val="0"/>
          <w:numId w:val="38"/>
        </w:numPr>
      </w:pPr>
      <w:r>
        <w:rPr>
          <w:rStyle w:val="VerbatimChar"/>
        </w:rPr>
        <w:t>P7_a_eu_lieu_dans (a_été_témoin_de)</w:t>
      </w:r>
      <w:r>
        <w:t xml:space="preserve"> permet de relier directement un phénomène temporel à des instances de </w:t>
      </w:r>
      <w:r>
        <w:rPr>
          <w:rStyle w:val="VerbatimChar"/>
        </w:rPr>
        <w:t>E53_Lieu</w:t>
      </w:r>
      <w:r>
        <w:t>, fournissant de ce fait le contexte géométrique dans lequel le phénomène a pris place</w:t>
      </w:r>
      <w:r w:rsidR="00CA5429">
        <w:t>.</w:t>
      </w:r>
    </w:p>
    <w:p w14:paraId="1FAEE8FE" w14:textId="688CB1F0" w:rsidR="00065317" w:rsidRDefault="005C7BF7">
      <w:pPr>
        <w:numPr>
          <w:ilvl w:val="0"/>
          <w:numId w:val="38"/>
        </w:numPr>
      </w:pPr>
      <w:r>
        <w:rPr>
          <w:rStyle w:val="VerbatimChar"/>
        </w:rPr>
        <w:t>P8_a_eu_lieu_à (a_été_témoin_de)</w:t>
      </w:r>
      <w:r>
        <w:t xml:space="preserve"> permet la documentation d</w:t>
      </w:r>
      <w:r w:rsidR="00E84B0E">
        <w:t>’</w:t>
      </w:r>
      <w:r>
        <w:t>un phénomène temporel par rapport à un objet physique, ce qui est utile pour l</w:t>
      </w:r>
      <w:r w:rsidR="00E84B0E">
        <w:t>’</w:t>
      </w:r>
      <w:r>
        <w:t>enregistrement d</w:t>
      </w:r>
      <w:r w:rsidR="00E84B0E">
        <w:t>’</w:t>
      </w:r>
      <w:r>
        <w:t>information où la localisation géométrique n</w:t>
      </w:r>
      <w:r w:rsidR="00E84B0E">
        <w:t>’</w:t>
      </w:r>
      <w:r>
        <w:t>est pas directement pertinente ou est inconnue (p. ex. l</w:t>
      </w:r>
      <w:r w:rsidR="00E84B0E">
        <w:t>’</w:t>
      </w:r>
      <w:r>
        <w:t>occurrence d</w:t>
      </w:r>
      <w:r w:rsidR="00E84B0E">
        <w:t>’</w:t>
      </w:r>
      <w:r>
        <w:t>un évènement sur un bateau en déplacement ou dans l</w:t>
      </w:r>
      <w:r w:rsidR="00E84B0E">
        <w:t>’</w:t>
      </w:r>
      <w:r>
        <w:t>enceinte d</w:t>
      </w:r>
      <w:r w:rsidR="00E84B0E">
        <w:t>’</w:t>
      </w:r>
      <w:r>
        <w:t>un conteneur d</w:t>
      </w:r>
      <w:r w:rsidR="00E84B0E">
        <w:t>’</w:t>
      </w:r>
      <w:r>
        <w:t>entreposage particulier).</w:t>
      </w:r>
    </w:p>
    <w:p w14:paraId="142D1FD5" w14:textId="77777777" w:rsidR="00065317" w:rsidRDefault="005C7BF7">
      <w:pPr>
        <w:pStyle w:val="Normalcentr"/>
      </w:pPr>
      <w:r>
        <w:rPr>
          <w:b/>
          <w:bCs/>
          <w:i/>
          <w:iCs/>
        </w:rPr>
        <w:t>Note de traduction</w:t>
      </w:r>
    </w:p>
    <w:p w14:paraId="64D66152" w14:textId="6F093F57" w:rsidR="00065317" w:rsidRDefault="005C7BF7" w:rsidP="00D746C9">
      <w:pPr>
        <w:pStyle w:val="Normalcentr"/>
      </w:pPr>
      <w:r>
        <w:rPr>
          <w:b/>
          <w:bCs/>
          <w:i/>
          <w:iCs/>
        </w:rPr>
        <w:t>Références</w:t>
      </w:r>
    </w:p>
    <w:p w14:paraId="029043C6" w14:textId="77777777" w:rsidR="0050375F" w:rsidRDefault="0050375F">
      <w:pPr>
        <w:spacing w:after="0"/>
        <w:rPr>
          <w:rFonts w:eastAsiaTheme="majorEastAsia" w:cstheme="majorBidi"/>
          <w:b/>
          <w:i/>
          <w:color w:val="000000"/>
        </w:rPr>
      </w:pPr>
      <w:bookmarkStart w:id="82" w:name="des-relations-temporelles"/>
      <w:bookmarkEnd w:id="81"/>
      <w:r>
        <w:br w:type="page"/>
      </w:r>
    </w:p>
    <w:p w14:paraId="0F606CB2" w14:textId="49EC1FE4" w:rsidR="00065317" w:rsidRDefault="005C7BF7" w:rsidP="00CA5429">
      <w:pPr>
        <w:pStyle w:val="Titre4"/>
      </w:pPr>
      <w:bookmarkStart w:id="83" w:name="_Toc154048726"/>
      <w:r>
        <w:lastRenderedPageBreak/>
        <w:t>Des relations temporelles</w:t>
      </w:r>
      <w:bookmarkEnd w:id="83"/>
    </w:p>
    <w:p w14:paraId="01369D58" w14:textId="70F70771" w:rsidR="00065317" w:rsidRDefault="005C7BF7">
      <w:pPr>
        <w:pStyle w:val="FirstParagraph"/>
      </w:pPr>
      <w:r>
        <w:t>Le discours historique et scientifique au sujet du passé concerne plusieurs niveaux de savoirs concernant des évènements et leur ordonnancement temporel tel qu</w:t>
      </w:r>
      <w:r w:rsidR="00E84B0E">
        <w:t>’</w:t>
      </w:r>
      <w:r>
        <w:t>il s</w:t>
      </w:r>
      <w:r w:rsidR="00E84B0E">
        <w:t>’</w:t>
      </w:r>
      <w:r>
        <w:t>inscrit dans une chronologie. Cette chronologie est fondamentale à la compréhension de l</w:t>
      </w:r>
      <w:r w:rsidR="00E84B0E">
        <w:t>’</w:t>
      </w:r>
      <w:r>
        <w:t>histoire sociale et naturelle ainsi qu</w:t>
      </w:r>
      <w:r w:rsidR="00E84B0E">
        <w:t>’</w:t>
      </w:r>
      <w:r>
        <w:t>à l</w:t>
      </w:r>
      <w:r w:rsidR="00E84B0E">
        <w:t>’</w:t>
      </w:r>
      <w:r>
        <w:t>établissement de raisonnement logique au sujet des relations temporelles et de la causalité qui y sont directement rattachées. Une grande quantité d</w:t>
      </w:r>
      <w:r w:rsidR="00E84B0E">
        <w:t>’</w:t>
      </w:r>
      <w:r>
        <w:t>observations physiques permet des inférences temporelles et vice versa. Il est important de pouvoir documenter la temporalité en ce qui a trait aux dates connues ainsi qu</w:t>
      </w:r>
      <w:r w:rsidR="00E84B0E">
        <w:t>’</w:t>
      </w:r>
      <w:r>
        <w:t xml:space="preserve">en termes de positionnement relatif dans une ligne du temps historique. Les propriétés de haut niveau du </w:t>
      </w:r>
      <w:r w:rsidR="00C8288F">
        <w:t>CIDOC CRM</w:t>
      </w:r>
      <w:r>
        <w:t xml:space="preserve"> qui sont liées à des entités temporelles supportent la documentation de :</w:t>
      </w:r>
    </w:p>
    <w:p w14:paraId="273EE0AF" w14:textId="4F97B152" w:rsidR="00065317" w:rsidRDefault="00CA5429">
      <w:pPr>
        <w:numPr>
          <w:ilvl w:val="0"/>
          <w:numId w:val="39"/>
        </w:numPr>
      </w:pPr>
      <w:r>
        <w:t>d</w:t>
      </w:r>
      <w:r w:rsidR="005C7BF7">
        <w:t>ates en tant qu</w:t>
      </w:r>
      <w:r w:rsidR="00E84B0E">
        <w:t>’</w:t>
      </w:r>
      <w:r w:rsidR="005C7BF7">
        <w:t>intervalles temporels ou que dimensions temporelles;</w:t>
      </w:r>
    </w:p>
    <w:p w14:paraId="323E5764" w14:textId="3922FA75" w:rsidR="00065317" w:rsidRDefault="00CA5429">
      <w:pPr>
        <w:numPr>
          <w:ilvl w:val="0"/>
          <w:numId w:val="39"/>
        </w:numPr>
      </w:pPr>
      <w:r>
        <w:t>r</w:t>
      </w:r>
      <w:r w:rsidR="005C7BF7">
        <w:t>elations méréologiques entre des entités temporelles;</w:t>
      </w:r>
    </w:p>
    <w:p w14:paraId="1CAB770D" w14:textId="2BB81127" w:rsidR="00065317" w:rsidRDefault="00CA5429">
      <w:pPr>
        <w:numPr>
          <w:ilvl w:val="0"/>
          <w:numId w:val="39"/>
        </w:numPr>
      </w:pPr>
      <w:r>
        <w:t>r</w:t>
      </w:r>
      <w:r w:rsidR="005C7BF7">
        <w:t>elations topologiques formant une suite complète.</w:t>
      </w:r>
    </w:p>
    <w:p w14:paraId="7902F623" w14:textId="77777777" w:rsidR="00065317" w:rsidRDefault="005C7BF7">
      <w:pPr>
        <w:pStyle w:val="FirstParagraph"/>
      </w:pPr>
      <w:r>
        <w:t>Les dates et les durées :</w:t>
      </w:r>
    </w:p>
    <w:p w14:paraId="01A99F0F" w14:textId="2EC19958" w:rsidR="00065317" w:rsidRDefault="005C7BF7">
      <w:pPr>
        <w:pStyle w:val="Corpsdetexte"/>
      </w:pPr>
      <w:r>
        <w:t xml:space="preserve">Lorsque des dates absolues limitant une entité temporelle sont connues, une instanciation de la propriété </w:t>
      </w:r>
      <w:r>
        <w:rPr>
          <w:rStyle w:val="VerbatimChar"/>
        </w:rPr>
        <w:t>P4_a_pour_intervalle_temporel (est_l</w:t>
      </w:r>
      <w:r w:rsidR="00E84B0E">
        <w:rPr>
          <w:rStyle w:val="VerbatimChar"/>
        </w:rPr>
        <w:t>’</w:t>
      </w:r>
      <w:r>
        <w:rPr>
          <w:rStyle w:val="VerbatimChar"/>
        </w:rPr>
        <w:t>intervalle_temporel_de)</w:t>
      </w:r>
      <w:r>
        <w:t xml:space="preserve"> et la création d</w:t>
      </w:r>
      <w:r w:rsidR="00E84B0E">
        <w:t>’</w:t>
      </w:r>
      <w:r>
        <w:t xml:space="preserve">une instance de </w:t>
      </w:r>
      <w:r>
        <w:rPr>
          <w:rStyle w:val="VerbatimChar"/>
        </w:rPr>
        <w:t>E52_Intervalle_temporel</w:t>
      </w:r>
      <w:r>
        <w:t xml:space="preserve"> sont recommandées. Ces dates devraient aussi être enregistrées comme instances de </w:t>
      </w:r>
      <w:r>
        <w:rPr>
          <w:rStyle w:val="VerbatimChar"/>
        </w:rPr>
        <w:t>E61_Primitive_temporelle</w:t>
      </w:r>
      <w:r>
        <w:t xml:space="preserve"> et reliées à l</w:t>
      </w:r>
      <w:r w:rsidR="00E84B0E">
        <w:t>’</w:t>
      </w:r>
      <w:r>
        <w:t xml:space="preserve">intervalle temporel par les propriétés </w:t>
      </w:r>
      <w:r>
        <w:rPr>
          <w:rStyle w:val="VerbatimChar"/>
        </w:rPr>
        <w:t>P81_a_couvert</w:t>
      </w:r>
      <w:r>
        <w:t xml:space="preserve"> et </w:t>
      </w:r>
      <w:r>
        <w:rPr>
          <w:rStyle w:val="VerbatimChar"/>
        </w:rPr>
        <w:t>P82_a_eu_lieu_durant</w:t>
      </w:r>
      <w:r>
        <w:t xml:space="preserve">. Puisque dans le </w:t>
      </w:r>
      <w:r w:rsidR="00C8288F">
        <w:t>CIDOC CRM</w:t>
      </w:r>
      <w:r>
        <w:t xml:space="preserve"> le temps est enregistré à travers des intervalles (plutôt qu</w:t>
      </w:r>
      <w:r w:rsidR="00E84B0E">
        <w:t>’</w:t>
      </w:r>
      <w:r>
        <w:t xml:space="preserve">à travers des instants), le choix de la propriété </w:t>
      </w:r>
      <w:r>
        <w:rPr>
          <w:rStyle w:val="VerbatimChar"/>
        </w:rPr>
        <w:t>P81_a_couvert</w:t>
      </w:r>
      <w:r>
        <w:t xml:space="preserve"> permet de documenter le fait qu</w:t>
      </w:r>
      <w:r w:rsidR="00E84B0E">
        <w:t>’</w:t>
      </w:r>
      <w:r>
        <w:t>un phénomène temporel avait lieu à tout le moins durant tous les instants d</w:t>
      </w:r>
      <w:r w:rsidR="00E84B0E">
        <w:t>’</w:t>
      </w:r>
      <w:r>
        <w:t xml:space="preserve">un intervalle temporel connu. La propriété </w:t>
      </w:r>
      <w:r>
        <w:rPr>
          <w:rStyle w:val="VerbatimChar"/>
        </w:rPr>
        <w:t>P82_a_eu_lieu_durant</w:t>
      </w:r>
      <w:r>
        <w:t xml:space="preserve"> permet d</w:t>
      </w:r>
      <w:r w:rsidR="00E84B0E">
        <w:t>’</w:t>
      </w:r>
      <w:r>
        <w:t>affirmer moins précisément qu</w:t>
      </w:r>
      <w:r w:rsidR="00E84B0E">
        <w:t>’</w:t>
      </w:r>
      <w:r>
        <w:t>un phénomène s</w:t>
      </w:r>
      <w:r w:rsidR="00E84B0E">
        <w:t>’</w:t>
      </w:r>
      <w:r>
        <w:t>est produit à l</w:t>
      </w:r>
      <w:r w:rsidR="00E84B0E">
        <w:t>’</w:t>
      </w:r>
      <w:r>
        <w:t>intérieur d</w:t>
      </w:r>
      <w:r w:rsidR="00E84B0E">
        <w:t>’</w:t>
      </w:r>
      <w:r>
        <w:t>un intervalle temporel particulier sans pour autant indiquer précisément à quel moment. Cette dernière approche est la plus utilisée dans le cas de dates historiques où une année peut être indiquée bien que la durée de l</w:t>
      </w:r>
      <w:r w:rsidR="00E84B0E">
        <w:t>’</w:t>
      </w:r>
      <w:r>
        <w:t>évènement ait certainement été moindre. Le mode d</w:t>
      </w:r>
      <w:r w:rsidR="00E84B0E">
        <w:t>’</w:t>
      </w:r>
      <w:r>
        <w:t xml:space="preserve">encodage des dates lors du processus de documentation ne relève pas du </w:t>
      </w:r>
      <w:r w:rsidR="00C8288F">
        <w:t>CIDOC CRM</w:t>
      </w:r>
      <w:r>
        <w:t xml:space="preserve"> qui le définit par le biais d</w:t>
      </w:r>
      <w:r w:rsidR="00E84B0E">
        <w:t>’</w:t>
      </w:r>
      <w:r>
        <w:t>une classe primitive (</w:t>
      </w:r>
      <w:r>
        <w:rPr>
          <w:rStyle w:val="VerbatimChar"/>
        </w:rPr>
        <w:t>E61_Primitive_temporelle</w:t>
      </w:r>
      <w:r>
        <w:t xml:space="preserve">). Finalement, la propriété </w:t>
      </w:r>
      <w:r>
        <w:rPr>
          <w:rStyle w:val="VerbatimChar"/>
        </w:rPr>
        <w:t>P191_a_eu_pour_durée (était_la_durée_de)</w:t>
      </w:r>
      <w:r>
        <w:t xml:space="preserve"> peut être déployée afin de documenter un phénomène temporel dont la durée est déterminée sans que son positionnement temporel ne soit pour autant connu. Par exemple, la documentation d</w:t>
      </w:r>
      <w:r w:rsidR="00E84B0E">
        <w:t>’</w:t>
      </w:r>
      <w:r>
        <w:t>une naissance pourrait indiquer que l</w:t>
      </w:r>
      <w:r w:rsidR="00E84B0E">
        <w:t>’</w:t>
      </w:r>
      <w:r>
        <w:t>accouchement a duré 3 heures et a eu lieu une année précise.</w:t>
      </w:r>
    </w:p>
    <w:p w14:paraId="6347A165" w14:textId="2FF27C79" w:rsidR="00065317" w:rsidRDefault="005C7BF7">
      <w:pPr>
        <w:pStyle w:val="Corpsdetexte"/>
      </w:pPr>
      <w:r>
        <w:t>Pour documenter des intervalles temporels précis qui résultent de déclarations plutôt que d</w:t>
      </w:r>
      <w:r w:rsidR="00E84B0E">
        <w:t>’</w:t>
      </w:r>
      <w:r>
        <w:t>observations, l</w:t>
      </w:r>
      <w:r w:rsidR="00E84B0E">
        <w:t>’</w:t>
      </w:r>
      <w:r>
        <w:t xml:space="preserve">usage de la propriété </w:t>
      </w:r>
      <w:r>
        <w:rPr>
          <w:rStyle w:val="VerbatimChar"/>
        </w:rPr>
        <w:t>P170_définit_le_temps (temps_défini_par)</w:t>
      </w:r>
      <w:r>
        <w:t xml:space="preserve"> est recommandé. Cela serait par exemple pertinent pour représenter un intervalle temporel dans lequel de multiples évènements s</w:t>
      </w:r>
      <w:r w:rsidR="00E84B0E">
        <w:t>’</w:t>
      </w:r>
      <w:r>
        <w:t>inscrivent car cette propriété permet de spécifier un intervalle temporel uniquement à l</w:t>
      </w:r>
      <w:r w:rsidR="00E84B0E">
        <w:t>’</w:t>
      </w:r>
      <w:r>
        <w:t>aide d</w:t>
      </w:r>
      <w:r w:rsidR="00E84B0E">
        <w:t>’</w:t>
      </w:r>
      <w:r>
        <w:t>une primitive temporelle plutôt que par l</w:t>
      </w:r>
      <w:r w:rsidR="00E84B0E">
        <w:t>’</w:t>
      </w:r>
      <w:r>
        <w:t xml:space="preserve">usage plus alambiqué de </w:t>
      </w:r>
      <w:r>
        <w:rPr>
          <w:rStyle w:val="VerbatimChar"/>
        </w:rPr>
        <w:t>P81_a_couvert</w:t>
      </w:r>
      <w:r>
        <w:t xml:space="preserve"> et </w:t>
      </w:r>
      <w:r>
        <w:rPr>
          <w:rStyle w:val="VerbatimChar"/>
        </w:rPr>
        <w:t>P82_a_eu_lieu_durant</w:t>
      </w:r>
      <w:r>
        <w:t xml:space="preserve"> faisant usage d</w:t>
      </w:r>
      <w:r w:rsidR="00E84B0E">
        <w:t>’</w:t>
      </w:r>
      <w:r>
        <w:t>une primitive temporelle identique.</w:t>
      </w:r>
    </w:p>
    <w:p w14:paraId="4E077A35" w14:textId="77777777" w:rsidR="00065317" w:rsidRDefault="005C7BF7" w:rsidP="0050375F">
      <w:pPr>
        <w:pStyle w:val="Corpsdetexte"/>
        <w:spacing w:before="0" w:after="0"/>
      </w:pPr>
      <w:r>
        <w:rPr>
          <w:noProof/>
        </w:rPr>
        <w:lastRenderedPageBreak/>
        <w:drawing>
          <wp:inline distT="0" distB="0" distL="0" distR="0" wp14:anchorId="3F2C767C" wp14:editId="64C2F5BE">
            <wp:extent cx="6858000" cy="3910826"/>
            <wp:effectExtent l="0" t="0" r="3810" b="6350"/>
            <wp:docPr id="124" name="Picture" descr="Un diagramme illustre les classes et les propriétés fondamentales servant au raisonnement logique au sujet d'information temporelle. Les classes sont identifiées par des rectangles. Les propriétés sont identifiées par des flèches reliant les classes entre elles. Les liens entre ces classes et propriétés sont décrites dans le texte ci-dessous."/>
            <wp:cNvGraphicFramePr/>
            <a:graphic xmlns:a="http://schemas.openxmlformats.org/drawingml/2006/main">
              <a:graphicData uri="http://schemas.openxmlformats.org/drawingml/2006/picture">
                <pic:pic xmlns:pic="http://schemas.openxmlformats.org/drawingml/2006/picture">
                  <pic:nvPicPr>
                    <pic:cNvPr id="125" name="Picture" descr="../../drawio/PNG/FR/Fig_5_FR.png"/>
                    <pic:cNvPicPr>
                      <a:picLocks noChangeAspect="1" noChangeArrowheads="1"/>
                    </pic:cNvPicPr>
                  </pic:nvPicPr>
                  <pic:blipFill>
                    <a:blip r:embed="rId138"/>
                    <a:stretch>
                      <a:fillRect/>
                    </a:stretch>
                  </pic:blipFill>
                  <pic:spPr bwMode="auto">
                    <a:xfrm>
                      <a:off x="0" y="0"/>
                      <a:ext cx="6858000" cy="3910826"/>
                    </a:xfrm>
                    <a:prstGeom prst="rect">
                      <a:avLst/>
                    </a:prstGeom>
                    <a:noFill/>
                    <a:ln w="9525">
                      <a:noFill/>
                      <a:headEnd/>
                      <a:tailEnd/>
                    </a:ln>
                  </pic:spPr>
                </pic:pic>
              </a:graphicData>
            </a:graphic>
          </wp:inline>
        </w:drawing>
      </w:r>
    </w:p>
    <w:p w14:paraId="0FE81262" w14:textId="3C0B80E3" w:rsidR="00065317" w:rsidRPr="00D93D69" w:rsidRDefault="005C7BF7" w:rsidP="0050375F">
      <w:pPr>
        <w:pStyle w:val="Corpsdetexte"/>
        <w:spacing w:before="0" w:after="0"/>
        <w:rPr>
          <w:sz w:val="20"/>
          <w:szCs w:val="20"/>
        </w:rPr>
      </w:pPr>
      <w:r w:rsidRPr="00D93D69">
        <w:rPr>
          <w:i/>
          <w:iCs/>
          <w:sz w:val="20"/>
          <w:szCs w:val="20"/>
        </w:rPr>
        <w:t>Figure 5 : Propriétés et classes fondamentales pour le raisonnement logique au sujet d</w:t>
      </w:r>
      <w:r w:rsidR="00E84B0E">
        <w:rPr>
          <w:i/>
          <w:iCs/>
          <w:sz w:val="20"/>
          <w:szCs w:val="20"/>
        </w:rPr>
        <w:t>’</w:t>
      </w:r>
      <w:r w:rsidRPr="00D93D69">
        <w:rPr>
          <w:i/>
          <w:iCs/>
          <w:sz w:val="20"/>
          <w:szCs w:val="20"/>
        </w:rPr>
        <w:t>information temporelle</w:t>
      </w:r>
    </w:p>
    <w:p w14:paraId="5515E5E2" w14:textId="12C2E633" w:rsidR="00065317" w:rsidRPr="00D93D69" w:rsidRDefault="005C7BF7" w:rsidP="0050375F">
      <w:pPr>
        <w:pStyle w:val="Corpsdetexte"/>
        <w:spacing w:before="0" w:after="0"/>
        <w:rPr>
          <w:sz w:val="20"/>
          <w:szCs w:val="20"/>
        </w:rPr>
      </w:pPr>
      <w:r w:rsidRPr="00D93D69">
        <w:rPr>
          <w:i/>
          <w:iCs/>
          <w:sz w:val="20"/>
          <w:szCs w:val="20"/>
        </w:rPr>
        <w:t>Mentions de source des figures : Bibliothèques logicielles diagrams.net</w:t>
      </w:r>
      <w:r w:rsidRPr="00D93D69">
        <w:rPr>
          <w:sz w:val="20"/>
          <w:szCs w:val="20"/>
        </w:rPr>
        <w:t>, © Réseau canadien d</w:t>
      </w:r>
      <w:r w:rsidR="00E84B0E">
        <w:rPr>
          <w:sz w:val="20"/>
          <w:szCs w:val="20"/>
        </w:rPr>
        <w:t>’</w:t>
      </w:r>
      <w:r w:rsidRPr="00D93D69">
        <w:rPr>
          <w:sz w:val="20"/>
          <w:szCs w:val="20"/>
        </w:rPr>
        <w:t>information sur le patrimoine 2021</w:t>
      </w:r>
    </w:p>
    <w:p w14:paraId="4420F65A" w14:textId="77777777" w:rsidR="00065317" w:rsidRDefault="005C7BF7">
      <w:pPr>
        <w:pStyle w:val="Corpsdetexte"/>
      </w:pPr>
      <w:r>
        <w:t>Les relations méréologiques :</w:t>
      </w:r>
    </w:p>
    <w:p w14:paraId="3F97C013" w14:textId="18D6C070" w:rsidR="00065317" w:rsidRDefault="005C7BF7">
      <w:pPr>
        <w:pStyle w:val="Corpsdetexte"/>
      </w:pPr>
      <w:r>
        <w:t>La documentation d</w:t>
      </w:r>
      <w:r w:rsidR="00E84B0E">
        <w:t>’</w:t>
      </w:r>
      <w:r>
        <w:t xml:space="preserve">une relation partie-tout associée à un phénomène temporel est essentielle au raisonnement historique. Le </w:t>
      </w:r>
      <w:r w:rsidR="00C8288F">
        <w:t>CIDOC CRM</w:t>
      </w:r>
      <w:r>
        <w:t xml:space="preserve"> distingue deux spécialisations immédiates des entités temporelles :</w:t>
      </w:r>
    </w:p>
    <w:p w14:paraId="3BB06987" w14:textId="4F76CDB3" w:rsidR="00065317" w:rsidRDefault="005C7BF7">
      <w:pPr>
        <w:numPr>
          <w:ilvl w:val="0"/>
          <w:numId w:val="40"/>
        </w:numPr>
      </w:pPr>
      <w:r>
        <w:rPr>
          <w:rStyle w:val="VerbatimChar"/>
        </w:rPr>
        <w:t>E4_Période</w:t>
      </w:r>
      <w:r>
        <w:t xml:space="preserve"> est un concept de haut niveau pour la documentation de phénomènes temporels portant sur des changements ou des interactions dans l</w:t>
      </w:r>
      <w:r w:rsidR="00E84B0E">
        <w:t>’</w:t>
      </w:r>
      <w:r>
        <w:t xml:space="preserve">espace et dans le temps. </w:t>
      </w:r>
      <w:r w:rsidR="00714434">
        <w:t>Cela</w:t>
      </w:r>
      <w:r>
        <w:t xml:space="preserve"> inclut des périodes historiques (p. ex. Ming, Romaine) sans pour autant s</w:t>
      </w:r>
      <w:r w:rsidR="00E84B0E">
        <w:t>’</w:t>
      </w:r>
      <w:r>
        <w:t xml:space="preserve">y limiter. </w:t>
      </w:r>
      <w:r>
        <w:rPr>
          <w:rStyle w:val="VerbatimChar"/>
        </w:rPr>
        <w:t>E4_Période</w:t>
      </w:r>
      <w:r>
        <w:t xml:space="preserve"> est l</w:t>
      </w:r>
      <w:r w:rsidR="00E84B0E">
        <w:t>’</w:t>
      </w:r>
      <w:r>
        <w:t>objet de davantage de spécialisation grâce à une riche hiérarchie de processus et d</w:t>
      </w:r>
      <w:r w:rsidR="00E84B0E">
        <w:t>’</w:t>
      </w:r>
      <w:r>
        <w:t>activités plus spécifiques.</w:t>
      </w:r>
    </w:p>
    <w:p w14:paraId="79CD2499" w14:textId="2498E5E2" w:rsidR="00065317" w:rsidRDefault="005C7BF7">
      <w:pPr>
        <w:numPr>
          <w:ilvl w:val="0"/>
          <w:numId w:val="40"/>
        </w:numPr>
      </w:pPr>
      <w:r>
        <w:rPr>
          <w:rStyle w:val="VerbatimChar"/>
        </w:rPr>
        <w:t>E3_État_matériel</w:t>
      </w:r>
      <w:r>
        <w:t xml:space="preserve"> est une classe spécifique pour la documentation de phases statiques de choses physiques. Le </w:t>
      </w:r>
      <w:r w:rsidR="00C8288F">
        <w:t>CIDOC CRM</w:t>
      </w:r>
      <w:r>
        <w:t xml:space="preserve"> ne décrit pas à l</w:t>
      </w:r>
      <w:r w:rsidR="00E84B0E">
        <w:t>’</w:t>
      </w:r>
      <w:r>
        <w:t>heure actuelle de classe de haut niveau pour les phases statiques car ces dernières constituent la plupart du temps des déductions issues de multiples observations, sont souvent problématiques en termes d</w:t>
      </w:r>
      <w:r w:rsidR="00E84B0E">
        <w:t>’</w:t>
      </w:r>
      <w:r>
        <w:t>intégration de l</w:t>
      </w:r>
      <w:r w:rsidR="00E84B0E">
        <w:t>’</w:t>
      </w:r>
      <w:r>
        <w:t>information, et sont vulnérables à la révision non</w:t>
      </w:r>
      <w:r w:rsidR="00CA5429">
        <w:t xml:space="preserve"> </w:t>
      </w:r>
      <w:r>
        <w:t>monotone.</w:t>
      </w:r>
    </w:p>
    <w:p w14:paraId="4E020980" w14:textId="61BB2ADF" w:rsidR="00065317" w:rsidRDefault="005C7BF7">
      <w:pPr>
        <w:pStyle w:val="FirstParagraph"/>
      </w:pPr>
      <w:r>
        <w:t xml:space="preserve">Pour ces deux classes deux relations méréologiques sont articulées par le </w:t>
      </w:r>
      <w:r w:rsidR="00C8288F">
        <w:t>CIDOC CRM</w:t>
      </w:r>
      <w:r>
        <w:t xml:space="preserve"> :</w:t>
      </w:r>
    </w:p>
    <w:p w14:paraId="3F336085" w14:textId="544DB14D" w:rsidR="0050375F" w:rsidRDefault="005C7BF7">
      <w:pPr>
        <w:numPr>
          <w:ilvl w:val="0"/>
          <w:numId w:val="41"/>
        </w:numPr>
      </w:pPr>
      <w:r>
        <w:rPr>
          <w:i/>
          <w:iCs/>
        </w:rPr>
        <w:t>Des relations de partie-tout</w:t>
      </w:r>
      <w:r>
        <w:t xml:space="preserve"> documentées entre des instances de </w:t>
      </w:r>
      <w:r>
        <w:rPr>
          <w:rStyle w:val="VerbatimChar"/>
        </w:rPr>
        <w:t>E3_État_matériel</w:t>
      </w:r>
      <w:r>
        <w:t xml:space="preserve"> grâce à la propriété </w:t>
      </w:r>
      <w:r>
        <w:rPr>
          <w:rStyle w:val="VerbatimChar"/>
        </w:rPr>
        <w:t>P5_comprend (fait_partie_de)</w:t>
      </w:r>
      <w:r>
        <w:t xml:space="preserve">, et documentées entre des instances de </w:t>
      </w:r>
      <w:r>
        <w:rPr>
          <w:rStyle w:val="VerbatimChar"/>
        </w:rPr>
        <w:t>E4_Période</w:t>
      </w:r>
      <w:r>
        <w:t xml:space="preserve"> grâce à la propriété </w:t>
      </w:r>
      <w:r>
        <w:rPr>
          <w:rStyle w:val="VerbatimChar"/>
        </w:rPr>
        <w:t>P9_comprend (fait_partie_de)</w:t>
      </w:r>
      <w:r>
        <w:t xml:space="preserve"> (c.-à-d. pour décrire comment les phénomènes constituant l</w:t>
      </w:r>
      <w:r w:rsidR="00E84B0E">
        <w:t>’</w:t>
      </w:r>
      <w:r>
        <w:t xml:space="preserve">instance de </w:t>
      </w:r>
      <w:r>
        <w:rPr>
          <w:rStyle w:val="VerbatimChar"/>
        </w:rPr>
        <w:t>E4_Période</w:t>
      </w:r>
      <w:r>
        <w:t xml:space="preserve"> peuvent être causalement sous-divisés en des phénomènes plus délimités);</w:t>
      </w:r>
    </w:p>
    <w:p w14:paraId="726CD5A9" w14:textId="4EB59A93" w:rsidR="00065317" w:rsidRDefault="0050375F" w:rsidP="0050375F">
      <w:pPr>
        <w:spacing w:after="0"/>
      </w:pPr>
      <w:r>
        <w:br w:type="page"/>
      </w:r>
    </w:p>
    <w:p w14:paraId="310AB32C" w14:textId="275FA106" w:rsidR="00065317" w:rsidRDefault="005C7BF7">
      <w:pPr>
        <w:numPr>
          <w:ilvl w:val="0"/>
          <w:numId w:val="41"/>
        </w:numPr>
      </w:pPr>
      <w:r>
        <w:rPr>
          <w:i/>
          <w:iCs/>
        </w:rPr>
        <w:lastRenderedPageBreak/>
        <w:t>Des relations de cooccurrence non</w:t>
      </w:r>
      <w:r w:rsidR="00AC5E6E">
        <w:rPr>
          <w:i/>
          <w:iCs/>
        </w:rPr>
        <w:t xml:space="preserve"> </w:t>
      </w:r>
      <w:r>
        <w:rPr>
          <w:i/>
          <w:iCs/>
        </w:rPr>
        <w:t>causale dans une même étendue spatio-temporelle</w:t>
      </w:r>
      <w:r>
        <w:t xml:space="preserve"> documentées grâce à la propriété </w:t>
      </w:r>
      <w:r>
        <w:rPr>
          <w:rStyle w:val="VerbatimChar"/>
        </w:rPr>
        <w:t>P10_s</w:t>
      </w:r>
      <w:r w:rsidR="00E84B0E">
        <w:rPr>
          <w:rStyle w:val="VerbatimChar"/>
        </w:rPr>
        <w:t>’</w:t>
      </w:r>
      <w:r>
        <w:rPr>
          <w:rStyle w:val="VerbatimChar"/>
        </w:rPr>
        <w:t>insère_dans (contient)</w:t>
      </w:r>
      <w:r>
        <w:t xml:space="preserve"> [</w:t>
      </w:r>
      <w:r w:rsidR="00AF51A3">
        <w:t xml:space="preserve">n.d.t. </w:t>
      </w:r>
      <w:r>
        <w:t>qui ne peut être utilisée dans ce contexte qu</w:t>
      </w:r>
      <w:r w:rsidR="00E84B0E">
        <w:t>’</w:t>
      </w:r>
      <w:r>
        <w:t xml:space="preserve">avec des instances de </w:t>
      </w:r>
      <w:r>
        <w:rPr>
          <w:rStyle w:val="VerbatimChar"/>
        </w:rPr>
        <w:t>E4_Période</w:t>
      </w:r>
      <w:r>
        <w:t xml:space="preserve">] (cette propriété est examinée davantage dans la section </w:t>
      </w:r>
      <w:hyperlink w:anchor="des-relations-spatio-temporelles">
        <w:r>
          <w:rPr>
            <w:rStyle w:val="Lienhypertexte"/>
          </w:rPr>
          <w:t>Des relations spatio-temporelles</w:t>
        </w:r>
      </w:hyperlink>
      <w:r>
        <w:t>).</w:t>
      </w:r>
    </w:p>
    <w:p w14:paraId="02886532" w14:textId="77777777" w:rsidR="00065317" w:rsidRDefault="005C7BF7">
      <w:pPr>
        <w:pStyle w:val="FirstParagraph"/>
      </w:pPr>
      <w:r>
        <w:t>Les relations topologiques :</w:t>
      </w:r>
    </w:p>
    <w:p w14:paraId="459EEA35" w14:textId="1B31497E" w:rsidR="00065317" w:rsidRDefault="005C7BF7">
      <w:pPr>
        <w:pStyle w:val="Corpsdetexte"/>
      </w:pPr>
      <w:r>
        <w:t>Plusieurs relations sémantiques on</w:t>
      </w:r>
      <w:r w:rsidR="00AC5E6E">
        <w:t>t</w:t>
      </w:r>
      <w:r>
        <w:t xml:space="preserve"> une incidence sur l</w:t>
      </w:r>
      <w:r w:rsidR="00E84B0E">
        <w:t>’</w:t>
      </w:r>
      <w:r>
        <w:t>ordonnancement temporel d</w:t>
      </w:r>
      <w:r w:rsidR="00E84B0E">
        <w:t>’</w:t>
      </w:r>
      <w:r>
        <w:t>entités temporelles (p. ex. le fait de rencontrer quelqu</w:t>
      </w:r>
      <w:r w:rsidR="00E84B0E">
        <w:t>’</w:t>
      </w:r>
      <w:r>
        <w:t>un ne peut survenir qu</w:t>
      </w:r>
      <w:r w:rsidR="00E84B0E">
        <w:t>’</w:t>
      </w:r>
      <w:r>
        <w:t>après la naissance et avant la mort des personnes impliquées, de l</w:t>
      </w:r>
      <w:r w:rsidR="00E84B0E">
        <w:t>’</w:t>
      </w:r>
      <w:r>
        <w:t>information ne peut être transmise qu</w:t>
      </w:r>
      <w:r w:rsidR="00E84B0E">
        <w:t>’</w:t>
      </w:r>
      <w:r>
        <w:t>après avoir été apprise). De plus, de l</w:t>
      </w:r>
      <w:r w:rsidR="00E84B0E">
        <w:t>’</w:t>
      </w:r>
      <w:r>
        <w:t>information directe sur l</w:t>
      </w:r>
      <w:r w:rsidR="00E84B0E">
        <w:t>’</w:t>
      </w:r>
      <w:r>
        <w:t>ordonnancement temporel d</w:t>
      </w:r>
      <w:r w:rsidR="00E84B0E">
        <w:t>’</w:t>
      </w:r>
      <w:r>
        <w:t>entités peut avoir une incidence sur leurs relations sémantiques possibles ou impossibles. Ce type de raisonnement est d</w:t>
      </w:r>
      <w:r w:rsidR="00E84B0E">
        <w:t>’</w:t>
      </w:r>
      <w:r>
        <w:t>une grande importance pour la recherche au sujet du passé.</w:t>
      </w:r>
    </w:p>
    <w:p w14:paraId="7C8BD230" w14:textId="042DE60C" w:rsidR="00065317" w:rsidRDefault="005C7BF7">
      <w:pPr>
        <w:pStyle w:val="Corpsdetexte"/>
      </w:pPr>
      <w:r>
        <w:t xml:space="preserve">Les relations temporelles définies dans « Maintaining knowledge about temporal intervals » (Allen 1983) et mobilisées dans les versions précédentes du </w:t>
      </w:r>
      <w:r w:rsidR="00C8288F">
        <w:t>CIDOC CRM</w:t>
      </w:r>
      <w:r>
        <w:t xml:space="preserve"> ne permettent cependant pas de décrire adéquatement des inférences issues de relations sémantiques (voir la section </w:t>
      </w:r>
      <w:hyperlink w:anchor="X6d72a89fa54b9010b0e3c47640f19595c3e80f8">
        <w:r>
          <w:rPr>
            <w:rStyle w:val="Lienhypertexte"/>
          </w:rPr>
          <w:t>Des relations temporelles primitives fondées sur des frontières floues</w:t>
        </w:r>
      </w:hyperlink>
      <w:r>
        <w:t xml:space="preserve">). Le </w:t>
      </w:r>
      <w:r w:rsidR="00C8288F">
        <w:t>CIDOC CRM</w:t>
      </w:r>
      <w:r>
        <w:t xml:space="preserve"> introduit donc ici une théorie des frontières floues dans un contexte temporel, ce qui permet l</w:t>
      </w:r>
      <w:r w:rsidR="00E84B0E">
        <w:t>’</w:t>
      </w:r>
      <w:r>
        <w:t>inter-positionnement d</w:t>
      </w:r>
      <w:r w:rsidR="00E84B0E">
        <w:t>’</w:t>
      </w:r>
      <w:r>
        <w:t>entités temporelles tout en prenant en compte l</w:t>
      </w:r>
      <w:r w:rsidR="00E84B0E">
        <w:t>’</w:t>
      </w:r>
      <w:r>
        <w:t xml:space="preserve">aspect flou inhérent à ces entités. Ce modèle subsume les relations précédentes de Allen qui peuvent néanmoins toujours être utilisées dans les extensions du </w:t>
      </w:r>
      <w:r w:rsidR="00C8288F">
        <w:t>CIDOC CRM</w:t>
      </w:r>
      <w:r>
        <w:t>.</w:t>
      </w:r>
    </w:p>
    <w:p w14:paraId="1B0B719A" w14:textId="77777777" w:rsidR="00065317" w:rsidRDefault="005C7BF7">
      <w:pPr>
        <w:pStyle w:val="Normalcentr"/>
      </w:pPr>
      <w:r>
        <w:rPr>
          <w:b/>
          <w:bCs/>
          <w:i/>
          <w:iCs/>
        </w:rPr>
        <w:t>Note de traduction</w:t>
      </w:r>
    </w:p>
    <w:p w14:paraId="46A42729" w14:textId="2C50CD7D" w:rsidR="00065317" w:rsidRDefault="005C7BF7" w:rsidP="00D746C9">
      <w:pPr>
        <w:pStyle w:val="Normalcentr"/>
      </w:pPr>
      <w:r>
        <w:rPr>
          <w:b/>
          <w:bCs/>
          <w:i/>
          <w:iCs/>
        </w:rPr>
        <w:t>Références</w:t>
      </w:r>
    </w:p>
    <w:p w14:paraId="227F3486" w14:textId="77777777" w:rsidR="00065317" w:rsidRDefault="005C7BF7" w:rsidP="00AC5E6E">
      <w:pPr>
        <w:pStyle w:val="Titre4"/>
      </w:pPr>
      <w:bookmarkStart w:id="84" w:name="_Toc154048727"/>
      <w:bookmarkStart w:id="85" w:name="des-relations-spatio-temporelles"/>
      <w:bookmarkEnd w:id="82"/>
      <w:r>
        <w:t>Des relations spatio-temporelles</w:t>
      </w:r>
      <w:bookmarkEnd w:id="84"/>
    </w:p>
    <w:p w14:paraId="050ED05A" w14:textId="7FDD085E" w:rsidR="00065317" w:rsidRDefault="005C7BF7">
      <w:pPr>
        <w:pStyle w:val="FirstParagraph"/>
      </w:pPr>
      <w:r>
        <w:t>La plupart du temps, il est adéquat de traiter le temps et l</w:t>
      </w:r>
      <w:r w:rsidR="00E84B0E">
        <w:t>’</w:t>
      </w:r>
      <w:r>
        <w:t>espace comme des entités distinctes lors de la description d</w:t>
      </w:r>
      <w:r w:rsidR="00E84B0E">
        <w:t>’</w:t>
      </w:r>
      <w:r>
        <w:t>évènements et des lieux où ils se produisent. Une documentation et un raisonnement plus précis sont parfois requis afin de décrire des phénomènes se produisant dans la durée (p. ex. l</w:t>
      </w:r>
      <w:r w:rsidR="00E84B0E">
        <w:t>’</w:t>
      </w:r>
      <w:r>
        <w:t>âge du bronze, un établissement, une nation, des cadres de référence pour les mouvements de bateaux, des choses étant entreposées dans des conteneurs puis déplacées, des constructions étant partiellement détruites, reconstruites ou altérées, etc.). L</w:t>
      </w:r>
      <w:r w:rsidR="00E84B0E">
        <w:t>’</w:t>
      </w:r>
      <w:r>
        <w:t>espace et le temps doivent alors être conceptualisés sur un continuum cohérent : l</w:t>
      </w:r>
      <w:r w:rsidR="00E84B0E">
        <w:t>’</w:t>
      </w:r>
      <w:r>
        <w:t>espace-temps.</w:t>
      </w:r>
    </w:p>
    <w:p w14:paraId="245BADBE" w14:textId="1222DA67" w:rsidR="00065317" w:rsidRDefault="005C7BF7">
      <w:pPr>
        <w:pStyle w:val="Corpsdetexte"/>
      </w:pPr>
      <w:r>
        <w:t xml:space="preserve">Le modèle du </w:t>
      </w:r>
      <w:r w:rsidR="00C8288F">
        <w:t>CIDOC CRM</w:t>
      </w:r>
      <w:r>
        <w:t xml:space="preserve"> est une interface valide pour CRMgeo (D</w:t>
      </w:r>
      <w:r w:rsidR="003C7A4A">
        <w:t>oe</w:t>
      </w:r>
      <w:r>
        <w:t>rr &amp; Hiebel 2013) qui mobilise les standards OGC [</w:t>
      </w:r>
      <w:r w:rsidR="00AF51A3">
        <w:t xml:space="preserve">n.d.t. </w:t>
      </w:r>
      <w:r>
        <w:t>standards de l</w:t>
      </w:r>
      <w:r w:rsidR="00E84B0E">
        <w:t>’</w:t>
      </w:r>
      <w:r>
        <w:t>Open Geospatial Consortium qui assurent l</w:t>
      </w:r>
      <w:r w:rsidR="00E84B0E">
        <w:t>’</w:t>
      </w:r>
      <w:r>
        <w:t>interopérabilité dans les domaines de la géomatique et de l</w:t>
      </w:r>
      <w:r w:rsidR="00E84B0E">
        <w:t>’</w:t>
      </w:r>
      <w:r>
        <w:t>information] qui sont essentiels à l</w:t>
      </w:r>
      <w:r w:rsidR="00E84B0E">
        <w:t>’</w:t>
      </w:r>
      <w:r>
        <w:t>utilisation de systèmes d</w:t>
      </w:r>
      <w:r w:rsidR="00E84B0E">
        <w:t>’</w:t>
      </w:r>
      <w:r>
        <w:t>information géographiques (applications SIG).</w:t>
      </w:r>
    </w:p>
    <w:p w14:paraId="6C250978" w14:textId="588F59E2" w:rsidR="00065317" w:rsidRDefault="005C7BF7">
      <w:pPr>
        <w:pStyle w:val="Corpsdetexte"/>
      </w:pPr>
      <w:r>
        <w:t>La classe clé qu</w:t>
      </w:r>
      <w:r w:rsidR="00E84B0E">
        <w:t>’</w:t>
      </w:r>
      <w:r>
        <w:t xml:space="preserve">offre le </w:t>
      </w:r>
      <w:r w:rsidR="00C8288F">
        <w:t>CIDOC CRM</w:t>
      </w:r>
      <w:r>
        <w:t xml:space="preserve"> pour la modélisation de telles informations est </w:t>
      </w:r>
      <w:r>
        <w:rPr>
          <w:rStyle w:val="VerbatimChar"/>
        </w:rPr>
        <w:t>E92_Volume_spatio-temporel</w:t>
      </w:r>
      <w:r>
        <w:t xml:space="preserve"> qui documente des étendues géométriques, situées dans l</w:t>
      </w:r>
      <w:r w:rsidR="00E84B0E">
        <w:t>’</w:t>
      </w:r>
      <w:r>
        <w:t>espace-temps physique, qui contiennent des positions d</w:t>
      </w:r>
      <w:r w:rsidR="00E84B0E">
        <w:t>’</w:t>
      </w:r>
      <w:r>
        <w:t xml:space="preserve">évènements ou de choses réelles ou possibles. </w:t>
      </w:r>
      <w:r>
        <w:rPr>
          <w:rStyle w:val="VerbatimChar"/>
        </w:rPr>
        <w:t>E92_Volume_spatio-temporel</w:t>
      </w:r>
      <w:r>
        <w:t xml:space="preserve"> est particulièrement utilisé dans des changements de lieux documentés ne peuvent pas être réduits à des évènements distincts en raison d</w:t>
      </w:r>
      <w:r w:rsidR="00E84B0E">
        <w:t>’</w:t>
      </w:r>
      <w:r>
        <w:t>une étendue spatiale en changement (p. ex. dans la description d</w:t>
      </w:r>
      <w:r w:rsidR="00E84B0E">
        <w:t>’</w:t>
      </w:r>
      <w:r>
        <w:t>index géographiques). Les classes et propriétés de haut niveau qui s</w:t>
      </w:r>
      <w:r w:rsidR="00E84B0E">
        <w:t>’</w:t>
      </w:r>
      <w:r>
        <w:t xml:space="preserve">articulent autour de </w:t>
      </w:r>
      <w:r>
        <w:rPr>
          <w:rStyle w:val="VerbatimChar"/>
        </w:rPr>
        <w:t>E92_Volume_spatio-temporel</w:t>
      </w:r>
      <w:r>
        <w:t xml:space="preserve"> permettent de documenter :</w:t>
      </w:r>
    </w:p>
    <w:p w14:paraId="63E92A51" w14:textId="08FCE86A" w:rsidR="00065317" w:rsidRDefault="00AC5E6E">
      <w:pPr>
        <w:numPr>
          <w:ilvl w:val="0"/>
          <w:numId w:val="42"/>
        </w:numPr>
      </w:pPr>
      <w:r>
        <w:t>l</w:t>
      </w:r>
      <w:r w:rsidR="005C7BF7">
        <w:t>es relations entre des espaces-temps;</w:t>
      </w:r>
    </w:p>
    <w:p w14:paraId="03094AA8" w14:textId="696CCCF9" w:rsidR="00065317" w:rsidRDefault="00AC5E6E">
      <w:pPr>
        <w:numPr>
          <w:ilvl w:val="0"/>
          <w:numId w:val="42"/>
        </w:numPr>
      </w:pPr>
      <w:r>
        <w:t>l</w:t>
      </w:r>
      <w:r w:rsidR="005C7BF7">
        <w:t>es relations à l</w:t>
      </w:r>
      <w:r w:rsidR="00E84B0E">
        <w:t>’</w:t>
      </w:r>
      <w:r w:rsidR="005C7BF7">
        <w:t>espace et au temps en tant qu</w:t>
      </w:r>
      <w:r w:rsidR="00E84B0E">
        <w:t>’</w:t>
      </w:r>
      <w:r w:rsidR="005C7BF7">
        <w:t>entités distinctes;</w:t>
      </w:r>
    </w:p>
    <w:p w14:paraId="1681D1B8" w14:textId="0E005B94" w:rsidR="00065317" w:rsidRDefault="00AC5E6E">
      <w:pPr>
        <w:numPr>
          <w:ilvl w:val="0"/>
          <w:numId w:val="42"/>
        </w:numPr>
      </w:pPr>
      <w:r>
        <w:t>l</w:t>
      </w:r>
      <w:r w:rsidR="005C7BF7">
        <w:t>e traitement de l</w:t>
      </w:r>
      <w:r w:rsidR="00E84B0E">
        <w:t>’</w:t>
      </w:r>
      <w:r w:rsidR="005C7BF7">
        <w:t>étendue exacte de choses physiques et de périodes dans l</w:t>
      </w:r>
      <w:r w:rsidR="00E84B0E">
        <w:t>’</w:t>
      </w:r>
      <w:r w:rsidR="005C7BF7">
        <w:t>espace à tout moment de leur existence en tant que volume spatio-temporel.</w:t>
      </w:r>
    </w:p>
    <w:p w14:paraId="0D574CA7" w14:textId="1A809E9E" w:rsidR="00065317" w:rsidRDefault="005C7BF7">
      <w:pPr>
        <w:pStyle w:val="FirstParagraph"/>
      </w:pPr>
      <w:r>
        <w:rPr>
          <w:i/>
          <w:iCs/>
        </w:rPr>
        <w:lastRenderedPageBreak/>
        <w:t>Définition d</w:t>
      </w:r>
      <w:r w:rsidR="00E84B0E">
        <w:rPr>
          <w:i/>
          <w:iCs/>
        </w:rPr>
        <w:t>’</w:t>
      </w:r>
      <w:r>
        <w:rPr>
          <w:i/>
          <w:iCs/>
        </w:rPr>
        <w:t>un volume spatio-temporel</w:t>
      </w:r>
    </w:p>
    <w:p w14:paraId="69244DC0" w14:textId="77777777" w:rsidR="00065317" w:rsidRDefault="005C7BF7">
      <w:pPr>
        <w:pStyle w:val="Corpsdetexte"/>
      </w:pPr>
      <w:r>
        <w:t>Il y a trois manières de définir un volume spatio-temporel :</w:t>
      </w:r>
    </w:p>
    <w:p w14:paraId="30C7A999" w14:textId="328EDD71" w:rsidR="00065317" w:rsidRDefault="005C7BF7">
      <w:pPr>
        <w:numPr>
          <w:ilvl w:val="0"/>
          <w:numId w:val="43"/>
        </w:numPr>
      </w:pPr>
      <w:r>
        <w:t xml:space="preserve">La propriété </w:t>
      </w:r>
      <w:r>
        <w:rPr>
          <w:rStyle w:val="VerbatimChar"/>
        </w:rPr>
        <w:t>P169_définit_le_volume_spatio-temporel (volume_spatio-temporel_défini_par)</w:t>
      </w:r>
      <w:r>
        <w:t xml:space="preserve"> déclare un contenant spatio-temporel pour un évènement ou une chose. Ce contenant est défini en termes de coordonnées spatiales qui peuvent varier à travers le temps, variation qui peut être représentée par des étapes distinctes ou de manière continue à l</w:t>
      </w:r>
      <w:r w:rsidR="00E84B0E">
        <w:t>’</w:t>
      </w:r>
      <w:r>
        <w:t>aide d</w:t>
      </w:r>
      <w:r w:rsidR="00E84B0E">
        <w:t>’</w:t>
      </w:r>
      <w:r>
        <w:t>expression de l</w:t>
      </w:r>
      <w:r w:rsidR="00E84B0E">
        <w:t>’</w:t>
      </w:r>
      <w:r>
        <w:t>espace-temps qui prennent alors la forme d</w:t>
      </w:r>
      <w:r w:rsidR="00E84B0E">
        <w:t>’</w:t>
      </w:r>
      <w:r>
        <w:t xml:space="preserve">instances de </w:t>
      </w:r>
      <w:r>
        <w:rPr>
          <w:rStyle w:val="VerbatimChar"/>
        </w:rPr>
        <w:t>E95_Primitive_spatio-temporelle</w:t>
      </w:r>
      <w:r>
        <w:t xml:space="preserve"> (une classe primitive pour l</w:t>
      </w:r>
      <w:r w:rsidR="00E84B0E">
        <w:t>’</w:t>
      </w:r>
      <w:r>
        <w:t>expression de valeurs dans un système de données ne faisant pas l</w:t>
      </w:r>
      <w:r w:rsidR="00E84B0E">
        <w:t>’</w:t>
      </w:r>
      <w:r>
        <w:t>objet d</w:t>
      </w:r>
      <w:r w:rsidR="00E84B0E">
        <w:t>’</w:t>
      </w:r>
      <w:r>
        <w:t xml:space="preserve">analyses supplémentaires par le </w:t>
      </w:r>
      <w:r w:rsidR="00C8288F">
        <w:t>CIDOC CRM</w:t>
      </w:r>
      <w:r>
        <w:t>).</w:t>
      </w:r>
    </w:p>
    <w:p w14:paraId="76C22D2B" w14:textId="766D7FA9" w:rsidR="00065317" w:rsidRDefault="005C7BF7">
      <w:pPr>
        <w:numPr>
          <w:ilvl w:val="0"/>
          <w:numId w:val="43"/>
        </w:numPr>
      </w:pPr>
      <w:r>
        <w:t xml:space="preserve">Les instances de </w:t>
      </w:r>
      <w:r>
        <w:rPr>
          <w:rStyle w:val="VerbatimChar"/>
        </w:rPr>
        <w:t>E4_Période</w:t>
      </w:r>
      <w:r>
        <w:t xml:space="preserve">, instances spécialisées de </w:t>
      </w:r>
      <w:r>
        <w:rPr>
          <w:rStyle w:val="VerbatimChar"/>
        </w:rPr>
        <w:t>E92_Volume_spatio-temporel</w:t>
      </w:r>
      <w:r>
        <w:t xml:space="preserve"> qui sont floues tout en étant observables, forment un phénomène englobant qui prend lui aussi la forme d</w:t>
      </w:r>
      <w:r w:rsidR="00E84B0E">
        <w:t>’</w:t>
      </w:r>
      <w:r>
        <w:t xml:space="preserve">une instance de </w:t>
      </w:r>
      <w:r>
        <w:rPr>
          <w:rStyle w:val="VerbatimChar"/>
        </w:rPr>
        <w:t>E4_Période</w:t>
      </w:r>
      <w:r>
        <w:t>.</w:t>
      </w:r>
    </w:p>
    <w:p w14:paraId="124BBB9E" w14:textId="3EC5FE8E" w:rsidR="00065317" w:rsidRDefault="005C7BF7">
      <w:pPr>
        <w:numPr>
          <w:ilvl w:val="0"/>
          <w:numId w:val="43"/>
        </w:numPr>
      </w:pPr>
      <w:r>
        <w:t xml:space="preserve">Une instance de </w:t>
      </w:r>
      <w:r>
        <w:rPr>
          <w:rStyle w:val="VerbatimChar"/>
        </w:rPr>
        <w:t>E18_Chose_matérielle</w:t>
      </w:r>
      <w:r>
        <w:t xml:space="preserve"> (en tant que séquence continue d</w:t>
      </w:r>
      <w:r w:rsidR="00E84B0E">
        <w:t>’</w:t>
      </w:r>
      <w:r>
        <w:t>étendue spatiale occupée à travers le temps par la matière) définit un volume spatio-temporel unique du début à la fin de son existence, ce qui peut aussi être considéré comme sa trajectoire dans l</w:t>
      </w:r>
      <w:r w:rsidR="00E84B0E">
        <w:t>’</w:t>
      </w:r>
      <w:r>
        <w:t xml:space="preserve">univers. La propriété </w:t>
      </w:r>
      <w:r>
        <w:rPr>
          <w:rStyle w:val="VerbatimChar"/>
        </w:rPr>
        <w:t>P169_définit_le_volume_spatio-temporel (volume_spatio-temporel_défini_par)</w:t>
      </w:r>
      <w:r>
        <w:t xml:space="preserve"> permet de référer à ce volume spatio-temporel afin d</w:t>
      </w:r>
      <w:r w:rsidR="00E84B0E">
        <w:t>’</w:t>
      </w:r>
      <w:r>
        <w:t>en documenter des attributs supplémentaires. Ce volume spatio-temporel est donc flou tout en étant observable et, bien qu</w:t>
      </w:r>
      <w:r w:rsidR="00E84B0E">
        <w:t>’</w:t>
      </w:r>
      <w:r>
        <w:t>il ne soit pas aisé de visualiser mentalement le volume spatio-temporel d</w:t>
      </w:r>
      <w:r w:rsidR="00E84B0E">
        <w:t>’</w:t>
      </w:r>
      <w:r>
        <w:t xml:space="preserve">une chose physique, </w:t>
      </w:r>
      <w:r w:rsidR="00714434">
        <w:t>cela</w:t>
      </w:r>
      <w:r>
        <w:t xml:space="preserve"> simplifie grandement le raisonnement logique au sujet des lieux où se sont trouvé des choses.</w:t>
      </w:r>
    </w:p>
    <w:p w14:paraId="7E694C93" w14:textId="77777777" w:rsidR="00065317" w:rsidRDefault="005C7BF7" w:rsidP="0050375F">
      <w:pPr>
        <w:pStyle w:val="FirstParagraph"/>
        <w:spacing w:before="0" w:after="0"/>
      </w:pPr>
      <w:r>
        <w:rPr>
          <w:noProof/>
        </w:rPr>
        <w:drawing>
          <wp:inline distT="0" distB="0" distL="0" distR="0" wp14:anchorId="177E6BEF" wp14:editId="1DBC3702">
            <wp:extent cx="6451513" cy="4376615"/>
            <wp:effectExtent l="0" t="0" r="6985" b="5080"/>
            <wp:docPr id="128" name="Picture" descr="Un diagramme illustre les classes et les propriétés fondamentales servant au raisonnement logique avec les volumes spatio-temporels. Les classes sont identifiées par des rectangles. Les propriétés sont identifiées par des flèches reliant les classes entre elles. Les liens entre ces classes et propriétés sont décrites dans le texte ci-dessous."/>
            <wp:cNvGraphicFramePr/>
            <a:graphic xmlns:a="http://schemas.openxmlformats.org/drawingml/2006/main">
              <a:graphicData uri="http://schemas.openxmlformats.org/drawingml/2006/picture">
                <pic:pic xmlns:pic="http://schemas.openxmlformats.org/drawingml/2006/picture">
                  <pic:nvPicPr>
                    <pic:cNvPr id="129" name="Picture" descr="../../drawio/PNG/FR/Fig_6_FR.png"/>
                    <pic:cNvPicPr>
                      <a:picLocks noChangeAspect="1" noChangeArrowheads="1"/>
                    </pic:cNvPicPr>
                  </pic:nvPicPr>
                  <pic:blipFill>
                    <a:blip r:embed="rId139"/>
                    <a:stretch>
                      <a:fillRect/>
                    </a:stretch>
                  </pic:blipFill>
                  <pic:spPr bwMode="auto">
                    <a:xfrm>
                      <a:off x="0" y="0"/>
                      <a:ext cx="6454943" cy="4378942"/>
                    </a:xfrm>
                    <a:prstGeom prst="rect">
                      <a:avLst/>
                    </a:prstGeom>
                    <a:noFill/>
                    <a:ln w="9525">
                      <a:noFill/>
                      <a:headEnd/>
                      <a:tailEnd/>
                    </a:ln>
                  </pic:spPr>
                </pic:pic>
              </a:graphicData>
            </a:graphic>
          </wp:inline>
        </w:drawing>
      </w:r>
    </w:p>
    <w:p w14:paraId="28AB9BBD" w14:textId="77777777" w:rsidR="00065317" w:rsidRPr="00D93D69" w:rsidRDefault="005C7BF7" w:rsidP="0050375F">
      <w:pPr>
        <w:pStyle w:val="Corpsdetexte"/>
        <w:spacing w:before="0" w:after="0"/>
        <w:rPr>
          <w:sz w:val="20"/>
          <w:szCs w:val="20"/>
        </w:rPr>
      </w:pPr>
      <w:r w:rsidRPr="00D93D69">
        <w:rPr>
          <w:i/>
          <w:iCs/>
          <w:sz w:val="20"/>
          <w:szCs w:val="20"/>
        </w:rPr>
        <w:t>Figure 6 : Propriétés et classes fondamentales pour le raisonnement logique avec les volumes spatio-temporels</w:t>
      </w:r>
    </w:p>
    <w:p w14:paraId="5A8270B5" w14:textId="3265EC8D" w:rsidR="00065317" w:rsidRPr="00D93D69" w:rsidRDefault="005C7BF7" w:rsidP="0050375F">
      <w:pPr>
        <w:pStyle w:val="Corpsdetexte"/>
        <w:spacing w:before="0" w:after="0"/>
        <w:rPr>
          <w:sz w:val="20"/>
          <w:szCs w:val="20"/>
        </w:rPr>
      </w:pPr>
      <w:r w:rsidRPr="00D93D69">
        <w:rPr>
          <w:i/>
          <w:iCs/>
          <w:sz w:val="20"/>
          <w:szCs w:val="20"/>
        </w:rPr>
        <w:t>Mentions de source des figures : Bibliothèques logicielles diagrams.net</w:t>
      </w:r>
      <w:r w:rsidRPr="00D93D69">
        <w:rPr>
          <w:sz w:val="20"/>
          <w:szCs w:val="20"/>
        </w:rPr>
        <w:t>, © Réseau canadien d</w:t>
      </w:r>
      <w:r w:rsidR="00E84B0E">
        <w:rPr>
          <w:sz w:val="20"/>
          <w:szCs w:val="20"/>
        </w:rPr>
        <w:t>’</w:t>
      </w:r>
      <w:r w:rsidRPr="00D93D69">
        <w:rPr>
          <w:sz w:val="20"/>
          <w:szCs w:val="20"/>
        </w:rPr>
        <w:t>information sur le patrimoine 2021</w:t>
      </w:r>
    </w:p>
    <w:p w14:paraId="592AC1CB" w14:textId="64C98B0E" w:rsidR="00065317" w:rsidRDefault="005C7BF7">
      <w:pPr>
        <w:pStyle w:val="Corpsdetexte"/>
      </w:pPr>
      <w:r>
        <w:rPr>
          <w:i/>
          <w:iCs/>
        </w:rPr>
        <w:lastRenderedPageBreak/>
        <w:t>Relations d</w:t>
      </w:r>
      <w:r w:rsidR="00E84B0E">
        <w:rPr>
          <w:i/>
          <w:iCs/>
        </w:rPr>
        <w:t>’</w:t>
      </w:r>
      <w:r>
        <w:rPr>
          <w:i/>
          <w:iCs/>
        </w:rPr>
        <w:t>un volume spatio-temporel à des lieux ou à des choses physiques</w:t>
      </w:r>
    </w:p>
    <w:p w14:paraId="5859741E" w14:textId="535D8121" w:rsidR="00065317" w:rsidRDefault="005C7BF7">
      <w:pPr>
        <w:pStyle w:val="Corpsdetexte"/>
      </w:pPr>
      <w:r>
        <w:t xml:space="preserve">La propriété </w:t>
      </w:r>
      <w:r>
        <w:rPr>
          <w:rStyle w:val="VerbatimChar"/>
        </w:rPr>
        <w:t>P161_a_pour_projection_spatiale (est_la_projection_spatiale_de)</w:t>
      </w:r>
      <w:r>
        <w:t xml:space="preserve"> associe un volume spatio-temporel à l</w:t>
      </w:r>
      <w:r w:rsidR="00E84B0E">
        <w:t>’</w:t>
      </w:r>
      <w:r>
        <w:t>étendue spatiale qu</w:t>
      </w:r>
      <w:r w:rsidR="00E84B0E">
        <w:t>’</w:t>
      </w:r>
      <w:r>
        <w:t>il a occupé durant l</w:t>
      </w:r>
      <w:r w:rsidR="00E84B0E">
        <w:t>’</w:t>
      </w:r>
      <w:r>
        <w:t>intervalle temporel de la définition. En raison de la relativité de l</w:t>
      </w:r>
      <w:r w:rsidR="00E84B0E">
        <w:t>’</w:t>
      </w:r>
      <w:r>
        <w:t>espace, la définition d</w:t>
      </w:r>
      <w:r w:rsidR="00E84B0E">
        <w:t>’</w:t>
      </w:r>
      <w:r>
        <w:t xml:space="preserve">instances de </w:t>
      </w:r>
      <w:r>
        <w:rPr>
          <w:rStyle w:val="VerbatimChar"/>
        </w:rPr>
        <w:t>E53_Lieu</w:t>
      </w:r>
      <w:r>
        <w:t xml:space="preserve"> doit être relative à une chose physique utilisée comme référence géométrique, une relation documentée par la propriété </w:t>
      </w:r>
      <w:r>
        <w:rPr>
          <w:rStyle w:val="VerbatimChar"/>
        </w:rPr>
        <w:t>P157_est_à_l</w:t>
      </w:r>
      <w:r w:rsidR="00E84B0E">
        <w:rPr>
          <w:rStyle w:val="VerbatimChar"/>
        </w:rPr>
        <w:t>’</w:t>
      </w:r>
      <w:r>
        <w:rPr>
          <w:rStyle w:val="VerbatimChar"/>
        </w:rPr>
        <w:t>arrêt_par_rapport_à (procure_l</w:t>
      </w:r>
      <w:r w:rsidR="00E84B0E">
        <w:rPr>
          <w:rStyle w:val="VerbatimChar"/>
        </w:rPr>
        <w:t>’</w:t>
      </w:r>
      <w:r>
        <w:rPr>
          <w:rStyle w:val="VerbatimChar"/>
        </w:rPr>
        <w:t>espace_de_référence_pour)</w:t>
      </w:r>
      <w:r>
        <w:t>. Si l</w:t>
      </w:r>
      <w:r w:rsidR="00E84B0E">
        <w:t>’</w:t>
      </w:r>
      <w:r>
        <w:t>emplacement d</w:t>
      </w:r>
      <w:r w:rsidR="00E84B0E">
        <w:t>’</w:t>
      </w:r>
      <w:r>
        <w:t>une chose à un certain moment est disponible pour de multiples espaces relatifs de référence en mouvement (p. ex. dans le cas d</w:t>
      </w:r>
      <w:r w:rsidR="00E84B0E">
        <w:t>’</w:t>
      </w:r>
      <w:r>
        <w:t>un bateau par rapport au sol marin), ces espaces définis différemment peuvent éventuellement s</w:t>
      </w:r>
      <w:r w:rsidR="00E84B0E">
        <w:t>’</w:t>
      </w:r>
      <w:r>
        <w:t>éloigner ou se disjoindre les uns des autres. Ainsi, un volume spatio-temporel, même s</w:t>
      </w:r>
      <w:r w:rsidR="00E84B0E">
        <w:t>’</w:t>
      </w:r>
      <w:r>
        <w:t>il est défini de manière unique, peut avoir de nombreuses projections spatiales qui dépendent de l</w:t>
      </w:r>
      <w:r w:rsidR="00E84B0E">
        <w:t>’</w:t>
      </w:r>
      <w:r>
        <w:t>espace de référence.</w:t>
      </w:r>
    </w:p>
    <w:p w14:paraId="7AC887E6" w14:textId="0AF238A9" w:rsidR="00065317" w:rsidRDefault="005C7BF7">
      <w:pPr>
        <w:pStyle w:val="Corpsdetexte"/>
      </w:pPr>
      <w:r>
        <w:t>Les systèmes de géo-positionnement satellite (GPS) actuels définissent par défaut la surface de la Terre comme espace de référence. Dans le cas de descriptions d</w:t>
      </w:r>
      <w:r w:rsidR="00E84B0E">
        <w:t>’</w:t>
      </w:r>
      <w:r>
        <w:t>objets mobiles dont la forme est fixe, comme dans le contexte de conservation d</w:t>
      </w:r>
      <w:r w:rsidR="00E84B0E">
        <w:t>’</w:t>
      </w:r>
      <w:r>
        <w:t>art, il est parfois utile de désigner l</w:t>
      </w:r>
      <w:r w:rsidR="00E84B0E">
        <w:t>’</w:t>
      </w:r>
      <w:r>
        <w:t>endroit précis d</w:t>
      </w:r>
      <w:r w:rsidR="00E84B0E">
        <w:t>’</w:t>
      </w:r>
      <w:r>
        <w:t>une chose physique par rapport à elle-même en l</w:t>
      </w:r>
      <w:r w:rsidR="00E84B0E">
        <w:t>’</w:t>
      </w:r>
      <w:r>
        <w:t xml:space="preserve">utilisant comme espace de référence de concert avec la propriété </w:t>
      </w:r>
      <w:r>
        <w:rPr>
          <w:rStyle w:val="VerbatimChar"/>
        </w:rPr>
        <w:t>P156_occupe (est_occupé_par)</w:t>
      </w:r>
      <w:r>
        <w:t xml:space="preserve">. Cette dernière constitue une projection particulière du volume spatio-temporel de la chose en question. Elle se distingue de </w:t>
      </w:r>
      <w:r>
        <w:rPr>
          <w:rStyle w:val="VerbatimChar"/>
        </w:rPr>
        <w:t>P53_a_pour_localisation_actuelle_ou_antérieure (est_la_localisation_actuelle_ou_antérieure_de)</w:t>
      </w:r>
      <w:r>
        <w:t xml:space="preserve"> qui ne décrit que le fait qu</w:t>
      </w:r>
      <w:r w:rsidR="00E84B0E">
        <w:t>’</w:t>
      </w:r>
      <w:r>
        <w:t>une chose se trouvait dans un lieu spécifique par rapport à une référence spatiale sans précision temporelle.</w:t>
      </w:r>
    </w:p>
    <w:p w14:paraId="7A127D0F" w14:textId="52A47473" w:rsidR="00065317" w:rsidRDefault="005C7BF7">
      <w:pPr>
        <w:pStyle w:val="Corpsdetexte"/>
      </w:pPr>
      <w:r>
        <w:rPr>
          <w:i/>
          <w:iCs/>
        </w:rPr>
        <w:t>Relations d</w:t>
      </w:r>
      <w:r w:rsidR="00E84B0E">
        <w:rPr>
          <w:i/>
          <w:iCs/>
        </w:rPr>
        <w:t>’</w:t>
      </w:r>
      <w:r>
        <w:rPr>
          <w:i/>
          <w:iCs/>
        </w:rPr>
        <w:t>un volume spatio-temporel à des intervalles temporels et à des périodes</w:t>
      </w:r>
    </w:p>
    <w:p w14:paraId="3254A80E" w14:textId="5D02D071" w:rsidR="00065317" w:rsidRDefault="005C7BF7">
      <w:pPr>
        <w:pStyle w:val="Corpsdetexte"/>
      </w:pPr>
      <w:r>
        <w:t xml:space="preserve">La propriété </w:t>
      </w:r>
      <w:r>
        <w:rPr>
          <w:rStyle w:val="VerbatimChar"/>
        </w:rPr>
        <w:t>P160_a_pour_projection_temporelle (est_la_projection_temporelle_de)</w:t>
      </w:r>
      <w:r>
        <w:t xml:space="preserve"> associe un volume spatio-temporel à l</w:t>
      </w:r>
      <w:r w:rsidR="00E84B0E">
        <w:t>’</w:t>
      </w:r>
      <w:r>
        <w:t>étendue temporelle complète que ce volume a recoupé, y compris tous les lieux de sa définition. Contrairement aux lieux [</w:t>
      </w:r>
      <w:r w:rsidR="00AF51A3">
        <w:t xml:space="preserve">n.d.t. </w:t>
      </w:r>
      <w:r>
        <w:t>dont les coordonnées de référence peuvent changer à travers le temps], le système de référence temporel est uniqu</w:t>
      </w:r>
      <w:r w:rsidR="00AC5E6E">
        <w:t>e</w:t>
      </w:r>
      <w:r w:rsidR="00AC5E6E">
        <w:rPr>
          <w:rStyle w:val="Appelnotedebasdep"/>
        </w:rPr>
        <w:footnoteReference w:id="8"/>
      </w:r>
      <w:r>
        <w:t xml:space="preserve"> à l</w:t>
      </w:r>
      <w:r w:rsidR="00E84B0E">
        <w:t>’</w:t>
      </w:r>
      <w:r>
        <w:t>exception du choix d</w:t>
      </w:r>
      <w:r w:rsidR="00E84B0E">
        <w:t>’</w:t>
      </w:r>
      <w:r>
        <w:t>origine.</w:t>
      </w:r>
    </w:p>
    <w:p w14:paraId="74BFE172" w14:textId="5613641D" w:rsidR="00065317" w:rsidRDefault="005C7BF7">
      <w:pPr>
        <w:pStyle w:val="Corpsdetexte"/>
      </w:pPr>
      <w:r>
        <w:t xml:space="preserve">Comme les sous-classes de </w:t>
      </w:r>
      <w:r>
        <w:rPr>
          <w:rStyle w:val="VerbatimChar"/>
        </w:rPr>
        <w:t>E2_Entité_temporelle</w:t>
      </w:r>
      <w:r>
        <w:t xml:space="preserve"> héritent de la propriété </w:t>
      </w:r>
      <w:r>
        <w:rPr>
          <w:rStyle w:val="VerbatimChar"/>
        </w:rPr>
        <w:t>P4_a_pour_intervalle_temporel (est_l</w:t>
      </w:r>
      <w:r w:rsidR="00E84B0E">
        <w:rPr>
          <w:rStyle w:val="VerbatimChar"/>
        </w:rPr>
        <w:t>’</w:t>
      </w:r>
      <w:r>
        <w:rPr>
          <w:rStyle w:val="VerbatimChar"/>
        </w:rPr>
        <w:t>intervalle_temporel_de)</w:t>
      </w:r>
      <w:r>
        <w:t xml:space="preserve">, les instances de </w:t>
      </w:r>
      <w:r>
        <w:rPr>
          <w:rStyle w:val="VerbatimChar"/>
        </w:rPr>
        <w:t>E4_Période</w:t>
      </w:r>
      <w:r>
        <w:t xml:space="preserve"> et de ses sous-classes héritent de la propriété </w:t>
      </w:r>
      <w:r>
        <w:rPr>
          <w:rStyle w:val="VerbatimChar"/>
        </w:rPr>
        <w:t>P160_a_pour_projection_temporelle (est_la_projection_temporelle_de)</w:t>
      </w:r>
      <w:r>
        <w:t xml:space="preserve"> qui lui est équivalente car elles décrivent toutes deux l</w:t>
      </w:r>
      <w:r w:rsidR="00E84B0E">
        <w:t>’</w:t>
      </w:r>
      <w:r>
        <w:t xml:space="preserve">étendue temporelle du phénomène qui constitue une instance de </w:t>
      </w:r>
      <w:r>
        <w:rPr>
          <w:rStyle w:val="VerbatimChar"/>
        </w:rPr>
        <w:t>E4_Période</w:t>
      </w:r>
      <w:r>
        <w:t>. Il est recommandé d</w:t>
      </w:r>
      <w:r w:rsidR="00E84B0E">
        <w:t>’</w:t>
      </w:r>
      <w:r>
        <w:t xml:space="preserve">utiliser </w:t>
      </w:r>
      <w:r>
        <w:rPr>
          <w:rStyle w:val="VerbatimChar"/>
        </w:rPr>
        <w:t>P4_a_pour_intervalle_temporel (est_l</w:t>
      </w:r>
      <w:r w:rsidR="00E84B0E">
        <w:rPr>
          <w:rStyle w:val="VerbatimChar"/>
        </w:rPr>
        <w:t>’</w:t>
      </w:r>
      <w:r>
        <w:rPr>
          <w:rStyle w:val="VerbatimChar"/>
        </w:rPr>
        <w:t>intervalle_temporel_de)</w:t>
      </w:r>
      <w:r>
        <w:t xml:space="preserve"> de concert avec des instances de </w:t>
      </w:r>
      <w:r>
        <w:rPr>
          <w:rStyle w:val="VerbatimChar"/>
        </w:rPr>
        <w:t>E4_Période</w:t>
      </w:r>
      <w:r>
        <w:t xml:space="preserve"> et de ses sous-classes plutôt que d</w:t>
      </w:r>
      <w:r w:rsidR="00E84B0E">
        <w:t>’</w:t>
      </w:r>
      <w:r>
        <w:t xml:space="preserve">utiliser </w:t>
      </w:r>
      <w:r>
        <w:rPr>
          <w:rStyle w:val="VerbatimChar"/>
        </w:rPr>
        <w:t>P160_a_pour_projection_temporelle (est_la_projection_temporelle_de)</w:t>
      </w:r>
      <w:r>
        <w:t>.</w:t>
      </w:r>
    </w:p>
    <w:p w14:paraId="0038D3BF" w14:textId="77777777" w:rsidR="00065317" w:rsidRDefault="005C7BF7">
      <w:pPr>
        <w:pStyle w:val="Corpsdetexte"/>
      </w:pPr>
      <w:r>
        <w:rPr>
          <w:i/>
          <w:iCs/>
        </w:rPr>
        <w:t>Relations de présence</w:t>
      </w:r>
    </w:p>
    <w:p w14:paraId="1F1FE748" w14:textId="4EE2B6DB" w:rsidR="00065317" w:rsidRDefault="005C7BF7">
      <w:pPr>
        <w:pStyle w:val="Corpsdetexte"/>
      </w:pPr>
      <w:r>
        <w:t xml:space="preserve">Les instances de </w:t>
      </w:r>
      <w:r>
        <w:rPr>
          <w:rStyle w:val="VerbatimChar"/>
        </w:rPr>
        <w:t>E93_Présence</w:t>
      </w:r>
      <w:r>
        <w:t xml:space="preserve"> sont des instances spécialisées de </w:t>
      </w:r>
      <w:r>
        <w:rPr>
          <w:rStyle w:val="VerbatimChar"/>
        </w:rPr>
        <w:t>E92_Volume_spatio-temporel</w:t>
      </w:r>
      <w:r>
        <w:t xml:space="preserve"> qui sont identiques à l</w:t>
      </w:r>
      <w:r w:rsidR="00E84B0E">
        <w:t>’</w:t>
      </w:r>
      <w:r>
        <w:t>évolution spatiale d</w:t>
      </w:r>
      <w:r w:rsidR="00E84B0E">
        <w:t>’</w:t>
      </w:r>
      <w:r>
        <w:t xml:space="preserve">un volume spatio-temporel plus large spécifié par la propriété </w:t>
      </w:r>
      <w:r>
        <w:rPr>
          <w:rStyle w:val="VerbatimChar"/>
        </w:rPr>
        <w:t>P166_a_été_une_présence_de (a_eu_pour_présence)</w:t>
      </w:r>
      <w:r>
        <w:t xml:space="preserve">, mais délimité par un intervalle temporel généralement court par la propriété </w:t>
      </w:r>
      <w:r>
        <w:rPr>
          <w:rStyle w:val="VerbatimChar"/>
        </w:rPr>
        <w:t>P164_est_temporellement_spécifié_par (spécifie_temporellement)</w:t>
      </w:r>
      <w:r>
        <w:t>. Il s</w:t>
      </w:r>
      <w:r w:rsidR="00E84B0E">
        <w:t>’</w:t>
      </w:r>
      <w:r>
        <w:t>agit donc d</w:t>
      </w:r>
      <w:r w:rsidR="00E84B0E">
        <w:t>’</w:t>
      </w:r>
      <w:r>
        <w:t>instantanés ou de « tranches » temporelles d</w:t>
      </w:r>
      <w:r w:rsidR="00E84B0E">
        <w:t>’</w:t>
      </w:r>
      <w:r>
        <w:t>un autre volume spatio-temporel (p. ex. l</w:t>
      </w:r>
      <w:r w:rsidR="00E84B0E">
        <w:t>’</w:t>
      </w:r>
      <w:r>
        <w:t>étendue de l</w:t>
      </w:r>
      <w:r w:rsidR="00E84B0E">
        <w:t>’</w:t>
      </w:r>
      <w:r>
        <w:t>empire romain durant l</w:t>
      </w:r>
      <w:r w:rsidR="00E84B0E">
        <w:t>’</w:t>
      </w:r>
      <w:r>
        <w:t xml:space="preserve">année 30 EC). Les instances de </w:t>
      </w:r>
      <w:r>
        <w:rPr>
          <w:rStyle w:val="VerbatimChar"/>
        </w:rPr>
        <w:t>E93_Présence</w:t>
      </w:r>
      <w:r>
        <w:t xml:space="preserve"> sont donc des construits spécifiques de modélisation qui décrivent précisément où une chose s</w:t>
      </w:r>
      <w:r w:rsidR="00E84B0E">
        <w:t>’</w:t>
      </w:r>
      <w:r>
        <w:t>est produite ou s</w:t>
      </w:r>
      <w:r w:rsidR="00E84B0E">
        <w:t>’</w:t>
      </w:r>
      <w:r>
        <w:t xml:space="preserve">est trouvée à un moment ou </w:t>
      </w:r>
      <w:r w:rsidR="008D39EE">
        <w:t>intervalle</w:t>
      </w:r>
      <w:r>
        <w:t xml:space="preserve"> temporel particulier, et ce grâce à la </w:t>
      </w:r>
      <w:r>
        <w:lastRenderedPageBreak/>
        <w:t xml:space="preserve">propriété </w:t>
      </w:r>
      <w:r>
        <w:rPr>
          <w:rStyle w:val="VerbatimChar"/>
        </w:rPr>
        <w:t>P161_a_pour_projection_spatiale (est_la_projection_spatiale_de)</w:t>
      </w:r>
      <w:r>
        <w:t>. Ce construit particulier permet de décrire les emplacements d</w:t>
      </w:r>
      <w:r w:rsidR="00E84B0E">
        <w:t>’</w:t>
      </w:r>
      <w:r>
        <w:t>objets mobiles à différentes étapes (p. ex. l</w:t>
      </w:r>
      <w:r w:rsidR="00E84B0E">
        <w:t>’</w:t>
      </w:r>
      <w:r>
        <w:t>os d</w:t>
      </w:r>
      <w:r w:rsidR="00E84B0E">
        <w:t>’</w:t>
      </w:r>
      <w:r>
        <w:t>un saint qui s</w:t>
      </w:r>
      <w:r w:rsidR="00E84B0E">
        <w:t>’</w:t>
      </w:r>
      <w:r>
        <w:t xml:space="preserve">est trouvé dans une réserve muséale, dans un palace, dans le sol, ou transporté dans un conteneur). </w:t>
      </w:r>
      <w:r w:rsidR="00EB3960">
        <w:t>Aux</w:t>
      </w:r>
      <w:r>
        <w:t xml:space="preserve"> fins de simplicité, un raccourci pour </w:t>
      </w:r>
      <w:r>
        <w:rPr>
          <w:rStyle w:val="VerbatimChar"/>
        </w:rPr>
        <w:t>E18_Chose_matérielle</w:t>
      </w:r>
      <w:r>
        <w:t xml:space="preserve"> est défini directement à travers l</w:t>
      </w:r>
      <w:r w:rsidR="00E84B0E">
        <w:t>’</w:t>
      </w:r>
      <w:r>
        <w:t xml:space="preserve">usage de la propriété </w:t>
      </w:r>
      <w:r>
        <w:rPr>
          <w:rStyle w:val="VerbatimChar"/>
        </w:rPr>
        <w:t>P195_a_été_une_présence_de (a_eu_pour_présence)</w:t>
      </w:r>
      <w:r>
        <w:t>, ce qui permet d</w:t>
      </w:r>
      <w:r w:rsidR="00E84B0E">
        <w:t>’</w:t>
      </w:r>
      <w:r>
        <w:t>outrepasser la définition de son volume spatio-temporel.</w:t>
      </w:r>
    </w:p>
    <w:p w14:paraId="25F88508" w14:textId="77777777" w:rsidR="00065317" w:rsidRDefault="005C7BF7">
      <w:pPr>
        <w:pStyle w:val="Corpsdetexte"/>
      </w:pPr>
      <w:r>
        <w:rPr>
          <w:i/>
          <w:iCs/>
        </w:rPr>
        <w:t>Relations topologiques</w:t>
      </w:r>
    </w:p>
    <w:p w14:paraId="0BDE0C03" w14:textId="73D99E14" w:rsidR="00ED0DFB" w:rsidRDefault="005C7BF7" w:rsidP="00AC5E6E">
      <w:pPr>
        <w:pStyle w:val="Corpsdetexte"/>
      </w:pPr>
      <w:r>
        <w:t>Finalement, le modèle définit des relations topologiques spatio-temporelles grâce à l</w:t>
      </w:r>
      <w:r w:rsidR="00E84B0E">
        <w:t>’</w:t>
      </w:r>
      <w:r>
        <w:t xml:space="preserve">usage de la propriété </w:t>
      </w:r>
      <w:r>
        <w:rPr>
          <w:rStyle w:val="VerbatimChar"/>
        </w:rPr>
        <w:t>P10_s</w:t>
      </w:r>
      <w:r w:rsidR="00E84B0E">
        <w:rPr>
          <w:rStyle w:val="VerbatimChar"/>
        </w:rPr>
        <w:t>’</w:t>
      </w:r>
      <w:r>
        <w:rPr>
          <w:rStyle w:val="VerbatimChar"/>
        </w:rPr>
        <w:t>insère_dans (contient)</w:t>
      </w:r>
      <w:r>
        <w:t xml:space="preserve"> qui inclut entièrement un volume spatio-temporel dans un autre. </w:t>
      </w:r>
      <w:r w:rsidR="00714434">
        <w:t>Cela</w:t>
      </w:r>
      <w:r>
        <w:t xml:space="preserve"> n</w:t>
      </w:r>
      <w:r w:rsidR="00E84B0E">
        <w:t>’</w:t>
      </w:r>
      <w:r>
        <w:t>équivaut cependant pas à l</w:t>
      </w:r>
      <w:r w:rsidR="00E84B0E">
        <w:t>’</w:t>
      </w:r>
      <w:r>
        <w:t>inclusion de projections temporelles et spatiales qui peuvent être de plus grande ampleur (p. ex. en 14 EC, la mésopotamie n</w:t>
      </w:r>
      <w:r w:rsidR="00E84B0E">
        <w:t>’</w:t>
      </w:r>
      <w:r>
        <w:t>était pas dans l</w:t>
      </w:r>
      <w:r w:rsidR="00E84B0E">
        <w:t>’</w:t>
      </w:r>
      <w:r>
        <w:t xml:space="preserve">empire romain). En outre, la propriété </w:t>
      </w:r>
      <w:r>
        <w:rPr>
          <w:rStyle w:val="VerbatimChar"/>
        </w:rPr>
        <w:t>P132_recoupe_spatio-temporellement</w:t>
      </w:r>
      <w:r>
        <w:t xml:space="preserve"> et sa négation </w:t>
      </w:r>
      <w:r>
        <w:rPr>
          <w:rStyle w:val="VerbatimChar"/>
        </w:rPr>
        <w:t>P133_est_distinct_spatio-temporellement_de</w:t>
      </w:r>
      <w:r>
        <w:t xml:space="preserve"> sont fondamentales lorsqu</w:t>
      </w:r>
      <w:r w:rsidR="00E84B0E">
        <w:t>’</w:t>
      </w:r>
      <w:r>
        <w:t>il est question de continuité possible, de relation partie-tout, etc.</w:t>
      </w:r>
    </w:p>
    <w:p w14:paraId="70D5E8BC" w14:textId="4C058C24" w:rsidR="00065317" w:rsidRDefault="005C7BF7">
      <w:pPr>
        <w:pStyle w:val="Normalcentr"/>
      </w:pPr>
      <w:r>
        <w:rPr>
          <w:b/>
          <w:bCs/>
          <w:i/>
          <w:iCs/>
        </w:rPr>
        <w:t>Note de traduction</w:t>
      </w:r>
    </w:p>
    <w:p w14:paraId="2EAD88B8" w14:textId="7E926C22" w:rsidR="00065317" w:rsidRDefault="005C7BF7" w:rsidP="00D746C9">
      <w:pPr>
        <w:pStyle w:val="Normalcentr"/>
      </w:pPr>
      <w:r>
        <w:rPr>
          <w:b/>
          <w:bCs/>
          <w:i/>
          <w:iCs/>
        </w:rPr>
        <w:t>Références</w:t>
      </w:r>
    </w:p>
    <w:p w14:paraId="5262C014" w14:textId="77777777" w:rsidR="00065317" w:rsidRDefault="005C7BF7" w:rsidP="00AC5E6E">
      <w:pPr>
        <w:pStyle w:val="Titre3"/>
      </w:pPr>
      <w:bookmarkStart w:id="86" w:name="_Toc154048728"/>
      <w:bookmarkStart w:id="87" w:name="construits-specifiques-de-modelisation"/>
      <w:bookmarkEnd w:id="79"/>
      <w:bookmarkEnd w:id="85"/>
      <w:r>
        <w:t>Construits spécifiques de modélisation</w:t>
      </w:r>
      <w:bookmarkEnd w:id="86"/>
    </w:p>
    <w:p w14:paraId="316F92D0" w14:textId="3C7780D9" w:rsidR="00065317" w:rsidRDefault="005C7BF7" w:rsidP="00AC5E6E">
      <w:pPr>
        <w:pStyle w:val="Titre4"/>
      </w:pPr>
      <w:bookmarkStart w:id="88" w:name="_Toc154048729"/>
      <w:bookmarkStart w:id="89" w:name="des-types"/>
      <w:r>
        <w:t xml:space="preserve">Des </w:t>
      </w:r>
      <w:r w:rsidR="00AC5E6E">
        <w:t>ty</w:t>
      </w:r>
      <w:r>
        <w:t>pes</w:t>
      </w:r>
      <w:bookmarkEnd w:id="88"/>
    </w:p>
    <w:p w14:paraId="205FFD59" w14:textId="613B24D8" w:rsidR="00065317" w:rsidRDefault="005C7BF7">
      <w:pPr>
        <w:pStyle w:val="FirstParagraph"/>
      </w:pPr>
      <w:r>
        <w:t>La plupart des descriptions structurées d</w:t>
      </w:r>
      <w:r w:rsidR="00E84B0E">
        <w:t>’</w:t>
      </w:r>
      <w:r>
        <w:t>objets muséaux sont initiées par la création d</w:t>
      </w:r>
      <w:r w:rsidR="00E84B0E">
        <w:t>’</w:t>
      </w:r>
      <w:r>
        <w:t>un identifiant et d</w:t>
      </w:r>
      <w:r w:rsidR="00E84B0E">
        <w:t>’</w:t>
      </w:r>
      <w:r>
        <w:t>information au sujet du type de cet objet, information qui est recensée dans des champs tels que « classification », « catégorie », « type d</w:t>
      </w:r>
      <w:r w:rsidR="00E84B0E">
        <w:t>’</w:t>
      </w:r>
      <w:r>
        <w:t>objet », « nom d</w:t>
      </w:r>
      <w:r w:rsidR="00E84B0E">
        <w:t>’</w:t>
      </w:r>
      <w:r>
        <w:t>objet », etc. Ces champs sont utilisés afin de recenser des termes qui déclarent que l</w:t>
      </w:r>
      <w:r w:rsidR="00E84B0E">
        <w:t>’</w:t>
      </w:r>
      <w:r>
        <w:t xml:space="preserve">objet appartient à une catégorie particulière. Dans le </w:t>
      </w:r>
      <w:r w:rsidR="00C8288F">
        <w:t>CIDOC CRM</w:t>
      </w:r>
      <w:r>
        <w:t xml:space="preserve">, la classe </w:t>
      </w:r>
      <w:r>
        <w:rPr>
          <w:rStyle w:val="VerbatimChar"/>
        </w:rPr>
        <w:t>E55_Type</w:t>
      </w:r>
      <w:r>
        <w:t xml:space="preserve"> accommode de tels termes issus de vocabulaires contrôlés et de thésauri utilisés afin de classifier et de caractériser des instances de classes du </w:t>
      </w:r>
      <w:r w:rsidR="00C8288F">
        <w:t>CIDOC CRM</w:t>
      </w:r>
      <w:r>
        <w:t xml:space="preserve">. Ces instances de </w:t>
      </w:r>
      <w:r>
        <w:rPr>
          <w:rStyle w:val="VerbatimChar"/>
        </w:rPr>
        <w:t>E55_Type</w:t>
      </w:r>
      <w:r>
        <w:t xml:space="preserve"> représentent des concepts (universaux) qui se distinguent d</w:t>
      </w:r>
      <w:r w:rsidR="00E84B0E">
        <w:t>’</w:t>
      </w:r>
      <w:r>
        <w:t xml:space="preserve">instances de </w:t>
      </w:r>
      <w:r>
        <w:rPr>
          <w:rStyle w:val="VerbatimChar"/>
        </w:rPr>
        <w:t>E41_Appellation</w:t>
      </w:r>
      <w:r>
        <w:t xml:space="preserve"> qui sont utilisées pour nommer les instances de classes du </w:t>
      </w:r>
      <w:r w:rsidR="00C8288F">
        <w:t>CIDOC CRM</w:t>
      </w:r>
      <w:r>
        <w:t>.</w:t>
      </w:r>
    </w:p>
    <w:p w14:paraId="1D86F343" w14:textId="0F185605" w:rsidR="00065317" w:rsidRDefault="005C7BF7">
      <w:pPr>
        <w:pStyle w:val="Corpsdetexte"/>
      </w:pPr>
      <w:r>
        <w:t xml:space="preserve">Le </w:t>
      </w:r>
      <w:r w:rsidR="00C8288F">
        <w:t>CIDOC CRM</w:t>
      </w:r>
      <w:r>
        <w:t xml:space="preserve"> offre à cette fin deux propriétés de base qui décrivent une classification terminologique et qui correspondent aux pratiques courantes de la majorité des systèmes d</w:t>
      </w:r>
      <w:r w:rsidR="00E84B0E">
        <w:t>’</w:t>
      </w:r>
      <w:r>
        <w:t>information :</w:t>
      </w:r>
    </w:p>
    <w:p w14:paraId="5D2F0018" w14:textId="34A2A0C2" w:rsidR="00065317" w:rsidRDefault="005C7BF7">
      <w:pPr>
        <w:numPr>
          <w:ilvl w:val="0"/>
          <w:numId w:val="44"/>
        </w:numPr>
      </w:pPr>
      <w:r>
        <w:t xml:space="preserve">La propriété </w:t>
      </w:r>
      <w:r>
        <w:rPr>
          <w:rStyle w:val="VerbatimChar"/>
        </w:rPr>
        <w:t>P2_a_pour_type (est_le_type_de)</w:t>
      </w:r>
      <w:r>
        <w:t xml:space="preserve"> qui a pour domaine la classe </w:t>
      </w:r>
      <w:r>
        <w:rPr>
          <w:rStyle w:val="VerbatimChar"/>
        </w:rPr>
        <w:t>E1_Entité_CRM</w:t>
      </w:r>
      <w:r>
        <w:t xml:space="preserve"> et pour portée la classe </w:t>
      </w:r>
      <w:r>
        <w:rPr>
          <w:rStyle w:val="VerbatimChar"/>
        </w:rPr>
        <w:t>E55_Type</w:t>
      </w:r>
      <w:r>
        <w:t xml:space="preserve">. Ainsi, chaque classe du </w:t>
      </w:r>
      <w:r w:rsidR="00C8288F">
        <w:t>CIDOC CRM</w:t>
      </w:r>
      <w:r>
        <w:t xml:space="preserve"> à l</w:t>
      </w:r>
      <w:r w:rsidR="00E84B0E">
        <w:t>’</w:t>
      </w:r>
      <w:r>
        <w:t xml:space="preserve">exception de </w:t>
      </w:r>
      <w:r>
        <w:rPr>
          <w:rStyle w:val="VerbatimChar"/>
        </w:rPr>
        <w:t>E59_Valeur_primitive</w:t>
      </w:r>
      <w:r>
        <w:t xml:space="preserve"> hérite la propriété </w:t>
      </w:r>
      <w:r>
        <w:rPr>
          <w:rStyle w:val="VerbatimChar"/>
        </w:rPr>
        <w:t>P2_a_pour_type (est_le_type_de)</w:t>
      </w:r>
      <w:r>
        <w:t xml:space="preserve">. </w:t>
      </w:r>
      <w:r w:rsidR="00714434">
        <w:t>Cela</w:t>
      </w:r>
      <w:r>
        <w:t xml:space="preserve"> offre un mécanisme alternatif à la spécialisation de la classification des instances du </w:t>
      </w:r>
      <w:r w:rsidR="00C8288F">
        <w:t>CIDOC CRM</w:t>
      </w:r>
      <w:r>
        <w:t xml:space="preserve"> à des niveaux de détails divers en pointant plutôt vers des sources externes sous la forme de vocabulaires, de thésauri, de schèmes de classification ou d</w:t>
      </w:r>
      <w:r w:rsidR="00E84B0E">
        <w:t>’</w:t>
      </w:r>
      <w:r>
        <w:t>ontologies.</w:t>
      </w:r>
    </w:p>
    <w:p w14:paraId="6F237FBE" w14:textId="7B02282B" w:rsidR="00065317" w:rsidRDefault="005C7BF7">
      <w:pPr>
        <w:numPr>
          <w:ilvl w:val="0"/>
          <w:numId w:val="44"/>
        </w:numPr>
      </w:pPr>
      <w:r>
        <w:t xml:space="preserve">Certaines propriétés du </w:t>
      </w:r>
      <w:r w:rsidR="00C8288F">
        <w:t>CIDOC CRM</w:t>
      </w:r>
      <w:r>
        <w:t xml:space="preserve"> sont supplémentées d</w:t>
      </w:r>
      <w:r w:rsidR="00E84B0E">
        <w:t>’</w:t>
      </w:r>
      <w:r>
        <w:t xml:space="preserve">une fonction analogue à </w:t>
      </w:r>
      <w:r>
        <w:rPr>
          <w:rStyle w:val="VerbatimChar"/>
        </w:rPr>
        <w:t>P2_a_pour_type (est_le_type_de)</w:t>
      </w:r>
      <w:r>
        <w:t xml:space="preserve"> et identifiées par le suffixe « </w:t>
      </w:r>
      <w:r>
        <w:rPr>
          <w:rStyle w:val="VerbatimChar"/>
        </w:rPr>
        <w:t>.1</w:t>
      </w:r>
      <w:r>
        <w:t> ». La fonction d</w:t>
      </w:r>
      <w:r w:rsidR="00E84B0E">
        <w:t>’</w:t>
      </w:r>
      <w:r>
        <w:t>une propriété de propriété est d</w:t>
      </w:r>
      <w:r w:rsidR="00E84B0E">
        <w:t>’</w:t>
      </w:r>
      <w:r>
        <w:t>offrir un mécanisme alternatif à la spécialisation du domaine d</w:t>
      </w:r>
      <w:r w:rsidR="00E84B0E">
        <w:t>’</w:t>
      </w:r>
      <w:r>
        <w:t>une propriété par l</w:t>
      </w:r>
      <w:r w:rsidR="00E84B0E">
        <w:t>’</w:t>
      </w:r>
      <w:r>
        <w:t>usage de sous-types déclarés sous forme d</w:t>
      </w:r>
      <w:r w:rsidR="00E84B0E">
        <w:t>’</w:t>
      </w:r>
      <w:r>
        <w:t xml:space="preserve">instances de </w:t>
      </w:r>
      <w:r>
        <w:rPr>
          <w:rStyle w:val="VerbatimChar"/>
        </w:rPr>
        <w:t>E55_Type</w:t>
      </w:r>
      <w:r>
        <w:t>. ces propriétés « </w:t>
      </w:r>
      <w:r>
        <w:rPr>
          <w:rStyle w:val="VerbatimChar"/>
        </w:rPr>
        <w:t>.1</w:t>
      </w:r>
      <w:r>
        <w:t> » n</w:t>
      </w:r>
      <w:r w:rsidR="00E84B0E">
        <w:t>’</w:t>
      </w:r>
      <w:r>
        <w:t xml:space="preserve">apparaissent pas dans la </w:t>
      </w:r>
      <w:hyperlink w:anchor="Xfa26a3180f7f9118e21f9a2d0cf4da6528b79d7">
        <w:r>
          <w:rPr>
            <w:rStyle w:val="Lienhypertexte"/>
          </w:rPr>
          <w:t xml:space="preserve">Liste hiérarchisée des propriétés du </w:t>
        </w:r>
        <w:r w:rsidR="00C8288F">
          <w:rPr>
            <w:rStyle w:val="Lienhypertexte"/>
          </w:rPr>
          <w:t>CIDOC CRM</w:t>
        </w:r>
      </w:hyperlink>
      <w:r>
        <w:t xml:space="preserve">, mais elles sont incluses dans les déclarations de </w:t>
      </w:r>
      <w:hyperlink w:anchor="terminologie-classe">
        <w:r>
          <w:rPr>
            <w:rStyle w:val="Lienhypertexte"/>
          </w:rPr>
          <w:t>classes</w:t>
        </w:r>
      </w:hyperlink>
      <w:r>
        <w:t xml:space="preserve"> et de </w:t>
      </w:r>
      <w:hyperlink w:anchor="terminologie-propriete">
        <w:r>
          <w:rPr>
            <w:rStyle w:val="Lienhypertexte"/>
          </w:rPr>
          <w:t>propriétés</w:t>
        </w:r>
      </w:hyperlink>
      <w:r>
        <w:t xml:space="preserve">. Par exemple, </w:t>
      </w:r>
      <w:r>
        <w:rPr>
          <w:rStyle w:val="VerbatimChar"/>
        </w:rPr>
        <w:t>P62.1_mode_d</w:t>
      </w:r>
      <w:r w:rsidR="00E84B0E">
        <w:rPr>
          <w:rStyle w:val="VerbatimChar"/>
        </w:rPr>
        <w:t>’</w:t>
      </w:r>
      <w:r>
        <w:rPr>
          <w:rStyle w:val="VerbatimChar"/>
        </w:rPr>
        <w:t>illustration</w:t>
      </w:r>
      <w:r>
        <w:t xml:space="preserve"> : </w:t>
      </w:r>
      <w:r>
        <w:rPr>
          <w:rStyle w:val="VerbatimChar"/>
        </w:rPr>
        <w:t>E55_Type</w:t>
      </w:r>
      <w:r>
        <w:t xml:space="preserve"> est associé avec </w:t>
      </w:r>
      <w:r>
        <w:rPr>
          <w:rStyle w:val="VerbatimChar"/>
        </w:rPr>
        <w:t>E24_Chose_matérielle_élaborée_par_l</w:t>
      </w:r>
      <w:r w:rsidR="00E84B0E">
        <w:rPr>
          <w:rStyle w:val="VerbatimChar"/>
        </w:rPr>
        <w:t>’</w:t>
      </w:r>
      <w:r>
        <w:rPr>
          <w:rStyle w:val="VerbatimChar"/>
        </w:rPr>
        <w:t>humain</w:t>
      </w:r>
      <w:r>
        <w:t xml:space="preserve">. </w:t>
      </w:r>
      <w:r>
        <w:rPr>
          <w:rStyle w:val="VerbatimChar"/>
        </w:rPr>
        <w:t>P62_illustre (est_illustré_par)</w:t>
      </w:r>
      <w:r>
        <w:t xml:space="preserve"> : </w:t>
      </w:r>
      <w:r>
        <w:rPr>
          <w:rStyle w:val="VerbatimChar"/>
        </w:rPr>
        <w:t>E1_Entité_CRM</w:t>
      </w:r>
      <w:r>
        <w:t>.</w:t>
      </w:r>
    </w:p>
    <w:p w14:paraId="3FE892DC" w14:textId="7B74922D" w:rsidR="00065317" w:rsidRDefault="005C7BF7">
      <w:pPr>
        <w:pStyle w:val="FirstParagraph"/>
      </w:pPr>
      <w:r>
        <w:lastRenderedPageBreak/>
        <w:t xml:space="preserve">La classe </w:t>
      </w:r>
      <w:r>
        <w:rPr>
          <w:rStyle w:val="VerbatimChar"/>
        </w:rPr>
        <w:t>E55_Type</w:t>
      </w:r>
      <w:r>
        <w:t xml:space="preserve"> est la portée des propriétés qui portent sur des savoirs catégorisés fréquemment présents dans la documentation patrimoniale. Par exemple, la propriété </w:t>
      </w:r>
      <w:r>
        <w:rPr>
          <w:rStyle w:val="VerbatimChar"/>
        </w:rPr>
        <w:t>P125_a_mobilisé_l</w:t>
      </w:r>
      <w:r w:rsidR="00E84B0E">
        <w:rPr>
          <w:rStyle w:val="VerbatimChar"/>
        </w:rPr>
        <w:t>’</w:t>
      </w:r>
      <w:r>
        <w:rPr>
          <w:rStyle w:val="VerbatimChar"/>
        </w:rPr>
        <w:t>objet_du_type (a_été_le_type_d</w:t>
      </w:r>
      <w:r w:rsidR="00E84B0E">
        <w:rPr>
          <w:rStyle w:val="VerbatimChar"/>
        </w:rPr>
        <w:t>’</w:t>
      </w:r>
      <w:r>
        <w:rPr>
          <w:rStyle w:val="VerbatimChar"/>
        </w:rPr>
        <w:t>objet_employé_pour)</w:t>
      </w:r>
      <w:r>
        <w:t xml:space="preserve"> permet au </w:t>
      </w:r>
      <w:r w:rsidR="00C8288F">
        <w:t>CIDOC CRM</w:t>
      </w:r>
      <w:r>
        <w:t xml:space="preserve"> d</w:t>
      </w:r>
      <w:r w:rsidR="00E84B0E">
        <w:t>’</w:t>
      </w:r>
      <w:r>
        <w:t>exprimer des énoncés tels que « ce moulage a été produit grâce à un moule », ce qui veut dire qu</w:t>
      </w:r>
      <w:r w:rsidR="00E84B0E">
        <w:t>’</w:t>
      </w:r>
      <w:r>
        <w:t>un objet inconnu ou non</w:t>
      </w:r>
      <w:r w:rsidR="00AC5E6E">
        <w:t xml:space="preserve"> </w:t>
      </w:r>
      <w:r>
        <w:t xml:space="preserve">mentionné (le moule spécifique) a été utilisé. </w:t>
      </w:r>
      <w:r w:rsidR="00714434">
        <w:t>Cela</w:t>
      </w:r>
      <w:r>
        <w:t xml:space="preserve"> permet à l</w:t>
      </w:r>
      <w:r w:rsidR="00E84B0E">
        <w:t>’</w:t>
      </w:r>
      <w:r>
        <w:t>instance spécifique du moulage d</w:t>
      </w:r>
      <w:r w:rsidR="00E84B0E">
        <w:t>’</w:t>
      </w:r>
      <w:r>
        <w:t>être associée à des types d</w:t>
      </w:r>
      <w:r w:rsidR="00E84B0E">
        <w:t>’</w:t>
      </w:r>
      <w:r>
        <w:t xml:space="preserve">appareils manufacturiers, les moules. De plus, les objets de type « moule » peuvent être reliés à ce terme par la propriété </w:t>
      </w:r>
      <w:r>
        <w:rPr>
          <w:rStyle w:val="VerbatimChar"/>
        </w:rPr>
        <w:t>P2_a_pour_type (est_le_type_de)</w:t>
      </w:r>
      <w:r>
        <w:t>. Cette relation indirecte soutient la détection d</w:t>
      </w:r>
      <w:r w:rsidR="00E84B0E">
        <w:t>’</w:t>
      </w:r>
      <w:r>
        <w:t>objets inconnus dans un environnement intégré. D</w:t>
      </w:r>
      <w:r w:rsidR="00E84B0E">
        <w:t>’</w:t>
      </w:r>
      <w:r>
        <w:t>autre part, certains moulages peuvent référer directement à un moule particulier par l</w:t>
      </w:r>
      <w:r w:rsidR="00E84B0E">
        <w:t>’</w:t>
      </w:r>
      <w:r>
        <w:t xml:space="preserve">entremise de la propriété </w:t>
      </w:r>
      <w:r>
        <w:rPr>
          <w:rStyle w:val="VerbatimChar"/>
        </w:rPr>
        <w:t>P16_a_mobilisé_l</w:t>
      </w:r>
      <w:r w:rsidR="00E84B0E">
        <w:rPr>
          <w:rStyle w:val="VerbatimChar"/>
        </w:rPr>
        <w:t>’</w:t>
      </w:r>
      <w:r>
        <w:rPr>
          <w:rStyle w:val="VerbatimChar"/>
        </w:rPr>
        <w:t>objet_spécifique (a_été_mobilisé_pour)</w:t>
      </w:r>
      <w:r>
        <w:t xml:space="preserve"> de telle sorte qu</w:t>
      </w:r>
      <w:r w:rsidR="00E84B0E">
        <w:t>’</w:t>
      </w:r>
      <w:r>
        <w:t>une interrogation statistique quant au nombre d</w:t>
      </w:r>
      <w:r w:rsidR="00E84B0E">
        <w:t>’</w:t>
      </w:r>
      <w:r>
        <w:t>objets d</w:t>
      </w:r>
      <w:r w:rsidR="00E84B0E">
        <w:t>’</w:t>
      </w:r>
      <w:r>
        <w:t xml:space="preserve">une collection issus de moules pourrait être résolue correctement (grâce à deux chemins : </w:t>
      </w:r>
      <w:r>
        <w:rPr>
          <w:rStyle w:val="VerbatimChar"/>
        </w:rPr>
        <w:t>P16_a_mobilisé_l</w:t>
      </w:r>
      <w:r w:rsidR="00E84B0E">
        <w:rPr>
          <w:rStyle w:val="VerbatimChar"/>
        </w:rPr>
        <w:t>’</w:t>
      </w:r>
      <w:r>
        <w:rPr>
          <w:rStyle w:val="VerbatimChar"/>
        </w:rPr>
        <w:t>objet_spécifique (a_été_mobilisé_pour)</w:t>
      </w:r>
      <w:r>
        <w:t xml:space="preserve"> - </w:t>
      </w:r>
      <w:r>
        <w:rPr>
          <w:rStyle w:val="VerbatimChar"/>
        </w:rPr>
        <w:t>P2_a_pour_type (est_le_type_de)</w:t>
      </w:r>
      <w:r>
        <w:t xml:space="preserve"> et </w:t>
      </w:r>
      <w:r>
        <w:rPr>
          <w:rStyle w:val="VerbatimChar"/>
        </w:rPr>
        <w:t>P125_a_mobilisé_l</w:t>
      </w:r>
      <w:r w:rsidR="00E84B0E">
        <w:rPr>
          <w:rStyle w:val="VerbatimChar"/>
        </w:rPr>
        <w:t>’</w:t>
      </w:r>
      <w:r>
        <w:rPr>
          <w:rStyle w:val="VerbatimChar"/>
        </w:rPr>
        <w:t>objet_du_type (a_été_le_type_d</w:t>
      </w:r>
      <w:r w:rsidR="00E84B0E">
        <w:rPr>
          <w:rStyle w:val="VerbatimChar"/>
        </w:rPr>
        <w:t>’</w:t>
      </w:r>
      <w:r>
        <w:rPr>
          <w:rStyle w:val="VerbatimChar"/>
        </w:rPr>
        <w:t>objet_employé_pour)</w:t>
      </w:r>
      <w:r>
        <w:t>). Ce traitement cohérent de l</w:t>
      </w:r>
      <w:r w:rsidR="00E84B0E">
        <w:t>’</w:t>
      </w:r>
      <w:r>
        <w:t xml:space="preserve">information catégorisée accroît la capacité du </w:t>
      </w:r>
      <w:r w:rsidR="00C8288F">
        <w:t>CIDOC CRM</w:t>
      </w:r>
      <w:r>
        <w:t xml:space="preserve"> d</w:t>
      </w:r>
      <w:r w:rsidR="00E84B0E">
        <w:t>’</w:t>
      </w:r>
      <w:r>
        <w:t>intégrer de l</w:t>
      </w:r>
      <w:r w:rsidR="00E84B0E">
        <w:t>’</w:t>
      </w:r>
      <w:r>
        <w:t>information culturelle.</w:t>
      </w:r>
    </w:p>
    <w:p w14:paraId="5856DF0E" w14:textId="68DA9E8E" w:rsidR="00065317" w:rsidRDefault="005C7BF7">
      <w:pPr>
        <w:pStyle w:val="Corpsdetexte"/>
      </w:pPr>
      <w:r>
        <w:t xml:space="preserve">Les instances de </w:t>
      </w:r>
      <w:r>
        <w:rPr>
          <w:rStyle w:val="VerbatimChar"/>
        </w:rPr>
        <w:t>E55_Type</w:t>
      </w:r>
      <w:r>
        <w:t xml:space="preserve"> et de ses sous-classes peuvent être utilisées pour caractériser les instances de classe du </w:t>
      </w:r>
      <w:r w:rsidR="00C8288F">
        <w:t>CIDOC CRM</w:t>
      </w:r>
      <w:r>
        <w:t xml:space="preserve"> de manière à en affiner la définition. Un type « artiste » peut être utilisé pour caractériser une personne grâce à la propriété </w:t>
      </w:r>
      <w:r>
        <w:rPr>
          <w:rStyle w:val="VerbatimChar"/>
        </w:rPr>
        <w:t>P2_a_pour_type (est_le_type_de)</w:t>
      </w:r>
      <w:r>
        <w:t>, par exemple. Mais il serait aussi possible, dans le contexte de l</w:t>
      </w:r>
      <w:r w:rsidR="00E84B0E">
        <w:t>’</w:t>
      </w:r>
      <w:r>
        <w:t>histoire de l</w:t>
      </w:r>
      <w:r w:rsidR="00E84B0E">
        <w:t>’</w:t>
      </w:r>
      <w:r>
        <w:t>art, d</w:t>
      </w:r>
      <w:r w:rsidR="00E84B0E">
        <w:t>’</w:t>
      </w:r>
      <w:r>
        <w:t xml:space="preserve">étendre la classe </w:t>
      </w:r>
      <w:r>
        <w:rPr>
          <w:rStyle w:val="VerbatimChar"/>
        </w:rPr>
        <w:t>E21_Personne</w:t>
      </w:r>
      <w:r>
        <w:t xml:space="preserve"> avec une sous-classe </w:t>
      </w:r>
      <w:r>
        <w:rPr>
          <w:rStyle w:val="VerbatimChar"/>
        </w:rPr>
        <w:t>E21.xx_Artiste</w:t>
      </w:r>
      <w:r>
        <w:t>. D</w:t>
      </w:r>
      <w:r w:rsidR="00E84B0E">
        <w:t>’</w:t>
      </w:r>
      <w:r>
        <w:t>un point de vue conceptuel, il n</w:t>
      </w:r>
      <w:r w:rsidR="00E84B0E">
        <w:t>’</w:t>
      </w:r>
      <w:r>
        <w:t xml:space="preserve">y a pas de différence notable entre le type « artiste » et la classe Artiste car tous deux dénotent le concept « artiste » et identifient le même ensemble de personnes. Dans ce contexte, un type pourrait être envisagé comme une classe et une classe de types pourrait être considérée comme une métaclasse. Cependant, puisque les systèmes actuels ne permettent pas un contrôle adéquat de métaclasses définies par des utilisateurs, le </w:t>
      </w:r>
      <w:r w:rsidR="00C8288F">
        <w:t>CIDOC CRM</w:t>
      </w:r>
      <w:r>
        <w:t xml:space="preserve"> préfère modéliser des instances de </w:t>
      </w:r>
      <w:r>
        <w:rPr>
          <w:rStyle w:val="VerbatimChar"/>
        </w:rPr>
        <w:t>E55_Type</w:t>
      </w:r>
      <w:r>
        <w:t xml:space="preserve"> comme si elles étaient des particuliers, et ce grâce aux relations décrites dans les paragraphes précédents.</w:t>
      </w:r>
    </w:p>
    <w:p w14:paraId="17B813D3" w14:textId="3BF6C600" w:rsidR="00065317" w:rsidRDefault="005C7BF7">
      <w:pPr>
        <w:pStyle w:val="Corpsdetexte"/>
      </w:pPr>
      <w:r>
        <w:t>Les utilisateurs peuvent choisir d</w:t>
      </w:r>
      <w:r w:rsidR="00E84B0E">
        <w:t>’</w:t>
      </w:r>
      <w:r>
        <w:t>implémenter un concept en tant qu</w:t>
      </w:r>
      <w:r w:rsidR="00E84B0E">
        <w:t>’</w:t>
      </w:r>
      <w:r>
        <w:t xml:space="preserve">instance de </w:t>
      </w:r>
      <w:r>
        <w:rPr>
          <w:rStyle w:val="VerbatimChar"/>
        </w:rPr>
        <w:t>E55_Type</w:t>
      </w:r>
      <w:r>
        <w:t xml:space="preserve"> ou en tant que sous-classe étendant le système de classes du </w:t>
      </w:r>
      <w:r w:rsidR="00C8288F">
        <w:t>CIDOC CRM</w:t>
      </w:r>
      <w:r>
        <w:t>. Cette dernière option ne devrait être privilégiée que si le concept qu</w:t>
      </w:r>
      <w:r w:rsidR="00E84B0E">
        <w:t>’</w:t>
      </w:r>
      <w:r>
        <w:t>elle représente est suffisamment stable et associé à des propriétés additionnelles qui lui sont spécifiques et qui sont explicitement modelées (sans quoi l</w:t>
      </w:r>
      <w:r w:rsidR="00E84B0E">
        <w:t>’</w:t>
      </w:r>
      <w:r>
        <w:t xml:space="preserve">usage de </w:t>
      </w:r>
      <w:r>
        <w:rPr>
          <w:rStyle w:val="VerbatimChar"/>
        </w:rPr>
        <w:t>E55_Type</w:t>
      </w:r>
      <w:r>
        <w:t xml:space="preserve"> est préférable). Il est aussi possible que des utilisateurs souhaitent décrire un discours en étendant un concept du </w:t>
      </w:r>
      <w:r w:rsidR="00C8288F">
        <w:t>CIDOC CRM</w:t>
      </w:r>
      <w:r>
        <w:t xml:space="preserve"> et en décrivant l</w:t>
      </w:r>
      <w:r w:rsidR="00E84B0E">
        <w:t>’</w:t>
      </w:r>
      <w:r>
        <w:t>histoire de ce concept : ils peuvent alors modéliser ce même concept à la fois en tant que sous-classe et en tant qu</w:t>
      </w:r>
      <w:r w:rsidR="00E84B0E">
        <w:t>’</w:t>
      </w:r>
      <w:r>
        <w:t xml:space="preserve">instance de </w:t>
      </w:r>
      <w:r>
        <w:rPr>
          <w:rStyle w:val="VerbatimChar"/>
        </w:rPr>
        <w:t>E55_Type</w:t>
      </w:r>
      <w:r>
        <w:t xml:space="preserve"> du même nom. Il est de même recommandé d</w:t>
      </w:r>
      <w:r w:rsidR="00E84B0E">
        <w:t>’</w:t>
      </w:r>
      <w:r>
        <w:t xml:space="preserve">entrevoir pour chaque hiérarchie de termes affinant une classe de </w:t>
      </w:r>
      <w:r w:rsidR="00C8288F">
        <w:t>CIDOC CRM</w:t>
      </w:r>
      <w:r>
        <w:t xml:space="preserve"> un terme englobant équivalent à cette classe (p. ex. une hiérarchie de termes pour des instances de </w:t>
      </w:r>
      <w:r>
        <w:rPr>
          <w:rStyle w:val="VerbatimChar"/>
        </w:rPr>
        <w:t>E21_Personne</w:t>
      </w:r>
      <w:r>
        <w:t xml:space="preserve"> pourrait débuter avec « personne »).</w:t>
      </w:r>
    </w:p>
    <w:p w14:paraId="0BDD432C" w14:textId="4A7ECFBE" w:rsidR="008D39EE" w:rsidRDefault="005C7BF7">
      <w:pPr>
        <w:pStyle w:val="Corpsdetexte"/>
      </w:pPr>
      <w:r>
        <w:rPr>
          <w:rStyle w:val="VerbatimChar"/>
        </w:rPr>
        <w:t>E55_Type</w:t>
      </w:r>
      <w:r>
        <w:t xml:space="preserve"> agit comme une interface entre le </w:t>
      </w:r>
      <w:r w:rsidR="00C8288F">
        <w:t>CIDOC CRM</w:t>
      </w:r>
      <w:r>
        <w:t xml:space="preserve"> et les domaines spécifiques d</w:t>
      </w:r>
      <w:r w:rsidR="00E84B0E">
        <w:t>’</w:t>
      </w:r>
      <w:r>
        <w:t xml:space="preserve">ontologies, de thésauri, et de systèmes terminologiques moins formels. De tels ensembles de concepts peuvent être représentés dans le </w:t>
      </w:r>
      <w:r w:rsidR="00C8288F">
        <w:t>CIDOC CRM</w:t>
      </w:r>
      <w:r>
        <w:t xml:space="preserve"> comme des sous-classes de </w:t>
      </w:r>
      <w:r>
        <w:rPr>
          <w:rStyle w:val="VerbatimChar"/>
        </w:rPr>
        <w:t>E55_Type</w:t>
      </w:r>
      <w:r>
        <w:t xml:space="preserve"> afin de former des hiérarchies de termes (c.-à-d. des instances de </w:t>
      </w:r>
      <w:r>
        <w:rPr>
          <w:rStyle w:val="VerbatimChar"/>
        </w:rPr>
        <w:t>E55_Type</w:t>
      </w:r>
      <w:r>
        <w:t xml:space="preserve"> liées par l</w:t>
      </w:r>
      <w:r w:rsidR="00E84B0E">
        <w:t>’</w:t>
      </w:r>
      <w:r>
        <w:t xml:space="preserve">entremise de </w:t>
      </w:r>
      <w:r>
        <w:rPr>
          <w:rStyle w:val="VerbatimChar"/>
        </w:rPr>
        <w:t>P127_a_pour_terme_général (a_pour_terme_spécifique)</w:t>
      </w:r>
      <w:r>
        <w:t>). De telles hiérarchies peuvent en outre être supplémentées de propriétés. D</w:t>
      </w:r>
      <w:r w:rsidR="00E84B0E">
        <w:t>’</w:t>
      </w:r>
      <w:r>
        <w:t xml:space="preserve">autres standards peuvent aussi être utilisés afin de décrire des systèmes terminologiques du moment que ces modèles sont sémantiquement compatibles avec le </w:t>
      </w:r>
      <w:r w:rsidR="00C8288F">
        <w:t>CIDOC CRM</w:t>
      </w:r>
      <w:r>
        <w:t xml:space="preserve"> : il faut alors déclarer leurs classes conceptuelles comme équivalentes à </w:t>
      </w:r>
      <w:r>
        <w:rPr>
          <w:rStyle w:val="VerbatimChar"/>
        </w:rPr>
        <w:t>E55_Type</w:t>
      </w:r>
      <w:r>
        <w:t xml:space="preserve"> et leurs relations de généralité-spécificité comme équivalentes à </w:t>
      </w:r>
      <w:r>
        <w:rPr>
          <w:rStyle w:val="VerbatimChar"/>
        </w:rPr>
        <w:t>P127_a_pour_terme_général (a_pour_terme_spécifique)</w:t>
      </w:r>
      <w:r>
        <w:t>.</w:t>
      </w:r>
    </w:p>
    <w:p w14:paraId="5C79DF77" w14:textId="271F73B6" w:rsidR="00065317" w:rsidRDefault="008D39EE" w:rsidP="008D39EE">
      <w:pPr>
        <w:spacing w:after="0"/>
      </w:pPr>
      <w:r>
        <w:br w:type="page"/>
      </w:r>
    </w:p>
    <w:p w14:paraId="4266A755" w14:textId="687C4DFE" w:rsidR="00065317" w:rsidRDefault="005C7BF7">
      <w:pPr>
        <w:pStyle w:val="Corpsdetexte"/>
      </w:pPr>
      <w:r>
        <w:lastRenderedPageBreak/>
        <w:t xml:space="preserve">Dans certains cas, en particulier en archéologie ou en sciences de la vie, </w:t>
      </w:r>
      <w:r>
        <w:rPr>
          <w:rStyle w:val="VerbatimChar"/>
        </w:rPr>
        <w:t>E83_Création_de_type</w:t>
      </w:r>
      <w:r>
        <w:t xml:space="preserve"> nécessite l</w:t>
      </w:r>
      <w:r w:rsidR="00E84B0E">
        <w:t>’</w:t>
      </w:r>
      <w:r>
        <w:t>identification d</w:t>
      </w:r>
      <w:r w:rsidR="00E84B0E">
        <w:t>’</w:t>
      </w:r>
      <w:r>
        <w:t>un spécimen de référence et la publication de la définition de son type dans un forum de discussion scientifique approprié. L</w:t>
      </w:r>
      <w:r w:rsidR="00E84B0E">
        <w:t>’</w:t>
      </w:r>
      <w:r>
        <w:t xml:space="preserve">activité modélisée comme une instance de </w:t>
      </w:r>
      <w:r>
        <w:rPr>
          <w:rStyle w:val="VerbatimChar"/>
        </w:rPr>
        <w:t>E83_Création_de_type</w:t>
      </w:r>
      <w:r>
        <w:t xml:space="preserve"> est essentielle à la recherche en sciences de la vie. Dans ce domaine, le « taxon » fait référence au type, le «</w:t>
      </w:r>
      <w:r w:rsidR="00916E12">
        <w:t> </w:t>
      </w:r>
      <w:r>
        <w:t>protologue » à la description du type et le « type original » ou « holotype » aux spécimens de référence</w:t>
      </w:r>
      <w:r w:rsidR="00AC5E6E">
        <w:t>.</w:t>
      </w:r>
    </w:p>
    <w:p w14:paraId="772E3221" w14:textId="1290A139" w:rsidR="00065317" w:rsidRDefault="005C7BF7">
      <w:pPr>
        <w:pStyle w:val="Corpsdetexte"/>
      </w:pPr>
      <w:r>
        <w:t xml:space="preserve">Finalement, des instances de </w:t>
      </w:r>
      <w:r>
        <w:rPr>
          <w:rStyle w:val="VerbatimChar"/>
        </w:rPr>
        <w:t>E55_Type</w:t>
      </w:r>
      <w:r>
        <w:t xml:space="preserve"> ou de ses sous-classes peuvent décrire des éléments universaux depuis des systèmes de catégorisation qui ne prennent pas la forme d</w:t>
      </w:r>
      <w:r w:rsidR="00E84B0E">
        <w:t>’</w:t>
      </w:r>
      <w:r>
        <w:t>ontologies ou de thésauri, comme c</w:t>
      </w:r>
      <w:r w:rsidR="00E84B0E">
        <w:t>’</w:t>
      </w:r>
      <w:r>
        <w:t>est le cas de types et de noms de produits industriels qui sont définis et publiés par leurs producteurs pour chaque nouveau produit ou dérivé.</w:t>
      </w:r>
    </w:p>
    <w:p w14:paraId="42461C6A" w14:textId="77777777" w:rsidR="00065317" w:rsidRDefault="005C7BF7">
      <w:pPr>
        <w:pStyle w:val="Normalcentr"/>
      </w:pPr>
      <w:r>
        <w:rPr>
          <w:b/>
          <w:bCs/>
          <w:i/>
          <w:iCs/>
        </w:rPr>
        <w:t>Note de traduction</w:t>
      </w:r>
    </w:p>
    <w:p w14:paraId="16BCF53D" w14:textId="77777777" w:rsidR="00065317" w:rsidRDefault="005C7BF7">
      <w:pPr>
        <w:pStyle w:val="Normalcentr"/>
      </w:pPr>
      <w:r>
        <w:rPr>
          <w:b/>
          <w:bCs/>
          <w:i/>
          <w:iCs/>
        </w:rPr>
        <w:t>Références</w:t>
      </w:r>
    </w:p>
    <w:p w14:paraId="6A18D9C2" w14:textId="77777777" w:rsidR="00065317" w:rsidRDefault="005C7BF7" w:rsidP="00AC5E6E">
      <w:pPr>
        <w:pStyle w:val="Titre4"/>
      </w:pPr>
      <w:bookmarkStart w:id="90" w:name="_Toc154048730"/>
      <w:bookmarkStart w:id="91" w:name="X6d72a89fa54b9010b0e3c47640f19595c3e80f8"/>
      <w:bookmarkEnd w:id="89"/>
      <w:r>
        <w:t>Des relations temporelles primitives fondées sur des frontières floues</w:t>
      </w:r>
      <w:bookmarkEnd w:id="90"/>
    </w:p>
    <w:p w14:paraId="5666D4F2" w14:textId="76DA457F" w:rsidR="00065317" w:rsidRDefault="005C7BF7">
      <w:pPr>
        <w:pStyle w:val="FirstParagraph"/>
      </w:pPr>
      <w:r>
        <w:t>Il est fréquent que des sciences traitant du passé, comme l</w:t>
      </w:r>
      <w:r w:rsidR="00E84B0E">
        <w:t>’</w:t>
      </w:r>
      <w:r>
        <w:t>histoire, l</w:t>
      </w:r>
      <w:r w:rsidR="00E84B0E">
        <w:t>’</w:t>
      </w:r>
      <w:r>
        <w:t>archéologie ou la géologie, dérivent des relations topologiques depuis des stratigraphies, d</w:t>
      </w:r>
      <w:r w:rsidR="00E84B0E">
        <w:t>’</w:t>
      </w:r>
      <w:r>
        <w:t xml:space="preserve">autres observations ou des causalités entre des évènements. La version 3.3 du </w:t>
      </w:r>
      <w:r w:rsidR="00C8288F">
        <w:t>CIDOC CRM</w:t>
      </w:r>
      <w:r>
        <w:t xml:space="preserve"> a donc intégré des ensembles de relations temporelles basés sur la logique de Allen (les propriétés maintenant dépréciées </w:t>
      </w:r>
      <w:r>
        <w:rPr>
          <w:rStyle w:val="VerbatimChar"/>
        </w:rPr>
        <w:t>P114_est_temporellement_équivalent_à</w:t>
      </w:r>
      <w:r>
        <w:t xml:space="preserve">, </w:t>
      </w:r>
      <w:r>
        <w:rPr>
          <w:rStyle w:val="VerbatimChar"/>
        </w:rPr>
        <w:t>P115_termine (est_terminé_par)</w:t>
      </w:r>
      <w:r>
        <w:t xml:space="preserve">, </w:t>
      </w:r>
      <w:r>
        <w:rPr>
          <w:rStyle w:val="VerbatimChar"/>
        </w:rPr>
        <w:t>P116_commence (est_commencé_par)</w:t>
      </w:r>
      <w:r>
        <w:t xml:space="preserve">, </w:t>
      </w:r>
      <w:r>
        <w:rPr>
          <w:rStyle w:val="VerbatimChar"/>
        </w:rPr>
        <w:t>P117_se_produit_durant (inclut)</w:t>
      </w:r>
      <w:r>
        <w:t xml:space="preserve">, </w:t>
      </w:r>
      <w:r>
        <w:rPr>
          <w:rStyle w:val="VerbatimChar"/>
        </w:rPr>
        <w:t>P118_recoupe_temporellement (est_recoupé_temporellement_par)</w:t>
      </w:r>
      <w:r>
        <w:t xml:space="preserve">, </w:t>
      </w:r>
      <w:r>
        <w:rPr>
          <w:rStyle w:val="VerbatimChar"/>
        </w:rPr>
        <w:t>P119_rencontre_temporellement (est_rencontré_temporellement_par)</w:t>
      </w:r>
      <w:r>
        <w:t xml:space="preserve"> et </w:t>
      </w:r>
      <w:r>
        <w:rPr>
          <w:rStyle w:val="VerbatimChar"/>
        </w:rPr>
        <w:t>P120_se_produit_avant (se_produit_après)</w:t>
      </w:r>
      <w:r>
        <w:t>) qui était à l</w:t>
      </w:r>
      <w:r w:rsidR="00E84B0E">
        <w:t>’</w:t>
      </w:r>
      <w:r>
        <w:t>époque la théorie la plus exhaustive et adéquate pour traiter de relations topologiques ayant égard à des phénomènes spatio-temporels de nature historique et culturelle. La logique temporelle de Allen émane de l</w:t>
      </w:r>
      <w:r w:rsidR="00E84B0E">
        <w:t>’</w:t>
      </w:r>
      <w:r>
        <w:t>idée que les frontières d</w:t>
      </w:r>
      <w:r w:rsidR="00E84B0E">
        <w:t>’</w:t>
      </w:r>
      <w:r>
        <w:t>intervalles temporels sont connues et décrites par un ensemble exhaustif de relations mutuellement exclusives.</w:t>
      </w:r>
    </w:p>
    <w:p w14:paraId="42043037" w14:textId="6D3279EE" w:rsidR="00065317" w:rsidRDefault="005C7BF7">
      <w:pPr>
        <w:pStyle w:val="Corpsdetexte"/>
      </w:pPr>
      <w:r>
        <w:t>Néanmoins, plusieurs relations temporelles peuvent être induites de faits (p. ex. la naissance d</w:t>
      </w:r>
      <w:r w:rsidR="00E84B0E">
        <w:t>’</w:t>
      </w:r>
      <w:r>
        <w:t>une personne précède nécessairement son interaction intentionnelle avec une autre) ou d</w:t>
      </w:r>
      <w:r w:rsidR="00E84B0E">
        <w:t>’</w:t>
      </w:r>
      <w:r>
        <w:t>observations effectuées sur des éléments matériels dont la temporalité absolue est inconnue. C</w:t>
      </w:r>
      <w:r w:rsidR="00E84B0E">
        <w:t>’</w:t>
      </w:r>
      <w:r>
        <w:t xml:space="preserve">est la raison pour laquelle les relations temporelles du </w:t>
      </w:r>
      <w:r w:rsidR="00C8288F">
        <w:t>CIDOC CRM</w:t>
      </w:r>
      <w:r>
        <w:t xml:space="preserve"> s</w:t>
      </w:r>
      <w:r w:rsidR="00E84B0E">
        <w:t>’</w:t>
      </w:r>
      <w:r>
        <w:t xml:space="preserve">articulent autour des entités </w:t>
      </w:r>
      <w:r>
        <w:rPr>
          <w:rStyle w:val="VerbatimChar"/>
        </w:rPr>
        <w:t>E2_Entité_temporelle</w:t>
      </w:r>
      <w:r>
        <w:t xml:space="preserve"> et non des entités </w:t>
      </w:r>
      <w:r>
        <w:rPr>
          <w:rStyle w:val="VerbatimChar"/>
        </w:rPr>
        <w:t>E52_Intervalle_temporel</w:t>
      </w:r>
      <w:r>
        <w:t>, lesquelles nécessitent la connaissance d</w:t>
      </w:r>
      <w:r w:rsidR="00E84B0E">
        <w:t>’</w:t>
      </w:r>
      <w:r>
        <w:t>une temporalité absolue. Dans l</w:t>
      </w:r>
      <w:r w:rsidR="00E84B0E">
        <w:t>’</w:t>
      </w:r>
      <w:r>
        <w:t xml:space="preserve">éventualité où une temporalité absolue est connue, la déduction des relations de Allen relève de calculs automatisés plutôt que de considérations scientifiques (ces dernières constituant le cœur du </w:t>
      </w:r>
      <w:r w:rsidR="00C8288F">
        <w:t>CIDOC CRM</w:t>
      </w:r>
      <w:r>
        <w:t>). Cependant, l</w:t>
      </w:r>
      <w:r w:rsidR="00E84B0E">
        <w:t>’</w:t>
      </w:r>
      <w:r>
        <w:t>application de ces calculs est problématique pour deux raisons :</w:t>
      </w:r>
    </w:p>
    <w:p w14:paraId="35BA81D4" w14:textId="7B7EF481" w:rsidR="00065317" w:rsidRDefault="005C7BF7">
      <w:pPr>
        <w:pStyle w:val="Corpsdetexte"/>
      </w:pPr>
      <w:r>
        <w:t>En premier lieu, les faits de causalité pertinents à des relations temporelles résultent fréquemment en des expressions qui nécessitent une disjonction (condition logique « ou ») des relations d</w:t>
      </w:r>
      <w:r w:rsidR="00E84B0E">
        <w:t>’</w:t>
      </w:r>
      <w:r>
        <w:t>Allen. Par exemple, un enfant peut être mort-né. En faisant fi des étapes de la grossesse comme c</w:t>
      </w:r>
      <w:r w:rsidR="00E84B0E">
        <w:t>’</w:t>
      </w:r>
      <w:r>
        <w:t xml:space="preserve">est souvent le cas dans les sources historiques, la naissance peut être considérée soit comme un évènement égal à la mort, soit comme une rencontre avec la mort, soit comme un évènement qui précède la mort. La représentation formelle choisie ne doit cependant pas permettre de spécifier des disjonctions sauf dans le cadre de requêtes. Par conséquent, de simples propriétés du </w:t>
      </w:r>
      <w:r w:rsidR="00C8288F">
        <w:t>CIDOC CRM</w:t>
      </w:r>
      <w:r>
        <w:t xml:space="preserve"> qui impliquent un ordre temporel, comme </w:t>
      </w:r>
      <w:r>
        <w:rPr>
          <w:rStyle w:val="VerbatimChar"/>
        </w:rPr>
        <w:t>P134_a_continué (a_été_continué_par)</w:t>
      </w:r>
      <w:r>
        <w:t>, ne peuvent pas être déclarées sous-propriétés de relations temporelles qu</w:t>
      </w:r>
      <w:r w:rsidR="00E84B0E">
        <w:t>’</w:t>
      </w:r>
      <w:r>
        <w:t xml:space="preserve">elles impliquent, ce qui équivaudrait à « se déroule avant, rencontre, chevauche, démarre, démarré par, contient, finit, fini par, est égal à, durant ou chevauché par » (voir </w:t>
      </w:r>
      <w:r>
        <w:rPr>
          <w:rStyle w:val="VerbatimChar"/>
        </w:rPr>
        <w:t>P174_commence_avant_la_fin_de (se_termine_après_le_début_de)</w:t>
      </w:r>
      <w:r>
        <w:t>).</w:t>
      </w:r>
    </w:p>
    <w:p w14:paraId="4F135F4E" w14:textId="7F747089" w:rsidR="00065317" w:rsidRDefault="005C7BF7">
      <w:pPr>
        <w:pStyle w:val="Corpsdetexte"/>
      </w:pPr>
      <w:r>
        <w:t>En second lieu, il n</w:t>
      </w:r>
      <w:r w:rsidR="00E84B0E">
        <w:t>’</w:t>
      </w:r>
      <w:r>
        <w:t>est pas naturellement possible d</w:t>
      </w:r>
      <w:r w:rsidR="00E84B0E">
        <w:t>’</w:t>
      </w:r>
      <w:r>
        <w:t>observer l</w:t>
      </w:r>
      <w:r w:rsidR="00E84B0E">
        <w:t>’</w:t>
      </w:r>
      <w:r>
        <w:t xml:space="preserve">égalité de points temporels, un fait qui peut être interprété de trois manières qui impliquent toutes des frontières floues et qui sont toutes cohérentes avec la version actuelle du </w:t>
      </w:r>
      <w:r w:rsidR="00C8288F">
        <w:t>CIDOC CRM</w:t>
      </w:r>
      <w:r>
        <w:t xml:space="preserve"> :</w:t>
      </w:r>
    </w:p>
    <w:p w14:paraId="353C2381" w14:textId="0DF14E74" w:rsidR="00065317" w:rsidRDefault="005C7BF7">
      <w:pPr>
        <w:numPr>
          <w:ilvl w:val="0"/>
          <w:numId w:val="45"/>
        </w:numPr>
      </w:pPr>
      <w:r>
        <w:lastRenderedPageBreak/>
        <w:t>Tout phénomène observable qui peut être daté a une étendue temporelle naturelle marquée par des frontières floues qui établissent une transition graduelle depuis un état de non-existence vers un état d</w:t>
      </w:r>
      <w:r w:rsidR="00E84B0E">
        <w:t>’</w:t>
      </w:r>
      <w:r>
        <w:t>existence établie suivie d</w:t>
      </w:r>
      <w:r w:rsidR="00E84B0E">
        <w:t>’</w:t>
      </w:r>
      <w:r>
        <w:t>un état d</w:t>
      </w:r>
      <w:r w:rsidR="00E84B0E">
        <w:t>’</w:t>
      </w:r>
      <w:r>
        <w:t>existence révolue.</w:t>
      </w:r>
    </w:p>
    <w:p w14:paraId="5F2AE27B" w14:textId="5530CE7C" w:rsidR="00065317" w:rsidRDefault="005C7BF7">
      <w:pPr>
        <w:numPr>
          <w:ilvl w:val="0"/>
          <w:numId w:val="45"/>
        </w:numPr>
      </w:pPr>
      <w:r>
        <w:t>Ces frontières floues peuvent aussi être interprétées comme des intervalles temporels au sujet desquels des experts peuvent être en désaccord quant à l</w:t>
      </w:r>
      <w:r w:rsidR="00E84B0E">
        <w:t>’</w:t>
      </w:r>
      <w:r>
        <w:t>état (déjà en cours ou non, toujours en cours ou non), et ce même s</w:t>
      </w:r>
      <w:r w:rsidR="00E84B0E">
        <w:t>’</w:t>
      </w:r>
      <w:r>
        <w:t>ils ont une connaissance complète d</w:t>
      </w:r>
      <w:r w:rsidR="00E84B0E">
        <w:t>’</w:t>
      </w:r>
      <w:r>
        <w:t>un phénomène en question.</w:t>
      </w:r>
    </w:p>
    <w:p w14:paraId="0B3F61A1" w14:textId="2DCDD07F" w:rsidR="00065317" w:rsidRDefault="005C7BF7">
      <w:pPr>
        <w:numPr>
          <w:ilvl w:val="0"/>
          <w:numId w:val="45"/>
        </w:numPr>
      </w:pPr>
      <w:r>
        <w:t>Le fait qu</w:t>
      </w:r>
      <w:r w:rsidR="00E84B0E">
        <w:t>’</w:t>
      </w:r>
      <w:r>
        <w:t xml:space="preserve">une instance de </w:t>
      </w:r>
      <w:r>
        <w:rPr>
          <w:rStyle w:val="VerbatimChar"/>
        </w:rPr>
        <w:t>E2_Entité_temporelle</w:t>
      </w:r>
      <w:r>
        <w:t xml:space="preserve"> soit en cours n</w:t>
      </w:r>
      <w:r w:rsidR="00E84B0E">
        <w:t>’</w:t>
      </w:r>
      <w:r>
        <w:t>est pas observable durant ces frontières temporelles floues.</w:t>
      </w:r>
    </w:p>
    <w:p w14:paraId="199101E8" w14:textId="77777777" w:rsidR="00065317" w:rsidRDefault="005C7BF7">
      <w:pPr>
        <w:pStyle w:val="FirstParagraph"/>
      </w:pPr>
      <w:r>
        <w:t>Par exemple :</w:t>
      </w:r>
    </w:p>
    <w:p w14:paraId="6B02DF65" w14:textId="1C015321" w:rsidR="00065317" w:rsidRDefault="005C7BF7">
      <w:pPr>
        <w:numPr>
          <w:ilvl w:val="0"/>
          <w:numId w:val="46"/>
        </w:numPr>
      </w:pPr>
      <w:r>
        <w:t>Un accouchement a une durée limitée et non</w:t>
      </w:r>
      <w:r w:rsidR="00AC5E6E">
        <w:t xml:space="preserve"> </w:t>
      </w:r>
      <w:r>
        <w:t>négligeable de plusieurs heures durant laquelle l</w:t>
      </w:r>
      <w:r w:rsidR="00E84B0E">
        <w:t>’</w:t>
      </w:r>
      <w:r>
        <w:t>évènement commence et se termine graduellement</w:t>
      </w:r>
      <w:r w:rsidR="00AC5E6E">
        <w:t>.</w:t>
      </w:r>
    </w:p>
    <w:p w14:paraId="684115C8" w14:textId="79DEDDEB" w:rsidR="00065317" w:rsidRDefault="005C7BF7">
      <w:pPr>
        <w:numPr>
          <w:ilvl w:val="0"/>
          <w:numId w:val="46"/>
        </w:numPr>
      </w:pPr>
      <w:r>
        <w:t>Son début et sa fin peuvent être qualifiés de définitions scientifiques déterminant leurs points temporels</w:t>
      </w:r>
      <w:r w:rsidR="00AC5E6E">
        <w:t>.</w:t>
      </w:r>
    </w:p>
    <w:p w14:paraId="23ED8FAC" w14:textId="30C0CB6E" w:rsidR="00065317" w:rsidRDefault="005C7BF7">
      <w:pPr>
        <w:numPr>
          <w:ilvl w:val="0"/>
          <w:numId w:val="46"/>
        </w:numPr>
      </w:pPr>
      <w:r>
        <w:t>Ni l</w:t>
      </w:r>
      <w:r w:rsidR="00E84B0E">
        <w:t>’</w:t>
      </w:r>
      <w:r>
        <w:t>un ni l</w:t>
      </w:r>
      <w:r w:rsidR="00E84B0E">
        <w:t>’</w:t>
      </w:r>
      <w:r>
        <w:t>autre de ces points temporels ne peut être déterminé plus précisément qu</w:t>
      </w:r>
      <w:r w:rsidR="00E84B0E">
        <w:t>’</w:t>
      </w:r>
      <w:r>
        <w:t>à l</w:t>
      </w:r>
      <w:r w:rsidR="00E84B0E">
        <w:t>’</w:t>
      </w:r>
      <w:r>
        <w:t>échelle des minutes.</w:t>
      </w:r>
    </w:p>
    <w:p w14:paraId="6BAD702E" w14:textId="5D113AEE" w:rsidR="00065317" w:rsidRDefault="005C7BF7">
      <w:pPr>
        <w:pStyle w:val="FirstParagraph"/>
      </w:pPr>
      <w:r>
        <w:t>Les frontières floues ne décrivent pas la relation entre la réalité et des connaissances incomplètes ou imprécises et adopter une granularité temporelle inférieure ne résout pas ce problème puisque l</w:t>
      </w:r>
      <w:r w:rsidR="00E84B0E">
        <w:t>’</w:t>
      </w:r>
      <w:r>
        <w:t>étendue floue pertinente varie grandement en fonction du phénomène considéré, y compris dans le contexte culturel. La seule équivalence exacte est entre des intervalles temporels déclarés arbitrairement (p. ex. la fin d</w:t>
      </w:r>
      <w:r w:rsidR="00E84B0E">
        <w:t>’</w:t>
      </w:r>
      <w:r>
        <w:t>une année étant le début de la suivante, la fin du min</w:t>
      </w:r>
      <w:r w:rsidR="00C012B4">
        <w:t>œ</w:t>
      </w:r>
      <w:r>
        <w:t>n ancien étant le début du min</w:t>
      </w:r>
      <w:r w:rsidR="00C012B4">
        <w:t>œ</w:t>
      </w:r>
      <w:r>
        <w:t>n moyen peu importe le moment où celui-ci a commencé). Conséquemment, un nouvel ensemble de relations temporelles primitives est doté des caractéristiques suivantes :</w:t>
      </w:r>
    </w:p>
    <w:p w14:paraId="77B5857A" w14:textId="6FAF683E" w:rsidR="00065317" w:rsidRDefault="005C7BF7">
      <w:pPr>
        <w:numPr>
          <w:ilvl w:val="0"/>
          <w:numId w:val="47"/>
        </w:numPr>
      </w:pPr>
      <w:r>
        <w:t>Cet ensemble minimal de propriétés permet de spécifier toutes les relations possibles entre deux intervalles temporels tels qu</w:t>
      </w:r>
      <w:r w:rsidR="00E84B0E">
        <w:t>’</w:t>
      </w:r>
      <w:r>
        <w:t>ils sont définis par leur point de début et de fin, que ce soit directement ou par conjonction (condition logique « et »)</w:t>
      </w:r>
      <w:r w:rsidR="00AC5E6E">
        <w:t>.</w:t>
      </w:r>
    </w:p>
    <w:p w14:paraId="09CE8166" w14:textId="373F0CBB" w:rsidR="00065317" w:rsidRDefault="005C7BF7">
      <w:pPr>
        <w:numPr>
          <w:ilvl w:val="0"/>
          <w:numId w:val="47"/>
        </w:numPr>
      </w:pPr>
      <w:r>
        <w:t>Les points de début et de fin sont interprétés comme des frontières floues « épaisses »</w:t>
      </w:r>
      <w:r w:rsidR="00AC5E6E">
        <w:t>.</w:t>
      </w:r>
    </w:p>
    <w:p w14:paraId="5246E512" w14:textId="08D845AB" w:rsidR="00065317" w:rsidRDefault="005C7BF7">
      <w:pPr>
        <w:numPr>
          <w:ilvl w:val="0"/>
          <w:numId w:val="47"/>
        </w:numPr>
      </w:pPr>
      <w:r>
        <w:t>Les conditions d</w:t>
      </w:r>
      <w:r w:rsidR="00E84B0E">
        <w:t>’</w:t>
      </w:r>
      <w:r>
        <w:t>égalité des points temporels externes sont étendues au point où les frontières floues se recouvrent de sorte que la connaissance de la forme de la fonction floue n</w:t>
      </w:r>
      <w:r w:rsidR="00E84B0E">
        <w:t>’</w:t>
      </w:r>
      <w:r>
        <w:t>est pas nécessaire</w:t>
      </w:r>
      <w:r w:rsidR="00AC5E6E">
        <w:t>.</w:t>
      </w:r>
    </w:p>
    <w:p w14:paraId="04CEB42A" w14:textId="6BF55B87" w:rsidR="00065317" w:rsidRDefault="005C7BF7">
      <w:pPr>
        <w:numPr>
          <w:ilvl w:val="0"/>
          <w:numId w:val="47"/>
        </w:numPr>
      </w:pPr>
      <w:r>
        <w:t>Toutes les relations d</w:t>
      </w:r>
      <w:r w:rsidR="00E84B0E">
        <w:t>’</w:t>
      </w:r>
      <w:r>
        <w:t>Allen peuvent être exprimées directement ou par conjonction des propriétés concernées</w:t>
      </w:r>
      <w:r w:rsidR="00AC5E6E">
        <w:t>.</w:t>
      </w:r>
    </w:p>
    <w:p w14:paraId="08E273D2" w14:textId="3EC542E7" w:rsidR="00065317" w:rsidRDefault="005C7BF7">
      <w:pPr>
        <w:numPr>
          <w:ilvl w:val="0"/>
          <w:numId w:val="47"/>
        </w:numPr>
      </w:pPr>
      <w:r>
        <w:t>Dans le cas des intervalles temporels n</w:t>
      </w:r>
      <w:r w:rsidR="00E84B0E">
        <w:t>’</w:t>
      </w:r>
      <w:r>
        <w:t>ayant pas de frontières floues courtes ou n</w:t>
      </w:r>
      <w:r w:rsidR="00E84B0E">
        <w:t>’</w:t>
      </w:r>
      <w:r>
        <w:t>en ayant que des négligeables, toutes les relations de Allen peuvent être décrites par des conjonctions adéquates des propriétés concernées</w:t>
      </w:r>
      <w:r w:rsidR="00AC5E6E">
        <w:t>.</w:t>
      </w:r>
    </w:p>
    <w:p w14:paraId="7281FA7B" w14:textId="661DF082" w:rsidR="008D39EE" w:rsidRDefault="005C7BF7">
      <w:pPr>
        <w:numPr>
          <w:ilvl w:val="0"/>
          <w:numId w:val="47"/>
        </w:numPr>
      </w:pPr>
      <w:r>
        <w:t>Aucune relation n</w:t>
      </w:r>
      <w:r w:rsidR="00E84B0E">
        <w:t>’</w:t>
      </w:r>
      <w:r>
        <w:t>est l</w:t>
      </w:r>
      <w:r w:rsidR="00E84B0E">
        <w:t>’</w:t>
      </w:r>
      <w:r>
        <w:t>équivalent de l</w:t>
      </w:r>
      <w:r w:rsidR="00E84B0E">
        <w:t>’</w:t>
      </w:r>
      <w:r>
        <w:t>inverse d</w:t>
      </w:r>
      <w:r w:rsidR="00E84B0E">
        <w:t>’</w:t>
      </w:r>
      <w:r>
        <w:t>une autre de sorte que les inverses sont plutôt spécifiées par l</w:t>
      </w:r>
      <w:r w:rsidR="00E84B0E">
        <w:t>’</w:t>
      </w:r>
      <w:r>
        <w:t>inversion du domaine et de la portée.</w:t>
      </w:r>
    </w:p>
    <w:p w14:paraId="2778F363" w14:textId="1D28ABCE" w:rsidR="00065317" w:rsidRDefault="008D39EE" w:rsidP="008D39EE">
      <w:pPr>
        <w:spacing w:after="0"/>
      </w:pPr>
      <w:r>
        <w:br w:type="page"/>
      </w:r>
    </w:p>
    <w:p w14:paraId="7F732D8D" w14:textId="77777777" w:rsidR="00065317" w:rsidRDefault="005C7BF7">
      <w:pPr>
        <w:pStyle w:val="Normalcentr"/>
      </w:pPr>
      <w:r>
        <w:rPr>
          <w:b/>
          <w:bCs/>
          <w:i/>
          <w:iCs/>
        </w:rPr>
        <w:lastRenderedPageBreak/>
        <w:t>Note de traduction</w:t>
      </w:r>
    </w:p>
    <w:p w14:paraId="00A77795" w14:textId="77777777" w:rsidR="00065317" w:rsidRDefault="005C7BF7">
      <w:pPr>
        <w:pStyle w:val="Normalcentr"/>
      </w:pPr>
      <w:r>
        <w:t>La traduction des propriétés dépréciées (</w:t>
      </w:r>
      <w:r>
        <w:rPr>
          <w:rStyle w:val="VerbatimChar"/>
        </w:rPr>
        <w:t>P114_est_temporellement_équivalent_à</w:t>
      </w:r>
      <w:r>
        <w:t xml:space="preserve">, </w:t>
      </w:r>
      <w:r>
        <w:rPr>
          <w:rStyle w:val="VerbatimChar"/>
        </w:rPr>
        <w:t>P115_termine (est_terminé_par)</w:t>
      </w:r>
      <w:r>
        <w:t xml:space="preserve">, </w:t>
      </w:r>
      <w:r>
        <w:rPr>
          <w:rStyle w:val="VerbatimChar"/>
        </w:rPr>
        <w:t>P116_commence (est_commencé_par)</w:t>
      </w:r>
      <w:r>
        <w:t xml:space="preserve">, </w:t>
      </w:r>
      <w:r>
        <w:rPr>
          <w:rStyle w:val="VerbatimChar"/>
        </w:rPr>
        <w:t>P117_se_produit_durant (inclut)</w:t>
      </w:r>
      <w:r>
        <w:t xml:space="preserve">, </w:t>
      </w:r>
      <w:r>
        <w:rPr>
          <w:rStyle w:val="VerbatimChar"/>
        </w:rPr>
        <w:t>P118_recoupe_temporellement (est_recoupé_temporellement_par)</w:t>
      </w:r>
      <w:r>
        <w:t xml:space="preserve">, </w:t>
      </w:r>
      <w:r>
        <w:rPr>
          <w:rStyle w:val="VerbatimChar"/>
        </w:rPr>
        <w:t>P119_rencontre_temporellement (est_rencontré_temporellement_par)</w:t>
      </w:r>
      <w:r>
        <w:t xml:space="preserve"> et </w:t>
      </w:r>
      <w:r>
        <w:rPr>
          <w:rStyle w:val="VerbatimChar"/>
        </w:rPr>
        <w:t>P120_se_produit_avant (se_produit_après)</w:t>
      </w:r>
      <w:r>
        <w:t>) est basée sur les libellés originaux de la version 6.2.</w:t>
      </w:r>
    </w:p>
    <w:p w14:paraId="33A33E43" w14:textId="77777777" w:rsidR="00065317" w:rsidRPr="00EC2D6E" w:rsidRDefault="005C7BF7">
      <w:pPr>
        <w:pStyle w:val="Normalcentr"/>
        <w:rPr>
          <w:lang w:val="en-CA"/>
        </w:rPr>
      </w:pPr>
      <w:r w:rsidRPr="00EC2D6E">
        <w:rPr>
          <w:b/>
          <w:bCs/>
          <w:i/>
          <w:iCs/>
          <w:lang w:val="en-CA"/>
        </w:rPr>
        <w:t>Références</w:t>
      </w:r>
    </w:p>
    <w:p w14:paraId="18984D7C" w14:textId="0B4F28B8" w:rsidR="00065317" w:rsidRPr="006E6C31" w:rsidRDefault="005C7BF7" w:rsidP="001A5982">
      <w:pPr>
        <w:pStyle w:val="Normalcentr"/>
        <w:ind w:left="482" w:right="482"/>
        <w:rPr>
          <w:lang w:val="en-CA"/>
        </w:rPr>
      </w:pPr>
      <w:r w:rsidRPr="00EC2D6E">
        <w:rPr>
          <w:lang w:val="en-CA"/>
        </w:rPr>
        <w:t xml:space="preserve">« Definition of the CIDOC Conceptual Reference Model ». Modèle. Paris, FR-IDF: </w:t>
      </w:r>
      <w:r w:rsidR="00C8288F">
        <w:rPr>
          <w:lang w:val="en-CA"/>
        </w:rPr>
        <w:t>CIDOC CRM</w:t>
      </w:r>
      <w:r w:rsidRPr="00EC2D6E">
        <w:rPr>
          <w:lang w:val="en-CA"/>
        </w:rPr>
        <w:t xml:space="preserve"> Special Interest Group,</w:t>
      </w:r>
      <w:r w:rsidR="00056DCD">
        <w:rPr>
          <w:lang w:val="en-CA"/>
        </w:rPr>
        <w:t> mai </w:t>
      </w:r>
      <w:r w:rsidRPr="00EC2D6E">
        <w:rPr>
          <w:lang w:val="en-CA"/>
        </w:rPr>
        <w:t>2015.</w:t>
      </w:r>
      <w:hyperlink r:id="rId140">
        <w:r w:rsidRPr="00EC2D6E">
          <w:rPr>
            <w:rStyle w:val="Lienhypertexte"/>
            <w:lang w:val="en-CA"/>
          </w:rPr>
          <w:t xml:space="preserve"> </w:t>
        </w:r>
      </w:hyperlink>
      <w:hyperlink r:id="rId141">
        <w:r w:rsidRPr="006E6C31">
          <w:rPr>
            <w:rStyle w:val="Lienhypertexte"/>
            <w:lang w:val="en-CA"/>
          </w:rPr>
          <w:t>https://cidoc-crm.org/sites/default/files/cidoc_crm_version_6.2.pdf</w:t>
        </w:r>
      </w:hyperlink>
      <w:r w:rsidRPr="006E6C31">
        <w:rPr>
          <w:lang w:val="en-CA"/>
        </w:rPr>
        <w:t>.</w:t>
      </w:r>
    </w:p>
    <w:p w14:paraId="25E1556B" w14:textId="77777777" w:rsidR="00065317" w:rsidRDefault="005C7BF7" w:rsidP="001A5982">
      <w:pPr>
        <w:pStyle w:val="Titre4"/>
        <w:spacing w:before="140"/>
      </w:pPr>
      <w:bookmarkStart w:id="92" w:name="_Toc154048731"/>
      <w:bookmarkStart w:id="93" w:name="notation"/>
      <w:r>
        <w:t>Notation</w:t>
      </w:r>
      <w:bookmarkEnd w:id="92"/>
    </w:p>
    <w:p w14:paraId="5096B104" w14:textId="6F1574DD" w:rsidR="00065317" w:rsidRDefault="005C7BF7" w:rsidP="001A5982">
      <w:pPr>
        <w:pStyle w:val="FirstParagraph"/>
        <w:spacing w:before="140" w:after="140"/>
      </w:pPr>
      <w:r>
        <w:t xml:space="preserve">Lors de la comparaison de deux instances de </w:t>
      </w:r>
      <w:r>
        <w:rPr>
          <w:rStyle w:val="VerbatimChar"/>
        </w:rPr>
        <w:t>E2_Entité_temporelle</w:t>
      </w:r>
      <w:r>
        <w:t xml:space="preserve"> l</w:t>
      </w:r>
      <w:r w:rsidR="00E84B0E">
        <w:t>’</w:t>
      </w:r>
      <w:r>
        <w:t>une est identifiée par une lettre majuscule suivie de ses début et fin (flous) indiqués en exposants (A</w:t>
      </w:r>
      <w:r>
        <w:rPr>
          <w:vertAlign w:val="superscript"/>
        </w:rPr>
        <w:t>début</w:t>
      </w:r>
      <w:r>
        <w:t>, A</w:t>
      </w:r>
      <w:r>
        <w:rPr>
          <w:vertAlign w:val="superscript"/>
        </w:rPr>
        <w:t>fin</w:t>
      </w:r>
      <w:r>
        <w:t>) de telle sorte que A = [A</w:t>
      </w:r>
      <w:r>
        <w:rPr>
          <w:vertAlign w:val="superscript"/>
        </w:rPr>
        <w:t>début</w:t>
      </w:r>
      <w:r>
        <w:t>, A</w:t>
      </w:r>
      <w:r>
        <w:rPr>
          <w:vertAlign w:val="superscript"/>
        </w:rPr>
        <w:t>fin</w:t>
      </w:r>
      <w:r>
        <w:t>] et B = [B</w:t>
      </w:r>
      <w:r>
        <w:rPr>
          <w:vertAlign w:val="superscript"/>
        </w:rPr>
        <w:t>début</w:t>
      </w:r>
      <w:r>
        <w:t>, B</w:t>
      </w:r>
      <w:r>
        <w:rPr>
          <w:vertAlign w:val="superscript"/>
        </w:rPr>
        <w:t>fin</w:t>
      </w:r>
      <w:r>
        <w:t>].</w:t>
      </w:r>
    </w:p>
    <w:p w14:paraId="4011BF0E" w14:textId="6F9A0E11" w:rsidR="00065317" w:rsidRDefault="005C7BF7" w:rsidP="001A5982">
      <w:pPr>
        <w:pStyle w:val="Corpsdetexte"/>
        <w:spacing w:before="140" w:after="140"/>
      </w:pPr>
      <w:r>
        <w:t>La relation temporelle est identif</w:t>
      </w:r>
      <w:r w:rsidR="009A5B0E">
        <w:t>i</w:t>
      </w:r>
      <w:r>
        <w:t>ée à l</w:t>
      </w:r>
      <w:r w:rsidR="00E84B0E">
        <w:t>’</w:t>
      </w:r>
      <w:r>
        <w:t>aide d</w:t>
      </w:r>
      <w:r w:rsidR="00E84B0E">
        <w:t>’</w:t>
      </w:r>
      <w:r>
        <w:t>un prédicat nommé (libellé) défini par une ou plusieurs expressions d</w:t>
      </w:r>
      <w:r w:rsidR="00E84B0E">
        <w:t>’</w:t>
      </w:r>
      <w:r>
        <w:t>(in)égalité entre les points terminaux de telle sorte que :</w:t>
      </w:r>
    </w:p>
    <w:p w14:paraId="03DB6118" w14:textId="77777777" w:rsidR="00065317" w:rsidRDefault="005C7BF7" w:rsidP="001A5982">
      <w:pPr>
        <w:pStyle w:val="Corpsdetexte"/>
        <w:spacing w:before="140" w:after="140"/>
      </w:pPr>
      <w:r>
        <w:t xml:space="preserve">A </w:t>
      </w:r>
      <w:r>
        <w:rPr>
          <w:i/>
          <w:iCs/>
        </w:rPr>
        <w:t>commence avant la fin de</w:t>
      </w:r>
      <w:r>
        <w:t xml:space="preserve"> B si et seulement si (⇔) A</w:t>
      </w:r>
      <w:r>
        <w:rPr>
          <w:vertAlign w:val="superscript"/>
        </w:rPr>
        <w:t>début</w:t>
      </w:r>
      <w:r>
        <w:t xml:space="preserve"> &lt; B</w:t>
      </w:r>
      <w:r>
        <w:rPr>
          <w:vertAlign w:val="superscript"/>
        </w:rPr>
        <w:t>fin</w:t>
      </w:r>
    </w:p>
    <w:p w14:paraId="12288381" w14:textId="02E76AEF" w:rsidR="00065317" w:rsidRDefault="005C7BF7" w:rsidP="001A5982">
      <w:pPr>
        <w:pStyle w:val="Corpsdetexte"/>
        <w:spacing w:before="140" w:after="140"/>
      </w:pPr>
      <w:r>
        <w:t xml:space="preserve">Les relations temporelles symbolisant les étendues temporelles de deux instances de </w:t>
      </w:r>
      <w:r>
        <w:rPr>
          <w:rStyle w:val="VerbatimChar"/>
        </w:rPr>
        <w:t>E2_Entité_temporelle</w:t>
      </w:r>
      <w:r>
        <w:t xml:space="preserve"> A et B sont illustrées à l</w:t>
      </w:r>
      <w:r w:rsidR="00E84B0E">
        <w:t>’</w:t>
      </w:r>
      <w:r>
        <w:t>aide de barres horizontales conçues comme une ligne du temps horizontale se lisant depuis la gauche vers la droite. Les frontières floues sont illustrées par une saturation de couleur croissante ou décroissante.</w:t>
      </w:r>
    </w:p>
    <w:p w14:paraId="37499EAA" w14:textId="041A8B01" w:rsidR="00065317" w:rsidRDefault="005C7BF7" w:rsidP="001A5982">
      <w:pPr>
        <w:pStyle w:val="Corpsdetexte"/>
        <w:spacing w:before="140" w:after="140"/>
      </w:pPr>
      <w:r>
        <w:t>Les différentes options d</w:t>
      </w:r>
      <w:r w:rsidR="00E84B0E">
        <w:t>’</w:t>
      </w:r>
      <w:r>
        <w:t>ordonnancement relatif que permet la relation sont illustrés par deux positions extrêmes de l</w:t>
      </w:r>
      <w:r w:rsidR="00E84B0E">
        <w:t>’</w:t>
      </w:r>
      <w:r>
        <w:t>instance A par rapport à l</w:t>
      </w:r>
      <w:r w:rsidR="00E84B0E">
        <w:t>’</w:t>
      </w:r>
      <w:r>
        <w:t xml:space="preserve">instance B connectées par des flèches. </w:t>
      </w:r>
      <w:r w:rsidR="00714434">
        <w:t>Cela</w:t>
      </w:r>
      <w:r>
        <w:t xml:space="preserve"> pourrait par exemple représenter les positions relatives d</w:t>
      </w:r>
      <w:r w:rsidR="00E84B0E">
        <w:t>’</w:t>
      </w:r>
      <w:r>
        <w:t>un train A approchant une station B.</w:t>
      </w:r>
    </w:p>
    <w:p w14:paraId="1E58BF72" w14:textId="354DBBF7" w:rsidR="00065317" w:rsidRDefault="005C7BF7" w:rsidP="001A5982">
      <w:pPr>
        <w:pStyle w:val="Corpsdetexte"/>
        <w:spacing w:before="0" w:after="0"/>
      </w:pPr>
      <w:r>
        <w:t>Dans l</w:t>
      </w:r>
      <w:r w:rsidR="00E84B0E">
        <w:t>’</w:t>
      </w:r>
      <w:r>
        <w:t>éventualité où la longueur de A eu égard à B est d</w:t>
      </w:r>
      <w:r w:rsidR="00E84B0E">
        <w:t>’</w:t>
      </w:r>
      <w:r>
        <w:t>intérêt, deux diagrammes sont disponibles</w:t>
      </w:r>
      <w:r w:rsidR="009A5B0E">
        <w:t xml:space="preserve"> </w:t>
      </w:r>
      <w:r>
        <w:t>:</w:t>
      </w:r>
    </w:p>
    <w:p w14:paraId="4DB52A2A" w14:textId="77777777" w:rsidR="00065317" w:rsidRDefault="005C7BF7" w:rsidP="001A5982">
      <w:pPr>
        <w:pStyle w:val="Corpsdetexte"/>
        <w:spacing w:before="0" w:after="0"/>
      </w:pPr>
      <w:r>
        <w:rPr>
          <w:noProof/>
        </w:rPr>
        <w:drawing>
          <wp:inline distT="0" distB="0" distL="0" distR="0" wp14:anchorId="1574CABD" wp14:editId="6B5BA75A">
            <wp:extent cx="5283200" cy="3735754"/>
            <wp:effectExtent l="0" t="0" r="0" b="0"/>
            <wp:docPr id="135" name="Picture" descr="Un diagramme illustre le fonctionnement de la propriété P174_commence_avant_la fin_de (se_termin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wp:cNvGraphicFramePr/>
            <a:graphic xmlns:a="http://schemas.openxmlformats.org/drawingml/2006/main">
              <a:graphicData uri="http://schemas.openxmlformats.org/drawingml/2006/picture">
                <pic:pic xmlns:pic="http://schemas.openxmlformats.org/drawingml/2006/picture">
                  <pic:nvPicPr>
                    <pic:cNvPr id="136" name="Picture" descr="../../drawio/PNG/FR/Fig_7_FR.png"/>
                    <pic:cNvPicPr>
                      <a:picLocks noChangeAspect="1" noChangeArrowheads="1"/>
                    </pic:cNvPicPr>
                  </pic:nvPicPr>
                  <pic:blipFill>
                    <a:blip r:embed="rId142"/>
                    <a:stretch>
                      <a:fillRect/>
                    </a:stretch>
                  </pic:blipFill>
                  <pic:spPr bwMode="auto">
                    <a:xfrm>
                      <a:off x="0" y="0"/>
                      <a:ext cx="5335753" cy="3772914"/>
                    </a:xfrm>
                    <a:prstGeom prst="rect">
                      <a:avLst/>
                    </a:prstGeom>
                    <a:noFill/>
                    <a:ln w="9525">
                      <a:noFill/>
                      <a:headEnd/>
                      <a:tailEnd/>
                    </a:ln>
                  </pic:spPr>
                </pic:pic>
              </a:graphicData>
            </a:graphic>
          </wp:inline>
        </w:drawing>
      </w:r>
    </w:p>
    <w:p w14:paraId="3A1F7E7A" w14:textId="7E6F663B" w:rsidR="00065317" w:rsidRPr="00D93D69" w:rsidRDefault="005C7BF7" w:rsidP="001A5982">
      <w:pPr>
        <w:pStyle w:val="Corpsdetexte"/>
        <w:spacing w:before="0" w:after="0"/>
        <w:rPr>
          <w:sz w:val="20"/>
          <w:szCs w:val="20"/>
        </w:rPr>
      </w:pPr>
      <w:r w:rsidRPr="00D93D69">
        <w:rPr>
          <w:i/>
          <w:iCs/>
          <w:sz w:val="20"/>
          <w:szCs w:val="20"/>
        </w:rPr>
        <w:t>Figure 7 : Explication des concepts d</w:t>
      </w:r>
      <w:r w:rsidR="00E84B0E">
        <w:rPr>
          <w:i/>
          <w:iCs/>
          <w:sz w:val="20"/>
          <w:szCs w:val="20"/>
        </w:rPr>
        <w:t>’</w:t>
      </w:r>
      <w:r w:rsidRPr="00D93D69">
        <w:rPr>
          <w:i/>
          <w:iCs/>
          <w:sz w:val="20"/>
          <w:szCs w:val="20"/>
        </w:rPr>
        <w:t>intérieur et de frontière ainsi qu</w:t>
      </w:r>
      <w:r w:rsidR="00E84B0E">
        <w:rPr>
          <w:i/>
          <w:iCs/>
          <w:sz w:val="20"/>
          <w:szCs w:val="20"/>
        </w:rPr>
        <w:t>’</w:t>
      </w:r>
      <w:r w:rsidRPr="00D93D69">
        <w:rPr>
          <w:i/>
          <w:iCs/>
          <w:sz w:val="20"/>
          <w:szCs w:val="20"/>
        </w:rPr>
        <w:t>example de l</w:t>
      </w:r>
      <w:r w:rsidR="00E84B0E">
        <w:rPr>
          <w:i/>
          <w:iCs/>
          <w:sz w:val="20"/>
          <w:szCs w:val="20"/>
        </w:rPr>
        <w:t>’</w:t>
      </w:r>
      <w:r w:rsidRPr="00D93D69">
        <w:rPr>
          <w:i/>
          <w:iCs/>
          <w:sz w:val="20"/>
          <w:szCs w:val="20"/>
        </w:rPr>
        <w:t>utilisation de</w:t>
      </w:r>
      <w:r w:rsidRPr="00D93D69">
        <w:rPr>
          <w:sz w:val="20"/>
          <w:szCs w:val="20"/>
        </w:rPr>
        <w:t xml:space="preserve"> </w:t>
      </w:r>
      <w:r w:rsidRPr="00D93D69">
        <w:rPr>
          <w:rStyle w:val="VerbatimChar"/>
          <w:sz w:val="20"/>
          <w:szCs w:val="20"/>
        </w:rPr>
        <w:t>P174_commence_avant_la_fin_de (se_termine_après_le_début_de)</w:t>
      </w:r>
    </w:p>
    <w:p w14:paraId="6543D367" w14:textId="77777777" w:rsidR="00065317" w:rsidRDefault="005C7BF7">
      <w:pPr>
        <w:pStyle w:val="Normalcentr"/>
      </w:pPr>
      <w:r>
        <w:rPr>
          <w:b/>
          <w:bCs/>
          <w:i/>
          <w:iCs/>
        </w:rPr>
        <w:lastRenderedPageBreak/>
        <w:t>Note de traduction</w:t>
      </w:r>
    </w:p>
    <w:p w14:paraId="433E638E" w14:textId="6C24C62A" w:rsidR="00065317" w:rsidRPr="008D39EE" w:rsidRDefault="005C7BF7" w:rsidP="001A5982">
      <w:pPr>
        <w:pStyle w:val="Normalcentr"/>
        <w:rPr>
          <w:b/>
          <w:bCs/>
          <w:i/>
          <w:iCs/>
        </w:rPr>
      </w:pPr>
      <w:r>
        <w:rPr>
          <w:b/>
          <w:bCs/>
          <w:i/>
          <w:iCs/>
        </w:rPr>
        <w:t>Références</w:t>
      </w:r>
    </w:p>
    <w:p w14:paraId="1219043D" w14:textId="77777777" w:rsidR="00065317" w:rsidRDefault="005C7BF7">
      <w:pPr>
        <w:pStyle w:val="Titre4"/>
      </w:pPr>
      <w:bookmarkStart w:id="94" w:name="_Toc154048732"/>
      <w:bookmarkStart w:id="95" w:name="Xeecf268fd6fd43d470b18f97af79e5ea6b144ff"/>
      <w:bookmarkEnd w:id="93"/>
      <w:r>
        <w:t>Aperçu des relations temporelles primitives</w:t>
      </w:r>
      <w:bookmarkEnd w:id="94"/>
    </w:p>
    <w:p w14:paraId="64C44DF5" w14:textId="4D089871" w:rsidR="00065317" w:rsidRDefault="005C7BF7">
      <w:pPr>
        <w:pStyle w:val="FirstParagraph"/>
      </w:pPr>
      <w:r>
        <w:t>L</w:t>
      </w:r>
      <w:r w:rsidR="00E84B0E">
        <w:t>’</w:t>
      </w:r>
      <w:r>
        <w:t>ensemble final de relations primitives temporelles peut être divisé en deux groupes :</w:t>
      </w:r>
    </w:p>
    <w:p w14:paraId="2BFBC176" w14:textId="77777777" w:rsidR="005C4361" w:rsidRDefault="005C7BF7" w:rsidP="005C4361">
      <w:pPr>
        <w:pStyle w:val="Paragraphedeliste"/>
        <w:numPr>
          <w:ilvl w:val="1"/>
          <w:numId w:val="1"/>
        </w:numPr>
      </w:pPr>
      <w:r>
        <w:t>Les relations qui se fondent sur des inégalités impropres comme A</w:t>
      </w:r>
      <w:r w:rsidRPr="005C4361">
        <w:rPr>
          <w:vertAlign w:val="superscript"/>
        </w:rPr>
        <w:t>début</w:t>
      </w:r>
      <w:r>
        <w:t xml:space="preserve"> ≤ B</w:t>
      </w:r>
      <w:r w:rsidRPr="005C4361">
        <w:rPr>
          <w:vertAlign w:val="superscript"/>
        </w:rPr>
        <w:t>fin</w:t>
      </w:r>
      <w:r>
        <w:t xml:space="preserve"> (les entités dont les nombres sont impairs dans le tableau ci-dessous)</w:t>
      </w:r>
      <w:r w:rsidR="005C4361">
        <w:t>.</w:t>
      </w:r>
    </w:p>
    <w:p w14:paraId="57EF1977" w14:textId="274F65A9" w:rsidR="00065317" w:rsidRDefault="005C7BF7" w:rsidP="005C4361">
      <w:pPr>
        <w:pStyle w:val="Paragraphedeliste"/>
        <w:numPr>
          <w:ilvl w:val="1"/>
          <w:numId w:val="1"/>
        </w:numPr>
      </w:pPr>
      <w:r>
        <w:t>Les relations qui se fondent sur des inégalités propres comme A</w:t>
      </w:r>
      <w:r w:rsidRPr="005C4361">
        <w:rPr>
          <w:vertAlign w:val="superscript"/>
        </w:rPr>
        <w:t>début</w:t>
      </w:r>
      <w:r>
        <w:t xml:space="preserve"> &lt; B</w:t>
      </w:r>
      <w:r w:rsidRPr="005C4361">
        <w:rPr>
          <w:vertAlign w:val="superscript"/>
        </w:rPr>
        <w:t>fin</w:t>
      </w:r>
      <w:r>
        <w:t xml:space="preserve"> (les entités dont les nombres sont pairs dans le tableau ci-dessous).</w:t>
      </w:r>
    </w:p>
    <w:p w14:paraId="0AB0C413" w14:textId="1C13E93D" w:rsidR="00065317" w:rsidRDefault="005C7BF7">
      <w:pPr>
        <w:pStyle w:val="FirstParagraph"/>
      </w:pPr>
      <w:r>
        <w:t>Les inégalités impropres ayant des frontières floues sont acceptées s</w:t>
      </w:r>
      <w:r w:rsidR="00E84B0E">
        <w:t>’</w:t>
      </w:r>
      <w:r>
        <w:t>étendre à des situations dans lesquelles les frontières floues des points d</w:t>
      </w:r>
      <w:r w:rsidR="00E84B0E">
        <w:t>’</w:t>
      </w:r>
      <w:r>
        <w:t>arrivée respectifs peuvent se chevaucher. Ils incluent donc des situations lors desquelles il est impossible de déterminer quand un intervalle a terminé et quand un autre a commencé, et où il n</w:t>
      </w:r>
      <w:r w:rsidR="00E84B0E">
        <w:t>’</w:t>
      </w:r>
      <w:r>
        <w:t>y a pas de décalage déterminé entre ces points.</w:t>
      </w:r>
    </w:p>
    <w:p w14:paraId="3A5EB836" w14:textId="7EE982F0" w:rsidR="00065317" w:rsidRDefault="005C7BF7">
      <w:pPr>
        <w:pStyle w:val="Corpsdetexte"/>
      </w:pPr>
      <w:r>
        <w:t>Les inégalités propres ayant des frontières floues ne peuvent avoir de points d</w:t>
      </w:r>
      <w:r w:rsidR="00E84B0E">
        <w:t>’</w:t>
      </w:r>
      <w:r>
        <w:t>arrivée qui se chevauchent de sorte qu</w:t>
      </w:r>
      <w:r w:rsidR="00E84B0E">
        <w:t>’</w:t>
      </w:r>
      <w:r>
        <w:t>il y a un décalage connu entre les points d</w:t>
      </w:r>
      <w:r w:rsidR="00E84B0E">
        <w:t>’</w:t>
      </w:r>
      <w:r>
        <w:t>arrivée (p. ex. une discontinuité entre l</w:t>
      </w:r>
      <w:r w:rsidR="00E84B0E">
        <w:t>’</w:t>
      </w:r>
      <w:r>
        <w:t>établissement de phases fondée sur l</w:t>
      </w:r>
      <w:r w:rsidR="00E84B0E">
        <w:t>’</w:t>
      </w:r>
      <w:r>
        <w:t>observation de couches archéologiques).</w:t>
      </w:r>
    </w:p>
    <w:p w14:paraId="5ECDC901" w14:textId="77777777" w:rsidR="00065317" w:rsidRDefault="005C7BF7">
      <w:pPr>
        <w:pStyle w:val="Normalcentr"/>
      </w:pPr>
      <w:r>
        <w:rPr>
          <w:b/>
          <w:bCs/>
          <w:i/>
          <w:iCs/>
        </w:rPr>
        <w:t>Note de traduction</w:t>
      </w:r>
    </w:p>
    <w:p w14:paraId="34C79F65" w14:textId="7439A721" w:rsidR="00065317" w:rsidRDefault="005C7BF7" w:rsidP="00D746C9">
      <w:pPr>
        <w:pStyle w:val="Normalcentr"/>
      </w:pPr>
      <w:r>
        <w:rPr>
          <w:b/>
          <w:bCs/>
          <w:i/>
          <w:iCs/>
        </w:rPr>
        <w:t>Références</w:t>
      </w:r>
    </w:p>
    <w:tbl>
      <w:tblPr>
        <w:tblStyle w:val="Table"/>
        <w:tblW w:w="0" w:type="auto"/>
        <w:tblInd w:w="0" w:type="dxa"/>
        <w:tblLook w:val="0000" w:firstRow="0" w:lastRow="0" w:firstColumn="0" w:lastColumn="0" w:noHBand="0" w:noVBand="0"/>
      </w:tblPr>
      <w:tblGrid>
        <w:gridCol w:w="349"/>
        <w:gridCol w:w="8748"/>
        <w:gridCol w:w="1683"/>
      </w:tblGrid>
      <w:tr w:rsidR="00065317" w14:paraId="24E743BF" w14:textId="77777777">
        <w:tc>
          <w:tcPr>
            <w:tcW w:w="0" w:type="auto"/>
          </w:tcPr>
          <w:p w14:paraId="693AB1AB" w14:textId="77777777" w:rsidR="00065317" w:rsidRDefault="00065317">
            <w:pPr>
              <w:pStyle w:val="Compact"/>
            </w:pPr>
          </w:p>
        </w:tc>
        <w:tc>
          <w:tcPr>
            <w:tcW w:w="0" w:type="auto"/>
          </w:tcPr>
          <w:p w14:paraId="0BBECE02" w14:textId="77777777" w:rsidR="00065317" w:rsidRDefault="005C7BF7">
            <w:r>
              <w:t>Propriété</w:t>
            </w:r>
          </w:p>
        </w:tc>
        <w:tc>
          <w:tcPr>
            <w:tcW w:w="0" w:type="auto"/>
          </w:tcPr>
          <w:p w14:paraId="31F1D0E2" w14:textId="77777777" w:rsidR="00065317" w:rsidRDefault="005C7BF7">
            <w:r>
              <w:t>Interprétation</w:t>
            </w:r>
          </w:p>
        </w:tc>
      </w:tr>
      <w:tr w:rsidR="00065317" w14:paraId="6A88E4C9" w14:textId="77777777">
        <w:tc>
          <w:tcPr>
            <w:tcW w:w="0" w:type="auto"/>
          </w:tcPr>
          <w:p w14:paraId="571EC177" w14:textId="77777777" w:rsidR="00065317" w:rsidRDefault="005C7BF7">
            <w:r>
              <w:t>1</w:t>
            </w:r>
          </w:p>
        </w:tc>
        <w:tc>
          <w:tcPr>
            <w:tcW w:w="0" w:type="auto"/>
          </w:tcPr>
          <w:p w14:paraId="51F0CC38" w14:textId="77777777" w:rsidR="00065317" w:rsidRDefault="005C7BF7">
            <w:r>
              <w:rPr>
                <w:rStyle w:val="VerbatimChar"/>
              </w:rPr>
              <w:t>P173_commence_avant_ou_au_moment_de_la_fin_de (se_termine_après_ou_au_moment_du_début_de)</w:t>
            </w:r>
          </w:p>
        </w:tc>
        <w:tc>
          <w:tcPr>
            <w:tcW w:w="0" w:type="auto"/>
          </w:tcPr>
          <w:p w14:paraId="1DD75FF4" w14:textId="77777777" w:rsidR="00065317" w:rsidRDefault="005C7BF7">
            <w:r>
              <w:t>A</w:t>
            </w:r>
            <w:r>
              <w:rPr>
                <w:vertAlign w:val="superscript"/>
              </w:rPr>
              <w:t>début</w:t>
            </w:r>
            <w:r>
              <w:t xml:space="preserve"> ≤ B</w:t>
            </w:r>
            <w:r>
              <w:rPr>
                <w:vertAlign w:val="superscript"/>
              </w:rPr>
              <w:t>fin</w:t>
            </w:r>
          </w:p>
        </w:tc>
      </w:tr>
      <w:tr w:rsidR="00065317" w14:paraId="25A91650" w14:textId="77777777">
        <w:tc>
          <w:tcPr>
            <w:tcW w:w="0" w:type="auto"/>
          </w:tcPr>
          <w:p w14:paraId="20BDE85C" w14:textId="77777777" w:rsidR="00065317" w:rsidRDefault="005C7BF7">
            <w:r>
              <w:t>2</w:t>
            </w:r>
          </w:p>
        </w:tc>
        <w:tc>
          <w:tcPr>
            <w:tcW w:w="0" w:type="auto"/>
          </w:tcPr>
          <w:p w14:paraId="3087D622" w14:textId="77777777" w:rsidR="00065317" w:rsidRDefault="005C7BF7">
            <w:r>
              <w:rPr>
                <w:rStyle w:val="VerbatimChar"/>
              </w:rPr>
              <w:t>P174_commence_avant_la_fin_de (se_termine_après_le_début_de)</w:t>
            </w:r>
          </w:p>
        </w:tc>
        <w:tc>
          <w:tcPr>
            <w:tcW w:w="0" w:type="auto"/>
          </w:tcPr>
          <w:p w14:paraId="662E9F7B" w14:textId="77777777" w:rsidR="00065317" w:rsidRDefault="005C7BF7">
            <w:r>
              <w:t>A</w:t>
            </w:r>
            <w:r>
              <w:rPr>
                <w:vertAlign w:val="superscript"/>
              </w:rPr>
              <w:t>début</w:t>
            </w:r>
            <w:r>
              <w:t xml:space="preserve"> &lt; B</w:t>
            </w:r>
            <w:r>
              <w:rPr>
                <w:vertAlign w:val="superscript"/>
              </w:rPr>
              <w:t>fin</w:t>
            </w:r>
          </w:p>
        </w:tc>
      </w:tr>
      <w:tr w:rsidR="00065317" w14:paraId="6132C63B" w14:textId="77777777">
        <w:tc>
          <w:tcPr>
            <w:tcW w:w="0" w:type="auto"/>
          </w:tcPr>
          <w:p w14:paraId="62C9D2BA" w14:textId="77777777" w:rsidR="00065317" w:rsidRDefault="005C7BF7">
            <w:r>
              <w:t>3</w:t>
            </w:r>
          </w:p>
        </w:tc>
        <w:tc>
          <w:tcPr>
            <w:tcW w:w="0" w:type="auto"/>
          </w:tcPr>
          <w:p w14:paraId="73A61756" w14:textId="77777777" w:rsidR="00065317" w:rsidRDefault="005C7BF7">
            <w:r>
              <w:rPr>
                <w:rStyle w:val="VerbatimChar"/>
              </w:rPr>
              <w:t>P175_commence_avant_ou_au_moment_du_début_de (commence_après_ou_au_moment_du_début_de)</w:t>
            </w:r>
          </w:p>
        </w:tc>
        <w:tc>
          <w:tcPr>
            <w:tcW w:w="0" w:type="auto"/>
          </w:tcPr>
          <w:p w14:paraId="45DA426A" w14:textId="77777777" w:rsidR="00065317" w:rsidRDefault="005C7BF7">
            <w:r>
              <w:t>A</w:t>
            </w:r>
            <w:r>
              <w:rPr>
                <w:vertAlign w:val="superscript"/>
              </w:rPr>
              <w:t>début</w:t>
            </w:r>
            <w:r>
              <w:t xml:space="preserve"> ≤ B</w:t>
            </w:r>
            <w:r>
              <w:rPr>
                <w:vertAlign w:val="superscript"/>
              </w:rPr>
              <w:t>début</w:t>
            </w:r>
          </w:p>
        </w:tc>
      </w:tr>
      <w:tr w:rsidR="00065317" w14:paraId="2EEE3675" w14:textId="77777777">
        <w:tc>
          <w:tcPr>
            <w:tcW w:w="0" w:type="auto"/>
          </w:tcPr>
          <w:p w14:paraId="73EBAA95" w14:textId="77777777" w:rsidR="00065317" w:rsidRDefault="005C7BF7">
            <w:r>
              <w:t>4</w:t>
            </w:r>
          </w:p>
        </w:tc>
        <w:tc>
          <w:tcPr>
            <w:tcW w:w="0" w:type="auto"/>
          </w:tcPr>
          <w:p w14:paraId="32FC1E93" w14:textId="77777777" w:rsidR="00065317" w:rsidRDefault="005C7BF7">
            <w:r>
              <w:rPr>
                <w:rStyle w:val="VerbatimChar"/>
              </w:rPr>
              <w:t>P176_commence_avant_le_début_de (commence_après_le_début_de)</w:t>
            </w:r>
          </w:p>
        </w:tc>
        <w:tc>
          <w:tcPr>
            <w:tcW w:w="0" w:type="auto"/>
          </w:tcPr>
          <w:p w14:paraId="0D2DBE67" w14:textId="77777777" w:rsidR="00065317" w:rsidRDefault="005C7BF7">
            <w:r>
              <w:t>A</w:t>
            </w:r>
            <w:r>
              <w:rPr>
                <w:vertAlign w:val="superscript"/>
              </w:rPr>
              <w:t>début</w:t>
            </w:r>
            <w:r>
              <w:t xml:space="preserve"> &lt; B</w:t>
            </w:r>
            <w:r>
              <w:rPr>
                <w:vertAlign w:val="superscript"/>
              </w:rPr>
              <w:t>début</w:t>
            </w:r>
          </w:p>
        </w:tc>
      </w:tr>
      <w:tr w:rsidR="00065317" w14:paraId="7A101A84" w14:textId="77777777">
        <w:tc>
          <w:tcPr>
            <w:tcW w:w="0" w:type="auto"/>
          </w:tcPr>
          <w:p w14:paraId="03ABF376" w14:textId="77777777" w:rsidR="00065317" w:rsidRDefault="005C7BF7">
            <w:r>
              <w:t>5</w:t>
            </w:r>
          </w:p>
        </w:tc>
        <w:tc>
          <w:tcPr>
            <w:tcW w:w="0" w:type="auto"/>
          </w:tcPr>
          <w:p w14:paraId="76A797E2" w14:textId="77777777" w:rsidR="00065317" w:rsidRDefault="005C7BF7">
            <w:r>
              <w:rPr>
                <w:rStyle w:val="VerbatimChar"/>
              </w:rPr>
              <w:t>P182_se_termine_avant_ou_au_moment_du_début_de (commence_après_ou_au_moment_de_la_fin_de)</w:t>
            </w:r>
          </w:p>
        </w:tc>
        <w:tc>
          <w:tcPr>
            <w:tcW w:w="0" w:type="auto"/>
          </w:tcPr>
          <w:p w14:paraId="167AA4C7" w14:textId="77777777" w:rsidR="00065317" w:rsidRDefault="005C7BF7">
            <w:r>
              <w:t>A</w:t>
            </w:r>
            <w:r>
              <w:rPr>
                <w:vertAlign w:val="superscript"/>
              </w:rPr>
              <w:t>fin</w:t>
            </w:r>
            <w:r>
              <w:t xml:space="preserve"> ≤ B</w:t>
            </w:r>
            <w:r>
              <w:rPr>
                <w:vertAlign w:val="superscript"/>
              </w:rPr>
              <w:t>début</w:t>
            </w:r>
          </w:p>
        </w:tc>
      </w:tr>
      <w:tr w:rsidR="00065317" w14:paraId="1740055F" w14:textId="77777777">
        <w:tc>
          <w:tcPr>
            <w:tcW w:w="0" w:type="auto"/>
          </w:tcPr>
          <w:p w14:paraId="56D62AF2" w14:textId="77777777" w:rsidR="00065317" w:rsidRDefault="005C7BF7">
            <w:r>
              <w:t>6</w:t>
            </w:r>
          </w:p>
        </w:tc>
        <w:tc>
          <w:tcPr>
            <w:tcW w:w="0" w:type="auto"/>
          </w:tcPr>
          <w:p w14:paraId="713A5C74" w14:textId="77777777" w:rsidR="00065317" w:rsidRDefault="005C7BF7">
            <w:r>
              <w:rPr>
                <w:rStyle w:val="VerbatimChar"/>
              </w:rPr>
              <w:t>P183_se_termine_avant_le_début_de (commence_après_la_fin_de)</w:t>
            </w:r>
          </w:p>
        </w:tc>
        <w:tc>
          <w:tcPr>
            <w:tcW w:w="0" w:type="auto"/>
          </w:tcPr>
          <w:p w14:paraId="66F9C679" w14:textId="77777777" w:rsidR="00065317" w:rsidRDefault="005C7BF7">
            <w:r>
              <w:t>A</w:t>
            </w:r>
            <w:r>
              <w:rPr>
                <w:vertAlign w:val="superscript"/>
              </w:rPr>
              <w:t>fin</w:t>
            </w:r>
            <w:r>
              <w:t xml:space="preserve"> &lt; B</w:t>
            </w:r>
            <w:r>
              <w:rPr>
                <w:vertAlign w:val="superscript"/>
              </w:rPr>
              <w:t>début</w:t>
            </w:r>
          </w:p>
        </w:tc>
      </w:tr>
      <w:tr w:rsidR="00065317" w14:paraId="1948DA0A" w14:textId="77777777">
        <w:tc>
          <w:tcPr>
            <w:tcW w:w="0" w:type="auto"/>
          </w:tcPr>
          <w:p w14:paraId="0E1AD931" w14:textId="77777777" w:rsidR="00065317" w:rsidRDefault="005C7BF7">
            <w:r>
              <w:t>7</w:t>
            </w:r>
          </w:p>
        </w:tc>
        <w:tc>
          <w:tcPr>
            <w:tcW w:w="0" w:type="auto"/>
          </w:tcPr>
          <w:p w14:paraId="370AF1D0" w14:textId="77777777" w:rsidR="00065317" w:rsidRDefault="005C7BF7">
            <w:r>
              <w:rPr>
                <w:rStyle w:val="VerbatimChar"/>
              </w:rPr>
              <w:t>P184_se_termine_avant_ou_au_moment_de_la_fin_de (se_termine_au_moment_ou_après_la_fin_de)</w:t>
            </w:r>
          </w:p>
        </w:tc>
        <w:tc>
          <w:tcPr>
            <w:tcW w:w="0" w:type="auto"/>
          </w:tcPr>
          <w:p w14:paraId="39EB7734" w14:textId="77777777" w:rsidR="00065317" w:rsidRDefault="005C7BF7">
            <w:r>
              <w:t>A</w:t>
            </w:r>
            <w:r>
              <w:rPr>
                <w:vertAlign w:val="superscript"/>
              </w:rPr>
              <w:t>fin</w:t>
            </w:r>
            <w:r>
              <w:t xml:space="preserve"> ≤ B</w:t>
            </w:r>
            <w:r>
              <w:rPr>
                <w:vertAlign w:val="superscript"/>
              </w:rPr>
              <w:t>fin</w:t>
            </w:r>
          </w:p>
        </w:tc>
      </w:tr>
      <w:tr w:rsidR="00065317" w14:paraId="7BF74352" w14:textId="77777777">
        <w:tc>
          <w:tcPr>
            <w:tcW w:w="0" w:type="auto"/>
          </w:tcPr>
          <w:p w14:paraId="1AE16470" w14:textId="77777777" w:rsidR="00065317" w:rsidRDefault="005C7BF7">
            <w:r>
              <w:t>8</w:t>
            </w:r>
          </w:p>
        </w:tc>
        <w:tc>
          <w:tcPr>
            <w:tcW w:w="0" w:type="auto"/>
          </w:tcPr>
          <w:p w14:paraId="53D6D602" w14:textId="77777777" w:rsidR="00065317" w:rsidRDefault="005C7BF7">
            <w:r>
              <w:rPr>
                <w:rStyle w:val="VerbatimChar"/>
              </w:rPr>
              <w:t>P185_se_termine_avant_la_fin_de (se_termine_après_la_fin_de)</w:t>
            </w:r>
          </w:p>
        </w:tc>
        <w:tc>
          <w:tcPr>
            <w:tcW w:w="0" w:type="auto"/>
          </w:tcPr>
          <w:p w14:paraId="73DCE2D7" w14:textId="77777777" w:rsidR="00065317" w:rsidRDefault="005C7BF7">
            <w:r>
              <w:t>A</w:t>
            </w:r>
            <w:r>
              <w:rPr>
                <w:vertAlign w:val="superscript"/>
              </w:rPr>
              <w:t>fin</w:t>
            </w:r>
            <w:r>
              <w:t xml:space="preserve"> &lt; B</w:t>
            </w:r>
            <w:r>
              <w:rPr>
                <w:vertAlign w:val="superscript"/>
              </w:rPr>
              <w:t>fin</w:t>
            </w:r>
          </w:p>
        </w:tc>
      </w:tr>
    </w:tbl>
    <w:p w14:paraId="2E39AB03" w14:textId="537FB4E3" w:rsidR="008D39EE" w:rsidRDefault="008D39EE">
      <w:pPr>
        <w:spacing w:after="0"/>
        <w:rPr>
          <w:rFonts w:eastAsiaTheme="majorEastAsia" w:cstheme="majorBidi"/>
          <w:b/>
          <w:bCs/>
          <w:color w:val="000000"/>
          <w:sz w:val="32"/>
          <w:szCs w:val="32"/>
        </w:rPr>
      </w:pPr>
      <w:bookmarkStart w:id="96" w:name="hierarchies-de-classes-et-de-proprietes"/>
      <w:bookmarkEnd w:id="77"/>
      <w:bookmarkEnd w:id="87"/>
      <w:bookmarkEnd w:id="91"/>
      <w:bookmarkEnd w:id="95"/>
    </w:p>
    <w:p w14:paraId="57DE8C4F" w14:textId="5A4BEFC1" w:rsidR="00065317" w:rsidRDefault="005C7BF7" w:rsidP="005C4361">
      <w:pPr>
        <w:pStyle w:val="Titre2"/>
      </w:pPr>
      <w:bookmarkStart w:id="97" w:name="_Toc154048733"/>
      <w:r>
        <w:lastRenderedPageBreak/>
        <w:t>Hiérarchies de classes et de propriétés</w:t>
      </w:r>
      <w:bookmarkEnd w:id="97"/>
    </w:p>
    <w:p w14:paraId="0FB9A5B8" w14:textId="01A6BF43" w:rsidR="00065317" w:rsidRDefault="005C7BF7">
      <w:pPr>
        <w:pStyle w:val="FirstParagraph"/>
      </w:pPr>
      <w:r>
        <w:t>Bien qu</w:t>
      </w:r>
      <w:r w:rsidR="00E84B0E">
        <w:t>’</w:t>
      </w:r>
      <w:r>
        <w:t>elles n</w:t>
      </w:r>
      <w:r w:rsidR="00E84B0E">
        <w:t>’</w:t>
      </w:r>
      <w:r>
        <w:t xml:space="preserve">étayent pas de définitions exhaustives, les présentations succinctes et mono-hiérarchiques des classes et des propriétés contribuent à la navigation dans le </w:t>
      </w:r>
      <w:r w:rsidR="00C8288F">
        <w:t>CIDOC CRM</w:t>
      </w:r>
      <w:r>
        <w:t xml:space="preserve"> et à la compréhension de celui-ci. Puisque le </w:t>
      </w:r>
      <w:r w:rsidR="00C8288F">
        <w:t>CIDOC CRM</w:t>
      </w:r>
      <w:r>
        <w:t xml:space="preserve"> est poly-hiérarchique, la présentation mono-hiérarchique formelle découle d</w:t>
      </w:r>
      <w:r w:rsidR="00E84B0E">
        <w:t>’</w:t>
      </w:r>
      <w:r>
        <w:t xml:space="preserve">une expansion descendante de toutes les relations </w:t>
      </w:r>
      <w:r>
        <w:rPr>
          <w:rStyle w:val="VerbatimChar"/>
        </w:rPr>
        <w:t>estUn</w:t>
      </w:r>
      <w:r>
        <w:t xml:space="preserve"> indépendamment de la présence d</w:t>
      </w:r>
      <w:r w:rsidR="00E84B0E">
        <w:t>’</w:t>
      </w:r>
      <w:r>
        <w:t>un concept ailleurs dans ladite hiérarchie.</w:t>
      </w:r>
    </w:p>
    <w:p w14:paraId="60173059" w14:textId="739EB3DB" w:rsidR="00065317" w:rsidRDefault="005C7BF7">
      <w:pPr>
        <w:pStyle w:val="Corpsdetexte"/>
      </w:pPr>
      <w:r>
        <w:t>La hiérarchie de classes présentée ci-bas reprend la forme suivante</w:t>
      </w:r>
      <w:r w:rsidR="005C4361">
        <w:t xml:space="preserve"> </w:t>
      </w:r>
      <w:r>
        <w:t>:</w:t>
      </w:r>
    </w:p>
    <w:p w14:paraId="74A6C27C" w14:textId="0EF86D68" w:rsidR="00065317" w:rsidRDefault="005C7BF7">
      <w:pPr>
        <w:numPr>
          <w:ilvl w:val="0"/>
          <w:numId w:val="49"/>
        </w:numPr>
      </w:pPr>
      <w:r>
        <w:t>Chaque ligne commence avec un identifiant de classe unique composé d</w:t>
      </w:r>
      <w:r w:rsidR="00E84B0E">
        <w:t>’</w:t>
      </w:r>
      <w:r>
        <w:t>un nombre précédé de la lettre « E » (qui signalait autrefois une « entité », bien que le terme « classe » soit maintenant préféré).</w:t>
      </w:r>
    </w:p>
    <w:p w14:paraId="3C800E6D" w14:textId="23A2D0AF" w:rsidR="00065317" w:rsidRDefault="005C7BF7">
      <w:pPr>
        <w:numPr>
          <w:ilvl w:val="0"/>
          <w:numId w:val="49"/>
        </w:numPr>
      </w:pPr>
      <w:r>
        <w:t>Une série de traits d</w:t>
      </w:r>
      <w:r w:rsidR="00E84B0E">
        <w:t>’</w:t>
      </w:r>
      <w:r>
        <w:t xml:space="preserve">union (« - ») suit cet identifiant de classe unique et indique la position de la classe dans la hiérarchie </w:t>
      </w:r>
      <w:r>
        <w:rPr>
          <w:rStyle w:val="VerbatimChar"/>
        </w:rPr>
        <w:t>estUn</w:t>
      </w:r>
      <w:r>
        <w:t>.</w:t>
      </w:r>
    </w:p>
    <w:p w14:paraId="17B63D59" w14:textId="22AB7503" w:rsidR="00065317" w:rsidRDefault="005C7BF7">
      <w:pPr>
        <w:numPr>
          <w:ilvl w:val="0"/>
          <w:numId w:val="49"/>
        </w:numPr>
      </w:pPr>
      <w:r>
        <w:t>Le nom de la classe se trouve à droite des traits d</w:t>
      </w:r>
      <w:r w:rsidR="00E84B0E">
        <w:t>’</w:t>
      </w:r>
      <w:r>
        <w:t>union.</w:t>
      </w:r>
    </w:p>
    <w:p w14:paraId="455C3954" w14:textId="7C6D6D42" w:rsidR="00065317" w:rsidRDefault="005C7BF7">
      <w:pPr>
        <w:numPr>
          <w:ilvl w:val="0"/>
          <w:numId w:val="49"/>
        </w:numPr>
      </w:pPr>
      <w:r>
        <w:t>L</w:t>
      </w:r>
      <w:r w:rsidR="00E84B0E">
        <w:t>’</w:t>
      </w:r>
      <w:r>
        <w:t>index est ordonné selon les niveaux hiérarchiques avec une approche de « parcours en profondeur » depuis les sous-hiérarchies les plus petites vers les plus larges.</w:t>
      </w:r>
    </w:p>
    <w:p w14:paraId="7E10159E" w14:textId="2D5F32AC" w:rsidR="00065317" w:rsidRDefault="005C7BF7">
      <w:pPr>
        <w:numPr>
          <w:ilvl w:val="0"/>
          <w:numId w:val="49"/>
        </w:numPr>
      </w:pPr>
      <w:r>
        <w:t>L</w:t>
      </w:r>
      <w:r w:rsidR="00E84B0E">
        <w:t>’</w:t>
      </w:r>
      <w:r>
        <w:t>apparition de classes dans de multiples positions dans la hiérarchie des classes en raison d</w:t>
      </w:r>
      <w:r w:rsidR="00E84B0E">
        <w:t>’</w:t>
      </w:r>
      <w:r>
        <w:t>héritages multiples est signalée par l</w:t>
      </w:r>
      <w:r w:rsidR="00E84B0E">
        <w:t>’</w:t>
      </w:r>
      <w:r>
        <w:t>usage des italiques.</w:t>
      </w:r>
    </w:p>
    <w:p w14:paraId="4A1A40E3" w14:textId="77777777" w:rsidR="00065317" w:rsidRDefault="005C7BF7">
      <w:pPr>
        <w:pStyle w:val="FirstParagraph"/>
      </w:pPr>
      <w:r>
        <w:t>La hiérarchie des propriétés présentée ci-bas reprend la forme suivante :</w:t>
      </w:r>
    </w:p>
    <w:p w14:paraId="6C383348" w14:textId="68DA4BB6" w:rsidR="00065317" w:rsidRDefault="005C7BF7">
      <w:pPr>
        <w:numPr>
          <w:ilvl w:val="0"/>
          <w:numId w:val="50"/>
        </w:numPr>
      </w:pPr>
      <w:r>
        <w:t>Chaque ligne commence avec un identifiant de propriété unique composé d</w:t>
      </w:r>
      <w:r w:rsidR="00E84B0E">
        <w:t>’</w:t>
      </w:r>
      <w:r>
        <w:t>un nombre précédé de la lettre « P » (pour « propriété »).</w:t>
      </w:r>
    </w:p>
    <w:p w14:paraId="431443CC" w14:textId="623EEADA" w:rsidR="00065317" w:rsidRDefault="005C7BF7">
      <w:pPr>
        <w:numPr>
          <w:ilvl w:val="0"/>
          <w:numId w:val="50"/>
        </w:numPr>
      </w:pPr>
      <w:r>
        <w:t>Une série de traits d</w:t>
      </w:r>
      <w:r w:rsidR="00E84B0E">
        <w:t>’</w:t>
      </w:r>
      <w:r>
        <w:t xml:space="preserve">union (« - ») suit cet identifiant de propriété unique et indique la position de la propriété dans la hiérarchie </w:t>
      </w:r>
      <w:r>
        <w:rPr>
          <w:rStyle w:val="VerbatimChar"/>
        </w:rPr>
        <w:t>estUn</w:t>
      </w:r>
      <w:r>
        <w:t>.</w:t>
      </w:r>
    </w:p>
    <w:p w14:paraId="7B79BFA6" w14:textId="5E2BB3AC" w:rsidR="00065317" w:rsidRDefault="005C7BF7">
      <w:pPr>
        <w:numPr>
          <w:ilvl w:val="0"/>
          <w:numId w:val="50"/>
        </w:numPr>
      </w:pPr>
      <w:r>
        <w:t>Le nom de la propriété se trouve à droite des traits d</w:t>
      </w:r>
      <w:r w:rsidR="00E84B0E">
        <w:t>’</w:t>
      </w:r>
      <w:r>
        <w:t>union, suivi par le nom de la propriété inverse entre parenthèses (</w:t>
      </w:r>
      <w:r w:rsidR="00806228">
        <w:t>aux</w:t>
      </w:r>
      <w:r>
        <w:t xml:space="preserve"> fins de</w:t>
      </w:r>
      <w:r w:rsidR="00473D76">
        <w:t xml:space="preserve"> </w:t>
      </w:r>
      <w:r>
        <w:t>lecture depuis la portée vers le domaine).</w:t>
      </w:r>
    </w:p>
    <w:p w14:paraId="08BA3BA5" w14:textId="429CD7A2" w:rsidR="00065317" w:rsidRDefault="005C7BF7">
      <w:pPr>
        <w:numPr>
          <w:ilvl w:val="0"/>
          <w:numId w:val="50"/>
        </w:numPr>
      </w:pPr>
      <w:r>
        <w:t>L</w:t>
      </w:r>
      <w:r w:rsidR="00E84B0E">
        <w:t>’</w:t>
      </w:r>
      <w:r>
        <w:t>index est ordonné selon les niveaux hiérarchiques avec une approche de « parcours en profondeur » depuis les sous-hiérarchies les plus petites vers les plus larges, puis par numéro de propriété dans le cas de propriétés-s</w:t>
      </w:r>
      <w:r w:rsidR="00C012B4">
        <w:t>œ</w:t>
      </w:r>
      <w:r>
        <w:t>urs égales.</w:t>
      </w:r>
    </w:p>
    <w:p w14:paraId="6B8ED1A0" w14:textId="1890A8A6" w:rsidR="00065317" w:rsidRDefault="005C7BF7">
      <w:pPr>
        <w:numPr>
          <w:ilvl w:val="0"/>
          <w:numId w:val="50"/>
        </w:numPr>
      </w:pPr>
      <w:r>
        <w:t>L</w:t>
      </w:r>
      <w:r w:rsidR="00E84B0E">
        <w:t>’</w:t>
      </w:r>
      <w:r>
        <w:t>apparition de propriétés dans de multiples positions dans la hiérarchie des propriétés en raison d</w:t>
      </w:r>
      <w:r w:rsidR="00E84B0E">
        <w:t>’</w:t>
      </w:r>
      <w:r>
        <w:t>héritages multiples est signalée par l</w:t>
      </w:r>
      <w:r w:rsidR="00E84B0E">
        <w:t>’</w:t>
      </w:r>
      <w:r>
        <w:t>usage des italiques.</w:t>
      </w:r>
    </w:p>
    <w:p w14:paraId="610CD92A" w14:textId="77777777" w:rsidR="00065317" w:rsidRDefault="005C7BF7">
      <w:pPr>
        <w:pStyle w:val="Normalcentr"/>
      </w:pPr>
      <w:r>
        <w:rPr>
          <w:b/>
          <w:bCs/>
          <w:i/>
          <w:iCs/>
        </w:rPr>
        <w:t>Note de traduction</w:t>
      </w:r>
    </w:p>
    <w:p w14:paraId="6174C43B" w14:textId="751B6407" w:rsidR="00065317" w:rsidRDefault="005C7BF7" w:rsidP="00D746C9">
      <w:pPr>
        <w:pStyle w:val="Normalcentr"/>
      </w:pPr>
      <w:r>
        <w:rPr>
          <w:b/>
          <w:bCs/>
          <w:i/>
          <w:iCs/>
        </w:rPr>
        <w:t>Références</w:t>
      </w:r>
    </w:p>
    <w:p w14:paraId="7C2025EA" w14:textId="77777777" w:rsidR="00241DFB" w:rsidRDefault="00241DFB">
      <w:pPr>
        <w:spacing w:after="0"/>
        <w:rPr>
          <w:rFonts w:eastAsiaTheme="majorEastAsia" w:cstheme="majorBidi"/>
          <w:b/>
          <w:bCs/>
          <w:color w:val="000000"/>
          <w:sz w:val="32"/>
          <w:szCs w:val="32"/>
        </w:rPr>
      </w:pPr>
      <w:bookmarkStart w:id="98" w:name="X99060fbc86dc60fc20534b9b5fec17a8d5645e9"/>
      <w:r>
        <w:br w:type="page"/>
      </w:r>
    </w:p>
    <w:p w14:paraId="5798FDB3" w14:textId="3912D31E" w:rsidR="00065317" w:rsidRDefault="005C7BF7" w:rsidP="005C4361">
      <w:pPr>
        <w:pStyle w:val="Titre3"/>
      </w:pPr>
      <w:bookmarkStart w:id="99" w:name="_Toc154048734"/>
      <w:r>
        <w:lastRenderedPageBreak/>
        <w:t xml:space="preserve">Liste hiérarchisée des classes du </w:t>
      </w:r>
      <w:r w:rsidR="00C8288F">
        <w:t>CIDOC CRM</w:t>
      </w:r>
      <w:bookmarkEnd w:id="99"/>
    </w:p>
    <w:tbl>
      <w:tblPr>
        <w:tblStyle w:val="Table"/>
        <w:tblW w:w="0" w:type="auto"/>
        <w:tblInd w:w="0" w:type="dxa"/>
        <w:tblLook w:val="0000" w:firstRow="0" w:lastRow="0" w:firstColumn="0" w:lastColumn="0" w:noHBand="0" w:noVBand="0"/>
      </w:tblPr>
      <w:tblGrid>
        <w:gridCol w:w="620"/>
        <w:gridCol w:w="296"/>
        <w:gridCol w:w="296"/>
        <w:gridCol w:w="296"/>
        <w:gridCol w:w="296"/>
        <w:gridCol w:w="296"/>
        <w:gridCol w:w="554"/>
        <w:gridCol w:w="755"/>
        <w:gridCol w:w="755"/>
        <w:gridCol w:w="755"/>
        <w:gridCol w:w="2911"/>
      </w:tblGrid>
      <w:tr w:rsidR="00065317" w14:paraId="590A1731" w14:textId="77777777">
        <w:tc>
          <w:tcPr>
            <w:tcW w:w="0" w:type="auto"/>
            <w:gridSpan w:val="11"/>
          </w:tcPr>
          <w:p w14:paraId="234995F2" w14:textId="77777777" w:rsidR="00065317" w:rsidRDefault="005C7BF7">
            <w:pPr>
              <w:pStyle w:val="Compact"/>
            </w:pPr>
            <w:r>
              <w:rPr>
                <w:b/>
                <w:bCs/>
              </w:rPr>
              <w:t>Identifiant unique de classe</w:t>
            </w:r>
          </w:p>
        </w:tc>
      </w:tr>
      <w:tr w:rsidR="00065317" w14:paraId="0C14D263" w14:textId="77777777">
        <w:tc>
          <w:tcPr>
            <w:tcW w:w="0" w:type="auto"/>
          </w:tcPr>
          <w:p w14:paraId="73288811" w14:textId="77777777" w:rsidR="00065317" w:rsidRDefault="005C7BF7">
            <w:pPr>
              <w:pStyle w:val="Compact"/>
            </w:pPr>
            <w:r>
              <w:t>E1</w:t>
            </w:r>
          </w:p>
        </w:tc>
        <w:tc>
          <w:tcPr>
            <w:tcW w:w="0" w:type="auto"/>
            <w:gridSpan w:val="10"/>
          </w:tcPr>
          <w:p w14:paraId="74F8E923" w14:textId="77777777" w:rsidR="00065317" w:rsidRDefault="005C7BF7">
            <w:pPr>
              <w:pStyle w:val="Compact"/>
            </w:pPr>
            <w:r>
              <w:rPr>
                <w:rStyle w:val="VerbatimChar"/>
              </w:rPr>
              <w:t>E1_Entité_CRM</w:t>
            </w:r>
          </w:p>
        </w:tc>
      </w:tr>
      <w:tr w:rsidR="00065317" w14:paraId="543D6269" w14:textId="77777777">
        <w:tc>
          <w:tcPr>
            <w:tcW w:w="0" w:type="auto"/>
          </w:tcPr>
          <w:p w14:paraId="15D7DE62" w14:textId="77777777" w:rsidR="00065317" w:rsidRDefault="005C7BF7">
            <w:pPr>
              <w:pStyle w:val="Compact"/>
            </w:pPr>
            <w:r>
              <w:t>E2</w:t>
            </w:r>
          </w:p>
        </w:tc>
        <w:tc>
          <w:tcPr>
            <w:tcW w:w="0" w:type="auto"/>
          </w:tcPr>
          <w:p w14:paraId="157B14D8" w14:textId="77777777" w:rsidR="00065317" w:rsidRDefault="005C7BF7">
            <w:pPr>
              <w:pStyle w:val="Compact"/>
            </w:pPr>
            <w:r>
              <w:t>-</w:t>
            </w:r>
          </w:p>
        </w:tc>
        <w:tc>
          <w:tcPr>
            <w:tcW w:w="0" w:type="auto"/>
            <w:gridSpan w:val="9"/>
          </w:tcPr>
          <w:p w14:paraId="2DDB61A2" w14:textId="77777777" w:rsidR="00065317" w:rsidRDefault="005C7BF7">
            <w:pPr>
              <w:pStyle w:val="Compact"/>
            </w:pPr>
            <w:r>
              <w:rPr>
                <w:rStyle w:val="VerbatimChar"/>
              </w:rPr>
              <w:t>E2_Entité_temporelle</w:t>
            </w:r>
          </w:p>
        </w:tc>
      </w:tr>
      <w:tr w:rsidR="00065317" w14:paraId="5B7224F9" w14:textId="77777777">
        <w:tc>
          <w:tcPr>
            <w:tcW w:w="0" w:type="auto"/>
          </w:tcPr>
          <w:p w14:paraId="51F538D3" w14:textId="77777777" w:rsidR="00065317" w:rsidRDefault="005C7BF7">
            <w:pPr>
              <w:pStyle w:val="Compact"/>
            </w:pPr>
            <w:r>
              <w:t>E3</w:t>
            </w:r>
          </w:p>
        </w:tc>
        <w:tc>
          <w:tcPr>
            <w:tcW w:w="0" w:type="auto"/>
          </w:tcPr>
          <w:p w14:paraId="4791D8F5" w14:textId="77777777" w:rsidR="00065317" w:rsidRDefault="005C7BF7">
            <w:pPr>
              <w:pStyle w:val="Compact"/>
            </w:pPr>
            <w:r>
              <w:t>-</w:t>
            </w:r>
          </w:p>
        </w:tc>
        <w:tc>
          <w:tcPr>
            <w:tcW w:w="0" w:type="auto"/>
          </w:tcPr>
          <w:p w14:paraId="413D14D5" w14:textId="77777777" w:rsidR="00065317" w:rsidRDefault="005C7BF7">
            <w:pPr>
              <w:pStyle w:val="Compact"/>
            </w:pPr>
            <w:r>
              <w:t>-</w:t>
            </w:r>
          </w:p>
        </w:tc>
        <w:tc>
          <w:tcPr>
            <w:tcW w:w="0" w:type="auto"/>
            <w:gridSpan w:val="8"/>
          </w:tcPr>
          <w:p w14:paraId="5F550372" w14:textId="77777777" w:rsidR="00065317" w:rsidRDefault="005C7BF7">
            <w:pPr>
              <w:pStyle w:val="Compact"/>
            </w:pPr>
            <w:r>
              <w:rPr>
                <w:rStyle w:val="VerbatimChar"/>
              </w:rPr>
              <w:t>E3_État_matériel</w:t>
            </w:r>
          </w:p>
        </w:tc>
      </w:tr>
      <w:tr w:rsidR="00065317" w14:paraId="7778A2D1" w14:textId="77777777">
        <w:tc>
          <w:tcPr>
            <w:tcW w:w="0" w:type="auto"/>
          </w:tcPr>
          <w:p w14:paraId="45014843" w14:textId="77777777" w:rsidR="00065317" w:rsidRDefault="005C7BF7">
            <w:pPr>
              <w:pStyle w:val="Compact"/>
            </w:pPr>
            <w:r>
              <w:t>E4</w:t>
            </w:r>
          </w:p>
        </w:tc>
        <w:tc>
          <w:tcPr>
            <w:tcW w:w="0" w:type="auto"/>
          </w:tcPr>
          <w:p w14:paraId="5D3E0A14" w14:textId="77777777" w:rsidR="00065317" w:rsidRDefault="005C7BF7">
            <w:pPr>
              <w:pStyle w:val="Compact"/>
            </w:pPr>
            <w:r>
              <w:t>-</w:t>
            </w:r>
          </w:p>
        </w:tc>
        <w:tc>
          <w:tcPr>
            <w:tcW w:w="0" w:type="auto"/>
          </w:tcPr>
          <w:p w14:paraId="30159601" w14:textId="77777777" w:rsidR="00065317" w:rsidRDefault="005C7BF7">
            <w:pPr>
              <w:pStyle w:val="Compact"/>
            </w:pPr>
            <w:r>
              <w:t>-</w:t>
            </w:r>
          </w:p>
        </w:tc>
        <w:tc>
          <w:tcPr>
            <w:tcW w:w="0" w:type="auto"/>
            <w:gridSpan w:val="8"/>
          </w:tcPr>
          <w:p w14:paraId="47287E0D" w14:textId="77777777" w:rsidR="00065317" w:rsidRDefault="005C7BF7">
            <w:pPr>
              <w:pStyle w:val="Compact"/>
            </w:pPr>
            <w:r>
              <w:rPr>
                <w:rStyle w:val="VerbatimChar"/>
              </w:rPr>
              <w:t>E4_Période</w:t>
            </w:r>
          </w:p>
        </w:tc>
      </w:tr>
      <w:tr w:rsidR="00065317" w14:paraId="0DB61133" w14:textId="77777777">
        <w:tc>
          <w:tcPr>
            <w:tcW w:w="0" w:type="auto"/>
          </w:tcPr>
          <w:p w14:paraId="6A0B33EB" w14:textId="77777777" w:rsidR="00065317" w:rsidRDefault="005C7BF7">
            <w:pPr>
              <w:pStyle w:val="Compact"/>
            </w:pPr>
            <w:r>
              <w:t>E5</w:t>
            </w:r>
          </w:p>
        </w:tc>
        <w:tc>
          <w:tcPr>
            <w:tcW w:w="0" w:type="auto"/>
          </w:tcPr>
          <w:p w14:paraId="4AD3B249" w14:textId="77777777" w:rsidR="00065317" w:rsidRDefault="005C7BF7">
            <w:pPr>
              <w:pStyle w:val="Compact"/>
            </w:pPr>
            <w:r>
              <w:t>-</w:t>
            </w:r>
          </w:p>
        </w:tc>
        <w:tc>
          <w:tcPr>
            <w:tcW w:w="0" w:type="auto"/>
          </w:tcPr>
          <w:p w14:paraId="366B7449" w14:textId="77777777" w:rsidR="00065317" w:rsidRDefault="005C7BF7">
            <w:pPr>
              <w:pStyle w:val="Compact"/>
            </w:pPr>
            <w:r>
              <w:t>-</w:t>
            </w:r>
          </w:p>
        </w:tc>
        <w:tc>
          <w:tcPr>
            <w:tcW w:w="0" w:type="auto"/>
          </w:tcPr>
          <w:p w14:paraId="5358DF39" w14:textId="77777777" w:rsidR="00065317" w:rsidRDefault="005C7BF7">
            <w:pPr>
              <w:pStyle w:val="Compact"/>
            </w:pPr>
            <w:r>
              <w:t>-</w:t>
            </w:r>
          </w:p>
        </w:tc>
        <w:tc>
          <w:tcPr>
            <w:tcW w:w="0" w:type="auto"/>
            <w:gridSpan w:val="7"/>
          </w:tcPr>
          <w:p w14:paraId="13786B38" w14:textId="77777777" w:rsidR="00065317" w:rsidRDefault="005C7BF7">
            <w:pPr>
              <w:pStyle w:val="Compact"/>
            </w:pPr>
            <w:r>
              <w:rPr>
                <w:rStyle w:val="VerbatimChar"/>
              </w:rPr>
              <w:t>E5_Évènement</w:t>
            </w:r>
          </w:p>
        </w:tc>
      </w:tr>
      <w:tr w:rsidR="00065317" w14:paraId="6195FF90" w14:textId="77777777">
        <w:tc>
          <w:tcPr>
            <w:tcW w:w="0" w:type="auto"/>
          </w:tcPr>
          <w:p w14:paraId="1CBE7A71" w14:textId="77777777" w:rsidR="00065317" w:rsidRDefault="005C7BF7">
            <w:pPr>
              <w:pStyle w:val="Compact"/>
            </w:pPr>
            <w:r>
              <w:t>E7</w:t>
            </w:r>
          </w:p>
        </w:tc>
        <w:tc>
          <w:tcPr>
            <w:tcW w:w="0" w:type="auto"/>
          </w:tcPr>
          <w:p w14:paraId="526BFB45" w14:textId="77777777" w:rsidR="00065317" w:rsidRDefault="005C7BF7">
            <w:pPr>
              <w:pStyle w:val="Compact"/>
            </w:pPr>
            <w:r>
              <w:t>-</w:t>
            </w:r>
          </w:p>
        </w:tc>
        <w:tc>
          <w:tcPr>
            <w:tcW w:w="0" w:type="auto"/>
          </w:tcPr>
          <w:p w14:paraId="13936514" w14:textId="77777777" w:rsidR="00065317" w:rsidRDefault="005C7BF7">
            <w:pPr>
              <w:pStyle w:val="Compact"/>
            </w:pPr>
            <w:r>
              <w:t>-</w:t>
            </w:r>
          </w:p>
        </w:tc>
        <w:tc>
          <w:tcPr>
            <w:tcW w:w="0" w:type="auto"/>
          </w:tcPr>
          <w:p w14:paraId="18997008" w14:textId="77777777" w:rsidR="00065317" w:rsidRDefault="005C7BF7">
            <w:pPr>
              <w:pStyle w:val="Compact"/>
            </w:pPr>
            <w:r>
              <w:t>-</w:t>
            </w:r>
          </w:p>
        </w:tc>
        <w:tc>
          <w:tcPr>
            <w:tcW w:w="0" w:type="auto"/>
          </w:tcPr>
          <w:p w14:paraId="516BAC7C" w14:textId="77777777" w:rsidR="00065317" w:rsidRDefault="005C7BF7">
            <w:pPr>
              <w:pStyle w:val="Compact"/>
            </w:pPr>
            <w:r>
              <w:t>-</w:t>
            </w:r>
          </w:p>
        </w:tc>
        <w:tc>
          <w:tcPr>
            <w:tcW w:w="0" w:type="auto"/>
            <w:gridSpan w:val="6"/>
          </w:tcPr>
          <w:p w14:paraId="2AC4F920" w14:textId="77777777" w:rsidR="00065317" w:rsidRDefault="005C7BF7">
            <w:pPr>
              <w:pStyle w:val="Compact"/>
            </w:pPr>
            <w:r>
              <w:rPr>
                <w:rStyle w:val="VerbatimChar"/>
              </w:rPr>
              <w:t>E7_Activité</w:t>
            </w:r>
          </w:p>
        </w:tc>
      </w:tr>
      <w:tr w:rsidR="00065317" w14:paraId="65DE8FD7" w14:textId="77777777">
        <w:tc>
          <w:tcPr>
            <w:tcW w:w="0" w:type="auto"/>
          </w:tcPr>
          <w:p w14:paraId="527A2754" w14:textId="77777777" w:rsidR="00065317" w:rsidRDefault="005C7BF7">
            <w:pPr>
              <w:pStyle w:val="Compact"/>
            </w:pPr>
            <w:r>
              <w:t>E8</w:t>
            </w:r>
          </w:p>
        </w:tc>
        <w:tc>
          <w:tcPr>
            <w:tcW w:w="0" w:type="auto"/>
          </w:tcPr>
          <w:p w14:paraId="3343B08F" w14:textId="77777777" w:rsidR="00065317" w:rsidRDefault="005C7BF7">
            <w:pPr>
              <w:pStyle w:val="Compact"/>
            </w:pPr>
            <w:r>
              <w:t>-</w:t>
            </w:r>
          </w:p>
        </w:tc>
        <w:tc>
          <w:tcPr>
            <w:tcW w:w="0" w:type="auto"/>
          </w:tcPr>
          <w:p w14:paraId="46D93F22" w14:textId="77777777" w:rsidR="00065317" w:rsidRDefault="005C7BF7">
            <w:pPr>
              <w:pStyle w:val="Compact"/>
            </w:pPr>
            <w:r>
              <w:t>-</w:t>
            </w:r>
          </w:p>
        </w:tc>
        <w:tc>
          <w:tcPr>
            <w:tcW w:w="0" w:type="auto"/>
          </w:tcPr>
          <w:p w14:paraId="1757C562" w14:textId="77777777" w:rsidR="00065317" w:rsidRDefault="005C7BF7">
            <w:pPr>
              <w:pStyle w:val="Compact"/>
            </w:pPr>
            <w:r>
              <w:t>-</w:t>
            </w:r>
          </w:p>
        </w:tc>
        <w:tc>
          <w:tcPr>
            <w:tcW w:w="0" w:type="auto"/>
          </w:tcPr>
          <w:p w14:paraId="1D3C05C3" w14:textId="77777777" w:rsidR="00065317" w:rsidRDefault="005C7BF7">
            <w:pPr>
              <w:pStyle w:val="Compact"/>
            </w:pPr>
            <w:r>
              <w:t>-</w:t>
            </w:r>
          </w:p>
        </w:tc>
        <w:tc>
          <w:tcPr>
            <w:tcW w:w="0" w:type="auto"/>
          </w:tcPr>
          <w:p w14:paraId="22B5D66B" w14:textId="77777777" w:rsidR="00065317" w:rsidRDefault="005C7BF7">
            <w:pPr>
              <w:pStyle w:val="Compact"/>
            </w:pPr>
            <w:r>
              <w:t>-</w:t>
            </w:r>
          </w:p>
        </w:tc>
        <w:tc>
          <w:tcPr>
            <w:tcW w:w="0" w:type="auto"/>
            <w:gridSpan w:val="5"/>
          </w:tcPr>
          <w:p w14:paraId="34EF92C6" w14:textId="77777777" w:rsidR="00065317" w:rsidRDefault="005C7BF7">
            <w:pPr>
              <w:pStyle w:val="Compact"/>
            </w:pPr>
            <w:r>
              <w:rPr>
                <w:rStyle w:val="VerbatimChar"/>
              </w:rPr>
              <w:t>E8_Acquisition</w:t>
            </w:r>
          </w:p>
        </w:tc>
      </w:tr>
      <w:tr w:rsidR="00065317" w14:paraId="133A4C58" w14:textId="77777777">
        <w:tc>
          <w:tcPr>
            <w:tcW w:w="0" w:type="auto"/>
          </w:tcPr>
          <w:p w14:paraId="26412A1C" w14:textId="77777777" w:rsidR="00065317" w:rsidRDefault="005C7BF7">
            <w:pPr>
              <w:pStyle w:val="Compact"/>
            </w:pPr>
            <w:r>
              <w:t>E96</w:t>
            </w:r>
          </w:p>
        </w:tc>
        <w:tc>
          <w:tcPr>
            <w:tcW w:w="0" w:type="auto"/>
          </w:tcPr>
          <w:p w14:paraId="2CF94971" w14:textId="77777777" w:rsidR="00065317" w:rsidRDefault="005C7BF7">
            <w:pPr>
              <w:pStyle w:val="Compact"/>
            </w:pPr>
            <w:r>
              <w:t>-</w:t>
            </w:r>
          </w:p>
        </w:tc>
        <w:tc>
          <w:tcPr>
            <w:tcW w:w="0" w:type="auto"/>
          </w:tcPr>
          <w:p w14:paraId="728342A6" w14:textId="77777777" w:rsidR="00065317" w:rsidRDefault="005C7BF7">
            <w:pPr>
              <w:pStyle w:val="Compact"/>
            </w:pPr>
            <w:r>
              <w:t>-</w:t>
            </w:r>
          </w:p>
        </w:tc>
        <w:tc>
          <w:tcPr>
            <w:tcW w:w="0" w:type="auto"/>
          </w:tcPr>
          <w:p w14:paraId="30A0C8E6" w14:textId="77777777" w:rsidR="00065317" w:rsidRDefault="005C7BF7">
            <w:pPr>
              <w:pStyle w:val="Compact"/>
            </w:pPr>
            <w:r>
              <w:t>-</w:t>
            </w:r>
          </w:p>
        </w:tc>
        <w:tc>
          <w:tcPr>
            <w:tcW w:w="0" w:type="auto"/>
          </w:tcPr>
          <w:p w14:paraId="2347FD4B" w14:textId="77777777" w:rsidR="00065317" w:rsidRDefault="005C7BF7">
            <w:pPr>
              <w:pStyle w:val="Compact"/>
            </w:pPr>
            <w:r>
              <w:t>-</w:t>
            </w:r>
          </w:p>
        </w:tc>
        <w:tc>
          <w:tcPr>
            <w:tcW w:w="0" w:type="auto"/>
          </w:tcPr>
          <w:p w14:paraId="1BCCE2A4" w14:textId="77777777" w:rsidR="00065317" w:rsidRDefault="005C7BF7">
            <w:pPr>
              <w:pStyle w:val="Compact"/>
            </w:pPr>
            <w:r>
              <w:t>-</w:t>
            </w:r>
          </w:p>
        </w:tc>
        <w:tc>
          <w:tcPr>
            <w:tcW w:w="0" w:type="auto"/>
          </w:tcPr>
          <w:p w14:paraId="1E1F707E" w14:textId="77777777" w:rsidR="00065317" w:rsidRDefault="005C7BF7">
            <w:pPr>
              <w:pStyle w:val="Compact"/>
            </w:pPr>
            <w:r>
              <w:t>-</w:t>
            </w:r>
          </w:p>
        </w:tc>
        <w:tc>
          <w:tcPr>
            <w:tcW w:w="0" w:type="auto"/>
            <w:gridSpan w:val="4"/>
          </w:tcPr>
          <w:p w14:paraId="372B4D1E" w14:textId="77777777" w:rsidR="00065317" w:rsidRDefault="005C7BF7">
            <w:pPr>
              <w:pStyle w:val="Compact"/>
            </w:pPr>
            <w:r>
              <w:rPr>
                <w:rStyle w:val="VerbatimChar"/>
              </w:rPr>
              <w:t>E96_Achat</w:t>
            </w:r>
          </w:p>
        </w:tc>
      </w:tr>
      <w:tr w:rsidR="00065317" w14:paraId="2E4402D8" w14:textId="77777777">
        <w:tc>
          <w:tcPr>
            <w:tcW w:w="0" w:type="auto"/>
          </w:tcPr>
          <w:p w14:paraId="3E8F9AA5" w14:textId="77777777" w:rsidR="00065317" w:rsidRDefault="005C7BF7">
            <w:pPr>
              <w:pStyle w:val="Compact"/>
            </w:pPr>
            <w:r>
              <w:t>E9</w:t>
            </w:r>
          </w:p>
        </w:tc>
        <w:tc>
          <w:tcPr>
            <w:tcW w:w="0" w:type="auto"/>
          </w:tcPr>
          <w:p w14:paraId="262C7B24" w14:textId="77777777" w:rsidR="00065317" w:rsidRDefault="005C7BF7">
            <w:pPr>
              <w:pStyle w:val="Compact"/>
            </w:pPr>
            <w:r>
              <w:t>-</w:t>
            </w:r>
          </w:p>
        </w:tc>
        <w:tc>
          <w:tcPr>
            <w:tcW w:w="0" w:type="auto"/>
          </w:tcPr>
          <w:p w14:paraId="137CEDB2" w14:textId="77777777" w:rsidR="00065317" w:rsidRDefault="005C7BF7">
            <w:pPr>
              <w:pStyle w:val="Compact"/>
            </w:pPr>
            <w:r>
              <w:t>-</w:t>
            </w:r>
          </w:p>
        </w:tc>
        <w:tc>
          <w:tcPr>
            <w:tcW w:w="0" w:type="auto"/>
          </w:tcPr>
          <w:p w14:paraId="3AB7826E" w14:textId="77777777" w:rsidR="00065317" w:rsidRDefault="005C7BF7">
            <w:pPr>
              <w:pStyle w:val="Compact"/>
            </w:pPr>
            <w:r>
              <w:t>-</w:t>
            </w:r>
          </w:p>
        </w:tc>
        <w:tc>
          <w:tcPr>
            <w:tcW w:w="0" w:type="auto"/>
          </w:tcPr>
          <w:p w14:paraId="2D139BB7" w14:textId="77777777" w:rsidR="00065317" w:rsidRDefault="005C7BF7">
            <w:pPr>
              <w:pStyle w:val="Compact"/>
            </w:pPr>
            <w:r>
              <w:t>-</w:t>
            </w:r>
          </w:p>
        </w:tc>
        <w:tc>
          <w:tcPr>
            <w:tcW w:w="0" w:type="auto"/>
          </w:tcPr>
          <w:p w14:paraId="64498894" w14:textId="77777777" w:rsidR="00065317" w:rsidRDefault="005C7BF7">
            <w:pPr>
              <w:pStyle w:val="Compact"/>
            </w:pPr>
            <w:r>
              <w:t>-</w:t>
            </w:r>
          </w:p>
        </w:tc>
        <w:tc>
          <w:tcPr>
            <w:tcW w:w="0" w:type="auto"/>
            <w:gridSpan w:val="5"/>
          </w:tcPr>
          <w:p w14:paraId="74099272" w14:textId="77777777" w:rsidR="00065317" w:rsidRDefault="005C7BF7">
            <w:pPr>
              <w:pStyle w:val="Compact"/>
            </w:pPr>
            <w:r>
              <w:rPr>
                <w:rStyle w:val="VerbatimChar"/>
              </w:rPr>
              <w:t>E9_Déplacement</w:t>
            </w:r>
          </w:p>
        </w:tc>
      </w:tr>
      <w:tr w:rsidR="00065317" w14:paraId="30A40B6A" w14:textId="77777777">
        <w:tc>
          <w:tcPr>
            <w:tcW w:w="0" w:type="auto"/>
          </w:tcPr>
          <w:p w14:paraId="022DF3CF" w14:textId="77777777" w:rsidR="00065317" w:rsidRDefault="005C7BF7">
            <w:pPr>
              <w:pStyle w:val="Compact"/>
            </w:pPr>
            <w:r>
              <w:t>E10</w:t>
            </w:r>
          </w:p>
        </w:tc>
        <w:tc>
          <w:tcPr>
            <w:tcW w:w="0" w:type="auto"/>
          </w:tcPr>
          <w:p w14:paraId="37EF0FC9" w14:textId="77777777" w:rsidR="00065317" w:rsidRDefault="005C7BF7">
            <w:pPr>
              <w:pStyle w:val="Compact"/>
            </w:pPr>
            <w:r>
              <w:t>-</w:t>
            </w:r>
          </w:p>
        </w:tc>
        <w:tc>
          <w:tcPr>
            <w:tcW w:w="0" w:type="auto"/>
          </w:tcPr>
          <w:p w14:paraId="693D65B7" w14:textId="77777777" w:rsidR="00065317" w:rsidRDefault="005C7BF7">
            <w:pPr>
              <w:pStyle w:val="Compact"/>
            </w:pPr>
            <w:r>
              <w:t>-</w:t>
            </w:r>
          </w:p>
        </w:tc>
        <w:tc>
          <w:tcPr>
            <w:tcW w:w="0" w:type="auto"/>
          </w:tcPr>
          <w:p w14:paraId="73740A33" w14:textId="77777777" w:rsidR="00065317" w:rsidRDefault="005C7BF7">
            <w:pPr>
              <w:pStyle w:val="Compact"/>
            </w:pPr>
            <w:r>
              <w:t>-</w:t>
            </w:r>
          </w:p>
        </w:tc>
        <w:tc>
          <w:tcPr>
            <w:tcW w:w="0" w:type="auto"/>
          </w:tcPr>
          <w:p w14:paraId="45B835DF" w14:textId="77777777" w:rsidR="00065317" w:rsidRDefault="005C7BF7">
            <w:pPr>
              <w:pStyle w:val="Compact"/>
            </w:pPr>
            <w:r>
              <w:t>-</w:t>
            </w:r>
          </w:p>
        </w:tc>
        <w:tc>
          <w:tcPr>
            <w:tcW w:w="0" w:type="auto"/>
          </w:tcPr>
          <w:p w14:paraId="46F782DA" w14:textId="77777777" w:rsidR="00065317" w:rsidRDefault="005C7BF7">
            <w:pPr>
              <w:pStyle w:val="Compact"/>
            </w:pPr>
            <w:r>
              <w:t>-</w:t>
            </w:r>
          </w:p>
        </w:tc>
        <w:tc>
          <w:tcPr>
            <w:tcW w:w="0" w:type="auto"/>
            <w:gridSpan w:val="5"/>
          </w:tcPr>
          <w:p w14:paraId="2063D30B" w14:textId="77777777" w:rsidR="00065317" w:rsidRDefault="005C7BF7">
            <w:pPr>
              <w:pStyle w:val="Compact"/>
            </w:pPr>
            <w:r>
              <w:rPr>
                <w:rStyle w:val="VerbatimChar"/>
              </w:rPr>
              <w:t>E10_Transfert_de_la_garde</w:t>
            </w:r>
          </w:p>
        </w:tc>
      </w:tr>
      <w:tr w:rsidR="00065317" w14:paraId="1BA13702" w14:textId="77777777">
        <w:tc>
          <w:tcPr>
            <w:tcW w:w="0" w:type="auto"/>
          </w:tcPr>
          <w:p w14:paraId="2056A0C0" w14:textId="77777777" w:rsidR="00065317" w:rsidRDefault="005C7BF7">
            <w:pPr>
              <w:pStyle w:val="Compact"/>
            </w:pPr>
            <w:r>
              <w:t>E11</w:t>
            </w:r>
          </w:p>
        </w:tc>
        <w:tc>
          <w:tcPr>
            <w:tcW w:w="0" w:type="auto"/>
          </w:tcPr>
          <w:p w14:paraId="3661A4EA" w14:textId="77777777" w:rsidR="00065317" w:rsidRDefault="005C7BF7">
            <w:pPr>
              <w:pStyle w:val="Compact"/>
            </w:pPr>
            <w:r>
              <w:t>-</w:t>
            </w:r>
          </w:p>
        </w:tc>
        <w:tc>
          <w:tcPr>
            <w:tcW w:w="0" w:type="auto"/>
          </w:tcPr>
          <w:p w14:paraId="5B008391" w14:textId="77777777" w:rsidR="00065317" w:rsidRDefault="005C7BF7">
            <w:pPr>
              <w:pStyle w:val="Compact"/>
            </w:pPr>
            <w:r>
              <w:t>-</w:t>
            </w:r>
          </w:p>
        </w:tc>
        <w:tc>
          <w:tcPr>
            <w:tcW w:w="0" w:type="auto"/>
          </w:tcPr>
          <w:p w14:paraId="3DC4345B" w14:textId="77777777" w:rsidR="00065317" w:rsidRDefault="005C7BF7">
            <w:pPr>
              <w:pStyle w:val="Compact"/>
            </w:pPr>
            <w:r>
              <w:t>-</w:t>
            </w:r>
          </w:p>
        </w:tc>
        <w:tc>
          <w:tcPr>
            <w:tcW w:w="0" w:type="auto"/>
          </w:tcPr>
          <w:p w14:paraId="2B19695E" w14:textId="77777777" w:rsidR="00065317" w:rsidRDefault="005C7BF7">
            <w:pPr>
              <w:pStyle w:val="Compact"/>
            </w:pPr>
            <w:r>
              <w:t>-</w:t>
            </w:r>
          </w:p>
        </w:tc>
        <w:tc>
          <w:tcPr>
            <w:tcW w:w="0" w:type="auto"/>
          </w:tcPr>
          <w:p w14:paraId="08EBFA9E" w14:textId="77777777" w:rsidR="00065317" w:rsidRDefault="005C7BF7">
            <w:pPr>
              <w:pStyle w:val="Compact"/>
            </w:pPr>
            <w:r>
              <w:t>-</w:t>
            </w:r>
          </w:p>
        </w:tc>
        <w:tc>
          <w:tcPr>
            <w:tcW w:w="0" w:type="auto"/>
            <w:gridSpan w:val="5"/>
          </w:tcPr>
          <w:p w14:paraId="5FFA2D1A" w14:textId="77777777" w:rsidR="00065317" w:rsidRDefault="005C7BF7">
            <w:pPr>
              <w:pStyle w:val="Compact"/>
            </w:pPr>
            <w:r>
              <w:rPr>
                <w:rStyle w:val="VerbatimChar"/>
              </w:rPr>
              <w:t>E11_Modification</w:t>
            </w:r>
          </w:p>
        </w:tc>
      </w:tr>
      <w:tr w:rsidR="00065317" w14:paraId="49BBDA9B" w14:textId="77777777">
        <w:tc>
          <w:tcPr>
            <w:tcW w:w="0" w:type="auto"/>
          </w:tcPr>
          <w:p w14:paraId="12C8052C" w14:textId="77777777" w:rsidR="00065317" w:rsidRDefault="005C7BF7">
            <w:pPr>
              <w:pStyle w:val="Compact"/>
            </w:pPr>
            <w:r>
              <w:t>E12</w:t>
            </w:r>
          </w:p>
        </w:tc>
        <w:tc>
          <w:tcPr>
            <w:tcW w:w="0" w:type="auto"/>
          </w:tcPr>
          <w:p w14:paraId="1E7B1A5D" w14:textId="77777777" w:rsidR="00065317" w:rsidRDefault="005C7BF7">
            <w:pPr>
              <w:pStyle w:val="Compact"/>
            </w:pPr>
            <w:r>
              <w:t>-</w:t>
            </w:r>
          </w:p>
        </w:tc>
        <w:tc>
          <w:tcPr>
            <w:tcW w:w="0" w:type="auto"/>
          </w:tcPr>
          <w:p w14:paraId="73AF3028" w14:textId="77777777" w:rsidR="00065317" w:rsidRDefault="005C7BF7">
            <w:pPr>
              <w:pStyle w:val="Compact"/>
            </w:pPr>
            <w:r>
              <w:t>-</w:t>
            </w:r>
          </w:p>
        </w:tc>
        <w:tc>
          <w:tcPr>
            <w:tcW w:w="0" w:type="auto"/>
          </w:tcPr>
          <w:p w14:paraId="22D76E96" w14:textId="77777777" w:rsidR="00065317" w:rsidRDefault="005C7BF7">
            <w:pPr>
              <w:pStyle w:val="Compact"/>
            </w:pPr>
            <w:r>
              <w:t>-</w:t>
            </w:r>
          </w:p>
        </w:tc>
        <w:tc>
          <w:tcPr>
            <w:tcW w:w="0" w:type="auto"/>
          </w:tcPr>
          <w:p w14:paraId="3DBA344E" w14:textId="77777777" w:rsidR="00065317" w:rsidRDefault="005C7BF7">
            <w:pPr>
              <w:pStyle w:val="Compact"/>
            </w:pPr>
            <w:r>
              <w:t>-</w:t>
            </w:r>
          </w:p>
        </w:tc>
        <w:tc>
          <w:tcPr>
            <w:tcW w:w="0" w:type="auto"/>
          </w:tcPr>
          <w:p w14:paraId="2B755693" w14:textId="77777777" w:rsidR="00065317" w:rsidRDefault="005C7BF7">
            <w:pPr>
              <w:pStyle w:val="Compact"/>
            </w:pPr>
            <w:r>
              <w:t>-</w:t>
            </w:r>
          </w:p>
        </w:tc>
        <w:tc>
          <w:tcPr>
            <w:tcW w:w="0" w:type="auto"/>
          </w:tcPr>
          <w:p w14:paraId="4F870EC2" w14:textId="77777777" w:rsidR="00065317" w:rsidRDefault="005C7BF7">
            <w:pPr>
              <w:pStyle w:val="Compact"/>
            </w:pPr>
            <w:r>
              <w:t>-</w:t>
            </w:r>
          </w:p>
        </w:tc>
        <w:tc>
          <w:tcPr>
            <w:tcW w:w="0" w:type="auto"/>
            <w:gridSpan w:val="4"/>
          </w:tcPr>
          <w:p w14:paraId="0B4DFBA7" w14:textId="77777777" w:rsidR="00065317" w:rsidRDefault="005C7BF7">
            <w:pPr>
              <w:pStyle w:val="Compact"/>
            </w:pPr>
            <w:r>
              <w:rPr>
                <w:rStyle w:val="VerbatimChar"/>
              </w:rPr>
              <w:t>E12_Production</w:t>
            </w:r>
          </w:p>
        </w:tc>
      </w:tr>
      <w:tr w:rsidR="00065317" w14:paraId="38B40708" w14:textId="77777777">
        <w:tc>
          <w:tcPr>
            <w:tcW w:w="0" w:type="auto"/>
          </w:tcPr>
          <w:p w14:paraId="46BE5B34" w14:textId="77777777" w:rsidR="00065317" w:rsidRDefault="005C7BF7">
            <w:pPr>
              <w:pStyle w:val="Compact"/>
            </w:pPr>
            <w:r>
              <w:t>E79</w:t>
            </w:r>
          </w:p>
        </w:tc>
        <w:tc>
          <w:tcPr>
            <w:tcW w:w="0" w:type="auto"/>
          </w:tcPr>
          <w:p w14:paraId="0FBDAD24" w14:textId="77777777" w:rsidR="00065317" w:rsidRDefault="005C7BF7">
            <w:pPr>
              <w:pStyle w:val="Compact"/>
            </w:pPr>
            <w:r>
              <w:t>-</w:t>
            </w:r>
          </w:p>
        </w:tc>
        <w:tc>
          <w:tcPr>
            <w:tcW w:w="0" w:type="auto"/>
          </w:tcPr>
          <w:p w14:paraId="7AA7E9FC" w14:textId="77777777" w:rsidR="00065317" w:rsidRDefault="005C7BF7">
            <w:pPr>
              <w:pStyle w:val="Compact"/>
            </w:pPr>
            <w:r>
              <w:t>-</w:t>
            </w:r>
          </w:p>
        </w:tc>
        <w:tc>
          <w:tcPr>
            <w:tcW w:w="0" w:type="auto"/>
          </w:tcPr>
          <w:p w14:paraId="16C85353" w14:textId="77777777" w:rsidR="00065317" w:rsidRDefault="005C7BF7">
            <w:pPr>
              <w:pStyle w:val="Compact"/>
            </w:pPr>
            <w:r>
              <w:t>-</w:t>
            </w:r>
          </w:p>
        </w:tc>
        <w:tc>
          <w:tcPr>
            <w:tcW w:w="0" w:type="auto"/>
          </w:tcPr>
          <w:p w14:paraId="1E31447D" w14:textId="77777777" w:rsidR="00065317" w:rsidRDefault="005C7BF7">
            <w:pPr>
              <w:pStyle w:val="Compact"/>
            </w:pPr>
            <w:r>
              <w:t>-</w:t>
            </w:r>
          </w:p>
        </w:tc>
        <w:tc>
          <w:tcPr>
            <w:tcW w:w="0" w:type="auto"/>
          </w:tcPr>
          <w:p w14:paraId="631D1EC3" w14:textId="77777777" w:rsidR="00065317" w:rsidRDefault="005C7BF7">
            <w:pPr>
              <w:pStyle w:val="Compact"/>
            </w:pPr>
            <w:r>
              <w:t>-</w:t>
            </w:r>
          </w:p>
        </w:tc>
        <w:tc>
          <w:tcPr>
            <w:tcW w:w="0" w:type="auto"/>
          </w:tcPr>
          <w:p w14:paraId="6F32173F" w14:textId="77777777" w:rsidR="00065317" w:rsidRDefault="005C7BF7">
            <w:pPr>
              <w:pStyle w:val="Compact"/>
            </w:pPr>
            <w:r>
              <w:t>-</w:t>
            </w:r>
          </w:p>
        </w:tc>
        <w:tc>
          <w:tcPr>
            <w:tcW w:w="0" w:type="auto"/>
            <w:gridSpan w:val="4"/>
          </w:tcPr>
          <w:p w14:paraId="6FB2C81E" w14:textId="78BADF46" w:rsidR="00065317" w:rsidRDefault="005C7BF7">
            <w:pPr>
              <w:pStyle w:val="Compact"/>
            </w:pPr>
            <w:r>
              <w:rPr>
                <w:rStyle w:val="VerbatimChar"/>
              </w:rPr>
              <w:t>E79_Ajout_d</w:t>
            </w:r>
            <w:r w:rsidR="00E84B0E">
              <w:rPr>
                <w:rStyle w:val="VerbatimChar"/>
              </w:rPr>
              <w:t>’</w:t>
            </w:r>
            <w:r>
              <w:rPr>
                <w:rStyle w:val="VerbatimChar"/>
              </w:rPr>
              <w:t>élément</w:t>
            </w:r>
          </w:p>
        </w:tc>
      </w:tr>
      <w:tr w:rsidR="00065317" w14:paraId="3BF76701" w14:textId="77777777">
        <w:tc>
          <w:tcPr>
            <w:tcW w:w="0" w:type="auto"/>
          </w:tcPr>
          <w:p w14:paraId="6D7E998B" w14:textId="77777777" w:rsidR="00065317" w:rsidRDefault="005C7BF7">
            <w:pPr>
              <w:pStyle w:val="Compact"/>
            </w:pPr>
            <w:r>
              <w:t>E80</w:t>
            </w:r>
          </w:p>
        </w:tc>
        <w:tc>
          <w:tcPr>
            <w:tcW w:w="0" w:type="auto"/>
          </w:tcPr>
          <w:p w14:paraId="2CD548F5" w14:textId="77777777" w:rsidR="00065317" w:rsidRDefault="005C7BF7">
            <w:pPr>
              <w:pStyle w:val="Compact"/>
            </w:pPr>
            <w:r>
              <w:t>-</w:t>
            </w:r>
          </w:p>
        </w:tc>
        <w:tc>
          <w:tcPr>
            <w:tcW w:w="0" w:type="auto"/>
          </w:tcPr>
          <w:p w14:paraId="0D5CA25E" w14:textId="77777777" w:rsidR="00065317" w:rsidRDefault="005C7BF7">
            <w:pPr>
              <w:pStyle w:val="Compact"/>
            </w:pPr>
            <w:r>
              <w:t>-</w:t>
            </w:r>
          </w:p>
        </w:tc>
        <w:tc>
          <w:tcPr>
            <w:tcW w:w="0" w:type="auto"/>
          </w:tcPr>
          <w:p w14:paraId="35CDAEF0" w14:textId="77777777" w:rsidR="00065317" w:rsidRDefault="005C7BF7">
            <w:pPr>
              <w:pStyle w:val="Compact"/>
            </w:pPr>
            <w:r>
              <w:t>-</w:t>
            </w:r>
          </w:p>
        </w:tc>
        <w:tc>
          <w:tcPr>
            <w:tcW w:w="0" w:type="auto"/>
          </w:tcPr>
          <w:p w14:paraId="2EBD0F45" w14:textId="77777777" w:rsidR="00065317" w:rsidRDefault="005C7BF7">
            <w:pPr>
              <w:pStyle w:val="Compact"/>
            </w:pPr>
            <w:r>
              <w:t>-</w:t>
            </w:r>
          </w:p>
        </w:tc>
        <w:tc>
          <w:tcPr>
            <w:tcW w:w="0" w:type="auto"/>
          </w:tcPr>
          <w:p w14:paraId="25FF9AFE" w14:textId="77777777" w:rsidR="00065317" w:rsidRDefault="005C7BF7">
            <w:pPr>
              <w:pStyle w:val="Compact"/>
            </w:pPr>
            <w:r>
              <w:t>-</w:t>
            </w:r>
          </w:p>
        </w:tc>
        <w:tc>
          <w:tcPr>
            <w:tcW w:w="0" w:type="auto"/>
          </w:tcPr>
          <w:p w14:paraId="59E9BC57" w14:textId="77777777" w:rsidR="00065317" w:rsidRDefault="005C7BF7">
            <w:pPr>
              <w:pStyle w:val="Compact"/>
            </w:pPr>
            <w:r>
              <w:t>-</w:t>
            </w:r>
          </w:p>
        </w:tc>
        <w:tc>
          <w:tcPr>
            <w:tcW w:w="0" w:type="auto"/>
            <w:gridSpan w:val="4"/>
          </w:tcPr>
          <w:p w14:paraId="76EB4D0A" w14:textId="113028CC" w:rsidR="00065317" w:rsidRDefault="005C7BF7">
            <w:pPr>
              <w:pStyle w:val="Compact"/>
            </w:pPr>
            <w:r>
              <w:rPr>
                <w:rStyle w:val="VerbatimChar"/>
              </w:rPr>
              <w:t>E80_Retrait_d</w:t>
            </w:r>
            <w:r w:rsidR="00E84B0E">
              <w:rPr>
                <w:rStyle w:val="VerbatimChar"/>
              </w:rPr>
              <w:t>’</w:t>
            </w:r>
            <w:r>
              <w:rPr>
                <w:rStyle w:val="VerbatimChar"/>
              </w:rPr>
              <w:t>élément</w:t>
            </w:r>
          </w:p>
        </w:tc>
      </w:tr>
      <w:tr w:rsidR="00065317" w14:paraId="0A5B336C" w14:textId="77777777">
        <w:tc>
          <w:tcPr>
            <w:tcW w:w="0" w:type="auto"/>
          </w:tcPr>
          <w:p w14:paraId="1D375A45" w14:textId="77777777" w:rsidR="00065317" w:rsidRDefault="005C7BF7">
            <w:pPr>
              <w:pStyle w:val="Compact"/>
            </w:pPr>
            <w:r>
              <w:t>E13</w:t>
            </w:r>
          </w:p>
        </w:tc>
        <w:tc>
          <w:tcPr>
            <w:tcW w:w="0" w:type="auto"/>
          </w:tcPr>
          <w:p w14:paraId="6F8ED8CA" w14:textId="77777777" w:rsidR="00065317" w:rsidRDefault="005C7BF7">
            <w:pPr>
              <w:pStyle w:val="Compact"/>
            </w:pPr>
            <w:r>
              <w:t>-</w:t>
            </w:r>
          </w:p>
        </w:tc>
        <w:tc>
          <w:tcPr>
            <w:tcW w:w="0" w:type="auto"/>
          </w:tcPr>
          <w:p w14:paraId="561FA169" w14:textId="77777777" w:rsidR="00065317" w:rsidRDefault="005C7BF7">
            <w:pPr>
              <w:pStyle w:val="Compact"/>
            </w:pPr>
            <w:r>
              <w:t>-</w:t>
            </w:r>
          </w:p>
        </w:tc>
        <w:tc>
          <w:tcPr>
            <w:tcW w:w="0" w:type="auto"/>
          </w:tcPr>
          <w:p w14:paraId="168025DE" w14:textId="77777777" w:rsidR="00065317" w:rsidRDefault="005C7BF7">
            <w:pPr>
              <w:pStyle w:val="Compact"/>
            </w:pPr>
            <w:r>
              <w:t>-</w:t>
            </w:r>
          </w:p>
        </w:tc>
        <w:tc>
          <w:tcPr>
            <w:tcW w:w="0" w:type="auto"/>
          </w:tcPr>
          <w:p w14:paraId="4D397EA1" w14:textId="77777777" w:rsidR="00065317" w:rsidRDefault="005C7BF7">
            <w:pPr>
              <w:pStyle w:val="Compact"/>
            </w:pPr>
            <w:r>
              <w:t>-</w:t>
            </w:r>
          </w:p>
        </w:tc>
        <w:tc>
          <w:tcPr>
            <w:tcW w:w="0" w:type="auto"/>
          </w:tcPr>
          <w:p w14:paraId="31BBBD2E" w14:textId="77777777" w:rsidR="00065317" w:rsidRDefault="005C7BF7">
            <w:pPr>
              <w:pStyle w:val="Compact"/>
            </w:pPr>
            <w:r>
              <w:t>-</w:t>
            </w:r>
          </w:p>
        </w:tc>
        <w:tc>
          <w:tcPr>
            <w:tcW w:w="0" w:type="auto"/>
            <w:gridSpan w:val="5"/>
          </w:tcPr>
          <w:p w14:paraId="0A556D9F" w14:textId="4A7F2484" w:rsidR="00065317" w:rsidRDefault="005C7BF7">
            <w:pPr>
              <w:pStyle w:val="Compact"/>
            </w:pPr>
            <w:r>
              <w:rPr>
                <w:rStyle w:val="VerbatimChar"/>
              </w:rPr>
              <w:t>E13_Assignation_d</w:t>
            </w:r>
            <w:r w:rsidR="00E84B0E">
              <w:rPr>
                <w:rStyle w:val="VerbatimChar"/>
              </w:rPr>
              <w:t>’</w:t>
            </w:r>
            <w:r>
              <w:rPr>
                <w:rStyle w:val="VerbatimChar"/>
              </w:rPr>
              <w:t>attribut</w:t>
            </w:r>
          </w:p>
        </w:tc>
      </w:tr>
      <w:tr w:rsidR="00065317" w14:paraId="5F8D9B89" w14:textId="77777777">
        <w:tc>
          <w:tcPr>
            <w:tcW w:w="0" w:type="auto"/>
          </w:tcPr>
          <w:p w14:paraId="67D074B9" w14:textId="77777777" w:rsidR="00065317" w:rsidRDefault="005C7BF7">
            <w:pPr>
              <w:pStyle w:val="Compact"/>
            </w:pPr>
            <w:r>
              <w:t>E14</w:t>
            </w:r>
          </w:p>
        </w:tc>
        <w:tc>
          <w:tcPr>
            <w:tcW w:w="0" w:type="auto"/>
          </w:tcPr>
          <w:p w14:paraId="431AC9C7" w14:textId="77777777" w:rsidR="00065317" w:rsidRDefault="005C7BF7">
            <w:pPr>
              <w:pStyle w:val="Compact"/>
            </w:pPr>
            <w:r>
              <w:t>-</w:t>
            </w:r>
          </w:p>
        </w:tc>
        <w:tc>
          <w:tcPr>
            <w:tcW w:w="0" w:type="auto"/>
          </w:tcPr>
          <w:p w14:paraId="75BBB8B2" w14:textId="77777777" w:rsidR="00065317" w:rsidRDefault="005C7BF7">
            <w:pPr>
              <w:pStyle w:val="Compact"/>
            </w:pPr>
            <w:r>
              <w:t>-</w:t>
            </w:r>
          </w:p>
        </w:tc>
        <w:tc>
          <w:tcPr>
            <w:tcW w:w="0" w:type="auto"/>
          </w:tcPr>
          <w:p w14:paraId="3DA989F6" w14:textId="77777777" w:rsidR="00065317" w:rsidRDefault="005C7BF7">
            <w:pPr>
              <w:pStyle w:val="Compact"/>
            </w:pPr>
            <w:r>
              <w:t>-</w:t>
            </w:r>
          </w:p>
        </w:tc>
        <w:tc>
          <w:tcPr>
            <w:tcW w:w="0" w:type="auto"/>
          </w:tcPr>
          <w:p w14:paraId="2C1E819A" w14:textId="77777777" w:rsidR="00065317" w:rsidRDefault="005C7BF7">
            <w:pPr>
              <w:pStyle w:val="Compact"/>
            </w:pPr>
            <w:r>
              <w:t>-</w:t>
            </w:r>
          </w:p>
        </w:tc>
        <w:tc>
          <w:tcPr>
            <w:tcW w:w="0" w:type="auto"/>
          </w:tcPr>
          <w:p w14:paraId="295EC59E" w14:textId="77777777" w:rsidR="00065317" w:rsidRDefault="005C7BF7">
            <w:pPr>
              <w:pStyle w:val="Compact"/>
            </w:pPr>
            <w:r>
              <w:t>-</w:t>
            </w:r>
          </w:p>
        </w:tc>
        <w:tc>
          <w:tcPr>
            <w:tcW w:w="0" w:type="auto"/>
          </w:tcPr>
          <w:p w14:paraId="33CFFB9E" w14:textId="77777777" w:rsidR="00065317" w:rsidRDefault="005C7BF7">
            <w:pPr>
              <w:pStyle w:val="Compact"/>
            </w:pPr>
            <w:r>
              <w:t>-</w:t>
            </w:r>
          </w:p>
        </w:tc>
        <w:tc>
          <w:tcPr>
            <w:tcW w:w="0" w:type="auto"/>
            <w:gridSpan w:val="4"/>
          </w:tcPr>
          <w:p w14:paraId="4CF49F3C" w14:textId="07EDE06B" w:rsidR="00065317" w:rsidRDefault="005C7BF7">
            <w:pPr>
              <w:pStyle w:val="Compact"/>
            </w:pPr>
            <w:r>
              <w:rPr>
                <w:rStyle w:val="VerbatimChar"/>
              </w:rPr>
              <w:t>E14_Évaluation_d</w:t>
            </w:r>
            <w:r w:rsidR="00E84B0E">
              <w:rPr>
                <w:rStyle w:val="VerbatimChar"/>
              </w:rPr>
              <w:t>’</w:t>
            </w:r>
            <w:r>
              <w:rPr>
                <w:rStyle w:val="VerbatimChar"/>
              </w:rPr>
              <w:t>état_matériel</w:t>
            </w:r>
          </w:p>
        </w:tc>
      </w:tr>
      <w:tr w:rsidR="00065317" w14:paraId="02A233FA" w14:textId="77777777">
        <w:tc>
          <w:tcPr>
            <w:tcW w:w="0" w:type="auto"/>
          </w:tcPr>
          <w:p w14:paraId="5694AF55" w14:textId="77777777" w:rsidR="00065317" w:rsidRDefault="005C7BF7">
            <w:pPr>
              <w:pStyle w:val="Compact"/>
            </w:pPr>
            <w:r>
              <w:t>E15</w:t>
            </w:r>
          </w:p>
        </w:tc>
        <w:tc>
          <w:tcPr>
            <w:tcW w:w="0" w:type="auto"/>
          </w:tcPr>
          <w:p w14:paraId="2117448B" w14:textId="77777777" w:rsidR="00065317" w:rsidRDefault="005C7BF7">
            <w:pPr>
              <w:pStyle w:val="Compact"/>
            </w:pPr>
            <w:r>
              <w:t>-</w:t>
            </w:r>
          </w:p>
        </w:tc>
        <w:tc>
          <w:tcPr>
            <w:tcW w:w="0" w:type="auto"/>
          </w:tcPr>
          <w:p w14:paraId="14AD5B38" w14:textId="77777777" w:rsidR="00065317" w:rsidRDefault="005C7BF7">
            <w:pPr>
              <w:pStyle w:val="Compact"/>
            </w:pPr>
            <w:r>
              <w:t>-</w:t>
            </w:r>
          </w:p>
        </w:tc>
        <w:tc>
          <w:tcPr>
            <w:tcW w:w="0" w:type="auto"/>
          </w:tcPr>
          <w:p w14:paraId="59913B33" w14:textId="77777777" w:rsidR="00065317" w:rsidRDefault="005C7BF7">
            <w:pPr>
              <w:pStyle w:val="Compact"/>
            </w:pPr>
            <w:r>
              <w:t>-</w:t>
            </w:r>
          </w:p>
        </w:tc>
        <w:tc>
          <w:tcPr>
            <w:tcW w:w="0" w:type="auto"/>
          </w:tcPr>
          <w:p w14:paraId="3398F4C9" w14:textId="77777777" w:rsidR="00065317" w:rsidRDefault="005C7BF7">
            <w:pPr>
              <w:pStyle w:val="Compact"/>
            </w:pPr>
            <w:r>
              <w:t>-</w:t>
            </w:r>
          </w:p>
        </w:tc>
        <w:tc>
          <w:tcPr>
            <w:tcW w:w="0" w:type="auto"/>
          </w:tcPr>
          <w:p w14:paraId="0DF39405" w14:textId="77777777" w:rsidR="00065317" w:rsidRDefault="005C7BF7">
            <w:pPr>
              <w:pStyle w:val="Compact"/>
            </w:pPr>
            <w:r>
              <w:t>-</w:t>
            </w:r>
          </w:p>
        </w:tc>
        <w:tc>
          <w:tcPr>
            <w:tcW w:w="0" w:type="auto"/>
          </w:tcPr>
          <w:p w14:paraId="548244DA" w14:textId="77777777" w:rsidR="00065317" w:rsidRDefault="005C7BF7">
            <w:pPr>
              <w:pStyle w:val="Compact"/>
            </w:pPr>
            <w:r>
              <w:t>-</w:t>
            </w:r>
          </w:p>
        </w:tc>
        <w:tc>
          <w:tcPr>
            <w:tcW w:w="0" w:type="auto"/>
            <w:gridSpan w:val="4"/>
          </w:tcPr>
          <w:p w14:paraId="24985283" w14:textId="30F90F9C" w:rsidR="00065317" w:rsidRDefault="005C7BF7">
            <w:pPr>
              <w:pStyle w:val="Compact"/>
            </w:pPr>
            <w:r>
              <w:rPr>
                <w:rStyle w:val="VerbatimChar"/>
              </w:rPr>
              <w:t>E15_Assignation_d</w:t>
            </w:r>
            <w:r w:rsidR="00E84B0E">
              <w:rPr>
                <w:rStyle w:val="VerbatimChar"/>
              </w:rPr>
              <w:t>’</w:t>
            </w:r>
            <w:r>
              <w:rPr>
                <w:rStyle w:val="VerbatimChar"/>
              </w:rPr>
              <w:t>identifiant</w:t>
            </w:r>
          </w:p>
        </w:tc>
      </w:tr>
      <w:tr w:rsidR="00065317" w14:paraId="41EC29CC" w14:textId="77777777">
        <w:tc>
          <w:tcPr>
            <w:tcW w:w="0" w:type="auto"/>
          </w:tcPr>
          <w:p w14:paraId="23B09CC5" w14:textId="77777777" w:rsidR="00065317" w:rsidRDefault="005C7BF7">
            <w:pPr>
              <w:pStyle w:val="Compact"/>
            </w:pPr>
            <w:r>
              <w:t>E16</w:t>
            </w:r>
          </w:p>
        </w:tc>
        <w:tc>
          <w:tcPr>
            <w:tcW w:w="0" w:type="auto"/>
          </w:tcPr>
          <w:p w14:paraId="497AE5B8" w14:textId="77777777" w:rsidR="00065317" w:rsidRDefault="005C7BF7">
            <w:pPr>
              <w:pStyle w:val="Compact"/>
            </w:pPr>
            <w:r>
              <w:t>-</w:t>
            </w:r>
          </w:p>
        </w:tc>
        <w:tc>
          <w:tcPr>
            <w:tcW w:w="0" w:type="auto"/>
          </w:tcPr>
          <w:p w14:paraId="0ACB9E83" w14:textId="77777777" w:rsidR="00065317" w:rsidRDefault="005C7BF7">
            <w:pPr>
              <w:pStyle w:val="Compact"/>
            </w:pPr>
            <w:r>
              <w:t>-</w:t>
            </w:r>
          </w:p>
        </w:tc>
        <w:tc>
          <w:tcPr>
            <w:tcW w:w="0" w:type="auto"/>
          </w:tcPr>
          <w:p w14:paraId="408CB2D3" w14:textId="77777777" w:rsidR="00065317" w:rsidRDefault="005C7BF7">
            <w:pPr>
              <w:pStyle w:val="Compact"/>
            </w:pPr>
            <w:r>
              <w:t>-</w:t>
            </w:r>
          </w:p>
        </w:tc>
        <w:tc>
          <w:tcPr>
            <w:tcW w:w="0" w:type="auto"/>
          </w:tcPr>
          <w:p w14:paraId="70B51B12" w14:textId="77777777" w:rsidR="00065317" w:rsidRDefault="005C7BF7">
            <w:pPr>
              <w:pStyle w:val="Compact"/>
            </w:pPr>
            <w:r>
              <w:t>-</w:t>
            </w:r>
          </w:p>
        </w:tc>
        <w:tc>
          <w:tcPr>
            <w:tcW w:w="0" w:type="auto"/>
          </w:tcPr>
          <w:p w14:paraId="6EDC7A3F" w14:textId="77777777" w:rsidR="00065317" w:rsidRDefault="005C7BF7">
            <w:pPr>
              <w:pStyle w:val="Compact"/>
            </w:pPr>
            <w:r>
              <w:t>-</w:t>
            </w:r>
          </w:p>
        </w:tc>
        <w:tc>
          <w:tcPr>
            <w:tcW w:w="0" w:type="auto"/>
          </w:tcPr>
          <w:p w14:paraId="1B4AB4B5" w14:textId="77777777" w:rsidR="00065317" w:rsidRDefault="005C7BF7">
            <w:pPr>
              <w:pStyle w:val="Compact"/>
            </w:pPr>
            <w:r>
              <w:t>-</w:t>
            </w:r>
          </w:p>
        </w:tc>
        <w:tc>
          <w:tcPr>
            <w:tcW w:w="0" w:type="auto"/>
            <w:gridSpan w:val="4"/>
          </w:tcPr>
          <w:p w14:paraId="1C0333EF" w14:textId="77777777" w:rsidR="00065317" w:rsidRDefault="005C7BF7">
            <w:pPr>
              <w:pStyle w:val="Compact"/>
            </w:pPr>
            <w:r>
              <w:rPr>
                <w:rStyle w:val="VerbatimChar"/>
              </w:rPr>
              <w:t>E16_Mesurage</w:t>
            </w:r>
          </w:p>
        </w:tc>
      </w:tr>
      <w:tr w:rsidR="00065317" w14:paraId="2296A6EB" w14:textId="77777777">
        <w:tc>
          <w:tcPr>
            <w:tcW w:w="0" w:type="auto"/>
          </w:tcPr>
          <w:p w14:paraId="1C0C4603" w14:textId="77777777" w:rsidR="00065317" w:rsidRDefault="005C7BF7">
            <w:pPr>
              <w:pStyle w:val="Compact"/>
            </w:pPr>
            <w:r>
              <w:t>E17</w:t>
            </w:r>
          </w:p>
        </w:tc>
        <w:tc>
          <w:tcPr>
            <w:tcW w:w="0" w:type="auto"/>
          </w:tcPr>
          <w:p w14:paraId="1DE69ED5" w14:textId="77777777" w:rsidR="00065317" w:rsidRDefault="005C7BF7">
            <w:pPr>
              <w:pStyle w:val="Compact"/>
            </w:pPr>
            <w:r>
              <w:t>-</w:t>
            </w:r>
          </w:p>
        </w:tc>
        <w:tc>
          <w:tcPr>
            <w:tcW w:w="0" w:type="auto"/>
          </w:tcPr>
          <w:p w14:paraId="33681EA2" w14:textId="77777777" w:rsidR="00065317" w:rsidRDefault="005C7BF7">
            <w:pPr>
              <w:pStyle w:val="Compact"/>
            </w:pPr>
            <w:r>
              <w:t>-</w:t>
            </w:r>
          </w:p>
        </w:tc>
        <w:tc>
          <w:tcPr>
            <w:tcW w:w="0" w:type="auto"/>
          </w:tcPr>
          <w:p w14:paraId="3C6BEABE" w14:textId="77777777" w:rsidR="00065317" w:rsidRDefault="005C7BF7">
            <w:pPr>
              <w:pStyle w:val="Compact"/>
            </w:pPr>
            <w:r>
              <w:t>-</w:t>
            </w:r>
          </w:p>
        </w:tc>
        <w:tc>
          <w:tcPr>
            <w:tcW w:w="0" w:type="auto"/>
          </w:tcPr>
          <w:p w14:paraId="13195637" w14:textId="77777777" w:rsidR="00065317" w:rsidRDefault="005C7BF7">
            <w:pPr>
              <w:pStyle w:val="Compact"/>
            </w:pPr>
            <w:r>
              <w:t>-</w:t>
            </w:r>
          </w:p>
        </w:tc>
        <w:tc>
          <w:tcPr>
            <w:tcW w:w="0" w:type="auto"/>
          </w:tcPr>
          <w:p w14:paraId="4E0D31A1" w14:textId="77777777" w:rsidR="00065317" w:rsidRDefault="005C7BF7">
            <w:pPr>
              <w:pStyle w:val="Compact"/>
            </w:pPr>
            <w:r>
              <w:t>-</w:t>
            </w:r>
          </w:p>
        </w:tc>
        <w:tc>
          <w:tcPr>
            <w:tcW w:w="0" w:type="auto"/>
          </w:tcPr>
          <w:p w14:paraId="6B35C96C" w14:textId="77777777" w:rsidR="00065317" w:rsidRDefault="005C7BF7">
            <w:pPr>
              <w:pStyle w:val="Compact"/>
            </w:pPr>
            <w:r>
              <w:t>-</w:t>
            </w:r>
          </w:p>
        </w:tc>
        <w:tc>
          <w:tcPr>
            <w:tcW w:w="0" w:type="auto"/>
            <w:gridSpan w:val="4"/>
          </w:tcPr>
          <w:p w14:paraId="097D2F92" w14:textId="77777777" w:rsidR="00065317" w:rsidRDefault="005C7BF7">
            <w:pPr>
              <w:pStyle w:val="Compact"/>
            </w:pPr>
            <w:r>
              <w:rPr>
                <w:rStyle w:val="VerbatimChar"/>
              </w:rPr>
              <w:t>E17_Assignation_de_type</w:t>
            </w:r>
          </w:p>
        </w:tc>
      </w:tr>
      <w:tr w:rsidR="00065317" w14:paraId="421E500F" w14:textId="77777777">
        <w:tc>
          <w:tcPr>
            <w:tcW w:w="0" w:type="auto"/>
          </w:tcPr>
          <w:p w14:paraId="088E45AA" w14:textId="77777777" w:rsidR="00065317" w:rsidRDefault="005C7BF7">
            <w:pPr>
              <w:pStyle w:val="Compact"/>
            </w:pPr>
            <w:r>
              <w:t>E65</w:t>
            </w:r>
          </w:p>
        </w:tc>
        <w:tc>
          <w:tcPr>
            <w:tcW w:w="0" w:type="auto"/>
          </w:tcPr>
          <w:p w14:paraId="55133863" w14:textId="77777777" w:rsidR="00065317" w:rsidRDefault="005C7BF7">
            <w:pPr>
              <w:pStyle w:val="Compact"/>
            </w:pPr>
            <w:r>
              <w:t>-</w:t>
            </w:r>
          </w:p>
        </w:tc>
        <w:tc>
          <w:tcPr>
            <w:tcW w:w="0" w:type="auto"/>
          </w:tcPr>
          <w:p w14:paraId="5D671F8E" w14:textId="77777777" w:rsidR="00065317" w:rsidRDefault="005C7BF7">
            <w:pPr>
              <w:pStyle w:val="Compact"/>
            </w:pPr>
            <w:r>
              <w:t>-</w:t>
            </w:r>
          </w:p>
        </w:tc>
        <w:tc>
          <w:tcPr>
            <w:tcW w:w="0" w:type="auto"/>
          </w:tcPr>
          <w:p w14:paraId="58327283" w14:textId="77777777" w:rsidR="00065317" w:rsidRDefault="005C7BF7">
            <w:pPr>
              <w:pStyle w:val="Compact"/>
            </w:pPr>
            <w:r>
              <w:t>-</w:t>
            </w:r>
          </w:p>
        </w:tc>
        <w:tc>
          <w:tcPr>
            <w:tcW w:w="0" w:type="auto"/>
          </w:tcPr>
          <w:p w14:paraId="225FE2F5" w14:textId="77777777" w:rsidR="00065317" w:rsidRDefault="005C7BF7">
            <w:pPr>
              <w:pStyle w:val="Compact"/>
            </w:pPr>
            <w:r>
              <w:t>-</w:t>
            </w:r>
          </w:p>
        </w:tc>
        <w:tc>
          <w:tcPr>
            <w:tcW w:w="0" w:type="auto"/>
          </w:tcPr>
          <w:p w14:paraId="5392A2E6" w14:textId="77777777" w:rsidR="00065317" w:rsidRDefault="005C7BF7">
            <w:pPr>
              <w:pStyle w:val="Compact"/>
            </w:pPr>
            <w:r>
              <w:t>-</w:t>
            </w:r>
          </w:p>
        </w:tc>
        <w:tc>
          <w:tcPr>
            <w:tcW w:w="0" w:type="auto"/>
            <w:gridSpan w:val="5"/>
          </w:tcPr>
          <w:p w14:paraId="3B803FDA" w14:textId="77777777" w:rsidR="00065317" w:rsidRDefault="005C7BF7">
            <w:pPr>
              <w:pStyle w:val="Compact"/>
            </w:pPr>
            <w:r>
              <w:rPr>
                <w:rStyle w:val="VerbatimChar"/>
              </w:rPr>
              <w:t>E65_Création</w:t>
            </w:r>
          </w:p>
        </w:tc>
      </w:tr>
      <w:tr w:rsidR="00065317" w14:paraId="3C0D0883" w14:textId="77777777">
        <w:tc>
          <w:tcPr>
            <w:tcW w:w="0" w:type="auto"/>
          </w:tcPr>
          <w:p w14:paraId="1FF21C54" w14:textId="77777777" w:rsidR="00065317" w:rsidRDefault="005C7BF7">
            <w:pPr>
              <w:pStyle w:val="Compact"/>
            </w:pPr>
            <w:r>
              <w:t>E83</w:t>
            </w:r>
          </w:p>
        </w:tc>
        <w:tc>
          <w:tcPr>
            <w:tcW w:w="0" w:type="auto"/>
          </w:tcPr>
          <w:p w14:paraId="263583EE" w14:textId="77777777" w:rsidR="00065317" w:rsidRDefault="005C7BF7">
            <w:pPr>
              <w:pStyle w:val="Compact"/>
            </w:pPr>
            <w:r>
              <w:t>-</w:t>
            </w:r>
          </w:p>
        </w:tc>
        <w:tc>
          <w:tcPr>
            <w:tcW w:w="0" w:type="auto"/>
          </w:tcPr>
          <w:p w14:paraId="6E130AE3" w14:textId="77777777" w:rsidR="00065317" w:rsidRDefault="005C7BF7">
            <w:pPr>
              <w:pStyle w:val="Compact"/>
            </w:pPr>
            <w:r>
              <w:t>-</w:t>
            </w:r>
          </w:p>
        </w:tc>
        <w:tc>
          <w:tcPr>
            <w:tcW w:w="0" w:type="auto"/>
          </w:tcPr>
          <w:p w14:paraId="6B95A6F7" w14:textId="77777777" w:rsidR="00065317" w:rsidRDefault="005C7BF7">
            <w:pPr>
              <w:pStyle w:val="Compact"/>
            </w:pPr>
            <w:r>
              <w:t>-</w:t>
            </w:r>
          </w:p>
        </w:tc>
        <w:tc>
          <w:tcPr>
            <w:tcW w:w="0" w:type="auto"/>
          </w:tcPr>
          <w:p w14:paraId="67333F59" w14:textId="77777777" w:rsidR="00065317" w:rsidRDefault="005C7BF7">
            <w:pPr>
              <w:pStyle w:val="Compact"/>
            </w:pPr>
            <w:r>
              <w:t>-</w:t>
            </w:r>
          </w:p>
        </w:tc>
        <w:tc>
          <w:tcPr>
            <w:tcW w:w="0" w:type="auto"/>
          </w:tcPr>
          <w:p w14:paraId="34122FA5" w14:textId="77777777" w:rsidR="00065317" w:rsidRDefault="005C7BF7">
            <w:pPr>
              <w:pStyle w:val="Compact"/>
            </w:pPr>
            <w:r>
              <w:t>-</w:t>
            </w:r>
          </w:p>
        </w:tc>
        <w:tc>
          <w:tcPr>
            <w:tcW w:w="0" w:type="auto"/>
          </w:tcPr>
          <w:p w14:paraId="38BA9F83" w14:textId="77777777" w:rsidR="00065317" w:rsidRDefault="005C7BF7">
            <w:pPr>
              <w:pStyle w:val="Compact"/>
            </w:pPr>
            <w:r>
              <w:t>-</w:t>
            </w:r>
          </w:p>
        </w:tc>
        <w:tc>
          <w:tcPr>
            <w:tcW w:w="0" w:type="auto"/>
            <w:gridSpan w:val="4"/>
          </w:tcPr>
          <w:p w14:paraId="6A8644DF" w14:textId="77777777" w:rsidR="00065317" w:rsidRDefault="005C7BF7">
            <w:pPr>
              <w:pStyle w:val="Compact"/>
            </w:pPr>
            <w:r>
              <w:rPr>
                <w:rStyle w:val="VerbatimChar"/>
              </w:rPr>
              <w:t>E83_Création_de_type</w:t>
            </w:r>
          </w:p>
        </w:tc>
      </w:tr>
      <w:tr w:rsidR="00065317" w14:paraId="71CCD145" w14:textId="77777777">
        <w:tc>
          <w:tcPr>
            <w:tcW w:w="0" w:type="auto"/>
          </w:tcPr>
          <w:p w14:paraId="5B0C59D6" w14:textId="77777777" w:rsidR="00065317" w:rsidRDefault="005C7BF7">
            <w:pPr>
              <w:pStyle w:val="Compact"/>
            </w:pPr>
            <w:r>
              <w:t>E66</w:t>
            </w:r>
          </w:p>
        </w:tc>
        <w:tc>
          <w:tcPr>
            <w:tcW w:w="0" w:type="auto"/>
          </w:tcPr>
          <w:p w14:paraId="03DF5531" w14:textId="77777777" w:rsidR="00065317" w:rsidRDefault="005C7BF7">
            <w:pPr>
              <w:pStyle w:val="Compact"/>
            </w:pPr>
            <w:r>
              <w:t>-</w:t>
            </w:r>
          </w:p>
        </w:tc>
        <w:tc>
          <w:tcPr>
            <w:tcW w:w="0" w:type="auto"/>
          </w:tcPr>
          <w:p w14:paraId="29D3E23D" w14:textId="77777777" w:rsidR="00065317" w:rsidRDefault="005C7BF7">
            <w:pPr>
              <w:pStyle w:val="Compact"/>
            </w:pPr>
            <w:r>
              <w:t>-</w:t>
            </w:r>
          </w:p>
        </w:tc>
        <w:tc>
          <w:tcPr>
            <w:tcW w:w="0" w:type="auto"/>
          </w:tcPr>
          <w:p w14:paraId="409B02CB" w14:textId="77777777" w:rsidR="00065317" w:rsidRDefault="005C7BF7">
            <w:pPr>
              <w:pStyle w:val="Compact"/>
            </w:pPr>
            <w:r>
              <w:t>-</w:t>
            </w:r>
          </w:p>
        </w:tc>
        <w:tc>
          <w:tcPr>
            <w:tcW w:w="0" w:type="auto"/>
          </w:tcPr>
          <w:p w14:paraId="15C70E46" w14:textId="77777777" w:rsidR="00065317" w:rsidRDefault="005C7BF7">
            <w:pPr>
              <w:pStyle w:val="Compact"/>
            </w:pPr>
            <w:r>
              <w:t>-</w:t>
            </w:r>
          </w:p>
        </w:tc>
        <w:tc>
          <w:tcPr>
            <w:tcW w:w="0" w:type="auto"/>
          </w:tcPr>
          <w:p w14:paraId="107B55D2" w14:textId="77777777" w:rsidR="00065317" w:rsidRDefault="005C7BF7">
            <w:pPr>
              <w:pStyle w:val="Compact"/>
            </w:pPr>
            <w:r>
              <w:t>-</w:t>
            </w:r>
          </w:p>
        </w:tc>
        <w:tc>
          <w:tcPr>
            <w:tcW w:w="0" w:type="auto"/>
            <w:gridSpan w:val="5"/>
          </w:tcPr>
          <w:p w14:paraId="66980A37" w14:textId="77777777" w:rsidR="00065317" w:rsidRDefault="005C7BF7">
            <w:pPr>
              <w:pStyle w:val="Compact"/>
            </w:pPr>
            <w:r>
              <w:rPr>
                <w:rStyle w:val="VerbatimChar"/>
              </w:rPr>
              <w:t>E66_Formation</w:t>
            </w:r>
          </w:p>
        </w:tc>
      </w:tr>
      <w:tr w:rsidR="00065317" w14:paraId="09408860" w14:textId="77777777">
        <w:tc>
          <w:tcPr>
            <w:tcW w:w="0" w:type="auto"/>
          </w:tcPr>
          <w:p w14:paraId="5985367B" w14:textId="77777777" w:rsidR="00065317" w:rsidRDefault="005C7BF7">
            <w:pPr>
              <w:pStyle w:val="Compact"/>
            </w:pPr>
            <w:r>
              <w:lastRenderedPageBreak/>
              <w:t>E85</w:t>
            </w:r>
          </w:p>
        </w:tc>
        <w:tc>
          <w:tcPr>
            <w:tcW w:w="0" w:type="auto"/>
          </w:tcPr>
          <w:p w14:paraId="6687F49B" w14:textId="77777777" w:rsidR="00065317" w:rsidRDefault="005C7BF7">
            <w:pPr>
              <w:pStyle w:val="Compact"/>
            </w:pPr>
            <w:r>
              <w:t>-</w:t>
            </w:r>
          </w:p>
        </w:tc>
        <w:tc>
          <w:tcPr>
            <w:tcW w:w="0" w:type="auto"/>
          </w:tcPr>
          <w:p w14:paraId="08BFDC0B" w14:textId="77777777" w:rsidR="00065317" w:rsidRDefault="005C7BF7">
            <w:pPr>
              <w:pStyle w:val="Compact"/>
            </w:pPr>
            <w:r>
              <w:t>-</w:t>
            </w:r>
          </w:p>
        </w:tc>
        <w:tc>
          <w:tcPr>
            <w:tcW w:w="0" w:type="auto"/>
          </w:tcPr>
          <w:p w14:paraId="43693D88" w14:textId="77777777" w:rsidR="00065317" w:rsidRDefault="005C7BF7">
            <w:pPr>
              <w:pStyle w:val="Compact"/>
            </w:pPr>
            <w:r>
              <w:t>-</w:t>
            </w:r>
          </w:p>
        </w:tc>
        <w:tc>
          <w:tcPr>
            <w:tcW w:w="0" w:type="auto"/>
          </w:tcPr>
          <w:p w14:paraId="376A5257" w14:textId="77777777" w:rsidR="00065317" w:rsidRDefault="005C7BF7">
            <w:pPr>
              <w:pStyle w:val="Compact"/>
            </w:pPr>
            <w:r>
              <w:t>-</w:t>
            </w:r>
          </w:p>
        </w:tc>
        <w:tc>
          <w:tcPr>
            <w:tcW w:w="0" w:type="auto"/>
          </w:tcPr>
          <w:p w14:paraId="04E59579" w14:textId="77777777" w:rsidR="00065317" w:rsidRDefault="005C7BF7">
            <w:pPr>
              <w:pStyle w:val="Compact"/>
            </w:pPr>
            <w:r>
              <w:t>-</w:t>
            </w:r>
          </w:p>
        </w:tc>
        <w:tc>
          <w:tcPr>
            <w:tcW w:w="0" w:type="auto"/>
            <w:gridSpan w:val="5"/>
          </w:tcPr>
          <w:p w14:paraId="76A3E978" w14:textId="77777777" w:rsidR="00065317" w:rsidRDefault="005C7BF7">
            <w:pPr>
              <w:pStyle w:val="Compact"/>
            </w:pPr>
            <w:r>
              <w:rPr>
                <w:rStyle w:val="VerbatimChar"/>
              </w:rPr>
              <w:t>E85_Adhésion</w:t>
            </w:r>
          </w:p>
        </w:tc>
      </w:tr>
      <w:tr w:rsidR="00065317" w14:paraId="270B0F8E" w14:textId="77777777">
        <w:tc>
          <w:tcPr>
            <w:tcW w:w="0" w:type="auto"/>
          </w:tcPr>
          <w:p w14:paraId="0BBC6E05" w14:textId="77777777" w:rsidR="00065317" w:rsidRDefault="005C7BF7">
            <w:pPr>
              <w:pStyle w:val="Compact"/>
            </w:pPr>
            <w:r>
              <w:t>E86</w:t>
            </w:r>
          </w:p>
        </w:tc>
        <w:tc>
          <w:tcPr>
            <w:tcW w:w="0" w:type="auto"/>
          </w:tcPr>
          <w:p w14:paraId="56D5708F" w14:textId="77777777" w:rsidR="00065317" w:rsidRDefault="005C7BF7">
            <w:pPr>
              <w:pStyle w:val="Compact"/>
            </w:pPr>
            <w:r>
              <w:t>-</w:t>
            </w:r>
          </w:p>
        </w:tc>
        <w:tc>
          <w:tcPr>
            <w:tcW w:w="0" w:type="auto"/>
          </w:tcPr>
          <w:p w14:paraId="554C075F" w14:textId="77777777" w:rsidR="00065317" w:rsidRDefault="005C7BF7">
            <w:pPr>
              <w:pStyle w:val="Compact"/>
            </w:pPr>
            <w:r>
              <w:t>-</w:t>
            </w:r>
          </w:p>
        </w:tc>
        <w:tc>
          <w:tcPr>
            <w:tcW w:w="0" w:type="auto"/>
          </w:tcPr>
          <w:p w14:paraId="60C3B727" w14:textId="77777777" w:rsidR="00065317" w:rsidRDefault="005C7BF7">
            <w:pPr>
              <w:pStyle w:val="Compact"/>
            </w:pPr>
            <w:r>
              <w:t>-</w:t>
            </w:r>
          </w:p>
        </w:tc>
        <w:tc>
          <w:tcPr>
            <w:tcW w:w="0" w:type="auto"/>
          </w:tcPr>
          <w:p w14:paraId="4F5645BC" w14:textId="77777777" w:rsidR="00065317" w:rsidRDefault="005C7BF7">
            <w:pPr>
              <w:pStyle w:val="Compact"/>
            </w:pPr>
            <w:r>
              <w:t>-</w:t>
            </w:r>
          </w:p>
        </w:tc>
        <w:tc>
          <w:tcPr>
            <w:tcW w:w="0" w:type="auto"/>
          </w:tcPr>
          <w:p w14:paraId="3BBE0CB9" w14:textId="77777777" w:rsidR="00065317" w:rsidRDefault="005C7BF7">
            <w:pPr>
              <w:pStyle w:val="Compact"/>
            </w:pPr>
            <w:r>
              <w:t>-</w:t>
            </w:r>
          </w:p>
        </w:tc>
        <w:tc>
          <w:tcPr>
            <w:tcW w:w="0" w:type="auto"/>
            <w:gridSpan w:val="5"/>
          </w:tcPr>
          <w:p w14:paraId="04FADD5E" w14:textId="77777777" w:rsidR="00065317" w:rsidRDefault="005C7BF7">
            <w:pPr>
              <w:pStyle w:val="Compact"/>
            </w:pPr>
            <w:r>
              <w:rPr>
                <w:rStyle w:val="VerbatimChar"/>
              </w:rPr>
              <w:t>E86_Départ</w:t>
            </w:r>
          </w:p>
        </w:tc>
      </w:tr>
      <w:tr w:rsidR="00065317" w14:paraId="4677AD6A" w14:textId="77777777">
        <w:tc>
          <w:tcPr>
            <w:tcW w:w="0" w:type="auto"/>
          </w:tcPr>
          <w:p w14:paraId="6E607B19" w14:textId="77777777" w:rsidR="00065317" w:rsidRDefault="005C7BF7">
            <w:pPr>
              <w:pStyle w:val="Compact"/>
            </w:pPr>
            <w:r>
              <w:t>E87</w:t>
            </w:r>
          </w:p>
        </w:tc>
        <w:tc>
          <w:tcPr>
            <w:tcW w:w="0" w:type="auto"/>
          </w:tcPr>
          <w:p w14:paraId="065F56FC" w14:textId="77777777" w:rsidR="00065317" w:rsidRDefault="005C7BF7">
            <w:pPr>
              <w:pStyle w:val="Compact"/>
            </w:pPr>
            <w:r>
              <w:t>-</w:t>
            </w:r>
          </w:p>
        </w:tc>
        <w:tc>
          <w:tcPr>
            <w:tcW w:w="0" w:type="auto"/>
          </w:tcPr>
          <w:p w14:paraId="1298C06A" w14:textId="77777777" w:rsidR="00065317" w:rsidRDefault="005C7BF7">
            <w:pPr>
              <w:pStyle w:val="Compact"/>
            </w:pPr>
            <w:r>
              <w:t>-</w:t>
            </w:r>
          </w:p>
        </w:tc>
        <w:tc>
          <w:tcPr>
            <w:tcW w:w="0" w:type="auto"/>
          </w:tcPr>
          <w:p w14:paraId="091A6533" w14:textId="77777777" w:rsidR="00065317" w:rsidRDefault="005C7BF7">
            <w:pPr>
              <w:pStyle w:val="Compact"/>
            </w:pPr>
            <w:r>
              <w:t>-</w:t>
            </w:r>
          </w:p>
        </w:tc>
        <w:tc>
          <w:tcPr>
            <w:tcW w:w="0" w:type="auto"/>
          </w:tcPr>
          <w:p w14:paraId="54A8FBF7" w14:textId="77777777" w:rsidR="00065317" w:rsidRDefault="005C7BF7">
            <w:pPr>
              <w:pStyle w:val="Compact"/>
            </w:pPr>
            <w:r>
              <w:t>-</w:t>
            </w:r>
          </w:p>
        </w:tc>
        <w:tc>
          <w:tcPr>
            <w:tcW w:w="0" w:type="auto"/>
          </w:tcPr>
          <w:p w14:paraId="71D71389" w14:textId="77777777" w:rsidR="00065317" w:rsidRDefault="005C7BF7">
            <w:pPr>
              <w:pStyle w:val="Compact"/>
            </w:pPr>
            <w:r>
              <w:t>-</w:t>
            </w:r>
          </w:p>
        </w:tc>
        <w:tc>
          <w:tcPr>
            <w:tcW w:w="0" w:type="auto"/>
            <w:gridSpan w:val="5"/>
          </w:tcPr>
          <w:p w14:paraId="631562AF" w14:textId="77777777" w:rsidR="00065317" w:rsidRDefault="005C7BF7">
            <w:pPr>
              <w:pStyle w:val="Compact"/>
            </w:pPr>
            <w:r>
              <w:rPr>
                <w:rStyle w:val="VerbatimChar"/>
              </w:rPr>
              <w:t>E87_Activité_curatoriale</w:t>
            </w:r>
          </w:p>
        </w:tc>
      </w:tr>
      <w:tr w:rsidR="00065317" w14:paraId="493244AC" w14:textId="77777777">
        <w:tc>
          <w:tcPr>
            <w:tcW w:w="0" w:type="auto"/>
          </w:tcPr>
          <w:p w14:paraId="78448D2D" w14:textId="77777777" w:rsidR="00065317" w:rsidRDefault="005C7BF7">
            <w:pPr>
              <w:pStyle w:val="Compact"/>
            </w:pPr>
            <w:r>
              <w:t>E63</w:t>
            </w:r>
          </w:p>
        </w:tc>
        <w:tc>
          <w:tcPr>
            <w:tcW w:w="0" w:type="auto"/>
          </w:tcPr>
          <w:p w14:paraId="78E8F719" w14:textId="77777777" w:rsidR="00065317" w:rsidRDefault="005C7BF7">
            <w:pPr>
              <w:pStyle w:val="Compact"/>
            </w:pPr>
            <w:r>
              <w:t>-</w:t>
            </w:r>
          </w:p>
        </w:tc>
        <w:tc>
          <w:tcPr>
            <w:tcW w:w="0" w:type="auto"/>
          </w:tcPr>
          <w:p w14:paraId="1C5C6EBF" w14:textId="77777777" w:rsidR="00065317" w:rsidRDefault="005C7BF7">
            <w:pPr>
              <w:pStyle w:val="Compact"/>
            </w:pPr>
            <w:r>
              <w:t>-</w:t>
            </w:r>
          </w:p>
        </w:tc>
        <w:tc>
          <w:tcPr>
            <w:tcW w:w="0" w:type="auto"/>
          </w:tcPr>
          <w:p w14:paraId="2111682F" w14:textId="77777777" w:rsidR="00065317" w:rsidRDefault="005C7BF7">
            <w:pPr>
              <w:pStyle w:val="Compact"/>
            </w:pPr>
            <w:r>
              <w:t>-</w:t>
            </w:r>
          </w:p>
        </w:tc>
        <w:tc>
          <w:tcPr>
            <w:tcW w:w="0" w:type="auto"/>
          </w:tcPr>
          <w:p w14:paraId="33D6A1E6" w14:textId="77777777" w:rsidR="00065317" w:rsidRDefault="005C7BF7">
            <w:pPr>
              <w:pStyle w:val="Compact"/>
            </w:pPr>
            <w:r>
              <w:t>-</w:t>
            </w:r>
          </w:p>
        </w:tc>
        <w:tc>
          <w:tcPr>
            <w:tcW w:w="0" w:type="auto"/>
            <w:gridSpan w:val="6"/>
          </w:tcPr>
          <w:p w14:paraId="4C0DD1B1" w14:textId="58B3F83B" w:rsidR="00065317" w:rsidRDefault="005C7BF7">
            <w:pPr>
              <w:pStyle w:val="Compact"/>
            </w:pPr>
            <w:r>
              <w:rPr>
                <w:rStyle w:val="VerbatimChar"/>
              </w:rPr>
              <w:t>E63_Début_d</w:t>
            </w:r>
            <w:r w:rsidR="00E84B0E">
              <w:rPr>
                <w:rStyle w:val="VerbatimChar"/>
              </w:rPr>
              <w:t>’</w:t>
            </w:r>
            <w:r>
              <w:rPr>
                <w:rStyle w:val="VerbatimChar"/>
              </w:rPr>
              <w:t>existence</w:t>
            </w:r>
          </w:p>
        </w:tc>
      </w:tr>
      <w:tr w:rsidR="00065317" w14:paraId="544638E9" w14:textId="77777777">
        <w:tc>
          <w:tcPr>
            <w:tcW w:w="0" w:type="auto"/>
          </w:tcPr>
          <w:p w14:paraId="28815E5E" w14:textId="77777777" w:rsidR="00065317" w:rsidRDefault="005C7BF7">
            <w:pPr>
              <w:pStyle w:val="Compact"/>
            </w:pPr>
            <w:r>
              <w:t>E67</w:t>
            </w:r>
          </w:p>
        </w:tc>
        <w:tc>
          <w:tcPr>
            <w:tcW w:w="0" w:type="auto"/>
          </w:tcPr>
          <w:p w14:paraId="060DF480" w14:textId="77777777" w:rsidR="00065317" w:rsidRDefault="005C7BF7">
            <w:pPr>
              <w:pStyle w:val="Compact"/>
            </w:pPr>
            <w:r>
              <w:t>-</w:t>
            </w:r>
          </w:p>
        </w:tc>
        <w:tc>
          <w:tcPr>
            <w:tcW w:w="0" w:type="auto"/>
          </w:tcPr>
          <w:p w14:paraId="60697664" w14:textId="77777777" w:rsidR="00065317" w:rsidRDefault="005C7BF7">
            <w:pPr>
              <w:pStyle w:val="Compact"/>
            </w:pPr>
            <w:r>
              <w:t>-</w:t>
            </w:r>
          </w:p>
        </w:tc>
        <w:tc>
          <w:tcPr>
            <w:tcW w:w="0" w:type="auto"/>
          </w:tcPr>
          <w:p w14:paraId="48EFB464" w14:textId="77777777" w:rsidR="00065317" w:rsidRDefault="005C7BF7">
            <w:pPr>
              <w:pStyle w:val="Compact"/>
            </w:pPr>
            <w:r>
              <w:t>-</w:t>
            </w:r>
          </w:p>
        </w:tc>
        <w:tc>
          <w:tcPr>
            <w:tcW w:w="0" w:type="auto"/>
          </w:tcPr>
          <w:p w14:paraId="2EE846E8" w14:textId="77777777" w:rsidR="00065317" w:rsidRDefault="005C7BF7">
            <w:pPr>
              <w:pStyle w:val="Compact"/>
            </w:pPr>
            <w:r>
              <w:t>-</w:t>
            </w:r>
          </w:p>
        </w:tc>
        <w:tc>
          <w:tcPr>
            <w:tcW w:w="0" w:type="auto"/>
          </w:tcPr>
          <w:p w14:paraId="1FF4FF4F" w14:textId="77777777" w:rsidR="00065317" w:rsidRDefault="005C7BF7">
            <w:pPr>
              <w:pStyle w:val="Compact"/>
            </w:pPr>
            <w:r>
              <w:t>-</w:t>
            </w:r>
          </w:p>
        </w:tc>
        <w:tc>
          <w:tcPr>
            <w:tcW w:w="0" w:type="auto"/>
            <w:gridSpan w:val="5"/>
          </w:tcPr>
          <w:p w14:paraId="14F3490D" w14:textId="77777777" w:rsidR="00065317" w:rsidRDefault="005C7BF7">
            <w:pPr>
              <w:pStyle w:val="Compact"/>
            </w:pPr>
            <w:r>
              <w:rPr>
                <w:rStyle w:val="VerbatimChar"/>
              </w:rPr>
              <w:t>E67_Naissance</w:t>
            </w:r>
          </w:p>
        </w:tc>
      </w:tr>
      <w:tr w:rsidR="00065317" w14:paraId="3EC23C94" w14:textId="77777777">
        <w:tc>
          <w:tcPr>
            <w:tcW w:w="0" w:type="auto"/>
          </w:tcPr>
          <w:p w14:paraId="25021D89" w14:textId="77777777" w:rsidR="00065317" w:rsidRDefault="005C7BF7">
            <w:pPr>
              <w:pStyle w:val="Compact"/>
            </w:pPr>
            <w:r>
              <w:t>E81</w:t>
            </w:r>
          </w:p>
        </w:tc>
        <w:tc>
          <w:tcPr>
            <w:tcW w:w="0" w:type="auto"/>
          </w:tcPr>
          <w:p w14:paraId="5D33D0E8" w14:textId="77777777" w:rsidR="00065317" w:rsidRDefault="005C7BF7">
            <w:pPr>
              <w:pStyle w:val="Compact"/>
            </w:pPr>
            <w:r>
              <w:t>-</w:t>
            </w:r>
          </w:p>
        </w:tc>
        <w:tc>
          <w:tcPr>
            <w:tcW w:w="0" w:type="auto"/>
          </w:tcPr>
          <w:p w14:paraId="27E240B4" w14:textId="77777777" w:rsidR="00065317" w:rsidRDefault="005C7BF7">
            <w:pPr>
              <w:pStyle w:val="Compact"/>
            </w:pPr>
            <w:r>
              <w:t>-</w:t>
            </w:r>
          </w:p>
        </w:tc>
        <w:tc>
          <w:tcPr>
            <w:tcW w:w="0" w:type="auto"/>
          </w:tcPr>
          <w:p w14:paraId="2DD90CDD" w14:textId="77777777" w:rsidR="00065317" w:rsidRDefault="005C7BF7">
            <w:pPr>
              <w:pStyle w:val="Compact"/>
            </w:pPr>
            <w:r>
              <w:t>-</w:t>
            </w:r>
          </w:p>
        </w:tc>
        <w:tc>
          <w:tcPr>
            <w:tcW w:w="0" w:type="auto"/>
          </w:tcPr>
          <w:p w14:paraId="7ACF3B18" w14:textId="77777777" w:rsidR="00065317" w:rsidRDefault="005C7BF7">
            <w:pPr>
              <w:pStyle w:val="Compact"/>
            </w:pPr>
            <w:r>
              <w:t>-</w:t>
            </w:r>
          </w:p>
        </w:tc>
        <w:tc>
          <w:tcPr>
            <w:tcW w:w="0" w:type="auto"/>
          </w:tcPr>
          <w:p w14:paraId="7B1B0C7D" w14:textId="77777777" w:rsidR="00065317" w:rsidRDefault="005C7BF7">
            <w:pPr>
              <w:pStyle w:val="Compact"/>
            </w:pPr>
            <w:r>
              <w:t>-</w:t>
            </w:r>
          </w:p>
        </w:tc>
        <w:tc>
          <w:tcPr>
            <w:tcW w:w="0" w:type="auto"/>
            <w:gridSpan w:val="5"/>
          </w:tcPr>
          <w:p w14:paraId="57BB1284" w14:textId="77777777" w:rsidR="00065317" w:rsidRDefault="005C7BF7">
            <w:pPr>
              <w:pStyle w:val="Compact"/>
            </w:pPr>
            <w:r>
              <w:rPr>
                <w:rStyle w:val="VerbatimChar"/>
              </w:rPr>
              <w:t>E81_Transformation</w:t>
            </w:r>
          </w:p>
        </w:tc>
      </w:tr>
      <w:tr w:rsidR="00065317" w14:paraId="5AF7A9CE" w14:textId="77777777">
        <w:tc>
          <w:tcPr>
            <w:tcW w:w="0" w:type="auto"/>
          </w:tcPr>
          <w:p w14:paraId="3C9ABF73" w14:textId="77777777" w:rsidR="00065317" w:rsidRDefault="005C7BF7">
            <w:pPr>
              <w:pStyle w:val="Compact"/>
            </w:pPr>
            <w:r>
              <w:t>E12</w:t>
            </w:r>
          </w:p>
        </w:tc>
        <w:tc>
          <w:tcPr>
            <w:tcW w:w="0" w:type="auto"/>
          </w:tcPr>
          <w:p w14:paraId="17AF75C6" w14:textId="77777777" w:rsidR="00065317" w:rsidRDefault="005C7BF7">
            <w:pPr>
              <w:pStyle w:val="Compact"/>
            </w:pPr>
            <w:r>
              <w:t>-</w:t>
            </w:r>
          </w:p>
        </w:tc>
        <w:tc>
          <w:tcPr>
            <w:tcW w:w="0" w:type="auto"/>
          </w:tcPr>
          <w:p w14:paraId="4145DBFC" w14:textId="77777777" w:rsidR="00065317" w:rsidRDefault="005C7BF7">
            <w:pPr>
              <w:pStyle w:val="Compact"/>
            </w:pPr>
            <w:r>
              <w:t>-</w:t>
            </w:r>
          </w:p>
        </w:tc>
        <w:tc>
          <w:tcPr>
            <w:tcW w:w="0" w:type="auto"/>
          </w:tcPr>
          <w:p w14:paraId="30152F16" w14:textId="77777777" w:rsidR="00065317" w:rsidRDefault="005C7BF7">
            <w:pPr>
              <w:pStyle w:val="Compact"/>
            </w:pPr>
            <w:r>
              <w:t>-</w:t>
            </w:r>
          </w:p>
        </w:tc>
        <w:tc>
          <w:tcPr>
            <w:tcW w:w="0" w:type="auto"/>
          </w:tcPr>
          <w:p w14:paraId="37BC1EFB" w14:textId="77777777" w:rsidR="00065317" w:rsidRDefault="005C7BF7">
            <w:pPr>
              <w:pStyle w:val="Compact"/>
            </w:pPr>
            <w:r>
              <w:t>-</w:t>
            </w:r>
          </w:p>
        </w:tc>
        <w:tc>
          <w:tcPr>
            <w:tcW w:w="0" w:type="auto"/>
          </w:tcPr>
          <w:p w14:paraId="46FD61AB" w14:textId="77777777" w:rsidR="00065317" w:rsidRDefault="005C7BF7">
            <w:pPr>
              <w:pStyle w:val="Compact"/>
            </w:pPr>
            <w:r>
              <w:t>-</w:t>
            </w:r>
          </w:p>
        </w:tc>
        <w:tc>
          <w:tcPr>
            <w:tcW w:w="0" w:type="auto"/>
            <w:gridSpan w:val="5"/>
          </w:tcPr>
          <w:p w14:paraId="0198B8D6" w14:textId="77777777" w:rsidR="00065317" w:rsidRDefault="005C7BF7">
            <w:pPr>
              <w:pStyle w:val="Compact"/>
            </w:pPr>
            <w:r>
              <w:rPr>
                <w:rStyle w:val="VerbatimChar"/>
                <w:i/>
                <w:iCs/>
              </w:rPr>
              <w:t>E12_Production</w:t>
            </w:r>
          </w:p>
        </w:tc>
      </w:tr>
      <w:tr w:rsidR="00065317" w14:paraId="0D474A0E" w14:textId="77777777">
        <w:tc>
          <w:tcPr>
            <w:tcW w:w="0" w:type="auto"/>
          </w:tcPr>
          <w:p w14:paraId="6A3A294A" w14:textId="77777777" w:rsidR="00065317" w:rsidRDefault="005C7BF7">
            <w:pPr>
              <w:pStyle w:val="Compact"/>
            </w:pPr>
            <w:r>
              <w:t>E65</w:t>
            </w:r>
          </w:p>
        </w:tc>
        <w:tc>
          <w:tcPr>
            <w:tcW w:w="0" w:type="auto"/>
          </w:tcPr>
          <w:p w14:paraId="544EDEF0" w14:textId="77777777" w:rsidR="00065317" w:rsidRDefault="005C7BF7">
            <w:pPr>
              <w:pStyle w:val="Compact"/>
            </w:pPr>
            <w:r>
              <w:t>-</w:t>
            </w:r>
          </w:p>
        </w:tc>
        <w:tc>
          <w:tcPr>
            <w:tcW w:w="0" w:type="auto"/>
          </w:tcPr>
          <w:p w14:paraId="70CB7BF8" w14:textId="77777777" w:rsidR="00065317" w:rsidRDefault="005C7BF7">
            <w:pPr>
              <w:pStyle w:val="Compact"/>
            </w:pPr>
            <w:r>
              <w:t>-</w:t>
            </w:r>
          </w:p>
        </w:tc>
        <w:tc>
          <w:tcPr>
            <w:tcW w:w="0" w:type="auto"/>
          </w:tcPr>
          <w:p w14:paraId="495FD0AE" w14:textId="77777777" w:rsidR="00065317" w:rsidRDefault="005C7BF7">
            <w:pPr>
              <w:pStyle w:val="Compact"/>
            </w:pPr>
            <w:r>
              <w:t>-</w:t>
            </w:r>
          </w:p>
        </w:tc>
        <w:tc>
          <w:tcPr>
            <w:tcW w:w="0" w:type="auto"/>
          </w:tcPr>
          <w:p w14:paraId="7BD57926" w14:textId="77777777" w:rsidR="00065317" w:rsidRDefault="005C7BF7">
            <w:pPr>
              <w:pStyle w:val="Compact"/>
            </w:pPr>
            <w:r>
              <w:t>-</w:t>
            </w:r>
          </w:p>
        </w:tc>
        <w:tc>
          <w:tcPr>
            <w:tcW w:w="0" w:type="auto"/>
          </w:tcPr>
          <w:p w14:paraId="4795B41F" w14:textId="77777777" w:rsidR="00065317" w:rsidRDefault="005C7BF7">
            <w:pPr>
              <w:pStyle w:val="Compact"/>
            </w:pPr>
            <w:r>
              <w:t>-</w:t>
            </w:r>
          </w:p>
        </w:tc>
        <w:tc>
          <w:tcPr>
            <w:tcW w:w="0" w:type="auto"/>
            <w:gridSpan w:val="5"/>
          </w:tcPr>
          <w:p w14:paraId="552BD2EA" w14:textId="77777777" w:rsidR="00065317" w:rsidRDefault="005C7BF7">
            <w:pPr>
              <w:pStyle w:val="Compact"/>
            </w:pPr>
            <w:r>
              <w:rPr>
                <w:rStyle w:val="VerbatimChar"/>
                <w:i/>
                <w:iCs/>
              </w:rPr>
              <w:t>E65_Création</w:t>
            </w:r>
          </w:p>
        </w:tc>
      </w:tr>
      <w:tr w:rsidR="00065317" w14:paraId="20F45872" w14:textId="77777777">
        <w:tc>
          <w:tcPr>
            <w:tcW w:w="0" w:type="auto"/>
          </w:tcPr>
          <w:p w14:paraId="02F0B5E9" w14:textId="77777777" w:rsidR="00065317" w:rsidRDefault="005C7BF7">
            <w:pPr>
              <w:pStyle w:val="Compact"/>
            </w:pPr>
            <w:r>
              <w:t>E83</w:t>
            </w:r>
          </w:p>
        </w:tc>
        <w:tc>
          <w:tcPr>
            <w:tcW w:w="0" w:type="auto"/>
          </w:tcPr>
          <w:p w14:paraId="677F4F4F" w14:textId="77777777" w:rsidR="00065317" w:rsidRDefault="005C7BF7">
            <w:pPr>
              <w:pStyle w:val="Compact"/>
            </w:pPr>
            <w:r>
              <w:t>-</w:t>
            </w:r>
          </w:p>
        </w:tc>
        <w:tc>
          <w:tcPr>
            <w:tcW w:w="0" w:type="auto"/>
          </w:tcPr>
          <w:p w14:paraId="1A12753A" w14:textId="77777777" w:rsidR="00065317" w:rsidRDefault="005C7BF7">
            <w:pPr>
              <w:pStyle w:val="Compact"/>
            </w:pPr>
            <w:r>
              <w:t>-</w:t>
            </w:r>
          </w:p>
        </w:tc>
        <w:tc>
          <w:tcPr>
            <w:tcW w:w="0" w:type="auto"/>
          </w:tcPr>
          <w:p w14:paraId="5127EF49" w14:textId="77777777" w:rsidR="00065317" w:rsidRDefault="005C7BF7">
            <w:pPr>
              <w:pStyle w:val="Compact"/>
            </w:pPr>
            <w:r>
              <w:t>-</w:t>
            </w:r>
          </w:p>
        </w:tc>
        <w:tc>
          <w:tcPr>
            <w:tcW w:w="0" w:type="auto"/>
          </w:tcPr>
          <w:p w14:paraId="0413ACB9" w14:textId="77777777" w:rsidR="00065317" w:rsidRDefault="005C7BF7">
            <w:pPr>
              <w:pStyle w:val="Compact"/>
            </w:pPr>
            <w:r>
              <w:t>-</w:t>
            </w:r>
          </w:p>
        </w:tc>
        <w:tc>
          <w:tcPr>
            <w:tcW w:w="0" w:type="auto"/>
          </w:tcPr>
          <w:p w14:paraId="01D5E996" w14:textId="77777777" w:rsidR="00065317" w:rsidRDefault="005C7BF7">
            <w:pPr>
              <w:pStyle w:val="Compact"/>
            </w:pPr>
            <w:r>
              <w:t>-</w:t>
            </w:r>
          </w:p>
        </w:tc>
        <w:tc>
          <w:tcPr>
            <w:tcW w:w="0" w:type="auto"/>
            <w:gridSpan w:val="4"/>
          </w:tcPr>
          <w:p w14:paraId="066ED1B3" w14:textId="77777777" w:rsidR="00065317" w:rsidRDefault="005C7BF7">
            <w:pPr>
              <w:pStyle w:val="Compact"/>
            </w:pPr>
            <w:r>
              <w:rPr>
                <w:rStyle w:val="VerbatimChar"/>
                <w:i/>
                <w:iCs/>
              </w:rPr>
              <w:t>E83_Création_de_type</w:t>
            </w:r>
          </w:p>
        </w:tc>
        <w:tc>
          <w:tcPr>
            <w:tcW w:w="0" w:type="auto"/>
          </w:tcPr>
          <w:p w14:paraId="646F67F7" w14:textId="77777777" w:rsidR="00065317" w:rsidRDefault="00065317">
            <w:pPr>
              <w:pStyle w:val="Compact"/>
            </w:pPr>
          </w:p>
        </w:tc>
      </w:tr>
      <w:tr w:rsidR="00065317" w14:paraId="4B6667D0" w14:textId="77777777">
        <w:tc>
          <w:tcPr>
            <w:tcW w:w="0" w:type="auto"/>
          </w:tcPr>
          <w:p w14:paraId="58F1E348" w14:textId="77777777" w:rsidR="00065317" w:rsidRDefault="005C7BF7">
            <w:pPr>
              <w:pStyle w:val="Compact"/>
            </w:pPr>
            <w:r>
              <w:t>E66</w:t>
            </w:r>
          </w:p>
        </w:tc>
        <w:tc>
          <w:tcPr>
            <w:tcW w:w="0" w:type="auto"/>
          </w:tcPr>
          <w:p w14:paraId="52A92123" w14:textId="77777777" w:rsidR="00065317" w:rsidRDefault="005C7BF7">
            <w:pPr>
              <w:pStyle w:val="Compact"/>
            </w:pPr>
            <w:r>
              <w:t>-</w:t>
            </w:r>
          </w:p>
        </w:tc>
        <w:tc>
          <w:tcPr>
            <w:tcW w:w="0" w:type="auto"/>
          </w:tcPr>
          <w:p w14:paraId="3D692FB4" w14:textId="77777777" w:rsidR="00065317" w:rsidRDefault="005C7BF7">
            <w:pPr>
              <w:pStyle w:val="Compact"/>
            </w:pPr>
            <w:r>
              <w:t>-</w:t>
            </w:r>
          </w:p>
        </w:tc>
        <w:tc>
          <w:tcPr>
            <w:tcW w:w="0" w:type="auto"/>
          </w:tcPr>
          <w:p w14:paraId="0757ED20" w14:textId="77777777" w:rsidR="00065317" w:rsidRDefault="005C7BF7">
            <w:pPr>
              <w:pStyle w:val="Compact"/>
            </w:pPr>
            <w:r>
              <w:t>-</w:t>
            </w:r>
          </w:p>
        </w:tc>
        <w:tc>
          <w:tcPr>
            <w:tcW w:w="0" w:type="auto"/>
          </w:tcPr>
          <w:p w14:paraId="5330AB35" w14:textId="77777777" w:rsidR="00065317" w:rsidRDefault="005C7BF7">
            <w:pPr>
              <w:pStyle w:val="Compact"/>
            </w:pPr>
            <w:r>
              <w:t>-</w:t>
            </w:r>
          </w:p>
        </w:tc>
        <w:tc>
          <w:tcPr>
            <w:tcW w:w="0" w:type="auto"/>
          </w:tcPr>
          <w:p w14:paraId="0D24EE24" w14:textId="77777777" w:rsidR="00065317" w:rsidRDefault="005C7BF7">
            <w:pPr>
              <w:pStyle w:val="Compact"/>
            </w:pPr>
            <w:r>
              <w:t>-</w:t>
            </w:r>
          </w:p>
        </w:tc>
        <w:tc>
          <w:tcPr>
            <w:tcW w:w="0" w:type="auto"/>
            <w:gridSpan w:val="5"/>
          </w:tcPr>
          <w:p w14:paraId="5CD0A568" w14:textId="77777777" w:rsidR="00065317" w:rsidRDefault="005C7BF7">
            <w:pPr>
              <w:pStyle w:val="Compact"/>
            </w:pPr>
            <w:r>
              <w:rPr>
                <w:rStyle w:val="VerbatimChar"/>
                <w:i/>
                <w:iCs/>
              </w:rPr>
              <w:t>E66_Formation</w:t>
            </w:r>
          </w:p>
        </w:tc>
      </w:tr>
      <w:tr w:rsidR="00065317" w14:paraId="0D880412" w14:textId="77777777">
        <w:tc>
          <w:tcPr>
            <w:tcW w:w="0" w:type="auto"/>
          </w:tcPr>
          <w:p w14:paraId="32A97905" w14:textId="77777777" w:rsidR="00065317" w:rsidRDefault="005C7BF7">
            <w:pPr>
              <w:pStyle w:val="Compact"/>
            </w:pPr>
            <w:r>
              <w:t>E64</w:t>
            </w:r>
          </w:p>
        </w:tc>
        <w:tc>
          <w:tcPr>
            <w:tcW w:w="0" w:type="auto"/>
          </w:tcPr>
          <w:p w14:paraId="2A948238" w14:textId="77777777" w:rsidR="00065317" w:rsidRDefault="005C7BF7">
            <w:pPr>
              <w:pStyle w:val="Compact"/>
            </w:pPr>
            <w:r>
              <w:t>-</w:t>
            </w:r>
          </w:p>
        </w:tc>
        <w:tc>
          <w:tcPr>
            <w:tcW w:w="0" w:type="auto"/>
          </w:tcPr>
          <w:p w14:paraId="1E546A2C" w14:textId="77777777" w:rsidR="00065317" w:rsidRDefault="005C7BF7">
            <w:pPr>
              <w:pStyle w:val="Compact"/>
            </w:pPr>
            <w:r>
              <w:t>-</w:t>
            </w:r>
          </w:p>
        </w:tc>
        <w:tc>
          <w:tcPr>
            <w:tcW w:w="0" w:type="auto"/>
          </w:tcPr>
          <w:p w14:paraId="2779ECEF" w14:textId="77777777" w:rsidR="00065317" w:rsidRDefault="005C7BF7">
            <w:pPr>
              <w:pStyle w:val="Compact"/>
            </w:pPr>
            <w:r>
              <w:t>-</w:t>
            </w:r>
          </w:p>
        </w:tc>
        <w:tc>
          <w:tcPr>
            <w:tcW w:w="0" w:type="auto"/>
          </w:tcPr>
          <w:p w14:paraId="0B83433A" w14:textId="77777777" w:rsidR="00065317" w:rsidRDefault="005C7BF7">
            <w:pPr>
              <w:pStyle w:val="Compact"/>
            </w:pPr>
            <w:r>
              <w:t>-</w:t>
            </w:r>
          </w:p>
        </w:tc>
        <w:tc>
          <w:tcPr>
            <w:tcW w:w="0" w:type="auto"/>
            <w:gridSpan w:val="6"/>
          </w:tcPr>
          <w:p w14:paraId="45B6B69A" w14:textId="38957238" w:rsidR="00065317" w:rsidRDefault="005C7BF7">
            <w:pPr>
              <w:pStyle w:val="Compact"/>
            </w:pPr>
            <w:r>
              <w:rPr>
                <w:rStyle w:val="VerbatimChar"/>
              </w:rPr>
              <w:t>E64_Fin_d</w:t>
            </w:r>
            <w:r w:rsidR="00E84B0E">
              <w:rPr>
                <w:rStyle w:val="VerbatimChar"/>
              </w:rPr>
              <w:t>’</w:t>
            </w:r>
            <w:r>
              <w:rPr>
                <w:rStyle w:val="VerbatimChar"/>
              </w:rPr>
              <w:t>existence</w:t>
            </w:r>
          </w:p>
        </w:tc>
      </w:tr>
      <w:tr w:rsidR="00065317" w14:paraId="4B52BA8C" w14:textId="77777777">
        <w:tc>
          <w:tcPr>
            <w:tcW w:w="0" w:type="auto"/>
          </w:tcPr>
          <w:p w14:paraId="3610DD03" w14:textId="77777777" w:rsidR="00065317" w:rsidRDefault="005C7BF7">
            <w:pPr>
              <w:pStyle w:val="Compact"/>
            </w:pPr>
            <w:r>
              <w:t>E6</w:t>
            </w:r>
          </w:p>
        </w:tc>
        <w:tc>
          <w:tcPr>
            <w:tcW w:w="0" w:type="auto"/>
          </w:tcPr>
          <w:p w14:paraId="3FFB97F4" w14:textId="77777777" w:rsidR="00065317" w:rsidRDefault="005C7BF7">
            <w:pPr>
              <w:pStyle w:val="Compact"/>
            </w:pPr>
            <w:r>
              <w:t>-</w:t>
            </w:r>
          </w:p>
        </w:tc>
        <w:tc>
          <w:tcPr>
            <w:tcW w:w="0" w:type="auto"/>
          </w:tcPr>
          <w:p w14:paraId="320139A4" w14:textId="77777777" w:rsidR="00065317" w:rsidRDefault="005C7BF7">
            <w:pPr>
              <w:pStyle w:val="Compact"/>
            </w:pPr>
            <w:r>
              <w:t>-</w:t>
            </w:r>
          </w:p>
        </w:tc>
        <w:tc>
          <w:tcPr>
            <w:tcW w:w="0" w:type="auto"/>
          </w:tcPr>
          <w:p w14:paraId="740D25C9" w14:textId="77777777" w:rsidR="00065317" w:rsidRDefault="005C7BF7">
            <w:pPr>
              <w:pStyle w:val="Compact"/>
            </w:pPr>
            <w:r>
              <w:t>-</w:t>
            </w:r>
          </w:p>
        </w:tc>
        <w:tc>
          <w:tcPr>
            <w:tcW w:w="0" w:type="auto"/>
          </w:tcPr>
          <w:p w14:paraId="376F8EB9" w14:textId="77777777" w:rsidR="00065317" w:rsidRDefault="005C7BF7">
            <w:pPr>
              <w:pStyle w:val="Compact"/>
            </w:pPr>
            <w:r>
              <w:t>-</w:t>
            </w:r>
          </w:p>
        </w:tc>
        <w:tc>
          <w:tcPr>
            <w:tcW w:w="0" w:type="auto"/>
          </w:tcPr>
          <w:p w14:paraId="4DC32F0A" w14:textId="77777777" w:rsidR="00065317" w:rsidRDefault="005C7BF7">
            <w:pPr>
              <w:pStyle w:val="Compact"/>
            </w:pPr>
            <w:r>
              <w:t>-</w:t>
            </w:r>
          </w:p>
        </w:tc>
        <w:tc>
          <w:tcPr>
            <w:tcW w:w="0" w:type="auto"/>
            <w:gridSpan w:val="5"/>
          </w:tcPr>
          <w:p w14:paraId="53F078AF" w14:textId="77777777" w:rsidR="00065317" w:rsidRDefault="005C7BF7">
            <w:pPr>
              <w:pStyle w:val="Compact"/>
            </w:pPr>
            <w:r>
              <w:rPr>
                <w:rStyle w:val="VerbatimChar"/>
              </w:rPr>
              <w:t>E6_Destruction</w:t>
            </w:r>
          </w:p>
        </w:tc>
      </w:tr>
      <w:tr w:rsidR="00065317" w14:paraId="421303FD" w14:textId="77777777">
        <w:tc>
          <w:tcPr>
            <w:tcW w:w="0" w:type="auto"/>
          </w:tcPr>
          <w:p w14:paraId="3FCB790E" w14:textId="77777777" w:rsidR="00065317" w:rsidRDefault="005C7BF7">
            <w:pPr>
              <w:pStyle w:val="Compact"/>
            </w:pPr>
            <w:r>
              <w:t>E68</w:t>
            </w:r>
          </w:p>
        </w:tc>
        <w:tc>
          <w:tcPr>
            <w:tcW w:w="0" w:type="auto"/>
          </w:tcPr>
          <w:p w14:paraId="7BEFF303" w14:textId="77777777" w:rsidR="00065317" w:rsidRDefault="005C7BF7">
            <w:pPr>
              <w:pStyle w:val="Compact"/>
            </w:pPr>
            <w:r>
              <w:t>-</w:t>
            </w:r>
          </w:p>
        </w:tc>
        <w:tc>
          <w:tcPr>
            <w:tcW w:w="0" w:type="auto"/>
          </w:tcPr>
          <w:p w14:paraId="3F4AADA1" w14:textId="77777777" w:rsidR="00065317" w:rsidRDefault="005C7BF7">
            <w:pPr>
              <w:pStyle w:val="Compact"/>
            </w:pPr>
            <w:r>
              <w:t>-</w:t>
            </w:r>
          </w:p>
        </w:tc>
        <w:tc>
          <w:tcPr>
            <w:tcW w:w="0" w:type="auto"/>
          </w:tcPr>
          <w:p w14:paraId="2EF3D6ED" w14:textId="77777777" w:rsidR="00065317" w:rsidRDefault="005C7BF7">
            <w:pPr>
              <w:pStyle w:val="Compact"/>
            </w:pPr>
            <w:r>
              <w:t>-</w:t>
            </w:r>
          </w:p>
        </w:tc>
        <w:tc>
          <w:tcPr>
            <w:tcW w:w="0" w:type="auto"/>
          </w:tcPr>
          <w:p w14:paraId="5B8908FA" w14:textId="77777777" w:rsidR="00065317" w:rsidRDefault="005C7BF7">
            <w:pPr>
              <w:pStyle w:val="Compact"/>
            </w:pPr>
            <w:r>
              <w:t>-</w:t>
            </w:r>
          </w:p>
        </w:tc>
        <w:tc>
          <w:tcPr>
            <w:tcW w:w="0" w:type="auto"/>
          </w:tcPr>
          <w:p w14:paraId="332A5894" w14:textId="77777777" w:rsidR="00065317" w:rsidRDefault="005C7BF7">
            <w:pPr>
              <w:pStyle w:val="Compact"/>
            </w:pPr>
            <w:r>
              <w:t>-</w:t>
            </w:r>
          </w:p>
        </w:tc>
        <w:tc>
          <w:tcPr>
            <w:tcW w:w="0" w:type="auto"/>
            <w:gridSpan w:val="5"/>
          </w:tcPr>
          <w:p w14:paraId="7A9505F8" w14:textId="77777777" w:rsidR="00065317" w:rsidRDefault="005C7BF7">
            <w:pPr>
              <w:pStyle w:val="Compact"/>
            </w:pPr>
            <w:r>
              <w:rPr>
                <w:rStyle w:val="VerbatimChar"/>
              </w:rPr>
              <w:t>E68_Dissolution</w:t>
            </w:r>
          </w:p>
        </w:tc>
      </w:tr>
      <w:tr w:rsidR="00065317" w14:paraId="77634281" w14:textId="77777777">
        <w:tc>
          <w:tcPr>
            <w:tcW w:w="0" w:type="auto"/>
          </w:tcPr>
          <w:p w14:paraId="6E8CD55A" w14:textId="77777777" w:rsidR="00065317" w:rsidRDefault="005C7BF7">
            <w:pPr>
              <w:pStyle w:val="Compact"/>
            </w:pPr>
            <w:r>
              <w:t>E69</w:t>
            </w:r>
          </w:p>
        </w:tc>
        <w:tc>
          <w:tcPr>
            <w:tcW w:w="0" w:type="auto"/>
          </w:tcPr>
          <w:p w14:paraId="2BE1D2BC" w14:textId="77777777" w:rsidR="00065317" w:rsidRDefault="005C7BF7">
            <w:pPr>
              <w:pStyle w:val="Compact"/>
            </w:pPr>
            <w:r>
              <w:t>-</w:t>
            </w:r>
          </w:p>
        </w:tc>
        <w:tc>
          <w:tcPr>
            <w:tcW w:w="0" w:type="auto"/>
          </w:tcPr>
          <w:p w14:paraId="115E45A6" w14:textId="77777777" w:rsidR="00065317" w:rsidRDefault="005C7BF7">
            <w:pPr>
              <w:pStyle w:val="Compact"/>
            </w:pPr>
            <w:r>
              <w:t>-</w:t>
            </w:r>
          </w:p>
        </w:tc>
        <w:tc>
          <w:tcPr>
            <w:tcW w:w="0" w:type="auto"/>
          </w:tcPr>
          <w:p w14:paraId="68A2B27D" w14:textId="77777777" w:rsidR="00065317" w:rsidRDefault="005C7BF7">
            <w:pPr>
              <w:pStyle w:val="Compact"/>
            </w:pPr>
            <w:r>
              <w:t>-</w:t>
            </w:r>
          </w:p>
        </w:tc>
        <w:tc>
          <w:tcPr>
            <w:tcW w:w="0" w:type="auto"/>
          </w:tcPr>
          <w:p w14:paraId="44A666A9" w14:textId="77777777" w:rsidR="00065317" w:rsidRDefault="005C7BF7">
            <w:pPr>
              <w:pStyle w:val="Compact"/>
            </w:pPr>
            <w:r>
              <w:t>-</w:t>
            </w:r>
          </w:p>
        </w:tc>
        <w:tc>
          <w:tcPr>
            <w:tcW w:w="0" w:type="auto"/>
          </w:tcPr>
          <w:p w14:paraId="3EBD47E6" w14:textId="77777777" w:rsidR="00065317" w:rsidRDefault="005C7BF7">
            <w:pPr>
              <w:pStyle w:val="Compact"/>
            </w:pPr>
            <w:r>
              <w:t>-</w:t>
            </w:r>
          </w:p>
        </w:tc>
        <w:tc>
          <w:tcPr>
            <w:tcW w:w="0" w:type="auto"/>
            <w:gridSpan w:val="5"/>
          </w:tcPr>
          <w:p w14:paraId="7E7C089C" w14:textId="77777777" w:rsidR="00065317" w:rsidRDefault="005C7BF7">
            <w:pPr>
              <w:pStyle w:val="Compact"/>
            </w:pPr>
            <w:r>
              <w:rPr>
                <w:rStyle w:val="VerbatimChar"/>
              </w:rPr>
              <w:t>E69_Mort</w:t>
            </w:r>
          </w:p>
        </w:tc>
      </w:tr>
      <w:tr w:rsidR="00065317" w14:paraId="3C5348AA" w14:textId="77777777">
        <w:tc>
          <w:tcPr>
            <w:tcW w:w="0" w:type="auto"/>
          </w:tcPr>
          <w:p w14:paraId="35FB3631" w14:textId="77777777" w:rsidR="00065317" w:rsidRDefault="005C7BF7">
            <w:pPr>
              <w:pStyle w:val="Compact"/>
            </w:pPr>
            <w:r>
              <w:t>E81</w:t>
            </w:r>
          </w:p>
        </w:tc>
        <w:tc>
          <w:tcPr>
            <w:tcW w:w="0" w:type="auto"/>
          </w:tcPr>
          <w:p w14:paraId="015ABBDD" w14:textId="77777777" w:rsidR="00065317" w:rsidRDefault="005C7BF7">
            <w:pPr>
              <w:pStyle w:val="Compact"/>
            </w:pPr>
            <w:r>
              <w:t>-</w:t>
            </w:r>
          </w:p>
        </w:tc>
        <w:tc>
          <w:tcPr>
            <w:tcW w:w="0" w:type="auto"/>
          </w:tcPr>
          <w:p w14:paraId="10E5BA65" w14:textId="77777777" w:rsidR="00065317" w:rsidRDefault="005C7BF7">
            <w:pPr>
              <w:pStyle w:val="Compact"/>
            </w:pPr>
            <w:r>
              <w:t>-</w:t>
            </w:r>
          </w:p>
        </w:tc>
        <w:tc>
          <w:tcPr>
            <w:tcW w:w="0" w:type="auto"/>
          </w:tcPr>
          <w:p w14:paraId="582C7581" w14:textId="77777777" w:rsidR="00065317" w:rsidRDefault="005C7BF7">
            <w:pPr>
              <w:pStyle w:val="Compact"/>
            </w:pPr>
            <w:r>
              <w:t>-</w:t>
            </w:r>
          </w:p>
        </w:tc>
        <w:tc>
          <w:tcPr>
            <w:tcW w:w="0" w:type="auto"/>
          </w:tcPr>
          <w:p w14:paraId="3CA4BFC6" w14:textId="77777777" w:rsidR="00065317" w:rsidRDefault="005C7BF7">
            <w:pPr>
              <w:pStyle w:val="Compact"/>
            </w:pPr>
            <w:r>
              <w:t>-</w:t>
            </w:r>
          </w:p>
        </w:tc>
        <w:tc>
          <w:tcPr>
            <w:tcW w:w="0" w:type="auto"/>
          </w:tcPr>
          <w:p w14:paraId="175DF24A" w14:textId="77777777" w:rsidR="00065317" w:rsidRDefault="005C7BF7">
            <w:pPr>
              <w:pStyle w:val="Compact"/>
            </w:pPr>
            <w:r>
              <w:t>-</w:t>
            </w:r>
          </w:p>
        </w:tc>
        <w:tc>
          <w:tcPr>
            <w:tcW w:w="0" w:type="auto"/>
            <w:gridSpan w:val="5"/>
          </w:tcPr>
          <w:p w14:paraId="0A24AED1" w14:textId="77777777" w:rsidR="00065317" w:rsidRDefault="005C7BF7">
            <w:pPr>
              <w:pStyle w:val="Compact"/>
            </w:pPr>
            <w:r>
              <w:rPr>
                <w:rStyle w:val="VerbatimChar"/>
                <w:i/>
                <w:iCs/>
              </w:rPr>
              <w:t>E81_Transformation</w:t>
            </w:r>
          </w:p>
        </w:tc>
      </w:tr>
      <w:tr w:rsidR="00065317" w14:paraId="3AC3271A" w14:textId="77777777">
        <w:tc>
          <w:tcPr>
            <w:tcW w:w="0" w:type="auto"/>
          </w:tcPr>
          <w:p w14:paraId="62177933" w14:textId="77777777" w:rsidR="00065317" w:rsidRDefault="005C7BF7">
            <w:pPr>
              <w:pStyle w:val="Compact"/>
            </w:pPr>
            <w:r>
              <w:t>E77</w:t>
            </w:r>
          </w:p>
        </w:tc>
        <w:tc>
          <w:tcPr>
            <w:tcW w:w="0" w:type="auto"/>
          </w:tcPr>
          <w:p w14:paraId="39917265" w14:textId="77777777" w:rsidR="00065317" w:rsidRDefault="005C7BF7">
            <w:pPr>
              <w:pStyle w:val="Compact"/>
            </w:pPr>
            <w:r>
              <w:t>-</w:t>
            </w:r>
          </w:p>
        </w:tc>
        <w:tc>
          <w:tcPr>
            <w:tcW w:w="0" w:type="auto"/>
            <w:gridSpan w:val="9"/>
          </w:tcPr>
          <w:p w14:paraId="1BDE5081" w14:textId="77777777" w:rsidR="00065317" w:rsidRDefault="005C7BF7">
            <w:pPr>
              <w:pStyle w:val="Compact"/>
            </w:pPr>
            <w:r>
              <w:rPr>
                <w:rStyle w:val="VerbatimChar"/>
              </w:rPr>
              <w:t>E77_Entité_persistante</w:t>
            </w:r>
          </w:p>
        </w:tc>
      </w:tr>
      <w:tr w:rsidR="00065317" w14:paraId="3F39B1E6" w14:textId="77777777">
        <w:tc>
          <w:tcPr>
            <w:tcW w:w="0" w:type="auto"/>
          </w:tcPr>
          <w:p w14:paraId="6BBFD9CC" w14:textId="77777777" w:rsidR="00065317" w:rsidRDefault="005C7BF7">
            <w:pPr>
              <w:pStyle w:val="Compact"/>
            </w:pPr>
            <w:r>
              <w:t>E70</w:t>
            </w:r>
          </w:p>
        </w:tc>
        <w:tc>
          <w:tcPr>
            <w:tcW w:w="0" w:type="auto"/>
          </w:tcPr>
          <w:p w14:paraId="3A1360A5" w14:textId="77777777" w:rsidR="00065317" w:rsidRDefault="005C7BF7">
            <w:pPr>
              <w:pStyle w:val="Compact"/>
            </w:pPr>
            <w:r>
              <w:t>-</w:t>
            </w:r>
          </w:p>
        </w:tc>
        <w:tc>
          <w:tcPr>
            <w:tcW w:w="0" w:type="auto"/>
          </w:tcPr>
          <w:p w14:paraId="146F6566" w14:textId="77777777" w:rsidR="00065317" w:rsidRDefault="005C7BF7">
            <w:pPr>
              <w:pStyle w:val="Compact"/>
            </w:pPr>
            <w:r>
              <w:t>-</w:t>
            </w:r>
          </w:p>
        </w:tc>
        <w:tc>
          <w:tcPr>
            <w:tcW w:w="0" w:type="auto"/>
            <w:gridSpan w:val="8"/>
          </w:tcPr>
          <w:p w14:paraId="1091AA29" w14:textId="77777777" w:rsidR="00065317" w:rsidRDefault="005C7BF7">
            <w:pPr>
              <w:pStyle w:val="Compact"/>
            </w:pPr>
            <w:r>
              <w:rPr>
                <w:rStyle w:val="VerbatimChar"/>
              </w:rPr>
              <w:t>E70_Chose</w:t>
            </w:r>
          </w:p>
        </w:tc>
      </w:tr>
      <w:tr w:rsidR="00065317" w14:paraId="04AEFC07" w14:textId="77777777">
        <w:tc>
          <w:tcPr>
            <w:tcW w:w="0" w:type="auto"/>
          </w:tcPr>
          <w:p w14:paraId="236A9794" w14:textId="77777777" w:rsidR="00065317" w:rsidRDefault="005C7BF7">
            <w:pPr>
              <w:pStyle w:val="Compact"/>
            </w:pPr>
            <w:r>
              <w:t>E72</w:t>
            </w:r>
          </w:p>
        </w:tc>
        <w:tc>
          <w:tcPr>
            <w:tcW w:w="0" w:type="auto"/>
          </w:tcPr>
          <w:p w14:paraId="4B45C622" w14:textId="77777777" w:rsidR="00065317" w:rsidRDefault="005C7BF7">
            <w:pPr>
              <w:pStyle w:val="Compact"/>
            </w:pPr>
            <w:r>
              <w:t>-</w:t>
            </w:r>
          </w:p>
        </w:tc>
        <w:tc>
          <w:tcPr>
            <w:tcW w:w="0" w:type="auto"/>
          </w:tcPr>
          <w:p w14:paraId="4ECED720" w14:textId="77777777" w:rsidR="00065317" w:rsidRDefault="005C7BF7">
            <w:pPr>
              <w:pStyle w:val="Compact"/>
            </w:pPr>
            <w:r>
              <w:t>-</w:t>
            </w:r>
          </w:p>
        </w:tc>
        <w:tc>
          <w:tcPr>
            <w:tcW w:w="0" w:type="auto"/>
          </w:tcPr>
          <w:p w14:paraId="701FB91E" w14:textId="77777777" w:rsidR="00065317" w:rsidRDefault="005C7BF7">
            <w:pPr>
              <w:pStyle w:val="Compact"/>
            </w:pPr>
            <w:r>
              <w:t>-</w:t>
            </w:r>
          </w:p>
        </w:tc>
        <w:tc>
          <w:tcPr>
            <w:tcW w:w="0" w:type="auto"/>
            <w:gridSpan w:val="7"/>
          </w:tcPr>
          <w:p w14:paraId="0C0DB394" w14:textId="77777777" w:rsidR="00065317" w:rsidRDefault="005C7BF7">
            <w:pPr>
              <w:pStyle w:val="Compact"/>
            </w:pPr>
            <w:r>
              <w:rPr>
                <w:rStyle w:val="VerbatimChar"/>
              </w:rPr>
              <w:t>E72_Objet_juridique</w:t>
            </w:r>
          </w:p>
        </w:tc>
      </w:tr>
      <w:tr w:rsidR="00065317" w14:paraId="2B1EB031" w14:textId="77777777">
        <w:tc>
          <w:tcPr>
            <w:tcW w:w="0" w:type="auto"/>
          </w:tcPr>
          <w:p w14:paraId="4807420E" w14:textId="77777777" w:rsidR="00065317" w:rsidRDefault="005C7BF7">
            <w:pPr>
              <w:pStyle w:val="Compact"/>
            </w:pPr>
            <w:r>
              <w:t>E18</w:t>
            </w:r>
          </w:p>
        </w:tc>
        <w:tc>
          <w:tcPr>
            <w:tcW w:w="0" w:type="auto"/>
          </w:tcPr>
          <w:p w14:paraId="597DDEB0" w14:textId="77777777" w:rsidR="00065317" w:rsidRDefault="005C7BF7">
            <w:pPr>
              <w:pStyle w:val="Compact"/>
            </w:pPr>
            <w:r>
              <w:t>-</w:t>
            </w:r>
          </w:p>
        </w:tc>
        <w:tc>
          <w:tcPr>
            <w:tcW w:w="0" w:type="auto"/>
          </w:tcPr>
          <w:p w14:paraId="4CD4EA57" w14:textId="77777777" w:rsidR="00065317" w:rsidRDefault="005C7BF7">
            <w:pPr>
              <w:pStyle w:val="Compact"/>
            </w:pPr>
            <w:r>
              <w:t>-</w:t>
            </w:r>
          </w:p>
        </w:tc>
        <w:tc>
          <w:tcPr>
            <w:tcW w:w="0" w:type="auto"/>
          </w:tcPr>
          <w:p w14:paraId="1F2EF4BB" w14:textId="77777777" w:rsidR="00065317" w:rsidRDefault="005C7BF7">
            <w:pPr>
              <w:pStyle w:val="Compact"/>
            </w:pPr>
            <w:r>
              <w:t>-</w:t>
            </w:r>
          </w:p>
        </w:tc>
        <w:tc>
          <w:tcPr>
            <w:tcW w:w="0" w:type="auto"/>
          </w:tcPr>
          <w:p w14:paraId="676F7DB4" w14:textId="77777777" w:rsidR="00065317" w:rsidRDefault="005C7BF7">
            <w:pPr>
              <w:pStyle w:val="Compact"/>
            </w:pPr>
            <w:r>
              <w:t>-</w:t>
            </w:r>
          </w:p>
        </w:tc>
        <w:tc>
          <w:tcPr>
            <w:tcW w:w="0" w:type="auto"/>
            <w:gridSpan w:val="6"/>
          </w:tcPr>
          <w:p w14:paraId="3B363F14" w14:textId="77777777" w:rsidR="00065317" w:rsidRDefault="005C7BF7">
            <w:pPr>
              <w:pStyle w:val="Compact"/>
            </w:pPr>
            <w:r>
              <w:rPr>
                <w:rStyle w:val="VerbatimChar"/>
              </w:rPr>
              <w:t>E18_Chose_matérielle</w:t>
            </w:r>
          </w:p>
        </w:tc>
      </w:tr>
      <w:tr w:rsidR="00065317" w14:paraId="03C61F8E" w14:textId="77777777">
        <w:tc>
          <w:tcPr>
            <w:tcW w:w="0" w:type="auto"/>
          </w:tcPr>
          <w:p w14:paraId="535A1E0B" w14:textId="77777777" w:rsidR="00065317" w:rsidRDefault="005C7BF7">
            <w:pPr>
              <w:pStyle w:val="Compact"/>
            </w:pPr>
            <w:r>
              <w:t>E19</w:t>
            </w:r>
          </w:p>
        </w:tc>
        <w:tc>
          <w:tcPr>
            <w:tcW w:w="0" w:type="auto"/>
          </w:tcPr>
          <w:p w14:paraId="433F6875" w14:textId="77777777" w:rsidR="00065317" w:rsidRDefault="005C7BF7">
            <w:pPr>
              <w:pStyle w:val="Compact"/>
            </w:pPr>
            <w:r>
              <w:t>-</w:t>
            </w:r>
          </w:p>
        </w:tc>
        <w:tc>
          <w:tcPr>
            <w:tcW w:w="0" w:type="auto"/>
          </w:tcPr>
          <w:p w14:paraId="72972FE3" w14:textId="77777777" w:rsidR="00065317" w:rsidRDefault="005C7BF7">
            <w:pPr>
              <w:pStyle w:val="Compact"/>
            </w:pPr>
            <w:r>
              <w:t>-</w:t>
            </w:r>
          </w:p>
        </w:tc>
        <w:tc>
          <w:tcPr>
            <w:tcW w:w="0" w:type="auto"/>
          </w:tcPr>
          <w:p w14:paraId="2D14FA12" w14:textId="77777777" w:rsidR="00065317" w:rsidRDefault="005C7BF7">
            <w:pPr>
              <w:pStyle w:val="Compact"/>
            </w:pPr>
            <w:r>
              <w:t>-</w:t>
            </w:r>
          </w:p>
        </w:tc>
        <w:tc>
          <w:tcPr>
            <w:tcW w:w="0" w:type="auto"/>
          </w:tcPr>
          <w:p w14:paraId="18CA5FE1" w14:textId="77777777" w:rsidR="00065317" w:rsidRDefault="005C7BF7">
            <w:pPr>
              <w:pStyle w:val="Compact"/>
            </w:pPr>
            <w:r>
              <w:t>-</w:t>
            </w:r>
          </w:p>
        </w:tc>
        <w:tc>
          <w:tcPr>
            <w:tcW w:w="0" w:type="auto"/>
          </w:tcPr>
          <w:p w14:paraId="26CCFE53" w14:textId="77777777" w:rsidR="00065317" w:rsidRDefault="005C7BF7">
            <w:pPr>
              <w:pStyle w:val="Compact"/>
            </w:pPr>
            <w:r>
              <w:t>-</w:t>
            </w:r>
          </w:p>
        </w:tc>
        <w:tc>
          <w:tcPr>
            <w:tcW w:w="0" w:type="auto"/>
            <w:gridSpan w:val="5"/>
          </w:tcPr>
          <w:p w14:paraId="214589D9" w14:textId="77777777" w:rsidR="00065317" w:rsidRDefault="005C7BF7">
            <w:pPr>
              <w:pStyle w:val="Compact"/>
            </w:pPr>
            <w:r>
              <w:rPr>
                <w:rStyle w:val="VerbatimChar"/>
              </w:rPr>
              <w:t>E19_Objet_matériel</w:t>
            </w:r>
          </w:p>
        </w:tc>
      </w:tr>
      <w:tr w:rsidR="00065317" w14:paraId="0F8341B8" w14:textId="77777777">
        <w:tc>
          <w:tcPr>
            <w:tcW w:w="0" w:type="auto"/>
          </w:tcPr>
          <w:p w14:paraId="62B53644" w14:textId="77777777" w:rsidR="00065317" w:rsidRDefault="005C7BF7">
            <w:pPr>
              <w:pStyle w:val="Compact"/>
            </w:pPr>
            <w:r>
              <w:t>E20</w:t>
            </w:r>
          </w:p>
        </w:tc>
        <w:tc>
          <w:tcPr>
            <w:tcW w:w="0" w:type="auto"/>
          </w:tcPr>
          <w:p w14:paraId="5CEFCAEF" w14:textId="77777777" w:rsidR="00065317" w:rsidRDefault="005C7BF7">
            <w:pPr>
              <w:pStyle w:val="Compact"/>
            </w:pPr>
            <w:r>
              <w:t>-</w:t>
            </w:r>
          </w:p>
        </w:tc>
        <w:tc>
          <w:tcPr>
            <w:tcW w:w="0" w:type="auto"/>
          </w:tcPr>
          <w:p w14:paraId="764912CE" w14:textId="77777777" w:rsidR="00065317" w:rsidRDefault="005C7BF7">
            <w:pPr>
              <w:pStyle w:val="Compact"/>
            </w:pPr>
            <w:r>
              <w:t>-</w:t>
            </w:r>
          </w:p>
        </w:tc>
        <w:tc>
          <w:tcPr>
            <w:tcW w:w="0" w:type="auto"/>
          </w:tcPr>
          <w:p w14:paraId="6C635CD3" w14:textId="77777777" w:rsidR="00065317" w:rsidRDefault="005C7BF7">
            <w:pPr>
              <w:pStyle w:val="Compact"/>
            </w:pPr>
            <w:r>
              <w:t>-</w:t>
            </w:r>
          </w:p>
        </w:tc>
        <w:tc>
          <w:tcPr>
            <w:tcW w:w="0" w:type="auto"/>
          </w:tcPr>
          <w:p w14:paraId="3AECEB63" w14:textId="77777777" w:rsidR="00065317" w:rsidRDefault="005C7BF7">
            <w:pPr>
              <w:pStyle w:val="Compact"/>
            </w:pPr>
            <w:r>
              <w:t>-</w:t>
            </w:r>
          </w:p>
        </w:tc>
        <w:tc>
          <w:tcPr>
            <w:tcW w:w="0" w:type="auto"/>
          </w:tcPr>
          <w:p w14:paraId="2E0EFBA0" w14:textId="77777777" w:rsidR="00065317" w:rsidRDefault="005C7BF7">
            <w:pPr>
              <w:pStyle w:val="Compact"/>
            </w:pPr>
            <w:r>
              <w:t>-</w:t>
            </w:r>
          </w:p>
        </w:tc>
        <w:tc>
          <w:tcPr>
            <w:tcW w:w="0" w:type="auto"/>
          </w:tcPr>
          <w:p w14:paraId="0FD7E79E" w14:textId="77777777" w:rsidR="00065317" w:rsidRDefault="005C7BF7">
            <w:pPr>
              <w:pStyle w:val="Compact"/>
            </w:pPr>
            <w:r>
              <w:t>-</w:t>
            </w:r>
          </w:p>
        </w:tc>
        <w:tc>
          <w:tcPr>
            <w:tcW w:w="0" w:type="auto"/>
            <w:gridSpan w:val="4"/>
          </w:tcPr>
          <w:p w14:paraId="68DD5E9B" w14:textId="77777777" w:rsidR="00065317" w:rsidRDefault="005C7BF7">
            <w:pPr>
              <w:pStyle w:val="Compact"/>
            </w:pPr>
            <w:r>
              <w:rPr>
                <w:rStyle w:val="VerbatimChar"/>
              </w:rPr>
              <w:t>E20_Objet_biologique</w:t>
            </w:r>
          </w:p>
        </w:tc>
      </w:tr>
      <w:tr w:rsidR="00065317" w14:paraId="717A540A" w14:textId="77777777">
        <w:tc>
          <w:tcPr>
            <w:tcW w:w="0" w:type="auto"/>
          </w:tcPr>
          <w:p w14:paraId="397CE86A" w14:textId="77777777" w:rsidR="00065317" w:rsidRDefault="005C7BF7">
            <w:pPr>
              <w:pStyle w:val="Compact"/>
            </w:pPr>
            <w:r>
              <w:t>E21</w:t>
            </w:r>
          </w:p>
        </w:tc>
        <w:tc>
          <w:tcPr>
            <w:tcW w:w="0" w:type="auto"/>
          </w:tcPr>
          <w:p w14:paraId="07ED09AC" w14:textId="77777777" w:rsidR="00065317" w:rsidRDefault="005C7BF7">
            <w:pPr>
              <w:pStyle w:val="Compact"/>
            </w:pPr>
            <w:r>
              <w:t>-</w:t>
            </w:r>
          </w:p>
        </w:tc>
        <w:tc>
          <w:tcPr>
            <w:tcW w:w="0" w:type="auto"/>
          </w:tcPr>
          <w:p w14:paraId="2B98B2D3" w14:textId="77777777" w:rsidR="00065317" w:rsidRDefault="005C7BF7">
            <w:pPr>
              <w:pStyle w:val="Compact"/>
            </w:pPr>
            <w:r>
              <w:t>-</w:t>
            </w:r>
          </w:p>
        </w:tc>
        <w:tc>
          <w:tcPr>
            <w:tcW w:w="0" w:type="auto"/>
          </w:tcPr>
          <w:p w14:paraId="1C1109FE" w14:textId="77777777" w:rsidR="00065317" w:rsidRDefault="005C7BF7">
            <w:pPr>
              <w:pStyle w:val="Compact"/>
            </w:pPr>
            <w:r>
              <w:t>-</w:t>
            </w:r>
          </w:p>
        </w:tc>
        <w:tc>
          <w:tcPr>
            <w:tcW w:w="0" w:type="auto"/>
          </w:tcPr>
          <w:p w14:paraId="54B917BC" w14:textId="77777777" w:rsidR="00065317" w:rsidRDefault="005C7BF7">
            <w:pPr>
              <w:pStyle w:val="Compact"/>
            </w:pPr>
            <w:r>
              <w:t>-</w:t>
            </w:r>
          </w:p>
        </w:tc>
        <w:tc>
          <w:tcPr>
            <w:tcW w:w="0" w:type="auto"/>
          </w:tcPr>
          <w:p w14:paraId="5BD0658E" w14:textId="77777777" w:rsidR="00065317" w:rsidRDefault="005C7BF7">
            <w:pPr>
              <w:pStyle w:val="Compact"/>
            </w:pPr>
            <w:r>
              <w:t>-</w:t>
            </w:r>
          </w:p>
        </w:tc>
        <w:tc>
          <w:tcPr>
            <w:tcW w:w="0" w:type="auto"/>
          </w:tcPr>
          <w:p w14:paraId="64D4E5C1" w14:textId="77777777" w:rsidR="00065317" w:rsidRDefault="005C7BF7">
            <w:pPr>
              <w:pStyle w:val="Compact"/>
            </w:pPr>
            <w:r>
              <w:t>-</w:t>
            </w:r>
          </w:p>
        </w:tc>
        <w:tc>
          <w:tcPr>
            <w:tcW w:w="0" w:type="auto"/>
          </w:tcPr>
          <w:p w14:paraId="567F0FE7" w14:textId="77777777" w:rsidR="00065317" w:rsidRDefault="005C7BF7">
            <w:pPr>
              <w:pStyle w:val="Compact"/>
            </w:pPr>
            <w:r>
              <w:t>-</w:t>
            </w:r>
          </w:p>
        </w:tc>
        <w:tc>
          <w:tcPr>
            <w:tcW w:w="0" w:type="auto"/>
            <w:gridSpan w:val="3"/>
          </w:tcPr>
          <w:p w14:paraId="6391F53F" w14:textId="77777777" w:rsidR="00065317" w:rsidRDefault="005C7BF7">
            <w:pPr>
              <w:pStyle w:val="Compact"/>
            </w:pPr>
            <w:r>
              <w:rPr>
                <w:rStyle w:val="VerbatimChar"/>
              </w:rPr>
              <w:t>E21_Personne</w:t>
            </w:r>
          </w:p>
        </w:tc>
      </w:tr>
      <w:tr w:rsidR="00065317" w14:paraId="7CBBD457" w14:textId="77777777">
        <w:tc>
          <w:tcPr>
            <w:tcW w:w="0" w:type="auto"/>
          </w:tcPr>
          <w:p w14:paraId="7CF701E2" w14:textId="77777777" w:rsidR="00065317" w:rsidRDefault="005C7BF7">
            <w:pPr>
              <w:pStyle w:val="Compact"/>
            </w:pPr>
            <w:r>
              <w:t>E22</w:t>
            </w:r>
          </w:p>
        </w:tc>
        <w:tc>
          <w:tcPr>
            <w:tcW w:w="0" w:type="auto"/>
          </w:tcPr>
          <w:p w14:paraId="2B103DDA" w14:textId="77777777" w:rsidR="00065317" w:rsidRDefault="005C7BF7">
            <w:pPr>
              <w:pStyle w:val="Compact"/>
            </w:pPr>
            <w:r>
              <w:t>-</w:t>
            </w:r>
          </w:p>
        </w:tc>
        <w:tc>
          <w:tcPr>
            <w:tcW w:w="0" w:type="auto"/>
          </w:tcPr>
          <w:p w14:paraId="2921ACB0" w14:textId="77777777" w:rsidR="00065317" w:rsidRDefault="005C7BF7">
            <w:pPr>
              <w:pStyle w:val="Compact"/>
            </w:pPr>
            <w:r>
              <w:t>-</w:t>
            </w:r>
          </w:p>
        </w:tc>
        <w:tc>
          <w:tcPr>
            <w:tcW w:w="0" w:type="auto"/>
          </w:tcPr>
          <w:p w14:paraId="0BEAA346" w14:textId="77777777" w:rsidR="00065317" w:rsidRDefault="005C7BF7">
            <w:pPr>
              <w:pStyle w:val="Compact"/>
            </w:pPr>
            <w:r>
              <w:t>-</w:t>
            </w:r>
          </w:p>
        </w:tc>
        <w:tc>
          <w:tcPr>
            <w:tcW w:w="0" w:type="auto"/>
          </w:tcPr>
          <w:p w14:paraId="438664E9" w14:textId="77777777" w:rsidR="00065317" w:rsidRDefault="005C7BF7">
            <w:pPr>
              <w:pStyle w:val="Compact"/>
            </w:pPr>
            <w:r>
              <w:t>-</w:t>
            </w:r>
          </w:p>
        </w:tc>
        <w:tc>
          <w:tcPr>
            <w:tcW w:w="0" w:type="auto"/>
          </w:tcPr>
          <w:p w14:paraId="15DA0621" w14:textId="77777777" w:rsidR="00065317" w:rsidRDefault="005C7BF7">
            <w:pPr>
              <w:pStyle w:val="Compact"/>
            </w:pPr>
            <w:r>
              <w:t>-</w:t>
            </w:r>
          </w:p>
        </w:tc>
        <w:tc>
          <w:tcPr>
            <w:tcW w:w="0" w:type="auto"/>
          </w:tcPr>
          <w:p w14:paraId="6829DE67" w14:textId="77777777" w:rsidR="00065317" w:rsidRDefault="005C7BF7">
            <w:pPr>
              <w:pStyle w:val="Compact"/>
            </w:pPr>
            <w:r>
              <w:t>-</w:t>
            </w:r>
          </w:p>
        </w:tc>
        <w:tc>
          <w:tcPr>
            <w:tcW w:w="0" w:type="auto"/>
            <w:gridSpan w:val="4"/>
          </w:tcPr>
          <w:p w14:paraId="2945FB06" w14:textId="6899EF17" w:rsidR="00065317" w:rsidRDefault="005C7BF7">
            <w:pPr>
              <w:pStyle w:val="Compact"/>
            </w:pPr>
            <w:r>
              <w:rPr>
                <w:rStyle w:val="VerbatimChar"/>
              </w:rPr>
              <w:t>E22_Objet_élaboré_par_l</w:t>
            </w:r>
            <w:r w:rsidR="00E84B0E">
              <w:rPr>
                <w:rStyle w:val="VerbatimChar"/>
              </w:rPr>
              <w:t>’</w:t>
            </w:r>
            <w:r>
              <w:rPr>
                <w:rStyle w:val="VerbatimChar"/>
              </w:rPr>
              <w:t>humain</w:t>
            </w:r>
          </w:p>
        </w:tc>
      </w:tr>
      <w:tr w:rsidR="00065317" w14:paraId="3AA21EB9" w14:textId="77777777">
        <w:tc>
          <w:tcPr>
            <w:tcW w:w="0" w:type="auto"/>
          </w:tcPr>
          <w:p w14:paraId="4CCE1287" w14:textId="77777777" w:rsidR="00065317" w:rsidRDefault="005C7BF7">
            <w:pPr>
              <w:pStyle w:val="Compact"/>
            </w:pPr>
            <w:r>
              <w:t>E24</w:t>
            </w:r>
          </w:p>
        </w:tc>
        <w:tc>
          <w:tcPr>
            <w:tcW w:w="0" w:type="auto"/>
          </w:tcPr>
          <w:p w14:paraId="18A9A7E0" w14:textId="77777777" w:rsidR="00065317" w:rsidRDefault="005C7BF7">
            <w:pPr>
              <w:pStyle w:val="Compact"/>
            </w:pPr>
            <w:r>
              <w:t>-</w:t>
            </w:r>
          </w:p>
        </w:tc>
        <w:tc>
          <w:tcPr>
            <w:tcW w:w="0" w:type="auto"/>
          </w:tcPr>
          <w:p w14:paraId="3F9A0641" w14:textId="77777777" w:rsidR="00065317" w:rsidRDefault="005C7BF7">
            <w:pPr>
              <w:pStyle w:val="Compact"/>
            </w:pPr>
            <w:r>
              <w:t>-</w:t>
            </w:r>
          </w:p>
        </w:tc>
        <w:tc>
          <w:tcPr>
            <w:tcW w:w="0" w:type="auto"/>
          </w:tcPr>
          <w:p w14:paraId="12EEC934" w14:textId="77777777" w:rsidR="00065317" w:rsidRDefault="005C7BF7">
            <w:pPr>
              <w:pStyle w:val="Compact"/>
            </w:pPr>
            <w:r>
              <w:t>-</w:t>
            </w:r>
          </w:p>
        </w:tc>
        <w:tc>
          <w:tcPr>
            <w:tcW w:w="0" w:type="auto"/>
          </w:tcPr>
          <w:p w14:paraId="6DA97E58" w14:textId="77777777" w:rsidR="00065317" w:rsidRDefault="005C7BF7">
            <w:pPr>
              <w:pStyle w:val="Compact"/>
            </w:pPr>
            <w:r>
              <w:t>-</w:t>
            </w:r>
          </w:p>
        </w:tc>
        <w:tc>
          <w:tcPr>
            <w:tcW w:w="0" w:type="auto"/>
          </w:tcPr>
          <w:p w14:paraId="1A60E77D" w14:textId="77777777" w:rsidR="00065317" w:rsidRDefault="005C7BF7">
            <w:pPr>
              <w:pStyle w:val="Compact"/>
            </w:pPr>
            <w:r>
              <w:t>-</w:t>
            </w:r>
          </w:p>
        </w:tc>
        <w:tc>
          <w:tcPr>
            <w:tcW w:w="0" w:type="auto"/>
            <w:gridSpan w:val="5"/>
          </w:tcPr>
          <w:p w14:paraId="129D6115" w14:textId="75F02C4B" w:rsidR="00065317" w:rsidRDefault="005C7BF7">
            <w:pPr>
              <w:pStyle w:val="Compact"/>
            </w:pPr>
            <w:r>
              <w:rPr>
                <w:rStyle w:val="VerbatimChar"/>
              </w:rPr>
              <w:t>E24_Chose_matérielle_élaborée_par_l</w:t>
            </w:r>
            <w:r w:rsidR="00E84B0E">
              <w:rPr>
                <w:rStyle w:val="VerbatimChar"/>
              </w:rPr>
              <w:t>’</w:t>
            </w:r>
            <w:r>
              <w:rPr>
                <w:rStyle w:val="VerbatimChar"/>
              </w:rPr>
              <w:t>humain</w:t>
            </w:r>
          </w:p>
        </w:tc>
      </w:tr>
      <w:tr w:rsidR="00065317" w14:paraId="32890288" w14:textId="77777777">
        <w:tc>
          <w:tcPr>
            <w:tcW w:w="0" w:type="auto"/>
          </w:tcPr>
          <w:p w14:paraId="78816C9B" w14:textId="77777777" w:rsidR="00065317" w:rsidRDefault="005C7BF7">
            <w:pPr>
              <w:pStyle w:val="Compact"/>
            </w:pPr>
            <w:r>
              <w:lastRenderedPageBreak/>
              <w:t>E22</w:t>
            </w:r>
          </w:p>
        </w:tc>
        <w:tc>
          <w:tcPr>
            <w:tcW w:w="0" w:type="auto"/>
          </w:tcPr>
          <w:p w14:paraId="18306881" w14:textId="77777777" w:rsidR="00065317" w:rsidRDefault="005C7BF7">
            <w:pPr>
              <w:pStyle w:val="Compact"/>
            </w:pPr>
            <w:r>
              <w:t>-</w:t>
            </w:r>
          </w:p>
        </w:tc>
        <w:tc>
          <w:tcPr>
            <w:tcW w:w="0" w:type="auto"/>
          </w:tcPr>
          <w:p w14:paraId="1425C973" w14:textId="77777777" w:rsidR="00065317" w:rsidRDefault="005C7BF7">
            <w:pPr>
              <w:pStyle w:val="Compact"/>
            </w:pPr>
            <w:r>
              <w:t>-</w:t>
            </w:r>
          </w:p>
        </w:tc>
        <w:tc>
          <w:tcPr>
            <w:tcW w:w="0" w:type="auto"/>
          </w:tcPr>
          <w:p w14:paraId="08ADF72E" w14:textId="77777777" w:rsidR="00065317" w:rsidRDefault="005C7BF7">
            <w:pPr>
              <w:pStyle w:val="Compact"/>
            </w:pPr>
            <w:r>
              <w:t>-</w:t>
            </w:r>
          </w:p>
        </w:tc>
        <w:tc>
          <w:tcPr>
            <w:tcW w:w="0" w:type="auto"/>
          </w:tcPr>
          <w:p w14:paraId="14F04E3F" w14:textId="77777777" w:rsidR="00065317" w:rsidRDefault="005C7BF7">
            <w:pPr>
              <w:pStyle w:val="Compact"/>
            </w:pPr>
            <w:r>
              <w:t>-</w:t>
            </w:r>
          </w:p>
        </w:tc>
        <w:tc>
          <w:tcPr>
            <w:tcW w:w="0" w:type="auto"/>
          </w:tcPr>
          <w:p w14:paraId="61F672A5" w14:textId="77777777" w:rsidR="00065317" w:rsidRDefault="005C7BF7">
            <w:pPr>
              <w:pStyle w:val="Compact"/>
            </w:pPr>
            <w:r>
              <w:t>-</w:t>
            </w:r>
          </w:p>
        </w:tc>
        <w:tc>
          <w:tcPr>
            <w:tcW w:w="0" w:type="auto"/>
          </w:tcPr>
          <w:p w14:paraId="469900C7" w14:textId="77777777" w:rsidR="00065317" w:rsidRDefault="005C7BF7">
            <w:pPr>
              <w:pStyle w:val="Compact"/>
            </w:pPr>
            <w:r>
              <w:t>-</w:t>
            </w:r>
          </w:p>
        </w:tc>
        <w:tc>
          <w:tcPr>
            <w:tcW w:w="0" w:type="auto"/>
            <w:gridSpan w:val="4"/>
          </w:tcPr>
          <w:p w14:paraId="76BFAE27" w14:textId="49E64413" w:rsidR="00065317" w:rsidRDefault="005C7BF7">
            <w:pPr>
              <w:pStyle w:val="Compact"/>
            </w:pPr>
            <w:r>
              <w:rPr>
                <w:rStyle w:val="VerbatimChar"/>
                <w:i/>
                <w:iCs/>
              </w:rPr>
              <w:t>E22_Objet_élaboré_par_l</w:t>
            </w:r>
            <w:r w:rsidR="00E84B0E">
              <w:rPr>
                <w:rStyle w:val="VerbatimChar"/>
                <w:i/>
                <w:iCs/>
              </w:rPr>
              <w:t>’</w:t>
            </w:r>
            <w:r>
              <w:rPr>
                <w:rStyle w:val="VerbatimChar"/>
                <w:i/>
                <w:iCs/>
              </w:rPr>
              <w:t>humain</w:t>
            </w:r>
          </w:p>
        </w:tc>
      </w:tr>
      <w:tr w:rsidR="00065317" w14:paraId="3E9F539E" w14:textId="77777777">
        <w:tc>
          <w:tcPr>
            <w:tcW w:w="0" w:type="auto"/>
          </w:tcPr>
          <w:p w14:paraId="4D32F8B1" w14:textId="77777777" w:rsidR="00065317" w:rsidRDefault="005C7BF7">
            <w:pPr>
              <w:pStyle w:val="Compact"/>
            </w:pPr>
            <w:r>
              <w:t>E25</w:t>
            </w:r>
          </w:p>
        </w:tc>
        <w:tc>
          <w:tcPr>
            <w:tcW w:w="0" w:type="auto"/>
          </w:tcPr>
          <w:p w14:paraId="377B7D9C" w14:textId="77777777" w:rsidR="00065317" w:rsidRDefault="005C7BF7">
            <w:pPr>
              <w:pStyle w:val="Compact"/>
            </w:pPr>
            <w:r>
              <w:t>-</w:t>
            </w:r>
          </w:p>
        </w:tc>
        <w:tc>
          <w:tcPr>
            <w:tcW w:w="0" w:type="auto"/>
          </w:tcPr>
          <w:p w14:paraId="178EA550" w14:textId="77777777" w:rsidR="00065317" w:rsidRDefault="005C7BF7">
            <w:pPr>
              <w:pStyle w:val="Compact"/>
            </w:pPr>
            <w:r>
              <w:t>-</w:t>
            </w:r>
          </w:p>
        </w:tc>
        <w:tc>
          <w:tcPr>
            <w:tcW w:w="0" w:type="auto"/>
          </w:tcPr>
          <w:p w14:paraId="5668A728" w14:textId="77777777" w:rsidR="00065317" w:rsidRDefault="005C7BF7">
            <w:pPr>
              <w:pStyle w:val="Compact"/>
            </w:pPr>
            <w:r>
              <w:t>-</w:t>
            </w:r>
          </w:p>
        </w:tc>
        <w:tc>
          <w:tcPr>
            <w:tcW w:w="0" w:type="auto"/>
          </w:tcPr>
          <w:p w14:paraId="07E1931C" w14:textId="77777777" w:rsidR="00065317" w:rsidRDefault="005C7BF7">
            <w:pPr>
              <w:pStyle w:val="Compact"/>
            </w:pPr>
            <w:r>
              <w:t>-</w:t>
            </w:r>
          </w:p>
        </w:tc>
        <w:tc>
          <w:tcPr>
            <w:tcW w:w="0" w:type="auto"/>
          </w:tcPr>
          <w:p w14:paraId="73D54A06" w14:textId="77777777" w:rsidR="00065317" w:rsidRDefault="005C7BF7">
            <w:pPr>
              <w:pStyle w:val="Compact"/>
            </w:pPr>
            <w:r>
              <w:t>-</w:t>
            </w:r>
          </w:p>
        </w:tc>
        <w:tc>
          <w:tcPr>
            <w:tcW w:w="0" w:type="auto"/>
          </w:tcPr>
          <w:p w14:paraId="5885B280" w14:textId="77777777" w:rsidR="00065317" w:rsidRDefault="005C7BF7">
            <w:pPr>
              <w:pStyle w:val="Compact"/>
            </w:pPr>
            <w:r>
              <w:t>-</w:t>
            </w:r>
          </w:p>
        </w:tc>
        <w:tc>
          <w:tcPr>
            <w:tcW w:w="0" w:type="auto"/>
            <w:gridSpan w:val="4"/>
          </w:tcPr>
          <w:p w14:paraId="1C1DCF1D" w14:textId="08EBDA4F" w:rsidR="00065317" w:rsidRDefault="005C7BF7">
            <w:pPr>
              <w:pStyle w:val="Compact"/>
            </w:pPr>
            <w:r>
              <w:rPr>
                <w:rStyle w:val="VerbatimChar"/>
              </w:rPr>
              <w:t>E25_Caractéristique_élaborée_par_l</w:t>
            </w:r>
            <w:r w:rsidR="00E84B0E">
              <w:rPr>
                <w:rStyle w:val="VerbatimChar"/>
              </w:rPr>
              <w:t>’</w:t>
            </w:r>
            <w:r>
              <w:rPr>
                <w:rStyle w:val="VerbatimChar"/>
              </w:rPr>
              <w:t>humain</w:t>
            </w:r>
          </w:p>
        </w:tc>
      </w:tr>
      <w:tr w:rsidR="00065317" w14:paraId="6018A60E" w14:textId="77777777">
        <w:tc>
          <w:tcPr>
            <w:tcW w:w="0" w:type="auto"/>
          </w:tcPr>
          <w:p w14:paraId="0157A434" w14:textId="77777777" w:rsidR="00065317" w:rsidRDefault="005C7BF7">
            <w:pPr>
              <w:pStyle w:val="Compact"/>
            </w:pPr>
            <w:r>
              <w:t>E78</w:t>
            </w:r>
          </w:p>
        </w:tc>
        <w:tc>
          <w:tcPr>
            <w:tcW w:w="0" w:type="auto"/>
          </w:tcPr>
          <w:p w14:paraId="1A42FD2A" w14:textId="77777777" w:rsidR="00065317" w:rsidRDefault="005C7BF7">
            <w:pPr>
              <w:pStyle w:val="Compact"/>
            </w:pPr>
            <w:r>
              <w:t>-</w:t>
            </w:r>
          </w:p>
        </w:tc>
        <w:tc>
          <w:tcPr>
            <w:tcW w:w="0" w:type="auto"/>
          </w:tcPr>
          <w:p w14:paraId="16F6F66C" w14:textId="77777777" w:rsidR="00065317" w:rsidRDefault="005C7BF7">
            <w:pPr>
              <w:pStyle w:val="Compact"/>
            </w:pPr>
            <w:r>
              <w:t>-</w:t>
            </w:r>
          </w:p>
        </w:tc>
        <w:tc>
          <w:tcPr>
            <w:tcW w:w="0" w:type="auto"/>
          </w:tcPr>
          <w:p w14:paraId="1B585B20" w14:textId="77777777" w:rsidR="00065317" w:rsidRDefault="005C7BF7">
            <w:pPr>
              <w:pStyle w:val="Compact"/>
            </w:pPr>
            <w:r>
              <w:t>-</w:t>
            </w:r>
          </w:p>
        </w:tc>
        <w:tc>
          <w:tcPr>
            <w:tcW w:w="0" w:type="auto"/>
          </w:tcPr>
          <w:p w14:paraId="27AC9A34" w14:textId="77777777" w:rsidR="00065317" w:rsidRDefault="005C7BF7">
            <w:pPr>
              <w:pStyle w:val="Compact"/>
            </w:pPr>
            <w:r>
              <w:t>-</w:t>
            </w:r>
          </w:p>
        </w:tc>
        <w:tc>
          <w:tcPr>
            <w:tcW w:w="0" w:type="auto"/>
          </w:tcPr>
          <w:p w14:paraId="23A4883C" w14:textId="77777777" w:rsidR="00065317" w:rsidRDefault="005C7BF7">
            <w:pPr>
              <w:pStyle w:val="Compact"/>
            </w:pPr>
            <w:r>
              <w:t>-</w:t>
            </w:r>
          </w:p>
        </w:tc>
        <w:tc>
          <w:tcPr>
            <w:tcW w:w="0" w:type="auto"/>
          </w:tcPr>
          <w:p w14:paraId="7A0B1EA0" w14:textId="77777777" w:rsidR="00065317" w:rsidRDefault="005C7BF7">
            <w:pPr>
              <w:pStyle w:val="Compact"/>
            </w:pPr>
            <w:r>
              <w:t>-</w:t>
            </w:r>
          </w:p>
        </w:tc>
        <w:tc>
          <w:tcPr>
            <w:tcW w:w="0" w:type="auto"/>
            <w:gridSpan w:val="4"/>
          </w:tcPr>
          <w:p w14:paraId="17A2EADC" w14:textId="77777777" w:rsidR="00065317" w:rsidRDefault="005C7BF7">
            <w:pPr>
              <w:pStyle w:val="Compact"/>
            </w:pPr>
            <w:r>
              <w:rPr>
                <w:rStyle w:val="VerbatimChar"/>
              </w:rPr>
              <w:t>E78_Collection</w:t>
            </w:r>
          </w:p>
        </w:tc>
      </w:tr>
      <w:tr w:rsidR="00065317" w14:paraId="02103998" w14:textId="77777777">
        <w:tc>
          <w:tcPr>
            <w:tcW w:w="0" w:type="auto"/>
          </w:tcPr>
          <w:p w14:paraId="2CA74067" w14:textId="77777777" w:rsidR="00065317" w:rsidRDefault="005C7BF7">
            <w:pPr>
              <w:pStyle w:val="Compact"/>
            </w:pPr>
            <w:r>
              <w:t>E26</w:t>
            </w:r>
          </w:p>
        </w:tc>
        <w:tc>
          <w:tcPr>
            <w:tcW w:w="0" w:type="auto"/>
          </w:tcPr>
          <w:p w14:paraId="275E76AD" w14:textId="77777777" w:rsidR="00065317" w:rsidRDefault="005C7BF7">
            <w:pPr>
              <w:pStyle w:val="Compact"/>
            </w:pPr>
            <w:r>
              <w:t>-</w:t>
            </w:r>
          </w:p>
        </w:tc>
        <w:tc>
          <w:tcPr>
            <w:tcW w:w="0" w:type="auto"/>
          </w:tcPr>
          <w:p w14:paraId="6DFB9AB8" w14:textId="77777777" w:rsidR="00065317" w:rsidRDefault="005C7BF7">
            <w:pPr>
              <w:pStyle w:val="Compact"/>
            </w:pPr>
            <w:r>
              <w:t>-</w:t>
            </w:r>
          </w:p>
        </w:tc>
        <w:tc>
          <w:tcPr>
            <w:tcW w:w="0" w:type="auto"/>
          </w:tcPr>
          <w:p w14:paraId="686B76CF" w14:textId="77777777" w:rsidR="00065317" w:rsidRDefault="005C7BF7">
            <w:pPr>
              <w:pStyle w:val="Compact"/>
            </w:pPr>
            <w:r>
              <w:t>-</w:t>
            </w:r>
          </w:p>
        </w:tc>
        <w:tc>
          <w:tcPr>
            <w:tcW w:w="0" w:type="auto"/>
          </w:tcPr>
          <w:p w14:paraId="7DB9C7AD" w14:textId="77777777" w:rsidR="00065317" w:rsidRDefault="005C7BF7">
            <w:pPr>
              <w:pStyle w:val="Compact"/>
            </w:pPr>
            <w:r>
              <w:t>-</w:t>
            </w:r>
          </w:p>
        </w:tc>
        <w:tc>
          <w:tcPr>
            <w:tcW w:w="0" w:type="auto"/>
          </w:tcPr>
          <w:p w14:paraId="5B2E27F0" w14:textId="77777777" w:rsidR="00065317" w:rsidRDefault="005C7BF7">
            <w:pPr>
              <w:pStyle w:val="Compact"/>
            </w:pPr>
            <w:r>
              <w:t>-</w:t>
            </w:r>
          </w:p>
        </w:tc>
        <w:tc>
          <w:tcPr>
            <w:tcW w:w="0" w:type="auto"/>
            <w:gridSpan w:val="5"/>
          </w:tcPr>
          <w:p w14:paraId="14BF1834" w14:textId="77777777" w:rsidR="00065317" w:rsidRDefault="005C7BF7">
            <w:pPr>
              <w:pStyle w:val="Compact"/>
            </w:pPr>
            <w:r>
              <w:rPr>
                <w:rStyle w:val="VerbatimChar"/>
              </w:rPr>
              <w:t>E26_Caractéristique_physique</w:t>
            </w:r>
          </w:p>
        </w:tc>
      </w:tr>
      <w:tr w:rsidR="00065317" w14:paraId="7AA8786F" w14:textId="77777777">
        <w:tc>
          <w:tcPr>
            <w:tcW w:w="0" w:type="auto"/>
          </w:tcPr>
          <w:p w14:paraId="437E2042" w14:textId="77777777" w:rsidR="00065317" w:rsidRDefault="005C7BF7">
            <w:pPr>
              <w:pStyle w:val="Compact"/>
            </w:pPr>
            <w:r>
              <w:t>E27</w:t>
            </w:r>
          </w:p>
        </w:tc>
        <w:tc>
          <w:tcPr>
            <w:tcW w:w="0" w:type="auto"/>
          </w:tcPr>
          <w:p w14:paraId="58A86BFA" w14:textId="77777777" w:rsidR="00065317" w:rsidRDefault="005C7BF7">
            <w:pPr>
              <w:pStyle w:val="Compact"/>
            </w:pPr>
            <w:r>
              <w:t>-</w:t>
            </w:r>
          </w:p>
        </w:tc>
        <w:tc>
          <w:tcPr>
            <w:tcW w:w="0" w:type="auto"/>
          </w:tcPr>
          <w:p w14:paraId="50434B28" w14:textId="77777777" w:rsidR="00065317" w:rsidRDefault="005C7BF7">
            <w:pPr>
              <w:pStyle w:val="Compact"/>
            </w:pPr>
            <w:r>
              <w:t>-</w:t>
            </w:r>
          </w:p>
        </w:tc>
        <w:tc>
          <w:tcPr>
            <w:tcW w:w="0" w:type="auto"/>
          </w:tcPr>
          <w:p w14:paraId="40A7289B" w14:textId="77777777" w:rsidR="00065317" w:rsidRDefault="005C7BF7">
            <w:pPr>
              <w:pStyle w:val="Compact"/>
            </w:pPr>
            <w:r>
              <w:t>-</w:t>
            </w:r>
          </w:p>
        </w:tc>
        <w:tc>
          <w:tcPr>
            <w:tcW w:w="0" w:type="auto"/>
          </w:tcPr>
          <w:p w14:paraId="67CD8B70" w14:textId="77777777" w:rsidR="00065317" w:rsidRDefault="005C7BF7">
            <w:pPr>
              <w:pStyle w:val="Compact"/>
            </w:pPr>
            <w:r>
              <w:t>-</w:t>
            </w:r>
          </w:p>
        </w:tc>
        <w:tc>
          <w:tcPr>
            <w:tcW w:w="0" w:type="auto"/>
          </w:tcPr>
          <w:p w14:paraId="536B2C51" w14:textId="77777777" w:rsidR="00065317" w:rsidRDefault="005C7BF7">
            <w:pPr>
              <w:pStyle w:val="Compact"/>
            </w:pPr>
            <w:r>
              <w:t>-</w:t>
            </w:r>
          </w:p>
        </w:tc>
        <w:tc>
          <w:tcPr>
            <w:tcW w:w="0" w:type="auto"/>
          </w:tcPr>
          <w:p w14:paraId="518FF717" w14:textId="77777777" w:rsidR="00065317" w:rsidRDefault="005C7BF7">
            <w:pPr>
              <w:pStyle w:val="Compact"/>
            </w:pPr>
            <w:r>
              <w:t>-</w:t>
            </w:r>
          </w:p>
        </w:tc>
        <w:tc>
          <w:tcPr>
            <w:tcW w:w="0" w:type="auto"/>
            <w:gridSpan w:val="4"/>
          </w:tcPr>
          <w:p w14:paraId="1B071B21" w14:textId="77777777" w:rsidR="00065317" w:rsidRDefault="005C7BF7">
            <w:pPr>
              <w:pStyle w:val="Compact"/>
            </w:pPr>
            <w:r>
              <w:rPr>
                <w:rStyle w:val="VerbatimChar"/>
              </w:rPr>
              <w:t>E27_Site</w:t>
            </w:r>
          </w:p>
        </w:tc>
      </w:tr>
      <w:tr w:rsidR="00065317" w14:paraId="2A2BA91E" w14:textId="77777777">
        <w:tc>
          <w:tcPr>
            <w:tcW w:w="0" w:type="auto"/>
          </w:tcPr>
          <w:p w14:paraId="2C21240D" w14:textId="77777777" w:rsidR="00065317" w:rsidRDefault="005C7BF7">
            <w:pPr>
              <w:pStyle w:val="Compact"/>
            </w:pPr>
            <w:r>
              <w:t>E25</w:t>
            </w:r>
          </w:p>
        </w:tc>
        <w:tc>
          <w:tcPr>
            <w:tcW w:w="0" w:type="auto"/>
          </w:tcPr>
          <w:p w14:paraId="0E70C597" w14:textId="77777777" w:rsidR="00065317" w:rsidRDefault="005C7BF7">
            <w:pPr>
              <w:pStyle w:val="Compact"/>
            </w:pPr>
            <w:r>
              <w:t>-</w:t>
            </w:r>
          </w:p>
        </w:tc>
        <w:tc>
          <w:tcPr>
            <w:tcW w:w="0" w:type="auto"/>
          </w:tcPr>
          <w:p w14:paraId="1758F48B" w14:textId="77777777" w:rsidR="00065317" w:rsidRDefault="005C7BF7">
            <w:pPr>
              <w:pStyle w:val="Compact"/>
            </w:pPr>
            <w:r>
              <w:t>-</w:t>
            </w:r>
          </w:p>
        </w:tc>
        <w:tc>
          <w:tcPr>
            <w:tcW w:w="0" w:type="auto"/>
          </w:tcPr>
          <w:p w14:paraId="4AAA454C" w14:textId="77777777" w:rsidR="00065317" w:rsidRDefault="005C7BF7">
            <w:pPr>
              <w:pStyle w:val="Compact"/>
            </w:pPr>
            <w:r>
              <w:t>-</w:t>
            </w:r>
          </w:p>
        </w:tc>
        <w:tc>
          <w:tcPr>
            <w:tcW w:w="0" w:type="auto"/>
          </w:tcPr>
          <w:p w14:paraId="0131556C" w14:textId="77777777" w:rsidR="00065317" w:rsidRDefault="005C7BF7">
            <w:pPr>
              <w:pStyle w:val="Compact"/>
            </w:pPr>
            <w:r>
              <w:t>-</w:t>
            </w:r>
          </w:p>
        </w:tc>
        <w:tc>
          <w:tcPr>
            <w:tcW w:w="0" w:type="auto"/>
          </w:tcPr>
          <w:p w14:paraId="5CA6B76C" w14:textId="77777777" w:rsidR="00065317" w:rsidRDefault="005C7BF7">
            <w:pPr>
              <w:pStyle w:val="Compact"/>
            </w:pPr>
            <w:r>
              <w:t>-</w:t>
            </w:r>
          </w:p>
        </w:tc>
        <w:tc>
          <w:tcPr>
            <w:tcW w:w="0" w:type="auto"/>
          </w:tcPr>
          <w:p w14:paraId="02D78401" w14:textId="77777777" w:rsidR="00065317" w:rsidRDefault="005C7BF7">
            <w:pPr>
              <w:pStyle w:val="Compact"/>
            </w:pPr>
            <w:r>
              <w:t>-</w:t>
            </w:r>
          </w:p>
        </w:tc>
        <w:tc>
          <w:tcPr>
            <w:tcW w:w="0" w:type="auto"/>
            <w:gridSpan w:val="4"/>
          </w:tcPr>
          <w:p w14:paraId="20EFCA2B" w14:textId="5D214CF6" w:rsidR="00065317" w:rsidRDefault="005C7BF7">
            <w:pPr>
              <w:pStyle w:val="Compact"/>
            </w:pPr>
            <w:r>
              <w:rPr>
                <w:rStyle w:val="VerbatimChar"/>
                <w:i/>
                <w:iCs/>
              </w:rPr>
              <w:t>E25_Caractéristique_élaborée_par_l</w:t>
            </w:r>
            <w:r w:rsidR="00E84B0E">
              <w:rPr>
                <w:rStyle w:val="VerbatimChar"/>
                <w:i/>
                <w:iCs/>
              </w:rPr>
              <w:t>’</w:t>
            </w:r>
            <w:r>
              <w:rPr>
                <w:rStyle w:val="VerbatimChar"/>
                <w:i/>
                <w:iCs/>
              </w:rPr>
              <w:t>humain</w:t>
            </w:r>
          </w:p>
        </w:tc>
      </w:tr>
      <w:tr w:rsidR="00065317" w14:paraId="06AE642C" w14:textId="77777777">
        <w:tc>
          <w:tcPr>
            <w:tcW w:w="0" w:type="auto"/>
          </w:tcPr>
          <w:p w14:paraId="6803B80A" w14:textId="77777777" w:rsidR="00065317" w:rsidRDefault="005C7BF7">
            <w:pPr>
              <w:pStyle w:val="Compact"/>
            </w:pPr>
            <w:r>
              <w:t>E90</w:t>
            </w:r>
          </w:p>
        </w:tc>
        <w:tc>
          <w:tcPr>
            <w:tcW w:w="0" w:type="auto"/>
          </w:tcPr>
          <w:p w14:paraId="71B85728" w14:textId="77777777" w:rsidR="00065317" w:rsidRDefault="005C7BF7">
            <w:pPr>
              <w:pStyle w:val="Compact"/>
            </w:pPr>
            <w:r>
              <w:t>-</w:t>
            </w:r>
          </w:p>
        </w:tc>
        <w:tc>
          <w:tcPr>
            <w:tcW w:w="0" w:type="auto"/>
          </w:tcPr>
          <w:p w14:paraId="47F49F94" w14:textId="77777777" w:rsidR="00065317" w:rsidRDefault="005C7BF7">
            <w:pPr>
              <w:pStyle w:val="Compact"/>
            </w:pPr>
            <w:r>
              <w:t>-</w:t>
            </w:r>
          </w:p>
        </w:tc>
        <w:tc>
          <w:tcPr>
            <w:tcW w:w="0" w:type="auto"/>
          </w:tcPr>
          <w:p w14:paraId="0E9AC8F6" w14:textId="77777777" w:rsidR="00065317" w:rsidRDefault="005C7BF7">
            <w:pPr>
              <w:pStyle w:val="Compact"/>
            </w:pPr>
            <w:r>
              <w:t>-</w:t>
            </w:r>
          </w:p>
        </w:tc>
        <w:tc>
          <w:tcPr>
            <w:tcW w:w="0" w:type="auto"/>
          </w:tcPr>
          <w:p w14:paraId="631C30D3" w14:textId="77777777" w:rsidR="00065317" w:rsidRDefault="005C7BF7">
            <w:pPr>
              <w:pStyle w:val="Compact"/>
            </w:pPr>
            <w:r>
              <w:t>-</w:t>
            </w:r>
          </w:p>
        </w:tc>
        <w:tc>
          <w:tcPr>
            <w:tcW w:w="0" w:type="auto"/>
            <w:gridSpan w:val="6"/>
          </w:tcPr>
          <w:p w14:paraId="4B89F5FA" w14:textId="77777777" w:rsidR="00065317" w:rsidRDefault="005C7BF7">
            <w:pPr>
              <w:pStyle w:val="Compact"/>
            </w:pPr>
            <w:r>
              <w:rPr>
                <w:rStyle w:val="VerbatimChar"/>
              </w:rPr>
              <w:t>E90_Objet_symbolique</w:t>
            </w:r>
          </w:p>
        </w:tc>
      </w:tr>
      <w:tr w:rsidR="00065317" w14:paraId="013BD9AB" w14:textId="77777777">
        <w:tc>
          <w:tcPr>
            <w:tcW w:w="0" w:type="auto"/>
          </w:tcPr>
          <w:p w14:paraId="6B45921F" w14:textId="77777777" w:rsidR="00065317" w:rsidRDefault="005C7BF7">
            <w:pPr>
              <w:pStyle w:val="Compact"/>
            </w:pPr>
            <w:r>
              <w:t>E73</w:t>
            </w:r>
          </w:p>
        </w:tc>
        <w:tc>
          <w:tcPr>
            <w:tcW w:w="0" w:type="auto"/>
          </w:tcPr>
          <w:p w14:paraId="67039A8F" w14:textId="77777777" w:rsidR="00065317" w:rsidRDefault="005C7BF7">
            <w:pPr>
              <w:pStyle w:val="Compact"/>
            </w:pPr>
            <w:r>
              <w:t>-</w:t>
            </w:r>
          </w:p>
        </w:tc>
        <w:tc>
          <w:tcPr>
            <w:tcW w:w="0" w:type="auto"/>
          </w:tcPr>
          <w:p w14:paraId="104D3DFD" w14:textId="77777777" w:rsidR="00065317" w:rsidRDefault="005C7BF7">
            <w:pPr>
              <w:pStyle w:val="Compact"/>
            </w:pPr>
            <w:r>
              <w:t>-</w:t>
            </w:r>
          </w:p>
        </w:tc>
        <w:tc>
          <w:tcPr>
            <w:tcW w:w="0" w:type="auto"/>
          </w:tcPr>
          <w:p w14:paraId="7E4FC4CF" w14:textId="77777777" w:rsidR="00065317" w:rsidRDefault="005C7BF7">
            <w:pPr>
              <w:pStyle w:val="Compact"/>
            </w:pPr>
            <w:r>
              <w:t>-</w:t>
            </w:r>
          </w:p>
        </w:tc>
        <w:tc>
          <w:tcPr>
            <w:tcW w:w="0" w:type="auto"/>
          </w:tcPr>
          <w:p w14:paraId="553E385A" w14:textId="77777777" w:rsidR="00065317" w:rsidRDefault="005C7BF7">
            <w:pPr>
              <w:pStyle w:val="Compact"/>
            </w:pPr>
            <w:r>
              <w:t>-</w:t>
            </w:r>
          </w:p>
        </w:tc>
        <w:tc>
          <w:tcPr>
            <w:tcW w:w="0" w:type="auto"/>
          </w:tcPr>
          <w:p w14:paraId="4F04B7FA" w14:textId="77777777" w:rsidR="00065317" w:rsidRDefault="005C7BF7">
            <w:pPr>
              <w:pStyle w:val="Compact"/>
            </w:pPr>
            <w:r>
              <w:t>-</w:t>
            </w:r>
          </w:p>
        </w:tc>
        <w:tc>
          <w:tcPr>
            <w:tcW w:w="0" w:type="auto"/>
            <w:gridSpan w:val="5"/>
          </w:tcPr>
          <w:p w14:paraId="0312BF26" w14:textId="77777777" w:rsidR="00065317" w:rsidRDefault="005C7BF7">
            <w:pPr>
              <w:pStyle w:val="Compact"/>
            </w:pPr>
            <w:r>
              <w:rPr>
                <w:rStyle w:val="VerbatimChar"/>
              </w:rPr>
              <w:t>E73_Objet_informationnel</w:t>
            </w:r>
          </w:p>
        </w:tc>
      </w:tr>
      <w:tr w:rsidR="00065317" w14:paraId="37C56AFD" w14:textId="77777777">
        <w:tc>
          <w:tcPr>
            <w:tcW w:w="0" w:type="auto"/>
          </w:tcPr>
          <w:p w14:paraId="701A25D3" w14:textId="77777777" w:rsidR="00065317" w:rsidRDefault="005C7BF7">
            <w:pPr>
              <w:pStyle w:val="Compact"/>
            </w:pPr>
            <w:r>
              <w:t>E29</w:t>
            </w:r>
          </w:p>
        </w:tc>
        <w:tc>
          <w:tcPr>
            <w:tcW w:w="0" w:type="auto"/>
          </w:tcPr>
          <w:p w14:paraId="362A0309" w14:textId="77777777" w:rsidR="00065317" w:rsidRDefault="005C7BF7">
            <w:pPr>
              <w:pStyle w:val="Compact"/>
            </w:pPr>
            <w:r>
              <w:t>-</w:t>
            </w:r>
          </w:p>
        </w:tc>
        <w:tc>
          <w:tcPr>
            <w:tcW w:w="0" w:type="auto"/>
          </w:tcPr>
          <w:p w14:paraId="04C352F4" w14:textId="77777777" w:rsidR="00065317" w:rsidRDefault="005C7BF7">
            <w:pPr>
              <w:pStyle w:val="Compact"/>
            </w:pPr>
            <w:r>
              <w:t>-</w:t>
            </w:r>
          </w:p>
        </w:tc>
        <w:tc>
          <w:tcPr>
            <w:tcW w:w="0" w:type="auto"/>
          </w:tcPr>
          <w:p w14:paraId="54521695" w14:textId="77777777" w:rsidR="00065317" w:rsidRDefault="005C7BF7">
            <w:pPr>
              <w:pStyle w:val="Compact"/>
            </w:pPr>
            <w:r>
              <w:t>-</w:t>
            </w:r>
          </w:p>
        </w:tc>
        <w:tc>
          <w:tcPr>
            <w:tcW w:w="0" w:type="auto"/>
          </w:tcPr>
          <w:p w14:paraId="6C3937F4" w14:textId="77777777" w:rsidR="00065317" w:rsidRDefault="005C7BF7">
            <w:pPr>
              <w:pStyle w:val="Compact"/>
            </w:pPr>
            <w:r>
              <w:t>-</w:t>
            </w:r>
          </w:p>
        </w:tc>
        <w:tc>
          <w:tcPr>
            <w:tcW w:w="0" w:type="auto"/>
          </w:tcPr>
          <w:p w14:paraId="6A248612" w14:textId="77777777" w:rsidR="00065317" w:rsidRDefault="005C7BF7">
            <w:pPr>
              <w:pStyle w:val="Compact"/>
            </w:pPr>
            <w:r>
              <w:t>-</w:t>
            </w:r>
          </w:p>
        </w:tc>
        <w:tc>
          <w:tcPr>
            <w:tcW w:w="0" w:type="auto"/>
          </w:tcPr>
          <w:p w14:paraId="16385940" w14:textId="77777777" w:rsidR="00065317" w:rsidRDefault="005C7BF7">
            <w:pPr>
              <w:pStyle w:val="Compact"/>
            </w:pPr>
            <w:r>
              <w:t>-</w:t>
            </w:r>
          </w:p>
        </w:tc>
        <w:tc>
          <w:tcPr>
            <w:tcW w:w="0" w:type="auto"/>
            <w:gridSpan w:val="4"/>
          </w:tcPr>
          <w:p w14:paraId="0AC4B7A2" w14:textId="77777777" w:rsidR="00065317" w:rsidRDefault="005C7BF7">
            <w:pPr>
              <w:pStyle w:val="Compact"/>
            </w:pPr>
            <w:r>
              <w:rPr>
                <w:rStyle w:val="VerbatimChar"/>
              </w:rPr>
              <w:t>E29_Conceptualisation_ou_procédure</w:t>
            </w:r>
          </w:p>
        </w:tc>
      </w:tr>
      <w:tr w:rsidR="00065317" w14:paraId="10524517" w14:textId="77777777">
        <w:tc>
          <w:tcPr>
            <w:tcW w:w="0" w:type="auto"/>
          </w:tcPr>
          <w:p w14:paraId="2BA63B09" w14:textId="77777777" w:rsidR="00065317" w:rsidRDefault="005C7BF7">
            <w:pPr>
              <w:pStyle w:val="Compact"/>
            </w:pPr>
            <w:r>
              <w:t>E31</w:t>
            </w:r>
          </w:p>
        </w:tc>
        <w:tc>
          <w:tcPr>
            <w:tcW w:w="0" w:type="auto"/>
          </w:tcPr>
          <w:p w14:paraId="23339AEB" w14:textId="77777777" w:rsidR="00065317" w:rsidRDefault="005C7BF7">
            <w:pPr>
              <w:pStyle w:val="Compact"/>
            </w:pPr>
            <w:r>
              <w:t>-</w:t>
            </w:r>
          </w:p>
        </w:tc>
        <w:tc>
          <w:tcPr>
            <w:tcW w:w="0" w:type="auto"/>
          </w:tcPr>
          <w:p w14:paraId="0DCAEA43" w14:textId="77777777" w:rsidR="00065317" w:rsidRDefault="005C7BF7">
            <w:pPr>
              <w:pStyle w:val="Compact"/>
            </w:pPr>
            <w:r>
              <w:t>-</w:t>
            </w:r>
          </w:p>
        </w:tc>
        <w:tc>
          <w:tcPr>
            <w:tcW w:w="0" w:type="auto"/>
          </w:tcPr>
          <w:p w14:paraId="3C89CB5B" w14:textId="77777777" w:rsidR="00065317" w:rsidRDefault="005C7BF7">
            <w:pPr>
              <w:pStyle w:val="Compact"/>
            </w:pPr>
            <w:r>
              <w:t>-</w:t>
            </w:r>
          </w:p>
        </w:tc>
        <w:tc>
          <w:tcPr>
            <w:tcW w:w="0" w:type="auto"/>
          </w:tcPr>
          <w:p w14:paraId="0D4B32AF" w14:textId="77777777" w:rsidR="00065317" w:rsidRDefault="005C7BF7">
            <w:pPr>
              <w:pStyle w:val="Compact"/>
            </w:pPr>
            <w:r>
              <w:t>-</w:t>
            </w:r>
          </w:p>
        </w:tc>
        <w:tc>
          <w:tcPr>
            <w:tcW w:w="0" w:type="auto"/>
          </w:tcPr>
          <w:p w14:paraId="18E42823" w14:textId="77777777" w:rsidR="00065317" w:rsidRDefault="005C7BF7">
            <w:pPr>
              <w:pStyle w:val="Compact"/>
            </w:pPr>
            <w:r>
              <w:t>-</w:t>
            </w:r>
          </w:p>
        </w:tc>
        <w:tc>
          <w:tcPr>
            <w:tcW w:w="0" w:type="auto"/>
          </w:tcPr>
          <w:p w14:paraId="03E481EA" w14:textId="77777777" w:rsidR="00065317" w:rsidRDefault="005C7BF7">
            <w:pPr>
              <w:pStyle w:val="Compact"/>
            </w:pPr>
            <w:r>
              <w:t>-</w:t>
            </w:r>
          </w:p>
        </w:tc>
        <w:tc>
          <w:tcPr>
            <w:tcW w:w="0" w:type="auto"/>
            <w:gridSpan w:val="4"/>
          </w:tcPr>
          <w:p w14:paraId="70588E26" w14:textId="77777777" w:rsidR="00065317" w:rsidRDefault="005C7BF7">
            <w:pPr>
              <w:pStyle w:val="Compact"/>
            </w:pPr>
            <w:r>
              <w:rPr>
                <w:rStyle w:val="VerbatimChar"/>
              </w:rPr>
              <w:t>E31_Document</w:t>
            </w:r>
          </w:p>
        </w:tc>
      </w:tr>
      <w:tr w:rsidR="00065317" w14:paraId="5F1A2A6A" w14:textId="77777777">
        <w:tc>
          <w:tcPr>
            <w:tcW w:w="0" w:type="auto"/>
          </w:tcPr>
          <w:p w14:paraId="3F312B71" w14:textId="77777777" w:rsidR="00065317" w:rsidRDefault="005C7BF7">
            <w:pPr>
              <w:pStyle w:val="Compact"/>
            </w:pPr>
            <w:r>
              <w:t>E32</w:t>
            </w:r>
          </w:p>
        </w:tc>
        <w:tc>
          <w:tcPr>
            <w:tcW w:w="0" w:type="auto"/>
          </w:tcPr>
          <w:p w14:paraId="5C5C6EB5" w14:textId="77777777" w:rsidR="00065317" w:rsidRDefault="005C7BF7">
            <w:pPr>
              <w:pStyle w:val="Compact"/>
            </w:pPr>
            <w:r>
              <w:t>-</w:t>
            </w:r>
          </w:p>
        </w:tc>
        <w:tc>
          <w:tcPr>
            <w:tcW w:w="0" w:type="auto"/>
          </w:tcPr>
          <w:p w14:paraId="610FFBBB" w14:textId="77777777" w:rsidR="00065317" w:rsidRDefault="005C7BF7">
            <w:pPr>
              <w:pStyle w:val="Compact"/>
            </w:pPr>
            <w:r>
              <w:t>-</w:t>
            </w:r>
          </w:p>
        </w:tc>
        <w:tc>
          <w:tcPr>
            <w:tcW w:w="0" w:type="auto"/>
          </w:tcPr>
          <w:p w14:paraId="3D3916F1" w14:textId="77777777" w:rsidR="00065317" w:rsidRDefault="005C7BF7">
            <w:pPr>
              <w:pStyle w:val="Compact"/>
            </w:pPr>
            <w:r>
              <w:t>-</w:t>
            </w:r>
          </w:p>
        </w:tc>
        <w:tc>
          <w:tcPr>
            <w:tcW w:w="0" w:type="auto"/>
          </w:tcPr>
          <w:p w14:paraId="5231E581" w14:textId="77777777" w:rsidR="00065317" w:rsidRDefault="005C7BF7">
            <w:pPr>
              <w:pStyle w:val="Compact"/>
            </w:pPr>
            <w:r>
              <w:t>-</w:t>
            </w:r>
          </w:p>
        </w:tc>
        <w:tc>
          <w:tcPr>
            <w:tcW w:w="0" w:type="auto"/>
          </w:tcPr>
          <w:p w14:paraId="5F3E6A6A" w14:textId="77777777" w:rsidR="00065317" w:rsidRDefault="005C7BF7">
            <w:pPr>
              <w:pStyle w:val="Compact"/>
            </w:pPr>
            <w:r>
              <w:t>-</w:t>
            </w:r>
          </w:p>
        </w:tc>
        <w:tc>
          <w:tcPr>
            <w:tcW w:w="0" w:type="auto"/>
          </w:tcPr>
          <w:p w14:paraId="78855B91" w14:textId="77777777" w:rsidR="00065317" w:rsidRDefault="005C7BF7">
            <w:pPr>
              <w:pStyle w:val="Compact"/>
            </w:pPr>
            <w:r>
              <w:t>-</w:t>
            </w:r>
          </w:p>
        </w:tc>
        <w:tc>
          <w:tcPr>
            <w:tcW w:w="0" w:type="auto"/>
          </w:tcPr>
          <w:p w14:paraId="2F16BB91" w14:textId="77777777" w:rsidR="00065317" w:rsidRDefault="005C7BF7">
            <w:pPr>
              <w:pStyle w:val="Compact"/>
            </w:pPr>
            <w:r>
              <w:t>-</w:t>
            </w:r>
          </w:p>
        </w:tc>
        <w:tc>
          <w:tcPr>
            <w:tcW w:w="0" w:type="auto"/>
            <w:gridSpan w:val="3"/>
          </w:tcPr>
          <w:p w14:paraId="1626871D" w14:textId="77777777" w:rsidR="00065317" w:rsidRDefault="005C7BF7">
            <w:pPr>
              <w:pStyle w:val="Compact"/>
            </w:pPr>
            <w:r>
              <w:rPr>
                <w:rStyle w:val="VerbatimChar"/>
              </w:rPr>
              <w:t>E32_Document_de_référence</w:t>
            </w:r>
          </w:p>
        </w:tc>
      </w:tr>
      <w:tr w:rsidR="00065317" w14:paraId="4D463845" w14:textId="77777777">
        <w:tc>
          <w:tcPr>
            <w:tcW w:w="0" w:type="auto"/>
          </w:tcPr>
          <w:p w14:paraId="09DA1E45" w14:textId="77777777" w:rsidR="00065317" w:rsidRDefault="005C7BF7">
            <w:pPr>
              <w:pStyle w:val="Compact"/>
            </w:pPr>
            <w:r>
              <w:t>E33</w:t>
            </w:r>
          </w:p>
        </w:tc>
        <w:tc>
          <w:tcPr>
            <w:tcW w:w="0" w:type="auto"/>
          </w:tcPr>
          <w:p w14:paraId="0FC7F6EA" w14:textId="77777777" w:rsidR="00065317" w:rsidRDefault="005C7BF7">
            <w:pPr>
              <w:pStyle w:val="Compact"/>
            </w:pPr>
            <w:r>
              <w:t>-</w:t>
            </w:r>
          </w:p>
        </w:tc>
        <w:tc>
          <w:tcPr>
            <w:tcW w:w="0" w:type="auto"/>
          </w:tcPr>
          <w:p w14:paraId="05582B2E" w14:textId="77777777" w:rsidR="00065317" w:rsidRDefault="005C7BF7">
            <w:pPr>
              <w:pStyle w:val="Compact"/>
            </w:pPr>
            <w:r>
              <w:t>-</w:t>
            </w:r>
          </w:p>
        </w:tc>
        <w:tc>
          <w:tcPr>
            <w:tcW w:w="0" w:type="auto"/>
          </w:tcPr>
          <w:p w14:paraId="227D31B8" w14:textId="77777777" w:rsidR="00065317" w:rsidRDefault="005C7BF7">
            <w:pPr>
              <w:pStyle w:val="Compact"/>
            </w:pPr>
            <w:r>
              <w:t>-</w:t>
            </w:r>
          </w:p>
        </w:tc>
        <w:tc>
          <w:tcPr>
            <w:tcW w:w="0" w:type="auto"/>
          </w:tcPr>
          <w:p w14:paraId="37E9278D" w14:textId="77777777" w:rsidR="00065317" w:rsidRDefault="005C7BF7">
            <w:pPr>
              <w:pStyle w:val="Compact"/>
            </w:pPr>
            <w:r>
              <w:t>-</w:t>
            </w:r>
          </w:p>
        </w:tc>
        <w:tc>
          <w:tcPr>
            <w:tcW w:w="0" w:type="auto"/>
          </w:tcPr>
          <w:p w14:paraId="069F1F8C" w14:textId="77777777" w:rsidR="00065317" w:rsidRDefault="005C7BF7">
            <w:pPr>
              <w:pStyle w:val="Compact"/>
            </w:pPr>
            <w:r>
              <w:t>-</w:t>
            </w:r>
          </w:p>
        </w:tc>
        <w:tc>
          <w:tcPr>
            <w:tcW w:w="0" w:type="auto"/>
          </w:tcPr>
          <w:p w14:paraId="2189F0BD" w14:textId="77777777" w:rsidR="00065317" w:rsidRDefault="005C7BF7">
            <w:pPr>
              <w:pStyle w:val="Compact"/>
            </w:pPr>
            <w:r>
              <w:t>-</w:t>
            </w:r>
          </w:p>
        </w:tc>
        <w:tc>
          <w:tcPr>
            <w:tcW w:w="0" w:type="auto"/>
            <w:gridSpan w:val="4"/>
          </w:tcPr>
          <w:p w14:paraId="43E542F3" w14:textId="77777777" w:rsidR="00065317" w:rsidRDefault="005C7BF7">
            <w:pPr>
              <w:pStyle w:val="Compact"/>
            </w:pPr>
            <w:r>
              <w:rPr>
                <w:rStyle w:val="VerbatimChar"/>
              </w:rPr>
              <w:t>E33_Objet_linguistique</w:t>
            </w:r>
          </w:p>
        </w:tc>
      </w:tr>
      <w:tr w:rsidR="00065317" w14:paraId="7A20F471" w14:textId="77777777">
        <w:tc>
          <w:tcPr>
            <w:tcW w:w="0" w:type="auto"/>
          </w:tcPr>
          <w:p w14:paraId="19E9A0A9" w14:textId="77777777" w:rsidR="00065317" w:rsidRDefault="005C7BF7">
            <w:pPr>
              <w:pStyle w:val="Compact"/>
            </w:pPr>
            <w:r>
              <w:t>E34</w:t>
            </w:r>
          </w:p>
        </w:tc>
        <w:tc>
          <w:tcPr>
            <w:tcW w:w="0" w:type="auto"/>
          </w:tcPr>
          <w:p w14:paraId="32C534F5" w14:textId="77777777" w:rsidR="00065317" w:rsidRDefault="005C7BF7">
            <w:pPr>
              <w:pStyle w:val="Compact"/>
            </w:pPr>
            <w:r>
              <w:t>-</w:t>
            </w:r>
          </w:p>
        </w:tc>
        <w:tc>
          <w:tcPr>
            <w:tcW w:w="0" w:type="auto"/>
          </w:tcPr>
          <w:p w14:paraId="528D725F" w14:textId="77777777" w:rsidR="00065317" w:rsidRDefault="005C7BF7">
            <w:pPr>
              <w:pStyle w:val="Compact"/>
            </w:pPr>
            <w:r>
              <w:t>-</w:t>
            </w:r>
          </w:p>
        </w:tc>
        <w:tc>
          <w:tcPr>
            <w:tcW w:w="0" w:type="auto"/>
          </w:tcPr>
          <w:p w14:paraId="17697869" w14:textId="77777777" w:rsidR="00065317" w:rsidRDefault="005C7BF7">
            <w:pPr>
              <w:pStyle w:val="Compact"/>
            </w:pPr>
            <w:r>
              <w:t>-</w:t>
            </w:r>
          </w:p>
        </w:tc>
        <w:tc>
          <w:tcPr>
            <w:tcW w:w="0" w:type="auto"/>
          </w:tcPr>
          <w:p w14:paraId="443D1C13" w14:textId="77777777" w:rsidR="00065317" w:rsidRDefault="005C7BF7">
            <w:pPr>
              <w:pStyle w:val="Compact"/>
            </w:pPr>
            <w:r>
              <w:t>-</w:t>
            </w:r>
          </w:p>
        </w:tc>
        <w:tc>
          <w:tcPr>
            <w:tcW w:w="0" w:type="auto"/>
          </w:tcPr>
          <w:p w14:paraId="776AED20" w14:textId="77777777" w:rsidR="00065317" w:rsidRDefault="005C7BF7">
            <w:pPr>
              <w:pStyle w:val="Compact"/>
            </w:pPr>
            <w:r>
              <w:t>-</w:t>
            </w:r>
          </w:p>
        </w:tc>
        <w:tc>
          <w:tcPr>
            <w:tcW w:w="0" w:type="auto"/>
          </w:tcPr>
          <w:p w14:paraId="5C17D7DD" w14:textId="77777777" w:rsidR="00065317" w:rsidRDefault="005C7BF7">
            <w:pPr>
              <w:pStyle w:val="Compact"/>
            </w:pPr>
            <w:r>
              <w:t>-</w:t>
            </w:r>
          </w:p>
        </w:tc>
        <w:tc>
          <w:tcPr>
            <w:tcW w:w="0" w:type="auto"/>
          </w:tcPr>
          <w:p w14:paraId="19C12137" w14:textId="77777777" w:rsidR="00065317" w:rsidRDefault="005C7BF7">
            <w:pPr>
              <w:pStyle w:val="Compact"/>
            </w:pPr>
            <w:r>
              <w:t>-</w:t>
            </w:r>
          </w:p>
        </w:tc>
        <w:tc>
          <w:tcPr>
            <w:tcW w:w="0" w:type="auto"/>
            <w:gridSpan w:val="3"/>
          </w:tcPr>
          <w:p w14:paraId="2123EBFC" w14:textId="77777777" w:rsidR="00065317" w:rsidRDefault="005C7BF7">
            <w:pPr>
              <w:pStyle w:val="Compact"/>
            </w:pPr>
            <w:r>
              <w:rPr>
                <w:rStyle w:val="VerbatimChar"/>
              </w:rPr>
              <w:t>E34_Inscription</w:t>
            </w:r>
          </w:p>
        </w:tc>
      </w:tr>
      <w:tr w:rsidR="00065317" w14:paraId="04CEC194" w14:textId="77777777">
        <w:tc>
          <w:tcPr>
            <w:tcW w:w="0" w:type="auto"/>
          </w:tcPr>
          <w:p w14:paraId="5D4E8158" w14:textId="77777777" w:rsidR="00065317" w:rsidRDefault="005C7BF7">
            <w:pPr>
              <w:pStyle w:val="Compact"/>
            </w:pPr>
            <w:r>
              <w:t>E35</w:t>
            </w:r>
          </w:p>
        </w:tc>
        <w:tc>
          <w:tcPr>
            <w:tcW w:w="0" w:type="auto"/>
          </w:tcPr>
          <w:p w14:paraId="27C4F532" w14:textId="77777777" w:rsidR="00065317" w:rsidRDefault="005C7BF7">
            <w:pPr>
              <w:pStyle w:val="Compact"/>
            </w:pPr>
            <w:r>
              <w:t>-</w:t>
            </w:r>
          </w:p>
        </w:tc>
        <w:tc>
          <w:tcPr>
            <w:tcW w:w="0" w:type="auto"/>
          </w:tcPr>
          <w:p w14:paraId="49FF4C0A" w14:textId="77777777" w:rsidR="00065317" w:rsidRDefault="005C7BF7">
            <w:pPr>
              <w:pStyle w:val="Compact"/>
            </w:pPr>
            <w:r>
              <w:t>-</w:t>
            </w:r>
          </w:p>
        </w:tc>
        <w:tc>
          <w:tcPr>
            <w:tcW w:w="0" w:type="auto"/>
          </w:tcPr>
          <w:p w14:paraId="62150368" w14:textId="77777777" w:rsidR="00065317" w:rsidRDefault="005C7BF7">
            <w:pPr>
              <w:pStyle w:val="Compact"/>
            </w:pPr>
            <w:r>
              <w:t>-</w:t>
            </w:r>
          </w:p>
        </w:tc>
        <w:tc>
          <w:tcPr>
            <w:tcW w:w="0" w:type="auto"/>
          </w:tcPr>
          <w:p w14:paraId="5B309C93" w14:textId="77777777" w:rsidR="00065317" w:rsidRDefault="005C7BF7">
            <w:pPr>
              <w:pStyle w:val="Compact"/>
            </w:pPr>
            <w:r>
              <w:t>-</w:t>
            </w:r>
          </w:p>
        </w:tc>
        <w:tc>
          <w:tcPr>
            <w:tcW w:w="0" w:type="auto"/>
          </w:tcPr>
          <w:p w14:paraId="72F38D8A" w14:textId="77777777" w:rsidR="00065317" w:rsidRDefault="005C7BF7">
            <w:pPr>
              <w:pStyle w:val="Compact"/>
            </w:pPr>
            <w:r>
              <w:t>-</w:t>
            </w:r>
          </w:p>
        </w:tc>
        <w:tc>
          <w:tcPr>
            <w:tcW w:w="0" w:type="auto"/>
          </w:tcPr>
          <w:p w14:paraId="0489D4AF" w14:textId="77777777" w:rsidR="00065317" w:rsidRDefault="005C7BF7">
            <w:pPr>
              <w:pStyle w:val="Compact"/>
            </w:pPr>
            <w:r>
              <w:t>-</w:t>
            </w:r>
          </w:p>
        </w:tc>
        <w:tc>
          <w:tcPr>
            <w:tcW w:w="0" w:type="auto"/>
          </w:tcPr>
          <w:p w14:paraId="36B0E044" w14:textId="77777777" w:rsidR="00065317" w:rsidRDefault="005C7BF7">
            <w:pPr>
              <w:pStyle w:val="Compact"/>
            </w:pPr>
            <w:r>
              <w:t>-</w:t>
            </w:r>
          </w:p>
        </w:tc>
        <w:tc>
          <w:tcPr>
            <w:tcW w:w="0" w:type="auto"/>
            <w:gridSpan w:val="3"/>
          </w:tcPr>
          <w:p w14:paraId="3A986E5D" w14:textId="77777777" w:rsidR="00065317" w:rsidRDefault="005C7BF7">
            <w:pPr>
              <w:pStyle w:val="Compact"/>
            </w:pPr>
            <w:r>
              <w:rPr>
                <w:rStyle w:val="VerbatimChar"/>
              </w:rPr>
              <w:t>E35_Titre</w:t>
            </w:r>
          </w:p>
        </w:tc>
      </w:tr>
      <w:tr w:rsidR="00065317" w14:paraId="010BAA2A" w14:textId="77777777">
        <w:tc>
          <w:tcPr>
            <w:tcW w:w="0" w:type="auto"/>
          </w:tcPr>
          <w:p w14:paraId="0AE4EB70" w14:textId="77777777" w:rsidR="00065317" w:rsidRDefault="005C7BF7">
            <w:pPr>
              <w:pStyle w:val="Compact"/>
            </w:pPr>
            <w:r>
              <w:t>E36</w:t>
            </w:r>
          </w:p>
        </w:tc>
        <w:tc>
          <w:tcPr>
            <w:tcW w:w="0" w:type="auto"/>
          </w:tcPr>
          <w:p w14:paraId="0B28E2A9" w14:textId="77777777" w:rsidR="00065317" w:rsidRDefault="005C7BF7">
            <w:pPr>
              <w:pStyle w:val="Compact"/>
            </w:pPr>
            <w:r>
              <w:t>-</w:t>
            </w:r>
          </w:p>
        </w:tc>
        <w:tc>
          <w:tcPr>
            <w:tcW w:w="0" w:type="auto"/>
          </w:tcPr>
          <w:p w14:paraId="3A8C1EFF" w14:textId="77777777" w:rsidR="00065317" w:rsidRDefault="005C7BF7">
            <w:pPr>
              <w:pStyle w:val="Compact"/>
            </w:pPr>
            <w:r>
              <w:t>-</w:t>
            </w:r>
          </w:p>
        </w:tc>
        <w:tc>
          <w:tcPr>
            <w:tcW w:w="0" w:type="auto"/>
          </w:tcPr>
          <w:p w14:paraId="2C8DFFEB" w14:textId="77777777" w:rsidR="00065317" w:rsidRDefault="005C7BF7">
            <w:pPr>
              <w:pStyle w:val="Compact"/>
            </w:pPr>
            <w:r>
              <w:t>-</w:t>
            </w:r>
          </w:p>
        </w:tc>
        <w:tc>
          <w:tcPr>
            <w:tcW w:w="0" w:type="auto"/>
          </w:tcPr>
          <w:p w14:paraId="5E9FA7B2" w14:textId="77777777" w:rsidR="00065317" w:rsidRDefault="005C7BF7">
            <w:pPr>
              <w:pStyle w:val="Compact"/>
            </w:pPr>
            <w:r>
              <w:t>-</w:t>
            </w:r>
          </w:p>
        </w:tc>
        <w:tc>
          <w:tcPr>
            <w:tcW w:w="0" w:type="auto"/>
          </w:tcPr>
          <w:p w14:paraId="2DF142E3" w14:textId="77777777" w:rsidR="00065317" w:rsidRDefault="005C7BF7">
            <w:pPr>
              <w:pStyle w:val="Compact"/>
            </w:pPr>
            <w:r>
              <w:t>-</w:t>
            </w:r>
          </w:p>
        </w:tc>
        <w:tc>
          <w:tcPr>
            <w:tcW w:w="0" w:type="auto"/>
          </w:tcPr>
          <w:p w14:paraId="1B9FD589" w14:textId="77777777" w:rsidR="00065317" w:rsidRDefault="005C7BF7">
            <w:pPr>
              <w:pStyle w:val="Compact"/>
            </w:pPr>
            <w:r>
              <w:t>-</w:t>
            </w:r>
          </w:p>
        </w:tc>
        <w:tc>
          <w:tcPr>
            <w:tcW w:w="0" w:type="auto"/>
            <w:gridSpan w:val="4"/>
          </w:tcPr>
          <w:p w14:paraId="5DCF9ECB" w14:textId="77777777" w:rsidR="00065317" w:rsidRDefault="005C7BF7">
            <w:pPr>
              <w:pStyle w:val="Compact"/>
            </w:pPr>
            <w:r>
              <w:rPr>
                <w:rStyle w:val="VerbatimChar"/>
              </w:rPr>
              <w:t>E36_Entité_visuelle</w:t>
            </w:r>
          </w:p>
        </w:tc>
      </w:tr>
      <w:tr w:rsidR="00065317" w14:paraId="6CEACB7A" w14:textId="77777777">
        <w:tc>
          <w:tcPr>
            <w:tcW w:w="0" w:type="auto"/>
          </w:tcPr>
          <w:p w14:paraId="378BCD9F" w14:textId="77777777" w:rsidR="00065317" w:rsidRDefault="005C7BF7">
            <w:pPr>
              <w:pStyle w:val="Compact"/>
            </w:pPr>
            <w:r>
              <w:t>E37</w:t>
            </w:r>
          </w:p>
        </w:tc>
        <w:tc>
          <w:tcPr>
            <w:tcW w:w="0" w:type="auto"/>
          </w:tcPr>
          <w:p w14:paraId="095C27BB" w14:textId="77777777" w:rsidR="00065317" w:rsidRDefault="005C7BF7">
            <w:pPr>
              <w:pStyle w:val="Compact"/>
            </w:pPr>
            <w:r>
              <w:t>-</w:t>
            </w:r>
          </w:p>
        </w:tc>
        <w:tc>
          <w:tcPr>
            <w:tcW w:w="0" w:type="auto"/>
          </w:tcPr>
          <w:p w14:paraId="2F6CDD25" w14:textId="77777777" w:rsidR="00065317" w:rsidRDefault="005C7BF7">
            <w:pPr>
              <w:pStyle w:val="Compact"/>
            </w:pPr>
            <w:r>
              <w:t>-</w:t>
            </w:r>
          </w:p>
        </w:tc>
        <w:tc>
          <w:tcPr>
            <w:tcW w:w="0" w:type="auto"/>
          </w:tcPr>
          <w:p w14:paraId="7E6C8E5C" w14:textId="77777777" w:rsidR="00065317" w:rsidRDefault="005C7BF7">
            <w:pPr>
              <w:pStyle w:val="Compact"/>
            </w:pPr>
            <w:r>
              <w:t>-</w:t>
            </w:r>
          </w:p>
        </w:tc>
        <w:tc>
          <w:tcPr>
            <w:tcW w:w="0" w:type="auto"/>
          </w:tcPr>
          <w:p w14:paraId="259E48EC" w14:textId="77777777" w:rsidR="00065317" w:rsidRDefault="005C7BF7">
            <w:pPr>
              <w:pStyle w:val="Compact"/>
            </w:pPr>
            <w:r>
              <w:t>-</w:t>
            </w:r>
          </w:p>
        </w:tc>
        <w:tc>
          <w:tcPr>
            <w:tcW w:w="0" w:type="auto"/>
          </w:tcPr>
          <w:p w14:paraId="446055FC" w14:textId="77777777" w:rsidR="00065317" w:rsidRDefault="005C7BF7">
            <w:pPr>
              <w:pStyle w:val="Compact"/>
            </w:pPr>
            <w:r>
              <w:t>-</w:t>
            </w:r>
          </w:p>
        </w:tc>
        <w:tc>
          <w:tcPr>
            <w:tcW w:w="0" w:type="auto"/>
          </w:tcPr>
          <w:p w14:paraId="3ECF6CA1" w14:textId="77777777" w:rsidR="00065317" w:rsidRDefault="005C7BF7">
            <w:pPr>
              <w:pStyle w:val="Compact"/>
            </w:pPr>
            <w:r>
              <w:t>-</w:t>
            </w:r>
          </w:p>
        </w:tc>
        <w:tc>
          <w:tcPr>
            <w:tcW w:w="0" w:type="auto"/>
          </w:tcPr>
          <w:p w14:paraId="36872C4A" w14:textId="77777777" w:rsidR="00065317" w:rsidRDefault="005C7BF7">
            <w:pPr>
              <w:pStyle w:val="Compact"/>
            </w:pPr>
            <w:r>
              <w:t>-</w:t>
            </w:r>
          </w:p>
        </w:tc>
        <w:tc>
          <w:tcPr>
            <w:tcW w:w="0" w:type="auto"/>
            <w:gridSpan w:val="3"/>
          </w:tcPr>
          <w:p w14:paraId="7ABAD784" w14:textId="77777777" w:rsidR="00065317" w:rsidRDefault="005C7BF7">
            <w:pPr>
              <w:pStyle w:val="Compact"/>
            </w:pPr>
            <w:r>
              <w:rPr>
                <w:rStyle w:val="VerbatimChar"/>
              </w:rPr>
              <w:t>E37_Marque</w:t>
            </w:r>
          </w:p>
        </w:tc>
      </w:tr>
      <w:tr w:rsidR="00065317" w14:paraId="07D7F5B8" w14:textId="77777777">
        <w:tc>
          <w:tcPr>
            <w:tcW w:w="0" w:type="auto"/>
          </w:tcPr>
          <w:p w14:paraId="068CF026" w14:textId="77777777" w:rsidR="00065317" w:rsidRDefault="005C7BF7">
            <w:pPr>
              <w:pStyle w:val="Compact"/>
            </w:pPr>
            <w:r>
              <w:t>E34</w:t>
            </w:r>
          </w:p>
        </w:tc>
        <w:tc>
          <w:tcPr>
            <w:tcW w:w="0" w:type="auto"/>
          </w:tcPr>
          <w:p w14:paraId="67E599C6" w14:textId="77777777" w:rsidR="00065317" w:rsidRDefault="005C7BF7">
            <w:pPr>
              <w:pStyle w:val="Compact"/>
            </w:pPr>
            <w:r>
              <w:t>-</w:t>
            </w:r>
          </w:p>
        </w:tc>
        <w:tc>
          <w:tcPr>
            <w:tcW w:w="0" w:type="auto"/>
          </w:tcPr>
          <w:p w14:paraId="6E493511" w14:textId="77777777" w:rsidR="00065317" w:rsidRDefault="005C7BF7">
            <w:pPr>
              <w:pStyle w:val="Compact"/>
            </w:pPr>
            <w:r>
              <w:t>-</w:t>
            </w:r>
          </w:p>
        </w:tc>
        <w:tc>
          <w:tcPr>
            <w:tcW w:w="0" w:type="auto"/>
          </w:tcPr>
          <w:p w14:paraId="0985BBD9" w14:textId="77777777" w:rsidR="00065317" w:rsidRDefault="005C7BF7">
            <w:pPr>
              <w:pStyle w:val="Compact"/>
            </w:pPr>
            <w:r>
              <w:t>-</w:t>
            </w:r>
          </w:p>
        </w:tc>
        <w:tc>
          <w:tcPr>
            <w:tcW w:w="0" w:type="auto"/>
          </w:tcPr>
          <w:p w14:paraId="6A84323F" w14:textId="77777777" w:rsidR="00065317" w:rsidRDefault="005C7BF7">
            <w:pPr>
              <w:pStyle w:val="Compact"/>
            </w:pPr>
            <w:r>
              <w:t>-</w:t>
            </w:r>
          </w:p>
        </w:tc>
        <w:tc>
          <w:tcPr>
            <w:tcW w:w="0" w:type="auto"/>
          </w:tcPr>
          <w:p w14:paraId="6C88807D" w14:textId="77777777" w:rsidR="00065317" w:rsidRDefault="005C7BF7">
            <w:pPr>
              <w:pStyle w:val="Compact"/>
            </w:pPr>
            <w:r>
              <w:t>-</w:t>
            </w:r>
          </w:p>
        </w:tc>
        <w:tc>
          <w:tcPr>
            <w:tcW w:w="0" w:type="auto"/>
          </w:tcPr>
          <w:p w14:paraId="4BB620F0" w14:textId="77777777" w:rsidR="00065317" w:rsidRDefault="005C7BF7">
            <w:pPr>
              <w:pStyle w:val="Compact"/>
            </w:pPr>
            <w:r>
              <w:t>-</w:t>
            </w:r>
          </w:p>
        </w:tc>
        <w:tc>
          <w:tcPr>
            <w:tcW w:w="0" w:type="auto"/>
          </w:tcPr>
          <w:p w14:paraId="251A75D3" w14:textId="77777777" w:rsidR="00065317" w:rsidRDefault="005C7BF7">
            <w:pPr>
              <w:pStyle w:val="Compact"/>
            </w:pPr>
            <w:r>
              <w:t>-</w:t>
            </w:r>
          </w:p>
        </w:tc>
        <w:tc>
          <w:tcPr>
            <w:tcW w:w="0" w:type="auto"/>
          </w:tcPr>
          <w:p w14:paraId="0326E2F1" w14:textId="77777777" w:rsidR="00065317" w:rsidRDefault="005C7BF7">
            <w:pPr>
              <w:pStyle w:val="Compact"/>
            </w:pPr>
            <w:r>
              <w:t>-</w:t>
            </w:r>
          </w:p>
        </w:tc>
        <w:tc>
          <w:tcPr>
            <w:tcW w:w="0" w:type="auto"/>
            <w:gridSpan w:val="2"/>
          </w:tcPr>
          <w:p w14:paraId="05DCEF60" w14:textId="77777777" w:rsidR="00065317" w:rsidRDefault="005C7BF7">
            <w:pPr>
              <w:pStyle w:val="Compact"/>
            </w:pPr>
            <w:r>
              <w:rPr>
                <w:rStyle w:val="VerbatimChar"/>
              </w:rPr>
              <w:t>E34_Inscription</w:t>
            </w:r>
          </w:p>
        </w:tc>
      </w:tr>
      <w:tr w:rsidR="00065317" w14:paraId="1EB2F1F7" w14:textId="77777777">
        <w:tc>
          <w:tcPr>
            <w:tcW w:w="0" w:type="auto"/>
          </w:tcPr>
          <w:p w14:paraId="02FA5507" w14:textId="77777777" w:rsidR="00065317" w:rsidRDefault="005C7BF7">
            <w:pPr>
              <w:pStyle w:val="Compact"/>
            </w:pPr>
            <w:r>
              <w:t>E41</w:t>
            </w:r>
          </w:p>
        </w:tc>
        <w:tc>
          <w:tcPr>
            <w:tcW w:w="0" w:type="auto"/>
          </w:tcPr>
          <w:p w14:paraId="589C92CF" w14:textId="77777777" w:rsidR="00065317" w:rsidRDefault="005C7BF7">
            <w:pPr>
              <w:pStyle w:val="Compact"/>
            </w:pPr>
            <w:r>
              <w:t>-</w:t>
            </w:r>
          </w:p>
        </w:tc>
        <w:tc>
          <w:tcPr>
            <w:tcW w:w="0" w:type="auto"/>
          </w:tcPr>
          <w:p w14:paraId="09B8FB05" w14:textId="77777777" w:rsidR="00065317" w:rsidRDefault="005C7BF7">
            <w:pPr>
              <w:pStyle w:val="Compact"/>
            </w:pPr>
            <w:r>
              <w:t>-</w:t>
            </w:r>
          </w:p>
        </w:tc>
        <w:tc>
          <w:tcPr>
            <w:tcW w:w="0" w:type="auto"/>
          </w:tcPr>
          <w:p w14:paraId="18829243" w14:textId="77777777" w:rsidR="00065317" w:rsidRDefault="005C7BF7">
            <w:pPr>
              <w:pStyle w:val="Compact"/>
            </w:pPr>
            <w:r>
              <w:t>-</w:t>
            </w:r>
          </w:p>
        </w:tc>
        <w:tc>
          <w:tcPr>
            <w:tcW w:w="0" w:type="auto"/>
          </w:tcPr>
          <w:p w14:paraId="6431C497" w14:textId="77777777" w:rsidR="00065317" w:rsidRDefault="005C7BF7">
            <w:pPr>
              <w:pStyle w:val="Compact"/>
            </w:pPr>
            <w:r>
              <w:t>-</w:t>
            </w:r>
          </w:p>
        </w:tc>
        <w:tc>
          <w:tcPr>
            <w:tcW w:w="0" w:type="auto"/>
          </w:tcPr>
          <w:p w14:paraId="644FD428" w14:textId="77777777" w:rsidR="00065317" w:rsidRDefault="005C7BF7">
            <w:pPr>
              <w:pStyle w:val="Compact"/>
            </w:pPr>
            <w:r>
              <w:t>-</w:t>
            </w:r>
          </w:p>
        </w:tc>
        <w:tc>
          <w:tcPr>
            <w:tcW w:w="0" w:type="auto"/>
            <w:gridSpan w:val="5"/>
          </w:tcPr>
          <w:p w14:paraId="658AF3AC" w14:textId="77777777" w:rsidR="00065317" w:rsidRDefault="005C7BF7">
            <w:pPr>
              <w:pStyle w:val="Compact"/>
            </w:pPr>
            <w:r>
              <w:rPr>
                <w:rStyle w:val="VerbatimChar"/>
              </w:rPr>
              <w:t>E41_Appellation</w:t>
            </w:r>
          </w:p>
        </w:tc>
      </w:tr>
      <w:tr w:rsidR="00065317" w14:paraId="328EFBB6" w14:textId="77777777">
        <w:tc>
          <w:tcPr>
            <w:tcW w:w="0" w:type="auto"/>
          </w:tcPr>
          <w:p w14:paraId="51F95A76" w14:textId="77777777" w:rsidR="00065317" w:rsidRDefault="005C7BF7">
            <w:pPr>
              <w:pStyle w:val="Compact"/>
            </w:pPr>
            <w:r>
              <w:t>E42</w:t>
            </w:r>
          </w:p>
        </w:tc>
        <w:tc>
          <w:tcPr>
            <w:tcW w:w="0" w:type="auto"/>
          </w:tcPr>
          <w:p w14:paraId="66103084" w14:textId="77777777" w:rsidR="00065317" w:rsidRDefault="005C7BF7">
            <w:pPr>
              <w:pStyle w:val="Compact"/>
            </w:pPr>
            <w:r>
              <w:t>-</w:t>
            </w:r>
          </w:p>
        </w:tc>
        <w:tc>
          <w:tcPr>
            <w:tcW w:w="0" w:type="auto"/>
          </w:tcPr>
          <w:p w14:paraId="16221504" w14:textId="77777777" w:rsidR="00065317" w:rsidRDefault="005C7BF7">
            <w:pPr>
              <w:pStyle w:val="Compact"/>
            </w:pPr>
            <w:r>
              <w:t>-</w:t>
            </w:r>
          </w:p>
        </w:tc>
        <w:tc>
          <w:tcPr>
            <w:tcW w:w="0" w:type="auto"/>
          </w:tcPr>
          <w:p w14:paraId="348D04DC" w14:textId="77777777" w:rsidR="00065317" w:rsidRDefault="005C7BF7">
            <w:pPr>
              <w:pStyle w:val="Compact"/>
            </w:pPr>
            <w:r>
              <w:t>-</w:t>
            </w:r>
          </w:p>
        </w:tc>
        <w:tc>
          <w:tcPr>
            <w:tcW w:w="0" w:type="auto"/>
          </w:tcPr>
          <w:p w14:paraId="21002D90" w14:textId="77777777" w:rsidR="00065317" w:rsidRDefault="005C7BF7">
            <w:pPr>
              <w:pStyle w:val="Compact"/>
            </w:pPr>
            <w:r>
              <w:t>-</w:t>
            </w:r>
          </w:p>
        </w:tc>
        <w:tc>
          <w:tcPr>
            <w:tcW w:w="0" w:type="auto"/>
          </w:tcPr>
          <w:p w14:paraId="1EE0A549" w14:textId="77777777" w:rsidR="00065317" w:rsidRDefault="005C7BF7">
            <w:pPr>
              <w:pStyle w:val="Compact"/>
            </w:pPr>
            <w:r>
              <w:t>-</w:t>
            </w:r>
          </w:p>
        </w:tc>
        <w:tc>
          <w:tcPr>
            <w:tcW w:w="0" w:type="auto"/>
          </w:tcPr>
          <w:p w14:paraId="2B31AF4C" w14:textId="77777777" w:rsidR="00065317" w:rsidRDefault="005C7BF7">
            <w:pPr>
              <w:pStyle w:val="Compact"/>
            </w:pPr>
            <w:r>
              <w:t>-</w:t>
            </w:r>
          </w:p>
        </w:tc>
        <w:tc>
          <w:tcPr>
            <w:tcW w:w="0" w:type="auto"/>
            <w:gridSpan w:val="4"/>
          </w:tcPr>
          <w:p w14:paraId="2C1EBEEB" w14:textId="77777777" w:rsidR="00065317" w:rsidRDefault="005C7BF7">
            <w:pPr>
              <w:pStyle w:val="Compact"/>
            </w:pPr>
            <w:r>
              <w:rPr>
                <w:rStyle w:val="VerbatimChar"/>
              </w:rPr>
              <w:t>E42_Identifiant</w:t>
            </w:r>
          </w:p>
        </w:tc>
      </w:tr>
      <w:tr w:rsidR="00065317" w14:paraId="102C243D" w14:textId="77777777">
        <w:tc>
          <w:tcPr>
            <w:tcW w:w="0" w:type="auto"/>
          </w:tcPr>
          <w:p w14:paraId="325B53C1" w14:textId="77777777" w:rsidR="00065317" w:rsidRDefault="005C7BF7">
            <w:pPr>
              <w:pStyle w:val="Compact"/>
            </w:pPr>
            <w:r>
              <w:t>E35</w:t>
            </w:r>
          </w:p>
        </w:tc>
        <w:tc>
          <w:tcPr>
            <w:tcW w:w="0" w:type="auto"/>
          </w:tcPr>
          <w:p w14:paraId="74A8D665" w14:textId="77777777" w:rsidR="00065317" w:rsidRDefault="005C7BF7">
            <w:pPr>
              <w:pStyle w:val="Compact"/>
            </w:pPr>
            <w:r>
              <w:t>-</w:t>
            </w:r>
          </w:p>
        </w:tc>
        <w:tc>
          <w:tcPr>
            <w:tcW w:w="0" w:type="auto"/>
          </w:tcPr>
          <w:p w14:paraId="0C35E53E" w14:textId="77777777" w:rsidR="00065317" w:rsidRDefault="005C7BF7">
            <w:pPr>
              <w:pStyle w:val="Compact"/>
            </w:pPr>
            <w:r>
              <w:t>-</w:t>
            </w:r>
          </w:p>
        </w:tc>
        <w:tc>
          <w:tcPr>
            <w:tcW w:w="0" w:type="auto"/>
          </w:tcPr>
          <w:p w14:paraId="0AA83B71" w14:textId="77777777" w:rsidR="00065317" w:rsidRDefault="005C7BF7">
            <w:pPr>
              <w:pStyle w:val="Compact"/>
            </w:pPr>
            <w:r>
              <w:t>-</w:t>
            </w:r>
          </w:p>
        </w:tc>
        <w:tc>
          <w:tcPr>
            <w:tcW w:w="0" w:type="auto"/>
          </w:tcPr>
          <w:p w14:paraId="72FD0F33" w14:textId="77777777" w:rsidR="00065317" w:rsidRDefault="005C7BF7">
            <w:pPr>
              <w:pStyle w:val="Compact"/>
            </w:pPr>
            <w:r>
              <w:t>-</w:t>
            </w:r>
          </w:p>
        </w:tc>
        <w:tc>
          <w:tcPr>
            <w:tcW w:w="0" w:type="auto"/>
          </w:tcPr>
          <w:p w14:paraId="713D1DB9" w14:textId="77777777" w:rsidR="00065317" w:rsidRDefault="005C7BF7">
            <w:pPr>
              <w:pStyle w:val="Compact"/>
            </w:pPr>
            <w:r>
              <w:t>-</w:t>
            </w:r>
          </w:p>
        </w:tc>
        <w:tc>
          <w:tcPr>
            <w:tcW w:w="0" w:type="auto"/>
          </w:tcPr>
          <w:p w14:paraId="50AA2855" w14:textId="77777777" w:rsidR="00065317" w:rsidRDefault="005C7BF7">
            <w:pPr>
              <w:pStyle w:val="Compact"/>
            </w:pPr>
            <w:r>
              <w:t>-</w:t>
            </w:r>
          </w:p>
        </w:tc>
        <w:tc>
          <w:tcPr>
            <w:tcW w:w="0" w:type="auto"/>
            <w:gridSpan w:val="4"/>
          </w:tcPr>
          <w:p w14:paraId="2ADA34E6" w14:textId="77777777" w:rsidR="00065317" w:rsidRDefault="005C7BF7">
            <w:pPr>
              <w:pStyle w:val="Compact"/>
            </w:pPr>
            <w:r>
              <w:rPr>
                <w:rStyle w:val="VerbatimChar"/>
              </w:rPr>
              <w:t>E35_Titre</w:t>
            </w:r>
          </w:p>
        </w:tc>
      </w:tr>
      <w:tr w:rsidR="00065317" w14:paraId="7DAFF8A4" w14:textId="77777777">
        <w:tc>
          <w:tcPr>
            <w:tcW w:w="0" w:type="auto"/>
          </w:tcPr>
          <w:p w14:paraId="0876F2FC" w14:textId="77777777" w:rsidR="00065317" w:rsidRDefault="005C7BF7">
            <w:pPr>
              <w:pStyle w:val="Compact"/>
            </w:pPr>
            <w:r>
              <w:t>E95</w:t>
            </w:r>
          </w:p>
        </w:tc>
        <w:tc>
          <w:tcPr>
            <w:tcW w:w="0" w:type="auto"/>
          </w:tcPr>
          <w:p w14:paraId="56545136" w14:textId="77777777" w:rsidR="00065317" w:rsidRDefault="005C7BF7">
            <w:pPr>
              <w:pStyle w:val="Compact"/>
            </w:pPr>
            <w:r>
              <w:t>-</w:t>
            </w:r>
          </w:p>
        </w:tc>
        <w:tc>
          <w:tcPr>
            <w:tcW w:w="0" w:type="auto"/>
          </w:tcPr>
          <w:p w14:paraId="7BBC7023" w14:textId="77777777" w:rsidR="00065317" w:rsidRDefault="005C7BF7">
            <w:pPr>
              <w:pStyle w:val="Compact"/>
            </w:pPr>
            <w:r>
              <w:t>-</w:t>
            </w:r>
          </w:p>
        </w:tc>
        <w:tc>
          <w:tcPr>
            <w:tcW w:w="0" w:type="auto"/>
          </w:tcPr>
          <w:p w14:paraId="0726E1A9" w14:textId="77777777" w:rsidR="00065317" w:rsidRDefault="005C7BF7">
            <w:pPr>
              <w:pStyle w:val="Compact"/>
            </w:pPr>
            <w:r>
              <w:t>-</w:t>
            </w:r>
          </w:p>
        </w:tc>
        <w:tc>
          <w:tcPr>
            <w:tcW w:w="0" w:type="auto"/>
          </w:tcPr>
          <w:p w14:paraId="79ABB615" w14:textId="77777777" w:rsidR="00065317" w:rsidRDefault="005C7BF7">
            <w:pPr>
              <w:pStyle w:val="Compact"/>
            </w:pPr>
            <w:r>
              <w:t>-</w:t>
            </w:r>
          </w:p>
        </w:tc>
        <w:tc>
          <w:tcPr>
            <w:tcW w:w="0" w:type="auto"/>
          </w:tcPr>
          <w:p w14:paraId="4B752B7B" w14:textId="77777777" w:rsidR="00065317" w:rsidRDefault="005C7BF7">
            <w:pPr>
              <w:pStyle w:val="Compact"/>
            </w:pPr>
            <w:r>
              <w:t>-</w:t>
            </w:r>
          </w:p>
        </w:tc>
        <w:tc>
          <w:tcPr>
            <w:tcW w:w="0" w:type="auto"/>
          </w:tcPr>
          <w:p w14:paraId="6911DE3B" w14:textId="77777777" w:rsidR="00065317" w:rsidRDefault="005C7BF7">
            <w:pPr>
              <w:pStyle w:val="Compact"/>
            </w:pPr>
            <w:r>
              <w:t>-</w:t>
            </w:r>
          </w:p>
        </w:tc>
        <w:tc>
          <w:tcPr>
            <w:tcW w:w="0" w:type="auto"/>
            <w:gridSpan w:val="4"/>
          </w:tcPr>
          <w:p w14:paraId="6D876163" w14:textId="77777777" w:rsidR="00065317" w:rsidRDefault="005C7BF7">
            <w:pPr>
              <w:pStyle w:val="Compact"/>
            </w:pPr>
            <w:r>
              <w:rPr>
                <w:rStyle w:val="VerbatimChar"/>
              </w:rPr>
              <w:t>E95_Primitive_spatio-temporelle</w:t>
            </w:r>
          </w:p>
        </w:tc>
      </w:tr>
      <w:tr w:rsidR="00065317" w14:paraId="2C0E0B2D" w14:textId="77777777">
        <w:tc>
          <w:tcPr>
            <w:tcW w:w="0" w:type="auto"/>
          </w:tcPr>
          <w:p w14:paraId="62E29826" w14:textId="77777777" w:rsidR="00065317" w:rsidRDefault="005C7BF7">
            <w:pPr>
              <w:pStyle w:val="Compact"/>
            </w:pPr>
            <w:r>
              <w:t>E94</w:t>
            </w:r>
          </w:p>
        </w:tc>
        <w:tc>
          <w:tcPr>
            <w:tcW w:w="0" w:type="auto"/>
          </w:tcPr>
          <w:p w14:paraId="29F3CB4A" w14:textId="77777777" w:rsidR="00065317" w:rsidRDefault="005C7BF7">
            <w:pPr>
              <w:pStyle w:val="Compact"/>
            </w:pPr>
            <w:r>
              <w:t>-</w:t>
            </w:r>
          </w:p>
        </w:tc>
        <w:tc>
          <w:tcPr>
            <w:tcW w:w="0" w:type="auto"/>
          </w:tcPr>
          <w:p w14:paraId="08CA956D" w14:textId="77777777" w:rsidR="00065317" w:rsidRDefault="005C7BF7">
            <w:pPr>
              <w:pStyle w:val="Compact"/>
            </w:pPr>
            <w:r>
              <w:t>-</w:t>
            </w:r>
          </w:p>
        </w:tc>
        <w:tc>
          <w:tcPr>
            <w:tcW w:w="0" w:type="auto"/>
          </w:tcPr>
          <w:p w14:paraId="5ED32B45" w14:textId="77777777" w:rsidR="00065317" w:rsidRDefault="005C7BF7">
            <w:pPr>
              <w:pStyle w:val="Compact"/>
            </w:pPr>
            <w:r>
              <w:t>-</w:t>
            </w:r>
          </w:p>
        </w:tc>
        <w:tc>
          <w:tcPr>
            <w:tcW w:w="0" w:type="auto"/>
          </w:tcPr>
          <w:p w14:paraId="662FEA81" w14:textId="77777777" w:rsidR="00065317" w:rsidRDefault="005C7BF7">
            <w:pPr>
              <w:pStyle w:val="Compact"/>
            </w:pPr>
            <w:r>
              <w:t>-</w:t>
            </w:r>
          </w:p>
        </w:tc>
        <w:tc>
          <w:tcPr>
            <w:tcW w:w="0" w:type="auto"/>
          </w:tcPr>
          <w:p w14:paraId="57443B0B" w14:textId="77777777" w:rsidR="00065317" w:rsidRDefault="005C7BF7">
            <w:pPr>
              <w:pStyle w:val="Compact"/>
            </w:pPr>
            <w:r>
              <w:t>-</w:t>
            </w:r>
          </w:p>
        </w:tc>
        <w:tc>
          <w:tcPr>
            <w:tcW w:w="0" w:type="auto"/>
          </w:tcPr>
          <w:p w14:paraId="6F99E937" w14:textId="77777777" w:rsidR="00065317" w:rsidRDefault="005C7BF7">
            <w:pPr>
              <w:pStyle w:val="Compact"/>
            </w:pPr>
            <w:r>
              <w:t>-</w:t>
            </w:r>
          </w:p>
        </w:tc>
        <w:tc>
          <w:tcPr>
            <w:tcW w:w="0" w:type="auto"/>
            <w:gridSpan w:val="4"/>
          </w:tcPr>
          <w:p w14:paraId="7E94C31C" w14:textId="77777777" w:rsidR="00065317" w:rsidRDefault="005C7BF7">
            <w:pPr>
              <w:pStyle w:val="Compact"/>
            </w:pPr>
            <w:r>
              <w:rPr>
                <w:rStyle w:val="VerbatimChar"/>
              </w:rPr>
              <w:t>E94_Primitive_spatiale</w:t>
            </w:r>
          </w:p>
        </w:tc>
      </w:tr>
      <w:tr w:rsidR="00065317" w14:paraId="13084B0E" w14:textId="77777777">
        <w:tc>
          <w:tcPr>
            <w:tcW w:w="0" w:type="auto"/>
          </w:tcPr>
          <w:p w14:paraId="31CF7685" w14:textId="77777777" w:rsidR="00065317" w:rsidRDefault="005C7BF7">
            <w:pPr>
              <w:pStyle w:val="Compact"/>
            </w:pPr>
            <w:r>
              <w:t>E61</w:t>
            </w:r>
          </w:p>
        </w:tc>
        <w:tc>
          <w:tcPr>
            <w:tcW w:w="0" w:type="auto"/>
          </w:tcPr>
          <w:p w14:paraId="7F02967E" w14:textId="77777777" w:rsidR="00065317" w:rsidRDefault="005C7BF7">
            <w:pPr>
              <w:pStyle w:val="Compact"/>
            </w:pPr>
            <w:r>
              <w:t>-</w:t>
            </w:r>
          </w:p>
        </w:tc>
        <w:tc>
          <w:tcPr>
            <w:tcW w:w="0" w:type="auto"/>
          </w:tcPr>
          <w:p w14:paraId="2154593C" w14:textId="77777777" w:rsidR="00065317" w:rsidRDefault="005C7BF7">
            <w:pPr>
              <w:pStyle w:val="Compact"/>
            </w:pPr>
            <w:r>
              <w:t>-</w:t>
            </w:r>
          </w:p>
        </w:tc>
        <w:tc>
          <w:tcPr>
            <w:tcW w:w="0" w:type="auto"/>
          </w:tcPr>
          <w:p w14:paraId="3BF01735" w14:textId="77777777" w:rsidR="00065317" w:rsidRDefault="005C7BF7">
            <w:pPr>
              <w:pStyle w:val="Compact"/>
            </w:pPr>
            <w:r>
              <w:t>-</w:t>
            </w:r>
          </w:p>
        </w:tc>
        <w:tc>
          <w:tcPr>
            <w:tcW w:w="0" w:type="auto"/>
          </w:tcPr>
          <w:p w14:paraId="04B71FE1" w14:textId="77777777" w:rsidR="00065317" w:rsidRDefault="005C7BF7">
            <w:pPr>
              <w:pStyle w:val="Compact"/>
            </w:pPr>
            <w:r>
              <w:t>-</w:t>
            </w:r>
          </w:p>
        </w:tc>
        <w:tc>
          <w:tcPr>
            <w:tcW w:w="0" w:type="auto"/>
          </w:tcPr>
          <w:p w14:paraId="004EA321" w14:textId="77777777" w:rsidR="00065317" w:rsidRDefault="005C7BF7">
            <w:pPr>
              <w:pStyle w:val="Compact"/>
            </w:pPr>
            <w:r>
              <w:t>-</w:t>
            </w:r>
          </w:p>
        </w:tc>
        <w:tc>
          <w:tcPr>
            <w:tcW w:w="0" w:type="auto"/>
          </w:tcPr>
          <w:p w14:paraId="63D4D8CA" w14:textId="77777777" w:rsidR="00065317" w:rsidRDefault="005C7BF7">
            <w:pPr>
              <w:pStyle w:val="Compact"/>
            </w:pPr>
            <w:r>
              <w:t>-</w:t>
            </w:r>
          </w:p>
        </w:tc>
        <w:tc>
          <w:tcPr>
            <w:tcW w:w="0" w:type="auto"/>
            <w:gridSpan w:val="4"/>
          </w:tcPr>
          <w:p w14:paraId="778DB93D" w14:textId="77777777" w:rsidR="00065317" w:rsidRDefault="005C7BF7">
            <w:pPr>
              <w:pStyle w:val="Compact"/>
            </w:pPr>
            <w:r>
              <w:rPr>
                <w:rStyle w:val="VerbatimChar"/>
              </w:rPr>
              <w:t>E61_Primitive_temporelle</w:t>
            </w:r>
          </w:p>
        </w:tc>
      </w:tr>
      <w:tr w:rsidR="00065317" w14:paraId="0514F4D5" w14:textId="77777777">
        <w:tc>
          <w:tcPr>
            <w:tcW w:w="0" w:type="auto"/>
          </w:tcPr>
          <w:p w14:paraId="40340F29" w14:textId="77777777" w:rsidR="00065317" w:rsidRDefault="005C7BF7">
            <w:pPr>
              <w:pStyle w:val="Compact"/>
            </w:pPr>
            <w:r>
              <w:t>E71</w:t>
            </w:r>
          </w:p>
        </w:tc>
        <w:tc>
          <w:tcPr>
            <w:tcW w:w="0" w:type="auto"/>
          </w:tcPr>
          <w:p w14:paraId="28365EC7" w14:textId="77777777" w:rsidR="00065317" w:rsidRDefault="005C7BF7">
            <w:pPr>
              <w:pStyle w:val="Compact"/>
            </w:pPr>
            <w:r>
              <w:t>-</w:t>
            </w:r>
          </w:p>
        </w:tc>
        <w:tc>
          <w:tcPr>
            <w:tcW w:w="0" w:type="auto"/>
          </w:tcPr>
          <w:p w14:paraId="48DECBB0" w14:textId="77777777" w:rsidR="00065317" w:rsidRDefault="005C7BF7">
            <w:pPr>
              <w:pStyle w:val="Compact"/>
            </w:pPr>
            <w:r>
              <w:t>-</w:t>
            </w:r>
          </w:p>
        </w:tc>
        <w:tc>
          <w:tcPr>
            <w:tcW w:w="0" w:type="auto"/>
          </w:tcPr>
          <w:p w14:paraId="2638FF26" w14:textId="77777777" w:rsidR="00065317" w:rsidRDefault="005C7BF7">
            <w:pPr>
              <w:pStyle w:val="Compact"/>
            </w:pPr>
            <w:r>
              <w:t>-</w:t>
            </w:r>
          </w:p>
        </w:tc>
        <w:tc>
          <w:tcPr>
            <w:tcW w:w="0" w:type="auto"/>
            <w:gridSpan w:val="7"/>
          </w:tcPr>
          <w:p w14:paraId="73A110F8" w14:textId="45E805EB" w:rsidR="00065317" w:rsidRDefault="005C7BF7">
            <w:pPr>
              <w:pStyle w:val="Compact"/>
            </w:pPr>
            <w:r>
              <w:rPr>
                <w:rStyle w:val="VerbatimChar"/>
              </w:rPr>
              <w:t>E71_Chose_élaborée_par_l</w:t>
            </w:r>
            <w:r w:rsidR="00E84B0E">
              <w:rPr>
                <w:rStyle w:val="VerbatimChar"/>
              </w:rPr>
              <w:t>’</w:t>
            </w:r>
            <w:r>
              <w:rPr>
                <w:rStyle w:val="VerbatimChar"/>
              </w:rPr>
              <w:t>humain</w:t>
            </w:r>
          </w:p>
        </w:tc>
      </w:tr>
      <w:tr w:rsidR="00065317" w14:paraId="1E975A91" w14:textId="77777777">
        <w:tc>
          <w:tcPr>
            <w:tcW w:w="0" w:type="auto"/>
          </w:tcPr>
          <w:p w14:paraId="100130E0" w14:textId="77777777" w:rsidR="00065317" w:rsidRDefault="005C7BF7">
            <w:pPr>
              <w:pStyle w:val="Compact"/>
            </w:pPr>
            <w:r>
              <w:lastRenderedPageBreak/>
              <w:t>E24</w:t>
            </w:r>
          </w:p>
        </w:tc>
        <w:tc>
          <w:tcPr>
            <w:tcW w:w="0" w:type="auto"/>
          </w:tcPr>
          <w:p w14:paraId="18BCBC45" w14:textId="77777777" w:rsidR="00065317" w:rsidRDefault="005C7BF7">
            <w:pPr>
              <w:pStyle w:val="Compact"/>
            </w:pPr>
            <w:r>
              <w:t>-</w:t>
            </w:r>
          </w:p>
        </w:tc>
        <w:tc>
          <w:tcPr>
            <w:tcW w:w="0" w:type="auto"/>
          </w:tcPr>
          <w:p w14:paraId="1B8F7411" w14:textId="77777777" w:rsidR="00065317" w:rsidRDefault="005C7BF7">
            <w:pPr>
              <w:pStyle w:val="Compact"/>
            </w:pPr>
            <w:r>
              <w:t>-</w:t>
            </w:r>
          </w:p>
        </w:tc>
        <w:tc>
          <w:tcPr>
            <w:tcW w:w="0" w:type="auto"/>
          </w:tcPr>
          <w:p w14:paraId="69647136" w14:textId="77777777" w:rsidR="00065317" w:rsidRDefault="005C7BF7">
            <w:pPr>
              <w:pStyle w:val="Compact"/>
            </w:pPr>
            <w:r>
              <w:t>-</w:t>
            </w:r>
          </w:p>
        </w:tc>
        <w:tc>
          <w:tcPr>
            <w:tcW w:w="0" w:type="auto"/>
          </w:tcPr>
          <w:p w14:paraId="4D5817EE" w14:textId="77777777" w:rsidR="00065317" w:rsidRDefault="005C7BF7">
            <w:pPr>
              <w:pStyle w:val="Compact"/>
            </w:pPr>
            <w:r>
              <w:t>-</w:t>
            </w:r>
          </w:p>
        </w:tc>
        <w:tc>
          <w:tcPr>
            <w:tcW w:w="0" w:type="auto"/>
            <w:gridSpan w:val="6"/>
          </w:tcPr>
          <w:p w14:paraId="479AF434" w14:textId="05F6F9ED" w:rsidR="00065317" w:rsidRDefault="005C7BF7">
            <w:pPr>
              <w:pStyle w:val="Compact"/>
            </w:pPr>
            <w:r>
              <w:rPr>
                <w:rStyle w:val="VerbatimChar"/>
                <w:i/>
                <w:iCs/>
              </w:rPr>
              <w:t>E24_Chose_matérielle_élaborée_par_l</w:t>
            </w:r>
            <w:r w:rsidR="00E84B0E">
              <w:rPr>
                <w:rStyle w:val="VerbatimChar"/>
                <w:i/>
                <w:iCs/>
              </w:rPr>
              <w:t>’</w:t>
            </w:r>
            <w:r>
              <w:rPr>
                <w:rStyle w:val="VerbatimChar"/>
                <w:i/>
                <w:iCs/>
              </w:rPr>
              <w:t>humain</w:t>
            </w:r>
          </w:p>
        </w:tc>
      </w:tr>
      <w:tr w:rsidR="00065317" w14:paraId="722FB3A7" w14:textId="77777777">
        <w:tc>
          <w:tcPr>
            <w:tcW w:w="0" w:type="auto"/>
          </w:tcPr>
          <w:p w14:paraId="2F7A20D4" w14:textId="77777777" w:rsidR="00065317" w:rsidRDefault="005C7BF7">
            <w:pPr>
              <w:pStyle w:val="Compact"/>
            </w:pPr>
            <w:r>
              <w:t>E22</w:t>
            </w:r>
          </w:p>
        </w:tc>
        <w:tc>
          <w:tcPr>
            <w:tcW w:w="0" w:type="auto"/>
          </w:tcPr>
          <w:p w14:paraId="7B4A28AC" w14:textId="77777777" w:rsidR="00065317" w:rsidRDefault="005C7BF7">
            <w:pPr>
              <w:pStyle w:val="Compact"/>
            </w:pPr>
            <w:r>
              <w:t>-</w:t>
            </w:r>
          </w:p>
        </w:tc>
        <w:tc>
          <w:tcPr>
            <w:tcW w:w="0" w:type="auto"/>
          </w:tcPr>
          <w:p w14:paraId="67074F82" w14:textId="77777777" w:rsidR="00065317" w:rsidRDefault="005C7BF7">
            <w:pPr>
              <w:pStyle w:val="Compact"/>
            </w:pPr>
            <w:r>
              <w:t>-</w:t>
            </w:r>
          </w:p>
        </w:tc>
        <w:tc>
          <w:tcPr>
            <w:tcW w:w="0" w:type="auto"/>
          </w:tcPr>
          <w:p w14:paraId="1E822657" w14:textId="77777777" w:rsidR="00065317" w:rsidRDefault="005C7BF7">
            <w:pPr>
              <w:pStyle w:val="Compact"/>
            </w:pPr>
            <w:r>
              <w:t>-</w:t>
            </w:r>
          </w:p>
        </w:tc>
        <w:tc>
          <w:tcPr>
            <w:tcW w:w="0" w:type="auto"/>
          </w:tcPr>
          <w:p w14:paraId="0205919B" w14:textId="77777777" w:rsidR="00065317" w:rsidRDefault="005C7BF7">
            <w:pPr>
              <w:pStyle w:val="Compact"/>
            </w:pPr>
            <w:r>
              <w:t>-</w:t>
            </w:r>
          </w:p>
        </w:tc>
        <w:tc>
          <w:tcPr>
            <w:tcW w:w="0" w:type="auto"/>
          </w:tcPr>
          <w:p w14:paraId="2AAF8B0D" w14:textId="77777777" w:rsidR="00065317" w:rsidRDefault="005C7BF7">
            <w:pPr>
              <w:pStyle w:val="Compact"/>
            </w:pPr>
            <w:r>
              <w:t>-</w:t>
            </w:r>
          </w:p>
        </w:tc>
        <w:tc>
          <w:tcPr>
            <w:tcW w:w="0" w:type="auto"/>
            <w:gridSpan w:val="5"/>
          </w:tcPr>
          <w:p w14:paraId="2B763DDB" w14:textId="6E58E30A" w:rsidR="00065317" w:rsidRDefault="005C7BF7">
            <w:pPr>
              <w:pStyle w:val="Compact"/>
            </w:pPr>
            <w:r>
              <w:rPr>
                <w:rStyle w:val="VerbatimChar"/>
                <w:i/>
                <w:iCs/>
              </w:rPr>
              <w:t>E22_Objet_élaboré_par_l</w:t>
            </w:r>
            <w:r w:rsidR="00E84B0E">
              <w:rPr>
                <w:rStyle w:val="VerbatimChar"/>
                <w:i/>
                <w:iCs/>
              </w:rPr>
              <w:t>’</w:t>
            </w:r>
            <w:r>
              <w:rPr>
                <w:rStyle w:val="VerbatimChar"/>
                <w:i/>
                <w:iCs/>
              </w:rPr>
              <w:t>humain</w:t>
            </w:r>
          </w:p>
        </w:tc>
      </w:tr>
      <w:tr w:rsidR="00065317" w14:paraId="2F4BE314" w14:textId="77777777">
        <w:tc>
          <w:tcPr>
            <w:tcW w:w="0" w:type="auto"/>
          </w:tcPr>
          <w:p w14:paraId="2B0BF73E" w14:textId="77777777" w:rsidR="00065317" w:rsidRDefault="005C7BF7">
            <w:pPr>
              <w:pStyle w:val="Compact"/>
            </w:pPr>
            <w:r>
              <w:t>E25</w:t>
            </w:r>
          </w:p>
        </w:tc>
        <w:tc>
          <w:tcPr>
            <w:tcW w:w="0" w:type="auto"/>
          </w:tcPr>
          <w:p w14:paraId="0518DCD2" w14:textId="77777777" w:rsidR="00065317" w:rsidRDefault="005C7BF7">
            <w:pPr>
              <w:pStyle w:val="Compact"/>
            </w:pPr>
            <w:r>
              <w:t>-</w:t>
            </w:r>
          </w:p>
        </w:tc>
        <w:tc>
          <w:tcPr>
            <w:tcW w:w="0" w:type="auto"/>
          </w:tcPr>
          <w:p w14:paraId="25DC08DB" w14:textId="77777777" w:rsidR="00065317" w:rsidRDefault="005C7BF7">
            <w:pPr>
              <w:pStyle w:val="Compact"/>
            </w:pPr>
            <w:r>
              <w:t>-</w:t>
            </w:r>
          </w:p>
        </w:tc>
        <w:tc>
          <w:tcPr>
            <w:tcW w:w="0" w:type="auto"/>
          </w:tcPr>
          <w:p w14:paraId="054C859D" w14:textId="77777777" w:rsidR="00065317" w:rsidRDefault="005C7BF7">
            <w:pPr>
              <w:pStyle w:val="Compact"/>
            </w:pPr>
            <w:r>
              <w:t>-</w:t>
            </w:r>
          </w:p>
        </w:tc>
        <w:tc>
          <w:tcPr>
            <w:tcW w:w="0" w:type="auto"/>
          </w:tcPr>
          <w:p w14:paraId="63AE9985" w14:textId="77777777" w:rsidR="00065317" w:rsidRDefault="005C7BF7">
            <w:pPr>
              <w:pStyle w:val="Compact"/>
            </w:pPr>
            <w:r>
              <w:t>-</w:t>
            </w:r>
          </w:p>
        </w:tc>
        <w:tc>
          <w:tcPr>
            <w:tcW w:w="0" w:type="auto"/>
          </w:tcPr>
          <w:p w14:paraId="3C447A14" w14:textId="77777777" w:rsidR="00065317" w:rsidRDefault="005C7BF7">
            <w:pPr>
              <w:pStyle w:val="Compact"/>
            </w:pPr>
            <w:r>
              <w:t>-</w:t>
            </w:r>
          </w:p>
        </w:tc>
        <w:tc>
          <w:tcPr>
            <w:tcW w:w="0" w:type="auto"/>
            <w:gridSpan w:val="5"/>
          </w:tcPr>
          <w:p w14:paraId="2A0C2749" w14:textId="34565C64" w:rsidR="00065317" w:rsidRDefault="005C7BF7">
            <w:pPr>
              <w:pStyle w:val="Compact"/>
            </w:pPr>
            <w:r>
              <w:rPr>
                <w:rStyle w:val="VerbatimChar"/>
                <w:i/>
                <w:iCs/>
              </w:rPr>
              <w:t>E25_Caractéristique_élaborée_par_l</w:t>
            </w:r>
            <w:r w:rsidR="00E84B0E">
              <w:rPr>
                <w:rStyle w:val="VerbatimChar"/>
                <w:i/>
                <w:iCs/>
              </w:rPr>
              <w:t>’</w:t>
            </w:r>
            <w:r>
              <w:rPr>
                <w:rStyle w:val="VerbatimChar"/>
                <w:i/>
                <w:iCs/>
              </w:rPr>
              <w:t>humain</w:t>
            </w:r>
          </w:p>
        </w:tc>
      </w:tr>
      <w:tr w:rsidR="00065317" w14:paraId="52A25FED" w14:textId="77777777">
        <w:tc>
          <w:tcPr>
            <w:tcW w:w="0" w:type="auto"/>
          </w:tcPr>
          <w:p w14:paraId="0D533BA7" w14:textId="77777777" w:rsidR="00065317" w:rsidRDefault="005C7BF7">
            <w:pPr>
              <w:pStyle w:val="Compact"/>
            </w:pPr>
            <w:r>
              <w:t>E78</w:t>
            </w:r>
          </w:p>
        </w:tc>
        <w:tc>
          <w:tcPr>
            <w:tcW w:w="0" w:type="auto"/>
          </w:tcPr>
          <w:p w14:paraId="4D2430C9" w14:textId="77777777" w:rsidR="00065317" w:rsidRDefault="005C7BF7">
            <w:pPr>
              <w:pStyle w:val="Compact"/>
            </w:pPr>
            <w:r>
              <w:t>-</w:t>
            </w:r>
          </w:p>
        </w:tc>
        <w:tc>
          <w:tcPr>
            <w:tcW w:w="0" w:type="auto"/>
          </w:tcPr>
          <w:p w14:paraId="007074ED" w14:textId="77777777" w:rsidR="00065317" w:rsidRDefault="005C7BF7">
            <w:pPr>
              <w:pStyle w:val="Compact"/>
            </w:pPr>
            <w:r>
              <w:t>-</w:t>
            </w:r>
          </w:p>
        </w:tc>
        <w:tc>
          <w:tcPr>
            <w:tcW w:w="0" w:type="auto"/>
          </w:tcPr>
          <w:p w14:paraId="75425CC5" w14:textId="77777777" w:rsidR="00065317" w:rsidRDefault="005C7BF7">
            <w:pPr>
              <w:pStyle w:val="Compact"/>
            </w:pPr>
            <w:r>
              <w:t>-</w:t>
            </w:r>
          </w:p>
        </w:tc>
        <w:tc>
          <w:tcPr>
            <w:tcW w:w="0" w:type="auto"/>
          </w:tcPr>
          <w:p w14:paraId="0DEDE602" w14:textId="77777777" w:rsidR="00065317" w:rsidRDefault="005C7BF7">
            <w:pPr>
              <w:pStyle w:val="Compact"/>
            </w:pPr>
            <w:r>
              <w:t>-</w:t>
            </w:r>
          </w:p>
        </w:tc>
        <w:tc>
          <w:tcPr>
            <w:tcW w:w="0" w:type="auto"/>
          </w:tcPr>
          <w:p w14:paraId="7A9DA414" w14:textId="77777777" w:rsidR="00065317" w:rsidRDefault="005C7BF7">
            <w:pPr>
              <w:pStyle w:val="Compact"/>
            </w:pPr>
            <w:r>
              <w:t>-</w:t>
            </w:r>
          </w:p>
        </w:tc>
        <w:tc>
          <w:tcPr>
            <w:tcW w:w="0" w:type="auto"/>
            <w:gridSpan w:val="5"/>
          </w:tcPr>
          <w:p w14:paraId="0CAC8CCE" w14:textId="77777777" w:rsidR="00065317" w:rsidRDefault="005C7BF7">
            <w:pPr>
              <w:pStyle w:val="Compact"/>
            </w:pPr>
            <w:r>
              <w:rPr>
                <w:rStyle w:val="VerbatimChar"/>
                <w:i/>
                <w:iCs/>
              </w:rPr>
              <w:t>E78_Collection</w:t>
            </w:r>
          </w:p>
        </w:tc>
      </w:tr>
      <w:tr w:rsidR="00065317" w14:paraId="6D8C38BB" w14:textId="77777777">
        <w:tc>
          <w:tcPr>
            <w:tcW w:w="0" w:type="auto"/>
          </w:tcPr>
          <w:p w14:paraId="3A46DD91" w14:textId="77777777" w:rsidR="00065317" w:rsidRDefault="005C7BF7">
            <w:pPr>
              <w:pStyle w:val="Compact"/>
            </w:pPr>
            <w:r>
              <w:t>E28</w:t>
            </w:r>
          </w:p>
        </w:tc>
        <w:tc>
          <w:tcPr>
            <w:tcW w:w="0" w:type="auto"/>
          </w:tcPr>
          <w:p w14:paraId="4BAECEAE" w14:textId="77777777" w:rsidR="00065317" w:rsidRDefault="005C7BF7">
            <w:pPr>
              <w:pStyle w:val="Compact"/>
            </w:pPr>
            <w:r>
              <w:t>-</w:t>
            </w:r>
          </w:p>
        </w:tc>
        <w:tc>
          <w:tcPr>
            <w:tcW w:w="0" w:type="auto"/>
          </w:tcPr>
          <w:p w14:paraId="0C3BBC3C" w14:textId="77777777" w:rsidR="00065317" w:rsidRDefault="005C7BF7">
            <w:pPr>
              <w:pStyle w:val="Compact"/>
            </w:pPr>
            <w:r>
              <w:t>-</w:t>
            </w:r>
          </w:p>
        </w:tc>
        <w:tc>
          <w:tcPr>
            <w:tcW w:w="0" w:type="auto"/>
          </w:tcPr>
          <w:p w14:paraId="6AB10729" w14:textId="77777777" w:rsidR="00065317" w:rsidRDefault="005C7BF7">
            <w:pPr>
              <w:pStyle w:val="Compact"/>
            </w:pPr>
            <w:r>
              <w:t>-</w:t>
            </w:r>
          </w:p>
        </w:tc>
        <w:tc>
          <w:tcPr>
            <w:tcW w:w="0" w:type="auto"/>
          </w:tcPr>
          <w:p w14:paraId="246CA708" w14:textId="77777777" w:rsidR="00065317" w:rsidRDefault="005C7BF7">
            <w:pPr>
              <w:pStyle w:val="Compact"/>
            </w:pPr>
            <w:r>
              <w:t>-</w:t>
            </w:r>
          </w:p>
        </w:tc>
        <w:tc>
          <w:tcPr>
            <w:tcW w:w="0" w:type="auto"/>
            <w:gridSpan w:val="6"/>
          </w:tcPr>
          <w:p w14:paraId="7750B066" w14:textId="77777777" w:rsidR="00065317" w:rsidRDefault="005C7BF7">
            <w:pPr>
              <w:pStyle w:val="Compact"/>
            </w:pPr>
            <w:r>
              <w:rPr>
                <w:rStyle w:val="VerbatimChar"/>
              </w:rPr>
              <w:t>E28_Objet_conceptuel</w:t>
            </w:r>
          </w:p>
        </w:tc>
      </w:tr>
      <w:tr w:rsidR="00065317" w14:paraId="5A09CE5F" w14:textId="77777777">
        <w:tc>
          <w:tcPr>
            <w:tcW w:w="0" w:type="auto"/>
          </w:tcPr>
          <w:p w14:paraId="37694B8E" w14:textId="77777777" w:rsidR="00065317" w:rsidRDefault="005C7BF7">
            <w:pPr>
              <w:pStyle w:val="Compact"/>
            </w:pPr>
            <w:r>
              <w:t>E90</w:t>
            </w:r>
          </w:p>
        </w:tc>
        <w:tc>
          <w:tcPr>
            <w:tcW w:w="0" w:type="auto"/>
          </w:tcPr>
          <w:p w14:paraId="5D845688" w14:textId="77777777" w:rsidR="00065317" w:rsidRDefault="005C7BF7">
            <w:pPr>
              <w:pStyle w:val="Compact"/>
            </w:pPr>
            <w:r>
              <w:t>-</w:t>
            </w:r>
          </w:p>
        </w:tc>
        <w:tc>
          <w:tcPr>
            <w:tcW w:w="0" w:type="auto"/>
          </w:tcPr>
          <w:p w14:paraId="38F89857" w14:textId="77777777" w:rsidR="00065317" w:rsidRDefault="005C7BF7">
            <w:pPr>
              <w:pStyle w:val="Compact"/>
            </w:pPr>
            <w:r>
              <w:t>-</w:t>
            </w:r>
          </w:p>
        </w:tc>
        <w:tc>
          <w:tcPr>
            <w:tcW w:w="0" w:type="auto"/>
          </w:tcPr>
          <w:p w14:paraId="33F921E4" w14:textId="77777777" w:rsidR="00065317" w:rsidRDefault="005C7BF7">
            <w:pPr>
              <w:pStyle w:val="Compact"/>
            </w:pPr>
            <w:r>
              <w:t>-</w:t>
            </w:r>
          </w:p>
        </w:tc>
        <w:tc>
          <w:tcPr>
            <w:tcW w:w="0" w:type="auto"/>
          </w:tcPr>
          <w:p w14:paraId="7795EAF6" w14:textId="77777777" w:rsidR="00065317" w:rsidRDefault="005C7BF7">
            <w:pPr>
              <w:pStyle w:val="Compact"/>
            </w:pPr>
            <w:r>
              <w:t>-</w:t>
            </w:r>
          </w:p>
        </w:tc>
        <w:tc>
          <w:tcPr>
            <w:tcW w:w="0" w:type="auto"/>
          </w:tcPr>
          <w:p w14:paraId="4D63D5FA" w14:textId="77777777" w:rsidR="00065317" w:rsidRDefault="005C7BF7">
            <w:pPr>
              <w:pStyle w:val="Compact"/>
            </w:pPr>
            <w:r>
              <w:t>-</w:t>
            </w:r>
          </w:p>
        </w:tc>
        <w:tc>
          <w:tcPr>
            <w:tcW w:w="0" w:type="auto"/>
            <w:gridSpan w:val="5"/>
          </w:tcPr>
          <w:p w14:paraId="0A14C658" w14:textId="77777777" w:rsidR="00065317" w:rsidRDefault="005C7BF7">
            <w:pPr>
              <w:pStyle w:val="Compact"/>
            </w:pPr>
            <w:r>
              <w:rPr>
                <w:rStyle w:val="VerbatimChar"/>
                <w:i/>
                <w:iCs/>
              </w:rPr>
              <w:t>E90_Objet_symbolique</w:t>
            </w:r>
          </w:p>
        </w:tc>
      </w:tr>
      <w:tr w:rsidR="00065317" w14:paraId="327789D9" w14:textId="77777777">
        <w:tc>
          <w:tcPr>
            <w:tcW w:w="0" w:type="auto"/>
          </w:tcPr>
          <w:p w14:paraId="453EF963" w14:textId="77777777" w:rsidR="00065317" w:rsidRDefault="005C7BF7">
            <w:pPr>
              <w:pStyle w:val="Compact"/>
            </w:pPr>
            <w:r>
              <w:t>E73</w:t>
            </w:r>
          </w:p>
        </w:tc>
        <w:tc>
          <w:tcPr>
            <w:tcW w:w="0" w:type="auto"/>
          </w:tcPr>
          <w:p w14:paraId="1BF233DE" w14:textId="77777777" w:rsidR="00065317" w:rsidRDefault="005C7BF7">
            <w:pPr>
              <w:pStyle w:val="Compact"/>
            </w:pPr>
            <w:r>
              <w:t>-</w:t>
            </w:r>
          </w:p>
        </w:tc>
        <w:tc>
          <w:tcPr>
            <w:tcW w:w="0" w:type="auto"/>
          </w:tcPr>
          <w:p w14:paraId="35BC8A84" w14:textId="77777777" w:rsidR="00065317" w:rsidRDefault="005C7BF7">
            <w:pPr>
              <w:pStyle w:val="Compact"/>
            </w:pPr>
            <w:r>
              <w:t>-</w:t>
            </w:r>
          </w:p>
        </w:tc>
        <w:tc>
          <w:tcPr>
            <w:tcW w:w="0" w:type="auto"/>
          </w:tcPr>
          <w:p w14:paraId="1D1AACA4" w14:textId="77777777" w:rsidR="00065317" w:rsidRDefault="005C7BF7">
            <w:pPr>
              <w:pStyle w:val="Compact"/>
            </w:pPr>
            <w:r>
              <w:t>-</w:t>
            </w:r>
          </w:p>
        </w:tc>
        <w:tc>
          <w:tcPr>
            <w:tcW w:w="0" w:type="auto"/>
          </w:tcPr>
          <w:p w14:paraId="235DDC62" w14:textId="77777777" w:rsidR="00065317" w:rsidRDefault="005C7BF7">
            <w:pPr>
              <w:pStyle w:val="Compact"/>
            </w:pPr>
            <w:r>
              <w:t>-</w:t>
            </w:r>
          </w:p>
        </w:tc>
        <w:tc>
          <w:tcPr>
            <w:tcW w:w="0" w:type="auto"/>
          </w:tcPr>
          <w:p w14:paraId="62DC560B" w14:textId="77777777" w:rsidR="00065317" w:rsidRDefault="005C7BF7">
            <w:pPr>
              <w:pStyle w:val="Compact"/>
            </w:pPr>
            <w:r>
              <w:t>-</w:t>
            </w:r>
          </w:p>
        </w:tc>
        <w:tc>
          <w:tcPr>
            <w:tcW w:w="0" w:type="auto"/>
          </w:tcPr>
          <w:p w14:paraId="39DDD7E9" w14:textId="77777777" w:rsidR="00065317" w:rsidRDefault="005C7BF7">
            <w:pPr>
              <w:pStyle w:val="Compact"/>
            </w:pPr>
            <w:r>
              <w:t>-</w:t>
            </w:r>
          </w:p>
        </w:tc>
        <w:tc>
          <w:tcPr>
            <w:tcW w:w="0" w:type="auto"/>
            <w:gridSpan w:val="4"/>
          </w:tcPr>
          <w:p w14:paraId="0EB0DF69" w14:textId="77777777" w:rsidR="00065317" w:rsidRDefault="005C7BF7">
            <w:pPr>
              <w:pStyle w:val="Compact"/>
            </w:pPr>
            <w:r>
              <w:rPr>
                <w:rStyle w:val="VerbatimChar"/>
                <w:i/>
                <w:iCs/>
              </w:rPr>
              <w:t>E73_Objet_informationnel</w:t>
            </w:r>
          </w:p>
        </w:tc>
      </w:tr>
      <w:tr w:rsidR="00065317" w14:paraId="7D90D6BC" w14:textId="77777777">
        <w:tc>
          <w:tcPr>
            <w:tcW w:w="0" w:type="auto"/>
          </w:tcPr>
          <w:p w14:paraId="2EF02758" w14:textId="77777777" w:rsidR="00065317" w:rsidRDefault="005C7BF7">
            <w:pPr>
              <w:pStyle w:val="Compact"/>
            </w:pPr>
            <w:r>
              <w:t>E29</w:t>
            </w:r>
          </w:p>
        </w:tc>
        <w:tc>
          <w:tcPr>
            <w:tcW w:w="0" w:type="auto"/>
          </w:tcPr>
          <w:p w14:paraId="4E2228D2" w14:textId="77777777" w:rsidR="00065317" w:rsidRDefault="005C7BF7">
            <w:pPr>
              <w:pStyle w:val="Compact"/>
            </w:pPr>
            <w:r>
              <w:t>-</w:t>
            </w:r>
          </w:p>
        </w:tc>
        <w:tc>
          <w:tcPr>
            <w:tcW w:w="0" w:type="auto"/>
          </w:tcPr>
          <w:p w14:paraId="0F84CF91" w14:textId="77777777" w:rsidR="00065317" w:rsidRDefault="005C7BF7">
            <w:pPr>
              <w:pStyle w:val="Compact"/>
            </w:pPr>
            <w:r>
              <w:t>-</w:t>
            </w:r>
          </w:p>
        </w:tc>
        <w:tc>
          <w:tcPr>
            <w:tcW w:w="0" w:type="auto"/>
          </w:tcPr>
          <w:p w14:paraId="751BA7E4" w14:textId="77777777" w:rsidR="00065317" w:rsidRDefault="005C7BF7">
            <w:pPr>
              <w:pStyle w:val="Compact"/>
            </w:pPr>
            <w:r>
              <w:t>-</w:t>
            </w:r>
          </w:p>
        </w:tc>
        <w:tc>
          <w:tcPr>
            <w:tcW w:w="0" w:type="auto"/>
          </w:tcPr>
          <w:p w14:paraId="4104DB33" w14:textId="77777777" w:rsidR="00065317" w:rsidRDefault="005C7BF7">
            <w:pPr>
              <w:pStyle w:val="Compact"/>
            </w:pPr>
            <w:r>
              <w:t>-</w:t>
            </w:r>
          </w:p>
        </w:tc>
        <w:tc>
          <w:tcPr>
            <w:tcW w:w="0" w:type="auto"/>
          </w:tcPr>
          <w:p w14:paraId="725A19A7" w14:textId="77777777" w:rsidR="00065317" w:rsidRDefault="005C7BF7">
            <w:pPr>
              <w:pStyle w:val="Compact"/>
            </w:pPr>
            <w:r>
              <w:t>-</w:t>
            </w:r>
          </w:p>
        </w:tc>
        <w:tc>
          <w:tcPr>
            <w:tcW w:w="0" w:type="auto"/>
          </w:tcPr>
          <w:p w14:paraId="05970B9D" w14:textId="77777777" w:rsidR="00065317" w:rsidRDefault="005C7BF7">
            <w:pPr>
              <w:pStyle w:val="Compact"/>
            </w:pPr>
            <w:r>
              <w:t>-</w:t>
            </w:r>
          </w:p>
        </w:tc>
        <w:tc>
          <w:tcPr>
            <w:tcW w:w="0" w:type="auto"/>
          </w:tcPr>
          <w:p w14:paraId="0EA547E7" w14:textId="77777777" w:rsidR="00065317" w:rsidRDefault="005C7BF7">
            <w:pPr>
              <w:pStyle w:val="Compact"/>
            </w:pPr>
            <w:r>
              <w:t>-</w:t>
            </w:r>
          </w:p>
        </w:tc>
        <w:tc>
          <w:tcPr>
            <w:tcW w:w="0" w:type="auto"/>
            <w:gridSpan w:val="3"/>
          </w:tcPr>
          <w:p w14:paraId="75C40F6E" w14:textId="77777777" w:rsidR="00065317" w:rsidRDefault="005C7BF7">
            <w:pPr>
              <w:pStyle w:val="Compact"/>
            </w:pPr>
            <w:r>
              <w:rPr>
                <w:rStyle w:val="VerbatimChar"/>
                <w:i/>
                <w:iCs/>
              </w:rPr>
              <w:t>E29_Conceptualisation_ou_procédure</w:t>
            </w:r>
          </w:p>
        </w:tc>
      </w:tr>
      <w:tr w:rsidR="00065317" w14:paraId="47DF9B56" w14:textId="77777777">
        <w:tc>
          <w:tcPr>
            <w:tcW w:w="0" w:type="auto"/>
          </w:tcPr>
          <w:p w14:paraId="388ADA2A" w14:textId="77777777" w:rsidR="00065317" w:rsidRDefault="005C7BF7">
            <w:pPr>
              <w:pStyle w:val="Compact"/>
            </w:pPr>
            <w:r>
              <w:t>E31</w:t>
            </w:r>
          </w:p>
        </w:tc>
        <w:tc>
          <w:tcPr>
            <w:tcW w:w="0" w:type="auto"/>
          </w:tcPr>
          <w:p w14:paraId="41E05E71" w14:textId="77777777" w:rsidR="00065317" w:rsidRDefault="005C7BF7">
            <w:pPr>
              <w:pStyle w:val="Compact"/>
            </w:pPr>
            <w:r>
              <w:t>-</w:t>
            </w:r>
          </w:p>
        </w:tc>
        <w:tc>
          <w:tcPr>
            <w:tcW w:w="0" w:type="auto"/>
          </w:tcPr>
          <w:p w14:paraId="5793DF14" w14:textId="77777777" w:rsidR="00065317" w:rsidRDefault="005C7BF7">
            <w:pPr>
              <w:pStyle w:val="Compact"/>
            </w:pPr>
            <w:r>
              <w:t>-</w:t>
            </w:r>
          </w:p>
        </w:tc>
        <w:tc>
          <w:tcPr>
            <w:tcW w:w="0" w:type="auto"/>
          </w:tcPr>
          <w:p w14:paraId="5EE1EDC9" w14:textId="77777777" w:rsidR="00065317" w:rsidRDefault="005C7BF7">
            <w:pPr>
              <w:pStyle w:val="Compact"/>
            </w:pPr>
            <w:r>
              <w:t>-</w:t>
            </w:r>
          </w:p>
        </w:tc>
        <w:tc>
          <w:tcPr>
            <w:tcW w:w="0" w:type="auto"/>
          </w:tcPr>
          <w:p w14:paraId="1C6C2AF6" w14:textId="77777777" w:rsidR="00065317" w:rsidRDefault="005C7BF7">
            <w:pPr>
              <w:pStyle w:val="Compact"/>
            </w:pPr>
            <w:r>
              <w:t>-</w:t>
            </w:r>
          </w:p>
        </w:tc>
        <w:tc>
          <w:tcPr>
            <w:tcW w:w="0" w:type="auto"/>
          </w:tcPr>
          <w:p w14:paraId="7CB8EB44" w14:textId="77777777" w:rsidR="00065317" w:rsidRDefault="005C7BF7">
            <w:pPr>
              <w:pStyle w:val="Compact"/>
            </w:pPr>
            <w:r>
              <w:t>-</w:t>
            </w:r>
          </w:p>
        </w:tc>
        <w:tc>
          <w:tcPr>
            <w:tcW w:w="0" w:type="auto"/>
          </w:tcPr>
          <w:p w14:paraId="5D268FFB" w14:textId="77777777" w:rsidR="00065317" w:rsidRDefault="005C7BF7">
            <w:pPr>
              <w:pStyle w:val="Compact"/>
            </w:pPr>
            <w:r>
              <w:t>-</w:t>
            </w:r>
          </w:p>
        </w:tc>
        <w:tc>
          <w:tcPr>
            <w:tcW w:w="0" w:type="auto"/>
          </w:tcPr>
          <w:p w14:paraId="2B6E68D3" w14:textId="77777777" w:rsidR="00065317" w:rsidRDefault="005C7BF7">
            <w:pPr>
              <w:pStyle w:val="Compact"/>
            </w:pPr>
            <w:r>
              <w:t>-</w:t>
            </w:r>
          </w:p>
        </w:tc>
        <w:tc>
          <w:tcPr>
            <w:tcW w:w="0" w:type="auto"/>
            <w:gridSpan w:val="3"/>
          </w:tcPr>
          <w:p w14:paraId="45B83BEC" w14:textId="77777777" w:rsidR="00065317" w:rsidRDefault="005C7BF7">
            <w:pPr>
              <w:pStyle w:val="Compact"/>
            </w:pPr>
            <w:r>
              <w:rPr>
                <w:rStyle w:val="VerbatimChar"/>
                <w:i/>
                <w:iCs/>
              </w:rPr>
              <w:t>E31_Document</w:t>
            </w:r>
          </w:p>
        </w:tc>
      </w:tr>
      <w:tr w:rsidR="00065317" w14:paraId="1243D3EE" w14:textId="77777777">
        <w:tc>
          <w:tcPr>
            <w:tcW w:w="0" w:type="auto"/>
          </w:tcPr>
          <w:p w14:paraId="6856FA79" w14:textId="77777777" w:rsidR="00065317" w:rsidRDefault="005C7BF7">
            <w:pPr>
              <w:pStyle w:val="Compact"/>
            </w:pPr>
            <w:r>
              <w:t>E32</w:t>
            </w:r>
          </w:p>
        </w:tc>
        <w:tc>
          <w:tcPr>
            <w:tcW w:w="0" w:type="auto"/>
          </w:tcPr>
          <w:p w14:paraId="6BD3D1B1" w14:textId="77777777" w:rsidR="00065317" w:rsidRDefault="005C7BF7">
            <w:pPr>
              <w:pStyle w:val="Compact"/>
            </w:pPr>
            <w:r>
              <w:t>-</w:t>
            </w:r>
          </w:p>
        </w:tc>
        <w:tc>
          <w:tcPr>
            <w:tcW w:w="0" w:type="auto"/>
          </w:tcPr>
          <w:p w14:paraId="3820560F" w14:textId="77777777" w:rsidR="00065317" w:rsidRDefault="005C7BF7">
            <w:pPr>
              <w:pStyle w:val="Compact"/>
            </w:pPr>
            <w:r>
              <w:t>-</w:t>
            </w:r>
          </w:p>
        </w:tc>
        <w:tc>
          <w:tcPr>
            <w:tcW w:w="0" w:type="auto"/>
          </w:tcPr>
          <w:p w14:paraId="4B924082" w14:textId="77777777" w:rsidR="00065317" w:rsidRDefault="005C7BF7">
            <w:pPr>
              <w:pStyle w:val="Compact"/>
            </w:pPr>
            <w:r>
              <w:t>-</w:t>
            </w:r>
          </w:p>
        </w:tc>
        <w:tc>
          <w:tcPr>
            <w:tcW w:w="0" w:type="auto"/>
          </w:tcPr>
          <w:p w14:paraId="44C1AADF" w14:textId="77777777" w:rsidR="00065317" w:rsidRDefault="005C7BF7">
            <w:pPr>
              <w:pStyle w:val="Compact"/>
            </w:pPr>
            <w:r>
              <w:t>-</w:t>
            </w:r>
          </w:p>
        </w:tc>
        <w:tc>
          <w:tcPr>
            <w:tcW w:w="0" w:type="auto"/>
          </w:tcPr>
          <w:p w14:paraId="54C4F936" w14:textId="77777777" w:rsidR="00065317" w:rsidRDefault="005C7BF7">
            <w:pPr>
              <w:pStyle w:val="Compact"/>
            </w:pPr>
            <w:r>
              <w:t>-</w:t>
            </w:r>
          </w:p>
        </w:tc>
        <w:tc>
          <w:tcPr>
            <w:tcW w:w="0" w:type="auto"/>
          </w:tcPr>
          <w:p w14:paraId="23998268" w14:textId="77777777" w:rsidR="00065317" w:rsidRDefault="005C7BF7">
            <w:pPr>
              <w:pStyle w:val="Compact"/>
            </w:pPr>
            <w:r>
              <w:t>-</w:t>
            </w:r>
          </w:p>
        </w:tc>
        <w:tc>
          <w:tcPr>
            <w:tcW w:w="0" w:type="auto"/>
          </w:tcPr>
          <w:p w14:paraId="532C97F0" w14:textId="77777777" w:rsidR="00065317" w:rsidRDefault="005C7BF7">
            <w:pPr>
              <w:pStyle w:val="Compact"/>
            </w:pPr>
            <w:r>
              <w:t>-</w:t>
            </w:r>
          </w:p>
        </w:tc>
        <w:tc>
          <w:tcPr>
            <w:tcW w:w="0" w:type="auto"/>
          </w:tcPr>
          <w:p w14:paraId="70CDA8F4" w14:textId="77777777" w:rsidR="00065317" w:rsidRDefault="005C7BF7">
            <w:pPr>
              <w:pStyle w:val="Compact"/>
            </w:pPr>
            <w:r>
              <w:t>-</w:t>
            </w:r>
          </w:p>
        </w:tc>
        <w:tc>
          <w:tcPr>
            <w:tcW w:w="0" w:type="auto"/>
            <w:gridSpan w:val="2"/>
          </w:tcPr>
          <w:p w14:paraId="1CD77F85" w14:textId="77777777" w:rsidR="00065317" w:rsidRDefault="005C7BF7">
            <w:pPr>
              <w:pStyle w:val="Compact"/>
            </w:pPr>
            <w:r>
              <w:rPr>
                <w:rStyle w:val="VerbatimChar"/>
                <w:i/>
                <w:iCs/>
              </w:rPr>
              <w:t>E32_Document_de_référence</w:t>
            </w:r>
          </w:p>
        </w:tc>
      </w:tr>
      <w:tr w:rsidR="00065317" w14:paraId="5AAE313E" w14:textId="77777777">
        <w:tc>
          <w:tcPr>
            <w:tcW w:w="0" w:type="auto"/>
          </w:tcPr>
          <w:p w14:paraId="4F26174B" w14:textId="77777777" w:rsidR="00065317" w:rsidRDefault="005C7BF7">
            <w:pPr>
              <w:pStyle w:val="Compact"/>
            </w:pPr>
            <w:r>
              <w:t>E33</w:t>
            </w:r>
          </w:p>
        </w:tc>
        <w:tc>
          <w:tcPr>
            <w:tcW w:w="0" w:type="auto"/>
          </w:tcPr>
          <w:p w14:paraId="03587D2E" w14:textId="77777777" w:rsidR="00065317" w:rsidRDefault="005C7BF7">
            <w:pPr>
              <w:pStyle w:val="Compact"/>
            </w:pPr>
            <w:r>
              <w:t>-</w:t>
            </w:r>
          </w:p>
        </w:tc>
        <w:tc>
          <w:tcPr>
            <w:tcW w:w="0" w:type="auto"/>
          </w:tcPr>
          <w:p w14:paraId="74C6F485" w14:textId="77777777" w:rsidR="00065317" w:rsidRDefault="005C7BF7">
            <w:pPr>
              <w:pStyle w:val="Compact"/>
            </w:pPr>
            <w:r>
              <w:t>-</w:t>
            </w:r>
          </w:p>
        </w:tc>
        <w:tc>
          <w:tcPr>
            <w:tcW w:w="0" w:type="auto"/>
          </w:tcPr>
          <w:p w14:paraId="0F9F95F8" w14:textId="77777777" w:rsidR="00065317" w:rsidRDefault="005C7BF7">
            <w:pPr>
              <w:pStyle w:val="Compact"/>
            </w:pPr>
            <w:r>
              <w:t>-</w:t>
            </w:r>
          </w:p>
        </w:tc>
        <w:tc>
          <w:tcPr>
            <w:tcW w:w="0" w:type="auto"/>
          </w:tcPr>
          <w:p w14:paraId="7849041C" w14:textId="77777777" w:rsidR="00065317" w:rsidRDefault="005C7BF7">
            <w:pPr>
              <w:pStyle w:val="Compact"/>
            </w:pPr>
            <w:r>
              <w:t>-</w:t>
            </w:r>
          </w:p>
        </w:tc>
        <w:tc>
          <w:tcPr>
            <w:tcW w:w="0" w:type="auto"/>
          </w:tcPr>
          <w:p w14:paraId="242FAF25" w14:textId="77777777" w:rsidR="00065317" w:rsidRDefault="005C7BF7">
            <w:pPr>
              <w:pStyle w:val="Compact"/>
            </w:pPr>
            <w:r>
              <w:t>-</w:t>
            </w:r>
          </w:p>
        </w:tc>
        <w:tc>
          <w:tcPr>
            <w:tcW w:w="0" w:type="auto"/>
          </w:tcPr>
          <w:p w14:paraId="545ED36A" w14:textId="77777777" w:rsidR="00065317" w:rsidRDefault="005C7BF7">
            <w:pPr>
              <w:pStyle w:val="Compact"/>
            </w:pPr>
            <w:r>
              <w:t>-</w:t>
            </w:r>
          </w:p>
        </w:tc>
        <w:tc>
          <w:tcPr>
            <w:tcW w:w="0" w:type="auto"/>
          </w:tcPr>
          <w:p w14:paraId="54E17375" w14:textId="77777777" w:rsidR="00065317" w:rsidRDefault="005C7BF7">
            <w:pPr>
              <w:pStyle w:val="Compact"/>
            </w:pPr>
            <w:r>
              <w:t>-</w:t>
            </w:r>
          </w:p>
        </w:tc>
        <w:tc>
          <w:tcPr>
            <w:tcW w:w="0" w:type="auto"/>
            <w:gridSpan w:val="3"/>
          </w:tcPr>
          <w:p w14:paraId="68172332" w14:textId="77777777" w:rsidR="00065317" w:rsidRDefault="005C7BF7">
            <w:pPr>
              <w:pStyle w:val="Compact"/>
            </w:pPr>
            <w:r>
              <w:rPr>
                <w:rStyle w:val="VerbatimChar"/>
                <w:i/>
                <w:iCs/>
              </w:rPr>
              <w:t>E33_Objet_linguistique</w:t>
            </w:r>
          </w:p>
        </w:tc>
      </w:tr>
      <w:tr w:rsidR="00065317" w14:paraId="0970AE79" w14:textId="77777777">
        <w:tc>
          <w:tcPr>
            <w:tcW w:w="0" w:type="auto"/>
          </w:tcPr>
          <w:p w14:paraId="67A40FEE" w14:textId="77777777" w:rsidR="00065317" w:rsidRDefault="005C7BF7">
            <w:pPr>
              <w:pStyle w:val="Compact"/>
            </w:pPr>
            <w:r>
              <w:t>E34</w:t>
            </w:r>
          </w:p>
        </w:tc>
        <w:tc>
          <w:tcPr>
            <w:tcW w:w="0" w:type="auto"/>
          </w:tcPr>
          <w:p w14:paraId="1C0419B2" w14:textId="77777777" w:rsidR="00065317" w:rsidRDefault="005C7BF7">
            <w:pPr>
              <w:pStyle w:val="Compact"/>
            </w:pPr>
            <w:r>
              <w:t>-</w:t>
            </w:r>
          </w:p>
        </w:tc>
        <w:tc>
          <w:tcPr>
            <w:tcW w:w="0" w:type="auto"/>
          </w:tcPr>
          <w:p w14:paraId="645A7B48" w14:textId="77777777" w:rsidR="00065317" w:rsidRDefault="005C7BF7">
            <w:pPr>
              <w:pStyle w:val="Compact"/>
            </w:pPr>
            <w:r>
              <w:t>-</w:t>
            </w:r>
          </w:p>
        </w:tc>
        <w:tc>
          <w:tcPr>
            <w:tcW w:w="0" w:type="auto"/>
          </w:tcPr>
          <w:p w14:paraId="7E386D24" w14:textId="77777777" w:rsidR="00065317" w:rsidRDefault="005C7BF7">
            <w:pPr>
              <w:pStyle w:val="Compact"/>
            </w:pPr>
            <w:r>
              <w:t>-</w:t>
            </w:r>
          </w:p>
        </w:tc>
        <w:tc>
          <w:tcPr>
            <w:tcW w:w="0" w:type="auto"/>
          </w:tcPr>
          <w:p w14:paraId="55C0052C" w14:textId="77777777" w:rsidR="00065317" w:rsidRDefault="005C7BF7">
            <w:pPr>
              <w:pStyle w:val="Compact"/>
            </w:pPr>
            <w:r>
              <w:t>-</w:t>
            </w:r>
          </w:p>
        </w:tc>
        <w:tc>
          <w:tcPr>
            <w:tcW w:w="0" w:type="auto"/>
          </w:tcPr>
          <w:p w14:paraId="42935601" w14:textId="77777777" w:rsidR="00065317" w:rsidRDefault="005C7BF7">
            <w:pPr>
              <w:pStyle w:val="Compact"/>
            </w:pPr>
            <w:r>
              <w:t>-</w:t>
            </w:r>
          </w:p>
        </w:tc>
        <w:tc>
          <w:tcPr>
            <w:tcW w:w="0" w:type="auto"/>
          </w:tcPr>
          <w:p w14:paraId="29574938" w14:textId="77777777" w:rsidR="00065317" w:rsidRDefault="005C7BF7">
            <w:pPr>
              <w:pStyle w:val="Compact"/>
            </w:pPr>
            <w:r>
              <w:t>-</w:t>
            </w:r>
          </w:p>
        </w:tc>
        <w:tc>
          <w:tcPr>
            <w:tcW w:w="0" w:type="auto"/>
          </w:tcPr>
          <w:p w14:paraId="14A0AF8E" w14:textId="77777777" w:rsidR="00065317" w:rsidRDefault="005C7BF7">
            <w:pPr>
              <w:pStyle w:val="Compact"/>
            </w:pPr>
            <w:r>
              <w:t>-</w:t>
            </w:r>
          </w:p>
        </w:tc>
        <w:tc>
          <w:tcPr>
            <w:tcW w:w="0" w:type="auto"/>
          </w:tcPr>
          <w:p w14:paraId="737B95A0" w14:textId="77777777" w:rsidR="00065317" w:rsidRDefault="005C7BF7">
            <w:pPr>
              <w:pStyle w:val="Compact"/>
            </w:pPr>
            <w:r>
              <w:t>-</w:t>
            </w:r>
          </w:p>
        </w:tc>
        <w:tc>
          <w:tcPr>
            <w:tcW w:w="0" w:type="auto"/>
            <w:gridSpan w:val="2"/>
          </w:tcPr>
          <w:p w14:paraId="6728206C" w14:textId="77777777" w:rsidR="00065317" w:rsidRDefault="005C7BF7">
            <w:pPr>
              <w:pStyle w:val="Compact"/>
            </w:pPr>
            <w:r>
              <w:rPr>
                <w:rStyle w:val="VerbatimChar"/>
                <w:i/>
                <w:iCs/>
              </w:rPr>
              <w:t>E34_Inscription</w:t>
            </w:r>
          </w:p>
        </w:tc>
      </w:tr>
      <w:tr w:rsidR="00065317" w14:paraId="05B2B820" w14:textId="77777777">
        <w:tc>
          <w:tcPr>
            <w:tcW w:w="0" w:type="auto"/>
          </w:tcPr>
          <w:p w14:paraId="42E20643" w14:textId="77777777" w:rsidR="00065317" w:rsidRDefault="005C7BF7">
            <w:pPr>
              <w:pStyle w:val="Compact"/>
            </w:pPr>
            <w:r>
              <w:t>E35</w:t>
            </w:r>
          </w:p>
        </w:tc>
        <w:tc>
          <w:tcPr>
            <w:tcW w:w="0" w:type="auto"/>
          </w:tcPr>
          <w:p w14:paraId="74171BEB" w14:textId="77777777" w:rsidR="00065317" w:rsidRDefault="005C7BF7">
            <w:pPr>
              <w:pStyle w:val="Compact"/>
            </w:pPr>
            <w:r>
              <w:t>-</w:t>
            </w:r>
          </w:p>
        </w:tc>
        <w:tc>
          <w:tcPr>
            <w:tcW w:w="0" w:type="auto"/>
          </w:tcPr>
          <w:p w14:paraId="3596EF92" w14:textId="77777777" w:rsidR="00065317" w:rsidRDefault="005C7BF7">
            <w:pPr>
              <w:pStyle w:val="Compact"/>
            </w:pPr>
            <w:r>
              <w:t>-</w:t>
            </w:r>
          </w:p>
        </w:tc>
        <w:tc>
          <w:tcPr>
            <w:tcW w:w="0" w:type="auto"/>
          </w:tcPr>
          <w:p w14:paraId="7A718EC6" w14:textId="77777777" w:rsidR="00065317" w:rsidRDefault="005C7BF7">
            <w:pPr>
              <w:pStyle w:val="Compact"/>
            </w:pPr>
            <w:r>
              <w:t>-</w:t>
            </w:r>
          </w:p>
        </w:tc>
        <w:tc>
          <w:tcPr>
            <w:tcW w:w="0" w:type="auto"/>
          </w:tcPr>
          <w:p w14:paraId="717F40DB" w14:textId="77777777" w:rsidR="00065317" w:rsidRDefault="005C7BF7">
            <w:pPr>
              <w:pStyle w:val="Compact"/>
            </w:pPr>
            <w:r>
              <w:t>-</w:t>
            </w:r>
          </w:p>
        </w:tc>
        <w:tc>
          <w:tcPr>
            <w:tcW w:w="0" w:type="auto"/>
          </w:tcPr>
          <w:p w14:paraId="39E8065F" w14:textId="77777777" w:rsidR="00065317" w:rsidRDefault="005C7BF7">
            <w:pPr>
              <w:pStyle w:val="Compact"/>
            </w:pPr>
            <w:r>
              <w:t>-</w:t>
            </w:r>
          </w:p>
        </w:tc>
        <w:tc>
          <w:tcPr>
            <w:tcW w:w="0" w:type="auto"/>
          </w:tcPr>
          <w:p w14:paraId="15494B3F" w14:textId="77777777" w:rsidR="00065317" w:rsidRDefault="005C7BF7">
            <w:pPr>
              <w:pStyle w:val="Compact"/>
            </w:pPr>
            <w:r>
              <w:t>-</w:t>
            </w:r>
          </w:p>
        </w:tc>
        <w:tc>
          <w:tcPr>
            <w:tcW w:w="0" w:type="auto"/>
          </w:tcPr>
          <w:p w14:paraId="37D87678" w14:textId="77777777" w:rsidR="00065317" w:rsidRDefault="005C7BF7">
            <w:pPr>
              <w:pStyle w:val="Compact"/>
            </w:pPr>
            <w:r>
              <w:t>-</w:t>
            </w:r>
          </w:p>
        </w:tc>
        <w:tc>
          <w:tcPr>
            <w:tcW w:w="0" w:type="auto"/>
          </w:tcPr>
          <w:p w14:paraId="0645B77C" w14:textId="77777777" w:rsidR="00065317" w:rsidRDefault="005C7BF7">
            <w:pPr>
              <w:pStyle w:val="Compact"/>
            </w:pPr>
            <w:r>
              <w:t>-</w:t>
            </w:r>
          </w:p>
        </w:tc>
        <w:tc>
          <w:tcPr>
            <w:tcW w:w="0" w:type="auto"/>
            <w:gridSpan w:val="2"/>
          </w:tcPr>
          <w:p w14:paraId="3B9CB403" w14:textId="77777777" w:rsidR="00065317" w:rsidRDefault="005C7BF7">
            <w:pPr>
              <w:pStyle w:val="Compact"/>
            </w:pPr>
            <w:r>
              <w:rPr>
                <w:rStyle w:val="VerbatimChar"/>
                <w:i/>
                <w:iCs/>
              </w:rPr>
              <w:t>E35_Titre</w:t>
            </w:r>
          </w:p>
        </w:tc>
      </w:tr>
      <w:tr w:rsidR="00065317" w14:paraId="3371270B" w14:textId="77777777">
        <w:tc>
          <w:tcPr>
            <w:tcW w:w="0" w:type="auto"/>
          </w:tcPr>
          <w:p w14:paraId="344E5FB8" w14:textId="77777777" w:rsidR="00065317" w:rsidRDefault="005C7BF7">
            <w:pPr>
              <w:pStyle w:val="Compact"/>
            </w:pPr>
            <w:r>
              <w:t>E36</w:t>
            </w:r>
          </w:p>
        </w:tc>
        <w:tc>
          <w:tcPr>
            <w:tcW w:w="0" w:type="auto"/>
          </w:tcPr>
          <w:p w14:paraId="3DBAE33F" w14:textId="77777777" w:rsidR="00065317" w:rsidRDefault="005C7BF7">
            <w:pPr>
              <w:pStyle w:val="Compact"/>
            </w:pPr>
            <w:r>
              <w:t>-</w:t>
            </w:r>
          </w:p>
        </w:tc>
        <w:tc>
          <w:tcPr>
            <w:tcW w:w="0" w:type="auto"/>
          </w:tcPr>
          <w:p w14:paraId="45ACB3B7" w14:textId="77777777" w:rsidR="00065317" w:rsidRDefault="005C7BF7">
            <w:pPr>
              <w:pStyle w:val="Compact"/>
            </w:pPr>
            <w:r>
              <w:t>-</w:t>
            </w:r>
          </w:p>
        </w:tc>
        <w:tc>
          <w:tcPr>
            <w:tcW w:w="0" w:type="auto"/>
          </w:tcPr>
          <w:p w14:paraId="0D77466E" w14:textId="77777777" w:rsidR="00065317" w:rsidRDefault="005C7BF7">
            <w:pPr>
              <w:pStyle w:val="Compact"/>
            </w:pPr>
            <w:r>
              <w:t>-</w:t>
            </w:r>
          </w:p>
        </w:tc>
        <w:tc>
          <w:tcPr>
            <w:tcW w:w="0" w:type="auto"/>
          </w:tcPr>
          <w:p w14:paraId="33D5A05C" w14:textId="77777777" w:rsidR="00065317" w:rsidRDefault="005C7BF7">
            <w:pPr>
              <w:pStyle w:val="Compact"/>
            </w:pPr>
            <w:r>
              <w:t>-</w:t>
            </w:r>
          </w:p>
        </w:tc>
        <w:tc>
          <w:tcPr>
            <w:tcW w:w="0" w:type="auto"/>
          </w:tcPr>
          <w:p w14:paraId="2575BE51" w14:textId="77777777" w:rsidR="00065317" w:rsidRDefault="005C7BF7">
            <w:pPr>
              <w:pStyle w:val="Compact"/>
            </w:pPr>
            <w:r>
              <w:t>-</w:t>
            </w:r>
          </w:p>
        </w:tc>
        <w:tc>
          <w:tcPr>
            <w:tcW w:w="0" w:type="auto"/>
          </w:tcPr>
          <w:p w14:paraId="3112FB8C" w14:textId="77777777" w:rsidR="00065317" w:rsidRDefault="005C7BF7">
            <w:pPr>
              <w:pStyle w:val="Compact"/>
            </w:pPr>
            <w:r>
              <w:t>-</w:t>
            </w:r>
          </w:p>
        </w:tc>
        <w:tc>
          <w:tcPr>
            <w:tcW w:w="0" w:type="auto"/>
          </w:tcPr>
          <w:p w14:paraId="404906B2" w14:textId="77777777" w:rsidR="00065317" w:rsidRDefault="005C7BF7">
            <w:pPr>
              <w:pStyle w:val="Compact"/>
            </w:pPr>
            <w:r>
              <w:t>-</w:t>
            </w:r>
          </w:p>
        </w:tc>
        <w:tc>
          <w:tcPr>
            <w:tcW w:w="0" w:type="auto"/>
            <w:gridSpan w:val="3"/>
          </w:tcPr>
          <w:p w14:paraId="4C92B687" w14:textId="77777777" w:rsidR="00065317" w:rsidRDefault="005C7BF7">
            <w:pPr>
              <w:pStyle w:val="Compact"/>
            </w:pPr>
            <w:r>
              <w:rPr>
                <w:rStyle w:val="VerbatimChar"/>
                <w:i/>
                <w:iCs/>
              </w:rPr>
              <w:t>E36_Entité_visuelle</w:t>
            </w:r>
          </w:p>
        </w:tc>
      </w:tr>
      <w:tr w:rsidR="00065317" w14:paraId="5ED423E3" w14:textId="77777777">
        <w:tc>
          <w:tcPr>
            <w:tcW w:w="0" w:type="auto"/>
          </w:tcPr>
          <w:p w14:paraId="16F3AE36" w14:textId="77777777" w:rsidR="00065317" w:rsidRDefault="005C7BF7">
            <w:pPr>
              <w:pStyle w:val="Compact"/>
            </w:pPr>
            <w:r>
              <w:t>E37</w:t>
            </w:r>
          </w:p>
        </w:tc>
        <w:tc>
          <w:tcPr>
            <w:tcW w:w="0" w:type="auto"/>
          </w:tcPr>
          <w:p w14:paraId="1D6EFF99" w14:textId="77777777" w:rsidR="00065317" w:rsidRDefault="005C7BF7">
            <w:pPr>
              <w:pStyle w:val="Compact"/>
            </w:pPr>
            <w:r>
              <w:t>-</w:t>
            </w:r>
          </w:p>
        </w:tc>
        <w:tc>
          <w:tcPr>
            <w:tcW w:w="0" w:type="auto"/>
          </w:tcPr>
          <w:p w14:paraId="465049FA" w14:textId="77777777" w:rsidR="00065317" w:rsidRDefault="005C7BF7">
            <w:pPr>
              <w:pStyle w:val="Compact"/>
            </w:pPr>
            <w:r>
              <w:t>-</w:t>
            </w:r>
          </w:p>
        </w:tc>
        <w:tc>
          <w:tcPr>
            <w:tcW w:w="0" w:type="auto"/>
          </w:tcPr>
          <w:p w14:paraId="1132DAE8" w14:textId="77777777" w:rsidR="00065317" w:rsidRDefault="005C7BF7">
            <w:pPr>
              <w:pStyle w:val="Compact"/>
            </w:pPr>
            <w:r>
              <w:t>-</w:t>
            </w:r>
          </w:p>
        </w:tc>
        <w:tc>
          <w:tcPr>
            <w:tcW w:w="0" w:type="auto"/>
          </w:tcPr>
          <w:p w14:paraId="6704BD03" w14:textId="77777777" w:rsidR="00065317" w:rsidRDefault="005C7BF7">
            <w:pPr>
              <w:pStyle w:val="Compact"/>
            </w:pPr>
            <w:r>
              <w:t>-</w:t>
            </w:r>
          </w:p>
        </w:tc>
        <w:tc>
          <w:tcPr>
            <w:tcW w:w="0" w:type="auto"/>
          </w:tcPr>
          <w:p w14:paraId="3BD407EA" w14:textId="77777777" w:rsidR="00065317" w:rsidRDefault="005C7BF7">
            <w:pPr>
              <w:pStyle w:val="Compact"/>
            </w:pPr>
            <w:r>
              <w:t>-</w:t>
            </w:r>
          </w:p>
        </w:tc>
        <w:tc>
          <w:tcPr>
            <w:tcW w:w="0" w:type="auto"/>
          </w:tcPr>
          <w:p w14:paraId="50405E18" w14:textId="77777777" w:rsidR="00065317" w:rsidRDefault="005C7BF7">
            <w:pPr>
              <w:pStyle w:val="Compact"/>
            </w:pPr>
            <w:r>
              <w:t>-</w:t>
            </w:r>
          </w:p>
        </w:tc>
        <w:tc>
          <w:tcPr>
            <w:tcW w:w="0" w:type="auto"/>
          </w:tcPr>
          <w:p w14:paraId="5066A080" w14:textId="77777777" w:rsidR="00065317" w:rsidRDefault="005C7BF7">
            <w:pPr>
              <w:pStyle w:val="Compact"/>
            </w:pPr>
            <w:r>
              <w:t>-</w:t>
            </w:r>
          </w:p>
        </w:tc>
        <w:tc>
          <w:tcPr>
            <w:tcW w:w="0" w:type="auto"/>
          </w:tcPr>
          <w:p w14:paraId="0C2829EA" w14:textId="77777777" w:rsidR="00065317" w:rsidRDefault="005C7BF7">
            <w:pPr>
              <w:pStyle w:val="Compact"/>
            </w:pPr>
            <w:r>
              <w:t>-</w:t>
            </w:r>
          </w:p>
        </w:tc>
        <w:tc>
          <w:tcPr>
            <w:tcW w:w="0" w:type="auto"/>
            <w:gridSpan w:val="2"/>
          </w:tcPr>
          <w:p w14:paraId="7BDCC08F" w14:textId="77777777" w:rsidR="00065317" w:rsidRDefault="005C7BF7">
            <w:pPr>
              <w:pStyle w:val="Compact"/>
            </w:pPr>
            <w:r>
              <w:rPr>
                <w:rStyle w:val="VerbatimChar"/>
                <w:i/>
                <w:iCs/>
              </w:rPr>
              <w:t>E37_Marque</w:t>
            </w:r>
          </w:p>
        </w:tc>
      </w:tr>
      <w:tr w:rsidR="00065317" w14:paraId="76561264" w14:textId="77777777">
        <w:tc>
          <w:tcPr>
            <w:tcW w:w="0" w:type="auto"/>
          </w:tcPr>
          <w:p w14:paraId="0B7191B6" w14:textId="77777777" w:rsidR="00065317" w:rsidRDefault="005C7BF7">
            <w:pPr>
              <w:pStyle w:val="Compact"/>
            </w:pPr>
            <w:r>
              <w:t>E34</w:t>
            </w:r>
          </w:p>
        </w:tc>
        <w:tc>
          <w:tcPr>
            <w:tcW w:w="0" w:type="auto"/>
          </w:tcPr>
          <w:p w14:paraId="1EEFA938" w14:textId="77777777" w:rsidR="00065317" w:rsidRDefault="005C7BF7">
            <w:pPr>
              <w:pStyle w:val="Compact"/>
            </w:pPr>
            <w:r>
              <w:t>-</w:t>
            </w:r>
          </w:p>
        </w:tc>
        <w:tc>
          <w:tcPr>
            <w:tcW w:w="0" w:type="auto"/>
          </w:tcPr>
          <w:p w14:paraId="6B3B825D" w14:textId="77777777" w:rsidR="00065317" w:rsidRDefault="005C7BF7">
            <w:pPr>
              <w:pStyle w:val="Compact"/>
            </w:pPr>
            <w:r>
              <w:t>-</w:t>
            </w:r>
          </w:p>
        </w:tc>
        <w:tc>
          <w:tcPr>
            <w:tcW w:w="0" w:type="auto"/>
          </w:tcPr>
          <w:p w14:paraId="65050C64" w14:textId="77777777" w:rsidR="00065317" w:rsidRDefault="005C7BF7">
            <w:pPr>
              <w:pStyle w:val="Compact"/>
            </w:pPr>
            <w:r>
              <w:t>-</w:t>
            </w:r>
          </w:p>
        </w:tc>
        <w:tc>
          <w:tcPr>
            <w:tcW w:w="0" w:type="auto"/>
          </w:tcPr>
          <w:p w14:paraId="0DB933AB" w14:textId="77777777" w:rsidR="00065317" w:rsidRDefault="005C7BF7">
            <w:pPr>
              <w:pStyle w:val="Compact"/>
            </w:pPr>
            <w:r>
              <w:t>-</w:t>
            </w:r>
          </w:p>
        </w:tc>
        <w:tc>
          <w:tcPr>
            <w:tcW w:w="0" w:type="auto"/>
          </w:tcPr>
          <w:p w14:paraId="14FFEAB6" w14:textId="77777777" w:rsidR="00065317" w:rsidRDefault="005C7BF7">
            <w:pPr>
              <w:pStyle w:val="Compact"/>
            </w:pPr>
            <w:r>
              <w:t>-</w:t>
            </w:r>
          </w:p>
        </w:tc>
        <w:tc>
          <w:tcPr>
            <w:tcW w:w="0" w:type="auto"/>
          </w:tcPr>
          <w:p w14:paraId="38DBF573" w14:textId="77777777" w:rsidR="00065317" w:rsidRDefault="005C7BF7">
            <w:pPr>
              <w:pStyle w:val="Compact"/>
            </w:pPr>
            <w:r>
              <w:t>-</w:t>
            </w:r>
          </w:p>
        </w:tc>
        <w:tc>
          <w:tcPr>
            <w:tcW w:w="0" w:type="auto"/>
          </w:tcPr>
          <w:p w14:paraId="6964127E" w14:textId="77777777" w:rsidR="00065317" w:rsidRDefault="005C7BF7">
            <w:pPr>
              <w:pStyle w:val="Compact"/>
            </w:pPr>
            <w:r>
              <w:t>-</w:t>
            </w:r>
          </w:p>
        </w:tc>
        <w:tc>
          <w:tcPr>
            <w:tcW w:w="0" w:type="auto"/>
          </w:tcPr>
          <w:p w14:paraId="3F26642F" w14:textId="77777777" w:rsidR="00065317" w:rsidRDefault="005C7BF7">
            <w:pPr>
              <w:pStyle w:val="Compact"/>
            </w:pPr>
            <w:r>
              <w:t>-</w:t>
            </w:r>
          </w:p>
        </w:tc>
        <w:tc>
          <w:tcPr>
            <w:tcW w:w="0" w:type="auto"/>
          </w:tcPr>
          <w:p w14:paraId="3EDE34F1" w14:textId="77777777" w:rsidR="00065317" w:rsidRDefault="005C7BF7">
            <w:pPr>
              <w:pStyle w:val="Compact"/>
            </w:pPr>
            <w:r>
              <w:t>-</w:t>
            </w:r>
          </w:p>
        </w:tc>
        <w:tc>
          <w:tcPr>
            <w:tcW w:w="0" w:type="auto"/>
          </w:tcPr>
          <w:p w14:paraId="6DA1E188" w14:textId="77777777" w:rsidR="00065317" w:rsidRDefault="005C7BF7">
            <w:pPr>
              <w:pStyle w:val="Compact"/>
            </w:pPr>
            <w:r>
              <w:rPr>
                <w:rStyle w:val="VerbatimChar"/>
                <w:i/>
                <w:iCs/>
              </w:rPr>
              <w:t>E34_Inscription</w:t>
            </w:r>
          </w:p>
        </w:tc>
      </w:tr>
      <w:tr w:rsidR="00065317" w14:paraId="0F3E31EE" w14:textId="77777777">
        <w:tc>
          <w:tcPr>
            <w:tcW w:w="0" w:type="auto"/>
          </w:tcPr>
          <w:p w14:paraId="5F0C8D6C" w14:textId="77777777" w:rsidR="00065317" w:rsidRDefault="005C7BF7">
            <w:pPr>
              <w:pStyle w:val="Compact"/>
            </w:pPr>
            <w:r>
              <w:t>E41</w:t>
            </w:r>
          </w:p>
        </w:tc>
        <w:tc>
          <w:tcPr>
            <w:tcW w:w="0" w:type="auto"/>
          </w:tcPr>
          <w:p w14:paraId="7F9A5540" w14:textId="77777777" w:rsidR="00065317" w:rsidRDefault="005C7BF7">
            <w:pPr>
              <w:pStyle w:val="Compact"/>
            </w:pPr>
            <w:r>
              <w:t>-</w:t>
            </w:r>
          </w:p>
        </w:tc>
        <w:tc>
          <w:tcPr>
            <w:tcW w:w="0" w:type="auto"/>
          </w:tcPr>
          <w:p w14:paraId="5EC58377" w14:textId="77777777" w:rsidR="00065317" w:rsidRDefault="005C7BF7">
            <w:pPr>
              <w:pStyle w:val="Compact"/>
            </w:pPr>
            <w:r>
              <w:t>-</w:t>
            </w:r>
          </w:p>
        </w:tc>
        <w:tc>
          <w:tcPr>
            <w:tcW w:w="0" w:type="auto"/>
          </w:tcPr>
          <w:p w14:paraId="5A5158F3" w14:textId="77777777" w:rsidR="00065317" w:rsidRDefault="005C7BF7">
            <w:pPr>
              <w:pStyle w:val="Compact"/>
            </w:pPr>
            <w:r>
              <w:t>-</w:t>
            </w:r>
          </w:p>
        </w:tc>
        <w:tc>
          <w:tcPr>
            <w:tcW w:w="0" w:type="auto"/>
          </w:tcPr>
          <w:p w14:paraId="7DCE519E" w14:textId="77777777" w:rsidR="00065317" w:rsidRDefault="005C7BF7">
            <w:pPr>
              <w:pStyle w:val="Compact"/>
            </w:pPr>
            <w:r>
              <w:t>-</w:t>
            </w:r>
          </w:p>
        </w:tc>
        <w:tc>
          <w:tcPr>
            <w:tcW w:w="0" w:type="auto"/>
          </w:tcPr>
          <w:p w14:paraId="6F1E1774" w14:textId="77777777" w:rsidR="00065317" w:rsidRDefault="005C7BF7">
            <w:pPr>
              <w:pStyle w:val="Compact"/>
            </w:pPr>
            <w:r>
              <w:t>-</w:t>
            </w:r>
          </w:p>
        </w:tc>
        <w:tc>
          <w:tcPr>
            <w:tcW w:w="0" w:type="auto"/>
          </w:tcPr>
          <w:p w14:paraId="70769D1F" w14:textId="77777777" w:rsidR="00065317" w:rsidRDefault="005C7BF7">
            <w:pPr>
              <w:pStyle w:val="Compact"/>
            </w:pPr>
            <w:r>
              <w:t>-</w:t>
            </w:r>
          </w:p>
        </w:tc>
        <w:tc>
          <w:tcPr>
            <w:tcW w:w="0" w:type="auto"/>
            <w:gridSpan w:val="4"/>
          </w:tcPr>
          <w:p w14:paraId="1176A254" w14:textId="77777777" w:rsidR="00065317" w:rsidRDefault="005C7BF7">
            <w:pPr>
              <w:pStyle w:val="Compact"/>
            </w:pPr>
            <w:r>
              <w:rPr>
                <w:rStyle w:val="VerbatimChar"/>
                <w:i/>
                <w:iCs/>
              </w:rPr>
              <w:t>E41_Appellation</w:t>
            </w:r>
          </w:p>
        </w:tc>
      </w:tr>
      <w:tr w:rsidR="00065317" w14:paraId="056BB31C" w14:textId="77777777">
        <w:tc>
          <w:tcPr>
            <w:tcW w:w="0" w:type="auto"/>
          </w:tcPr>
          <w:p w14:paraId="600E40E4" w14:textId="77777777" w:rsidR="00065317" w:rsidRDefault="005C7BF7">
            <w:pPr>
              <w:pStyle w:val="Compact"/>
            </w:pPr>
            <w:r>
              <w:t>E42</w:t>
            </w:r>
          </w:p>
        </w:tc>
        <w:tc>
          <w:tcPr>
            <w:tcW w:w="0" w:type="auto"/>
          </w:tcPr>
          <w:p w14:paraId="1DDC44F8" w14:textId="77777777" w:rsidR="00065317" w:rsidRDefault="005C7BF7">
            <w:pPr>
              <w:pStyle w:val="Compact"/>
            </w:pPr>
            <w:r>
              <w:t>-</w:t>
            </w:r>
          </w:p>
        </w:tc>
        <w:tc>
          <w:tcPr>
            <w:tcW w:w="0" w:type="auto"/>
          </w:tcPr>
          <w:p w14:paraId="264EA547" w14:textId="77777777" w:rsidR="00065317" w:rsidRDefault="005C7BF7">
            <w:pPr>
              <w:pStyle w:val="Compact"/>
            </w:pPr>
            <w:r>
              <w:t>-</w:t>
            </w:r>
          </w:p>
        </w:tc>
        <w:tc>
          <w:tcPr>
            <w:tcW w:w="0" w:type="auto"/>
          </w:tcPr>
          <w:p w14:paraId="32275DB3" w14:textId="77777777" w:rsidR="00065317" w:rsidRDefault="005C7BF7">
            <w:pPr>
              <w:pStyle w:val="Compact"/>
            </w:pPr>
            <w:r>
              <w:t>-</w:t>
            </w:r>
          </w:p>
        </w:tc>
        <w:tc>
          <w:tcPr>
            <w:tcW w:w="0" w:type="auto"/>
          </w:tcPr>
          <w:p w14:paraId="2B426BC1" w14:textId="77777777" w:rsidR="00065317" w:rsidRDefault="005C7BF7">
            <w:pPr>
              <w:pStyle w:val="Compact"/>
            </w:pPr>
            <w:r>
              <w:t>-</w:t>
            </w:r>
          </w:p>
        </w:tc>
        <w:tc>
          <w:tcPr>
            <w:tcW w:w="0" w:type="auto"/>
          </w:tcPr>
          <w:p w14:paraId="2E2C88C8" w14:textId="77777777" w:rsidR="00065317" w:rsidRDefault="005C7BF7">
            <w:pPr>
              <w:pStyle w:val="Compact"/>
            </w:pPr>
            <w:r>
              <w:t>-</w:t>
            </w:r>
          </w:p>
        </w:tc>
        <w:tc>
          <w:tcPr>
            <w:tcW w:w="0" w:type="auto"/>
          </w:tcPr>
          <w:p w14:paraId="7D8826F0" w14:textId="77777777" w:rsidR="00065317" w:rsidRDefault="005C7BF7">
            <w:pPr>
              <w:pStyle w:val="Compact"/>
            </w:pPr>
            <w:r>
              <w:t>-</w:t>
            </w:r>
          </w:p>
        </w:tc>
        <w:tc>
          <w:tcPr>
            <w:tcW w:w="0" w:type="auto"/>
          </w:tcPr>
          <w:p w14:paraId="6B4AAD8F" w14:textId="77777777" w:rsidR="00065317" w:rsidRDefault="005C7BF7">
            <w:pPr>
              <w:pStyle w:val="Compact"/>
            </w:pPr>
            <w:r>
              <w:t>-</w:t>
            </w:r>
          </w:p>
        </w:tc>
        <w:tc>
          <w:tcPr>
            <w:tcW w:w="0" w:type="auto"/>
            <w:gridSpan w:val="3"/>
          </w:tcPr>
          <w:p w14:paraId="2AF14834" w14:textId="77777777" w:rsidR="00065317" w:rsidRDefault="005C7BF7">
            <w:pPr>
              <w:pStyle w:val="Compact"/>
            </w:pPr>
            <w:r>
              <w:rPr>
                <w:rStyle w:val="VerbatimChar"/>
                <w:i/>
                <w:iCs/>
              </w:rPr>
              <w:t>E42_Identifiant</w:t>
            </w:r>
          </w:p>
        </w:tc>
      </w:tr>
      <w:tr w:rsidR="00065317" w14:paraId="49EB2CA3" w14:textId="77777777">
        <w:tc>
          <w:tcPr>
            <w:tcW w:w="0" w:type="auto"/>
          </w:tcPr>
          <w:p w14:paraId="0FC2DFD7" w14:textId="77777777" w:rsidR="00065317" w:rsidRDefault="005C7BF7">
            <w:pPr>
              <w:pStyle w:val="Compact"/>
            </w:pPr>
            <w:r>
              <w:t>E35</w:t>
            </w:r>
          </w:p>
        </w:tc>
        <w:tc>
          <w:tcPr>
            <w:tcW w:w="0" w:type="auto"/>
          </w:tcPr>
          <w:p w14:paraId="4211E417" w14:textId="77777777" w:rsidR="00065317" w:rsidRDefault="005C7BF7">
            <w:pPr>
              <w:pStyle w:val="Compact"/>
            </w:pPr>
            <w:r>
              <w:t>-</w:t>
            </w:r>
          </w:p>
        </w:tc>
        <w:tc>
          <w:tcPr>
            <w:tcW w:w="0" w:type="auto"/>
          </w:tcPr>
          <w:p w14:paraId="43682DE8" w14:textId="77777777" w:rsidR="00065317" w:rsidRDefault="005C7BF7">
            <w:pPr>
              <w:pStyle w:val="Compact"/>
            </w:pPr>
            <w:r>
              <w:t>-</w:t>
            </w:r>
          </w:p>
        </w:tc>
        <w:tc>
          <w:tcPr>
            <w:tcW w:w="0" w:type="auto"/>
          </w:tcPr>
          <w:p w14:paraId="0EB5F82C" w14:textId="77777777" w:rsidR="00065317" w:rsidRDefault="005C7BF7">
            <w:pPr>
              <w:pStyle w:val="Compact"/>
            </w:pPr>
            <w:r>
              <w:t>-</w:t>
            </w:r>
          </w:p>
        </w:tc>
        <w:tc>
          <w:tcPr>
            <w:tcW w:w="0" w:type="auto"/>
          </w:tcPr>
          <w:p w14:paraId="75FE701F" w14:textId="77777777" w:rsidR="00065317" w:rsidRDefault="005C7BF7">
            <w:pPr>
              <w:pStyle w:val="Compact"/>
            </w:pPr>
            <w:r>
              <w:t>-</w:t>
            </w:r>
          </w:p>
        </w:tc>
        <w:tc>
          <w:tcPr>
            <w:tcW w:w="0" w:type="auto"/>
          </w:tcPr>
          <w:p w14:paraId="3D2041AF" w14:textId="77777777" w:rsidR="00065317" w:rsidRDefault="005C7BF7">
            <w:pPr>
              <w:pStyle w:val="Compact"/>
            </w:pPr>
            <w:r>
              <w:t>-</w:t>
            </w:r>
          </w:p>
        </w:tc>
        <w:tc>
          <w:tcPr>
            <w:tcW w:w="0" w:type="auto"/>
          </w:tcPr>
          <w:p w14:paraId="1984AA1F" w14:textId="77777777" w:rsidR="00065317" w:rsidRDefault="005C7BF7">
            <w:pPr>
              <w:pStyle w:val="Compact"/>
            </w:pPr>
            <w:r>
              <w:t>-</w:t>
            </w:r>
          </w:p>
        </w:tc>
        <w:tc>
          <w:tcPr>
            <w:tcW w:w="0" w:type="auto"/>
          </w:tcPr>
          <w:p w14:paraId="117F2F0C" w14:textId="77777777" w:rsidR="00065317" w:rsidRDefault="005C7BF7">
            <w:pPr>
              <w:pStyle w:val="Compact"/>
            </w:pPr>
            <w:r>
              <w:t>-</w:t>
            </w:r>
          </w:p>
        </w:tc>
        <w:tc>
          <w:tcPr>
            <w:tcW w:w="0" w:type="auto"/>
            <w:gridSpan w:val="3"/>
          </w:tcPr>
          <w:p w14:paraId="573C9349" w14:textId="77777777" w:rsidR="00065317" w:rsidRDefault="005C7BF7">
            <w:pPr>
              <w:pStyle w:val="Compact"/>
            </w:pPr>
            <w:r>
              <w:rPr>
                <w:rStyle w:val="VerbatimChar"/>
                <w:i/>
                <w:iCs/>
              </w:rPr>
              <w:t>E35_Titre</w:t>
            </w:r>
          </w:p>
        </w:tc>
      </w:tr>
      <w:tr w:rsidR="00065317" w14:paraId="56099635" w14:textId="77777777">
        <w:tc>
          <w:tcPr>
            <w:tcW w:w="0" w:type="auto"/>
          </w:tcPr>
          <w:p w14:paraId="5E1C503D" w14:textId="77777777" w:rsidR="00065317" w:rsidRDefault="005C7BF7">
            <w:pPr>
              <w:pStyle w:val="Compact"/>
            </w:pPr>
            <w:r>
              <w:t>E95</w:t>
            </w:r>
          </w:p>
        </w:tc>
        <w:tc>
          <w:tcPr>
            <w:tcW w:w="0" w:type="auto"/>
          </w:tcPr>
          <w:p w14:paraId="7F3F2AFE" w14:textId="77777777" w:rsidR="00065317" w:rsidRDefault="005C7BF7">
            <w:pPr>
              <w:pStyle w:val="Compact"/>
            </w:pPr>
            <w:r>
              <w:t>-</w:t>
            </w:r>
          </w:p>
        </w:tc>
        <w:tc>
          <w:tcPr>
            <w:tcW w:w="0" w:type="auto"/>
          </w:tcPr>
          <w:p w14:paraId="356155A0" w14:textId="77777777" w:rsidR="00065317" w:rsidRDefault="005C7BF7">
            <w:pPr>
              <w:pStyle w:val="Compact"/>
            </w:pPr>
            <w:r>
              <w:t>-</w:t>
            </w:r>
          </w:p>
        </w:tc>
        <w:tc>
          <w:tcPr>
            <w:tcW w:w="0" w:type="auto"/>
          </w:tcPr>
          <w:p w14:paraId="721E9EA2" w14:textId="77777777" w:rsidR="00065317" w:rsidRDefault="005C7BF7">
            <w:pPr>
              <w:pStyle w:val="Compact"/>
            </w:pPr>
            <w:r>
              <w:t>-</w:t>
            </w:r>
          </w:p>
        </w:tc>
        <w:tc>
          <w:tcPr>
            <w:tcW w:w="0" w:type="auto"/>
          </w:tcPr>
          <w:p w14:paraId="1BB89FF2" w14:textId="77777777" w:rsidR="00065317" w:rsidRDefault="005C7BF7">
            <w:pPr>
              <w:pStyle w:val="Compact"/>
            </w:pPr>
            <w:r>
              <w:t>-</w:t>
            </w:r>
          </w:p>
        </w:tc>
        <w:tc>
          <w:tcPr>
            <w:tcW w:w="0" w:type="auto"/>
          </w:tcPr>
          <w:p w14:paraId="14DCBA65" w14:textId="77777777" w:rsidR="00065317" w:rsidRDefault="005C7BF7">
            <w:pPr>
              <w:pStyle w:val="Compact"/>
            </w:pPr>
            <w:r>
              <w:t>-</w:t>
            </w:r>
          </w:p>
        </w:tc>
        <w:tc>
          <w:tcPr>
            <w:tcW w:w="0" w:type="auto"/>
          </w:tcPr>
          <w:p w14:paraId="72E75FFF" w14:textId="77777777" w:rsidR="00065317" w:rsidRDefault="005C7BF7">
            <w:pPr>
              <w:pStyle w:val="Compact"/>
            </w:pPr>
            <w:r>
              <w:t>-</w:t>
            </w:r>
          </w:p>
        </w:tc>
        <w:tc>
          <w:tcPr>
            <w:tcW w:w="0" w:type="auto"/>
          </w:tcPr>
          <w:p w14:paraId="315AB964" w14:textId="77777777" w:rsidR="00065317" w:rsidRDefault="005C7BF7">
            <w:pPr>
              <w:pStyle w:val="Compact"/>
            </w:pPr>
            <w:r>
              <w:t>-</w:t>
            </w:r>
          </w:p>
        </w:tc>
        <w:tc>
          <w:tcPr>
            <w:tcW w:w="0" w:type="auto"/>
            <w:gridSpan w:val="3"/>
          </w:tcPr>
          <w:p w14:paraId="0086FFA2" w14:textId="77777777" w:rsidR="00065317" w:rsidRDefault="005C7BF7">
            <w:pPr>
              <w:pStyle w:val="Compact"/>
            </w:pPr>
            <w:r>
              <w:rPr>
                <w:rStyle w:val="VerbatimChar"/>
                <w:i/>
                <w:iCs/>
              </w:rPr>
              <w:t>E95_Primitive_spatio-temporelle</w:t>
            </w:r>
          </w:p>
        </w:tc>
      </w:tr>
      <w:tr w:rsidR="00065317" w14:paraId="08A920AF" w14:textId="77777777">
        <w:tc>
          <w:tcPr>
            <w:tcW w:w="0" w:type="auto"/>
          </w:tcPr>
          <w:p w14:paraId="48D45D79" w14:textId="77777777" w:rsidR="00065317" w:rsidRDefault="005C7BF7">
            <w:pPr>
              <w:pStyle w:val="Compact"/>
            </w:pPr>
            <w:r>
              <w:t>E94</w:t>
            </w:r>
          </w:p>
        </w:tc>
        <w:tc>
          <w:tcPr>
            <w:tcW w:w="0" w:type="auto"/>
          </w:tcPr>
          <w:p w14:paraId="1612D7AE" w14:textId="77777777" w:rsidR="00065317" w:rsidRDefault="005C7BF7">
            <w:pPr>
              <w:pStyle w:val="Compact"/>
            </w:pPr>
            <w:r>
              <w:t>-</w:t>
            </w:r>
          </w:p>
        </w:tc>
        <w:tc>
          <w:tcPr>
            <w:tcW w:w="0" w:type="auto"/>
          </w:tcPr>
          <w:p w14:paraId="6BE8F730" w14:textId="77777777" w:rsidR="00065317" w:rsidRDefault="005C7BF7">
            <w:pPr>
              <w:pStyle w:val="Compact"/>
            </w:pPr>
            <w:r>
              <w:t>-</w:t>
            </w:r>
          </w:p>
        </w:tc>
        <w:tc>
          <w:tcPr>
            <w:tcW w:w="0" w:type="auto"/>
          </w:tcPr>
          <w:p w14:paraId="635FE97E" w14:textId="77777777" w:rsidR="00065317" w:rsidRDefault="005C7BF7">
            <w:pPr>
              <w:pStyle w:val="Compact"/>
            </w:pPr>
            <w:r>
              <w:t>-</w:t>
            </w:r>
          </w:p>
        </w:tc>
        <w:tc>
          <w:tcPr>
            <w:tcW w:w="0" w:type="auto"/>
          </w:tcPr>
          <w:p w14:paraId="718D66C1" w14:textId="77777777" w:rsidR="00065317" w:rsidRDefault="005C7BF7">
            <w:pPr>
              <w:pStyle w:val="Compact"/>
            </w:pPr>
            <w:r>
              <w:t>-</w:t>
            </w:r>
          </w:p>
        </w:tc>
        <w:tc>
          <w:tcPr>
            <w:tcW w:w="0" w:type="auto"/>
          </w:tcPr>
          <w:p w14:paraId="58ABEE1A" w14:textId="77777777" w:rsidR="00065317" w:rsidRDefault="005C7BF7">
            <w:pPr>
              <w:pStyle w:val="Compact"/>
            </w:pPr>
            <w:r>
              <w:t>-</w:t>
            </w:r>
          </w:p>
        </w:tc>
        <w:tc>
          <w:tcPr>
            <w:tcW w:w="0" w:type="auto"/>
          </w:tcPr>
          <w:p w14:paraId="56DA3C2D" w14:textId="77777777" w:rsidR="00065317" w:rsidRDefault="005C7BF7">
            <w:pPr>
              <w:pStyle w:val="Compact"/>
            </w:pPr>
            <w:r>
              <w:t>-</w:t>
            </w:r>
          </w:p>
        </w:tc>
        <w:tc>
          <w:tcPr>
            <w:tcW w:w="0" w:type="auto"/>
          </w:tcPr>
          <w:p w14:paraId="0D43774C" w14:textId="77777777" w:rsidR="00065317" w:rsidRDefault="005C7BF7">
            <w:pPr>
              <w:pStyle w:val="Compact"/>
            </w:pPr>
            <w:r>
              <w:t>-</w:t>
            </w:r>
          </w:p>
        </w:tc>
        <w:tc>
          <w:tcPr>
            <w:tcW w:w="0" w:type="auto"/>
            <w:gridSpan w:val="3"/>
          </w:tcPr>
          <w:p w14:paraId="70445621" w14:textId="77777777" w:rsidR="00065317" w:rsidRDefault="005C7BF7">
            <w:pPr>
              <w:pStyle w:val="Compact"/>
            </w:pPr>
            <w:r>
              <w:rPr>
                <w:rStyle w:val="VerbatimChar"/>
                <w:i/>
                <w:iCs/>
              </w:rPr>
              <w:t>E94_Primitive_spatiale</w:t>
            </w:r>
          </w:p>
        </w:tc>
      </w:tr>
      <w:tr w:rsidR="00065317" w14:paraId="745999A9" w14:textId="77777777">
        <w:tc>
          <w:tcPr>
            <w:tcW w:w="0" w:type="auto"/>
          </w:tcPr>
          <w:p w14:paraId="5B57943E" w14:textId="77777777" w:rsidR="00065317" w:rsidRDefault="005C7BF7">
            <w:pPr>
              <w:pStyle w:val="Compact"/>
            </w:pPr>
            <w:r>
              <w:t>E61</w:t>
            </w:r>
          </w:p>
        </w:tc>
        <w:tc>
          <w:tcPr>
            <w:tcW w:w="0" w:type="auto"/>
          </w:tcPr>
          <w:p w14:paraId="49DEF0FB" w14:textId="77777777" w:rsidR="00065317" w:rsidRDefault="005C7BF7">
            <w:pPr>
              <w:pStyle w:val="Compact"/>
            </w:pPr>
            <w:r>
              <w:t>-</w:t>
            </w:r>
          </w:p>
        </w:tc>
        <w:tc>
          <w:tcPr>
            <w:tcW w:w="0" w:type="auto"/>
          </w:tcPr>
          <w:p w14:paraId="08CF9A97" w14:textId="77777777" w:rsidR="00065317" w:rsidRDefault="005C7BF7">
            <w:pPr>
              <w:pStyle w:val="Compact"/>
            </w:pPr>
            <w:r>
              <w:t>-</w:t>
            </w:r>
          </w:p>
        </w:tc>
        <w:tc>
          <w:tcPr>
            <w:tcW w:w="0" w:type="auto"/>
          </w:tcPr>
          <w:p w14:paraId="1F6A3852" w14:textId="77777777" w:rsidR="00065317" w:rsidRDefault="005C7BF7">
            <w:pPr>
              <w:pStyle w:val="Compact"/>
            </w:pPr>
            <w:r>
              <w:t>-</w:t>
            </w:r>
          </w:p>
        </w:tc>
        <w:tc>
          <w:tcPr>
            <w:tcW w:w="0" w:type="auto"/>
          </w:tcPr>
          <w:p w14:paraId="48FF74BC" w14:textId="77777777" w:rsidR="00065317" w:rsidRDefault="005C7BF7">
            <w:pPr>
              <w:pStyle w:val="Compact"/>
            </w:pPr>
            <w:r>
              <w:t>-</w:t>
            </w:r>
          </w:p>
        </w:tc>
        <w:tc>
          <w:tcPr>
            <w:tcW w:w="0" w:type="auto"/>
          </w:tcPr>
          <w:p w14:paraId="0B2E2D10" w14:textId="77777777" w:rsidR="00065317" w:rsidRDefault="005C7BF7">
            <w:pPr>
              <w:pStyle w:val="Compact"/>
            </w:pPr>
            <w:r>
              <w:t>-</w:t>
            </w:r>
          </w:p>
        </w:tc>
        <w:tc>
          <w:tcPr>
            <w:tcW w:w="0" w:type="auto"/>
          </w:tcPr>
          <w:p w14:paraId="05836D59" w14:textId="77777777" w:rsidR="00065317" w:rsidRDefault="005C7BF7">
            <w:pPr>
              <w:pStyle w:val="Compact"/>
            </w:pPr>
            <w:r>
              <w:t>-</w:t>
            </w:r>
          </w:p>
        </w:tc>
        <w:tc>
          <w:tcPr>
            <w:tcW w:w="0" w:type="auto"/>
          </w:tcPr>
          <w:p w14:paraId="1E069B18" w14:textId="77777777" w:rsidR="00065317" w:rsidRDefault="005C7BF7">
            <w:pPr>
              <w:pStyle w:val="Compact"/>
            </w:pPr>
            <w:r>
              <w:t>-</w:t>
            </w:r>
          </w:p>
        </w:tc>
        <w:tc>
          <w:tcPr>
            <w:tcW w:w="0" w:type="auto"/>
            <w:gridSpan w:val="3"/>
          </w:tcPr>
          <w:p w14:paraId="7E789E30" w14:textId="77777777" w:rsidR="00065317" w:rsidRDefault="005C7BF7">
            <w:pPr>
              <w:pStyle w:val="Compact"/>
            </w:pPr>
            <w:r>
              <w:rPr>
                <w:rStyle w:val="VerbatimChar"/>
                <w:i/>
                <w:iCs/>
              </w:rPr>
              <w:t>E61_Primitive_temporelle</w:t>
            </w:r>
          </w:p>
        </w:tc>
      </w:tr>
      <w:tr w:rsidR="00065317" w14:paraId="5AEC9333" w14:textId="77777777">
        <w:tc>
          <w:tcPr>
            <w:tcW w:w="0" w:type="auto"/>
          </w:tcPr>
          <w:p w14:paraId="2C68DCE9" w14:textId="77777777" w:rsidR="00065317" w:rsidRDefault="005C7BF7">
            <w:pPr>
              <w:pStyle w:val="Compact"/>
            </w:pPr>
            <w:r>
              <w:t>E89</w:t>
            </w:r>
          </w:p>
        </w:tc>
        <w:tc>
          <w:tcPr>
            <w:tcW w:w="0" w:type="auto"/>
          </w:tcPr>
          <w:p w14:paraId="4DEF9B81" w14:textId="77777777" w:rsidR="00065317" w:rsidRDefault="005C7BF7">
            <w:pPr>
              <w:pStyle w:val="Compact"/>
            </w:pPr>
            <w:r>
              <w:t>-</w:t>
            </w:r>
          </w:p>
        </w:tc>
        <w:tc>
          <w:tcPr>
            <w:tcW w:w="0" w:type="auto"/>
          </w:tcPr>
          <w:p w14:paraId="7C2D7AED" w14:textId="77777777" w:rsidR="00065317" w:rsidRDefault="005C7BF7">
            <w:pPr>
              <w:pStyle w:val="Compact"/>
            </w:pPr>
            <w:r>
              <w:t>-</w:t>
            </w:r>
          </w:p>
        </w:tc>
        <w:tc>
          <w:tcPr>
            <w:tcW w:w="0" w:type="auto"/>
          </w:tcPr>
          <w:p w14:paraId="77D1D8D8" w14:textId="77777777" w:rsidR="00065317" w:rsidRDefault="005C7BF7">
            <w:pPr>
              <w:pStyle w:val="Compact"/>
            </w:pPr>
            <w:r>
              <w:t>-</w:t>
            </w:r>
          </w:p>
        </w:tc>
        <w:tc>
          <w:tcPr>
            <w:tcW w:w="0" w:type="auto"/>
          </w:tcPr>
          <w:p w14:paraId="4878D552" w14:textId="77777777" w:rsidR="00065317" w:rsidRDefault="005C7BF7">
            <w:pPr>
              <w:pStyle w:val="Compact"/>
            </w:pPr>
            <w:r>
              <w:t>-</w:t>
            </w:r>
          </w:p>
        </w:tc>
        <w:tc>
          <w:tcPr>
            <w:tcW w:w="0" w:type="auto"/>
          </w:tcPr>
          <w:p w14:paraId="5E9C988F" w14:textId="77777777" w:rsidR="00065317" w:rsidRDefault="005C7BF7">
            <w:pPr>
              <w:pStyle w:val="Compact"/>
            </w:pPr>
            <w:r>
              <w:t>-</w:t>
            </w:r>
          </w:p>
        </w:tc>
        <w:tc>
          <w:tcPr>
            <w:tcW w:w="0" w:type="auto"/>
            <w:gridSpan w:val="5"/>
          </w:tcPr>
          <w:p w14:paraId="389583C3" w14:textId="77777777" w:rsidR="00065317" w:rsidRDefault="005C7BF7">
            <w:pPr>
              <w:pStyle w:val="Compact"/>
            </w:pPr>
            <w:r>
              <w:rPr>
                <w:rStyle w:val="VerbatimChar"/>
              </w:rPr>
              <w:t>E89_Objet_propositionnel</w:t>
            </w:r>
          </w:p>
        </w:tc>
      </w:tr>
      <w:tr w:rsidR="00065317" w14:paraId="5F8AAC3A" w14:textId="77777777">
        <w:tc>
          <w:tcPr>
            <w:tcW w:w="0" w:type="auto"/>
          </w:tcPr>
          <w:p w14:paraId="40D7F0AE" w14:textId="77777777" w:rsidR="00065317" w:rsidRDefault="005C7BF7">
            <w:pPr>
              <w:pStyle w:val="Compact"/>
            </w:pPr>
            <w:r>
              <w:t>E73</w:t>
            </w:r>
          </w:p>
        </w:tc>
        <w:tc>
          <w:tcPr>
            <w:tcW w:w="0" w:type="auto"/>
          </w:tcPr>
          <w:p w14:paraId="3739254B" w14:textId="77777777" w:rsidR="00065317" w:rsidRDefault="005C7BF7">
            <w:pPr>
              <w:pStyle w:val="Compact"/>
            </w:pPr>
            <w:r>
              <w:t>-</w:t>
            </w:r>
          </w:p>
        </w:tc>
        <w:tc>
          <w:tcPr>
            <w:tcW w:w="0" w:type="auto"/>
          </w:tcPr>
          <w:p w14:paraId="26587F2C" w14:textId="77777777" w:rsidR="00065317" w:rsidRDefault="005C7BF7">
            <w:pPr>
              <w:pStyle w:val="Compact"/>
            </w:pPr>
            <w:r>
              <w:t>-</w:t>
            </w:r>
          </w:p>
        </w:tc>
        <w:tc>
          <w:tcPr>
            <w:tcW w:w="0" w:type="auto"/>
          </w:tcPr>
          <w:p w14:paraId="2C13750E" w14:textId="77777777" w:rsidR="00065317" w:rsidRDefault="005C7BF7">
            <w:pPr>
              <w:pStyle w:val="Compact"/>
            </w:pPr>
            <w:r>
              <w:t>-</w:t>
            </w:r>
          </w:p>
        </w:tc>
        <w:tc>
          <w:tcPr>
            <w:tcW w:w="0" w:type="auto"/>
          </w:tcPr>
          <w:p w14:paraId="017E6B2A" w14:textId="77777777" w:rsidR="00065317" w:rsidRDefault="005C7BF7">
            <w:pPr>
              <w:pStyle w:val="Compact"/>
            </w:pPr>
            <w:r>
              <w:t>-</w:t>
            </w:r>
          </w:p>
        </w:tc>
        <w:tc>
          <w:tcPr>
            <w:tcW w:w="0" w:type="auto"/>
          </w:tcPr>
          <w:p w14:paraId="69E1CBE6" w14:textId="77777777" w:rsidR="00065317" w:rsidRDefault="005C7BF7">
            <w:pPr>
              <w:pStyle w:val="Compact"/>
            </w:pPr>
            <w:r>
              <w:t>-</w:t>
            </w:r>
          </w:p>
        </w:tc>
        <w:tc>
          <w:tcPr>
            <w:tcW w:w="0" w:type="auto"/>
          </w:tcPr>
          <w:p w14:paraId="165825C1" w14:textId="77777777" w:rsidR="00065317" w:rsidRDefault="005C7BF7">
            <w:pPr>
              <w:pStyle w:val="Compact"/>
            </w:pPr>
            <w:r>
              <w:t>-</w:t>
            </w:r>
          </w:p>
        </w:tc>
        <w:tc>
          <w:tcPr>
            <w:tcW w:w="0" w:type="auto"/>
            <w:gridSpan w:val="4"/>
          </w:tcPr>
          <w:p w14:paraId="4EAD0AF8" w14:textId="77777777" w:rsidR="00065317" w:rsidRDefault="005C7BF7">
            <w:pPr>
              <w:pStyle w:val="Compact"/>
            </w:pPr>
            <w:r>
              <w:rPr>
                <w:rStyle w:val="VerbatimChar"/>
                <w:i/>
                <w:iCs/>
              </w:rPr>
              <w:t>E73_Objet_informationnel</w:t>
            </w:r>
          </w:p>
        </w:tc>
      </w:tr>
      <w:tr w:rsidR="00065317" w14:paraId="63C46B61" w14:textId="77777777">
        <w:tc>
          <w:tcPr>
            <w:tcW w:w="0" w:type="auto"/>
          </w:tcPr>
          <w:p w14:paraId="65FE08A1" w14:textId="77777777" w:rsidR="00065317" w:rsidRDefault="005C7BF7">
            <w:pPr>
              <w:pStyle w:val="Compact"/>
            </w:pPr>
            <w:r>
              <w:lastRenderedPageBreak/>
              <w:t>E29</w:t>
            </w:r>
          </w:p>
        </w:tc>
        <w:tc>
          <w:tcPr>
            <w:tcW w:w="0" w:type="auto"/>
          </w:tcPr>
          <w:p w14:paraId="5D9E0757" w14:textId="77777777" w:rsidR="00065317" w:rsidRDefault="005C7BF7">
            <w:pPr>
              <w:pStyle w:val="Compact"/>
            </w:pPr>
            <w:r>
              <w:t>-</w:t>
            </w:r>
          </w:p>
        </w:tc>
        <w:tc>
          <w:tcPr>
            <w:tcW w:w="0" w:type="auto"/>
          </w:tcPr>
          <w:p w14:paraId="128C824E" w14:textId="77777777" w:rsidR="00065317" w:rsidRDefault="005C7BF7">
            <w:pPr>
              <w:pStyle w:val="Compact"/>
            </w:pPr>
            <w:r>
              <w:t>-</w:t>
            </w:r>
          </w:p>
        </w:tc>
        <w:tc>
          <w:tcPr>
            <w:tcW w:w="0" w:type="auto"/>
          </w:tcPr>
          <w:p w14:paraId="336F9AD1" w14:textId="77777777" w:rsidR="00065317" w:rsidRDefault="005C7BF7">
            <w:pPr>
              <w:pStyle w:val="Compact"/>
            </w:pPr>
            <w:r>
              <w:t>-</w:t>
            </w:r>
          </w:p>
        </w:tc>
        <w:tc>
          <w:tcPr>
            <w:tcW w:w="0" w:type="auto"/>
          </w:tcPr>
          <w:p w14:paraId="5B930B68" w14:textId="77777777" w:rsidR="00065317" w:rsidRDefault="005C7BF7">
            <w:pPr>
              <w:pStyle w:val="Compact"/>
            </w:pPr>
            <w:r>
              <w:t>-</w:t>
            </w:r>
          </w:p>
        </w:tc>
        <w:tc>
          <w:tcPr>
            <w:tcW w:w="0" w:type="auto"/>
          </w:tcPr>
          <w:p w14:paraId="33297990" w14:textId="77777777" w:rsidR="00065317" w:rsidRDefault="005C7BF7">
            <w:pPr>
              <w:pStyle w:val="Compact"/>
            </w:pPr>
            <w:r>
              <w:t>-</w:t>
            </w:r>
          </w:p>
        </w:tc>
        <w:tc>
          <w:tcPr>
            <w:tcW w:w="0" w:type="auto"/>
          </w:tcPr>
          <w:p w14:paraId="5929488D" w14:textId="77777777" w:rsidR="00065317" w:rsidRDefault="005C7BF7">
            <w:pPr>
              <w:pStyle w:val="Compact"/>
            </w:pPr>
            <w:r>
              <w:t>-</w:t>
            </w:r>
          </w:p>
        </w:tc>
        <w:tc>
          <w:tcPr>
            <w:tcW w:w="0" w:type="auto"/>
          </w:tcPr>
          <w:p w14:paraId="1FD12EC1" w14:textId="77777777" w:rsidR="00065317" w:rsidRDefault="005C7BF7">
            <w:pPr>
              <w:pStyle w:val="Compact"/>
            </w:pPr>
            <w:r>
              <w:t>-</w:t>
            </w:r>
          </w:p>
        </w:tc>
        <w:tc>
          <w:tcPr>
            <w:tcW w:w="0" w:type="auto"/>
            <w:gridSpan w:val="3"/>
          </w:tcPr>
          <w:p w14:paraId="36FB5A4F" w14:textId="77777777" w:rsidR="00065317" w:rsidRDefault="005C7BF7">
            <w:pPr>
              <w:pStyle w:val="Compact"/>
            </w:pPr>
            <w:r>
              <w:rPr>
                <w:rStyle w:val="VerbatimChar"/>
                <w:i/>
                <w:iCs/>
              </w:rPr>
              <w:t>E29_Conceptualisation_ou_procédure</w:t>
            </w:r>
          </w:p>
        </w:tc>
      </w:tr>
      <w:tr w:rsidR="00065317" w14:paraId="13279FFF" w14:textId="77777777">
        <w:tc>
          <w:tcPr>
            <w:tcW w:w="0" w:type="auto"/>
          </w:tcPr>
          <w:p w14:paraId="01584A8C" w14:textId="77777777" w:rsidR="00065317" w:rsidRDefault="005C7BF7">
            <w:pPr>
              <w:pStyle w:val="Compact"/>
            </w:pPr>
            <w:r>
              <w:t>E31</w:t>
            </w:r>
          </w:p>
        </w:tc>
        <w:tc>
          <w:tcPr>
            <w:tcW w:w="0" w:type="auto"/>
          </w:tcPr>
          <w:p w14:paraId="33309C53" w14:textId="77777777" w:rsidR="00065317" w:rsidRDefault="005C7BF7">
            <w:pPr>
              <w:pStyle w:val="Compact"/>
            </w:pPr>
            <w:r>
              <w:t>-</w:t>
            </w:r>
          </w:p>
        </w:tc>
        <w:tc>
          <w:tcPr>
            <w:tcW w:w="0" w:type="auto"/>
          </w:tcPr>
          <w:p w14:paraId="6AE9F039" w14:textId="77777777" w:rsidR="00065317" w:rsidRDefault="005C7BF7">
            <w:pPr>
              <w:pStyle w:val="Compact"/>
            </w:pPr>
            <w:r>
              <w:t>-</w:t>
            </w:r>
          </w:p>
        </w:tc>
        <w:tc>
          <w:tcPr>
            <w:tcW w:w="0" w:type="auto"/>
          </w:tcPr>
          <w:p w14:paraId="2BB19868" w14:textId="77777777" w:rsidR="00065317" w:rsidRDefault="005C7BF7">
            <w:pPr>
              <w:pStyle w:val="Compact"/>
            </w:pPr>
            <w:r>
              <w:t>-</w:t>
            </w:r>
          </w:p>
        </w:tc>
        <w:tc>
          <w:tcPr>
            <w:tcW w:w="0" w:type="auto"/>
          </w:tcPr>
          <w:p w14:paraId="573099FB" w14:textId="77777777" w:rsidR="00065317" w:rsidRDefault="005C7BF7">
            <w:pPr>
              <w:pStyle w:val="Compact"/>
            </w:pPr>
            <w:r>
              <w:t>-</w:t>
            </w:r>
          </w:p>
        </w:tc>
        <w:tc>
          <w:tcPr>
            <w:tcW w:w="0" w:type="auto"/>
          </w:tcPr>
          <w:p w14:paraId="7E9027F8" w14:textId="77777777" w:rsidR="00065317" w:rsidRDefault="005C7BF7">
            <w:pPr>
              <w:pStyle w:val="Compact"/>
            </w:pPr>
            <w:r>
              <w:t>-</w:t>
            </w:r>
          </w:p>
        </w:tc>
        <w:tc>
          <w:tcPr>
            <w:tcW w:w="0" w:type="auto"/>
          </w:tcPr>
          <w:p w14:paraId="7B5A439C" w14:textId="77777777" w:rsidR="00065317" w:rsidRDefault="005C7BF7">
            <w:pPr>
              <w:pStyle w:val="Compact"/>
            </w:pPr>
            <w:r>
              <w:t>-</w:t>
            </w:r>
          </w:p>
        </w:tc>
        <w:tc>
          <w:tcPr>
            <w:tcW w:w="0" w:type="auto"/>
          </w:tcPr>
          <w:p w14:paraId="50E0B4E0" w14:textId="77777777" w:rsidR="00065317" w:rsidRDefault="005C7BF7">
            <w:pPr>
              <w:pStyle w:val="Compact"/>
            </w:pPr>
            <w:r>
              <w:t>-</w:t>
            </w:r>
          </w:p>
        </w:tc>
        <w:tc>
          <w:tcPr>
            <w:tcW w:w="0" w:type="auto"/>
            <w:gridSpan w:val="3"/>
          </w:tcPr>
          <w:p w14:paraId="5787E34B" w14:textId="77777777" w:rsidR="00065317" w:rsidRDefault="005C7BF7">
            <w:pPr>
              <w:pStyle w:val="Compact"/>
            </w:pPr>
            <w:r>
              <w:rPr>
                <w:rStyle w:val="VerbatimChar"/>
                <w:i/>
                <w:iCs/>
              </w:rPr>
              <w:t>E31_Document</w:t>
            </w:r>
          </w:p>
        </w:tc>
      </w:tr>
      <w:tr w:rsidR="00065317" w14:paraId="4812F648" w14:textId="77777777">
        <w:tc>
          <w:tcPr>
            <w:tcW w:w="0" w:type="auto"/>
          </w:tcPr>
          <w:p w14:paraId="7231B4C1" w14:textId="77777777" w:rsidR="00065317" w:rsidRDefault="005C7BF7">
            <w:pPr>
              <w:pStyle w:val="Compact"/>
            </w:pPr>
            <w:r>
              <w:t>E32</w:t>
            </w:r>
          </w:p>
        </w:tc>
        <w:tc>
          <w:tcPr>
            <w:tcW w:w="0" w:type="auto"/>
          </w:tcPr>
          <w:p w14:paraId="77F03603" w14:textId="77777777" w:rsidR="00065317" w:rsidRDefault="005C7BF7">
            <w:pPr>
              <w:pStyle w:val="Compact"/>
            </w:pPr>
            <w:r>
              <w:t>-</w:t>
            </w:r>
          </w:p>
        </w:tc>
        <w:tc>
          <w:tcPr>
            <w:tcW w:w="0" w:type="auto"/>
          </w:tcPr>
          <w:p w14:paraId="5555127D" w14:textId="77777777" w:rsidR="00065317" w:rsidRDefault="005C7BF7">
            <w:pPr>
              <w:pStyle w:val="Compact"/>
            </w:pPr>
            <w:r>
              <w:t>-</w:t>
            </w:r>
          </w:p>
        </w:tc>
        <w:tc>
          <w:tcPr>
            <w:tcW w:w="0" w:type="auto"/>
          </w:tcPr>
          <w:p w14:paraId="3BB339ED" w14:textId="77777777" w:rsidR="00065317" w:rsidRDefault="005C7BF7">
            <w:pPr>
              <w:pStyle w:val="Compact"/>
            </w:pPr>
            <w:r>
              <w:t>-</w:t>
            </w:r>
          </w:p>
        </w:tc>
        <w:tc>
          <w:tcPr>
            <w:tcW w:w="0" w:type="auto"/>
          </w:tcPr>
          <w:p w14:paraId="65C1FDE1" w14:textId="77777777" w:rsidR="00065317" w:rsidRDefault="005C7BF7">
            <w:pPr>
              <w:pStyle w:val="Compact"/>
            </w:pPr>
            <w:r>
              <w:t>-</w:t>
            </w:r>
          </w:p>
        </w:tc>
        <w:tc>
          <w:tcPr>
            <w:tcW w:w="0" w:type="auto"/>
          </w:tcPr>
          <w:p w14:paraId="5E359733" w14:textId="77777777" w:rsidR="00065317" w:rsidRDefault="005C7BF7">
            <w:pPr>
              <w:pStyle w:val="Compact"/>
            </w:pPr>
            <w:r>
              <w:t>-</w:t>
            </w:r>
          </w:p>
        </w:tc>
        <w:tc>
          <w:tcPr>
            <w:tcW w:w="0" w:type="auto"/>
          </w:tcPr>
          <w:p w14:paraId="48F66009" w14:textId="77777777" w:rsidR="00065317" w:rsidRDefault="005C7BF7">
            <w:pPr>
              <w:pStyle w:val="Compact"/>
            </w:pPr>
            <w:r>
              <w:t>-</w:t>
            </w:r>
          </w:p>
        </w:tc>
        <w:tc>
          <w:tcPr>
            <w:tcW w:w="0" w:type="auto"/>
          </w:tcPr>
          <w:p w14:paraId="2ECF1150" w14:textId="77777777" w:rsidR="00065317" w:rsidRDefault="005C7BF7">
            <w:pPr>
              <w:pStyle w:val="Compact"/>
            </w:pPr>
            <w:r>
              <w:t>-</w:t>
            </w:r>
          </w:p>
        </w:tc>
        <w:tc>
          <w:tcPr>
            <w:tcW w:w="0" w:type="auto"/>
          </w:tcPr>
          <w:p w14:paraId="58D7EDF2" w14:textId="77777777" w:rsidR="00065317" w:rsidRDefault="005C7BF7">
            <w:pPr>
              <w:pStyle w:val="Compact"/>
            </w:pPr>
            <w:r>
              <w:t>-</w:t>
            </w:r>
          </w:p>
        </w:tc>
        <w:tc>
          <w:tcPr>
            <w:tcW w:w="0" w:type="auto"/>
            <w:gridSpan w:val="2"/>
          </w:tcPr>
          <w:p w14:paraId="6ED04C7B" w14:textId="77777777" w:rsidR="00065317" w:rsidRDefault="005C7BF7">
            <w:pPr>
              <w:pStyle w:val="Compact"/>
            </w:pPr>
            <w:r>
              <w:rPr>
                <w:rStyle w:val="VerbatimChar"/>
                <w:i/>
                <w:iCs/>
              </w:rPr>
              <w:t>E32_Document_de_référence</w:t>
            </w:r>
          </w:p>
        </w:tc>
      </w:tr>
      <w:tr w:rsidR="00065317" w14:paraId="22DA16B4" w14:textId="77777777">
        <w:tc>
          <w:tcPr>
            <w:tcW w:w="0" w:type="auto"/>
          </w:tcPr>
          <w:p w14:paraId="1A7EFBB4" w14:textId="77777777" w:rsidR="00065317" w:rsidRDefault="005C7BF7">
            <w:pPr>
              <w:pStyle w:val="Compact"/>
            </w:pPr>
            <w:r>
              <w:t>E33</w:t>
            </w:r>
          </w:p>
        </w:tc>
        <w:tc>
          <w:tcPr>
            <w:tcW w:w="0" w:type="auto"/>
          </w:tcPr>
          <w:p w14:paraId="148AF02D" w14:textId="77777777" w:rsidR="00065317" w:rsidRDefault="005C7BF7">
            <w:pPr>
              <w:pStyle w:val="Compact"/>
            </w:pPr>
            <w:r>
              <w:t>-</w:t>
            </w:r>
          </w:p>
        </w:tc>
        <w:tc>
          <w:tcPr>
            <w:tcW w:w="0" w:type="auto"/>
          </w:tcPr>
          <w:p w14:paraId="312CA246" w14:textId="77777777" w:rsidR="00065317" w:rsidRDefault="005C7BF7">
            <w:pPr>
              <w:pStyle w:val="Compact"/>
            </w:pPr>
            <w:r>
              <w:t>-</w:t>
            </w:r>
          </w:p>
        </w:tc>
        <w:tc>
          <w:tcPr>
            <w:tcW w:w="0" w:type="auto"/>
          </w:tcPr>
          <w:p w14:paraId="185A2C8D" w14:textId="77777777" w:rsidR="00065317" w:rsidRDefault="005C7BF7">
            <w:pPr>
              <w:pStyle w:val="Compact"/>
            </w:pPr>
            <w:r>
              <w:t>-</w:t>
            </w:r>
          </w:p>
        </w:tc>
        <w:tc>
          <w:tcPr>
            <w:tcW w:w="0" w:type="auto"/>
          </w:tcPr>
          <w:p w14:paraId="566BDDE2" w14:textId="77777777" w:rsidR="00065317" w:rsidRDefault="005C7BF7">
            <w:pPr>
              <w:pStyle w:val="Compact"/>
            </w:pPr>
            <w:r>
              <w:t>-</w:t>
            </w:r>
          </w:p>
        </w:tc>
        <w:tc>
          <w:tcPr>
            <w:tcW w:w="0" w:type="auto"/>
          </w:tcPr>
          <w:p w14:paraId="032C1DF1" w14:textId="77777777" w:rsidR="00065317" w:rsidRDefault="005C7BF7">
            <w:pPr>
              <w:pStyle w:val="Compact"/>
            </w:pPr>
            <w:r>
              <w:t>-</w:t>
            </w:r>
          </w:p>
        </w:tc>
        <w:tc>
          <w:tcPr>
            <w:tcW w:w="0" w:type="auto"/>
          </w:tcPr>
          <w:p w14:paraId="4E855D2C" w14:textId="77777777" w:rsidR="00065317" w:rsidRDefault="005C7BF7">
            <w:pPr>
              <w:pStyle w:val="Compact"/>
            </w:pPr>
            <w:r>
              <w:t>-</w:t>
            </w:r>
          </w:p>
        </w:tc>
        <w:tc>
          <w:tcPr>
            <w:tcW w:w="0" w:type="auto"/>
          </w:tcPr>
          <w:p w14:paraId="6D544AC8" w14:textId="77777777" w:rsidR="00065317" w:rsidRDefault="005C7BF7">
            <w:pPr>
              <w:pStyle w:val="Compact"/>
            </w:pPr>
            <w:r>
              <w:t>-</w:t>
            </w:r>
          </w:p>
        </w:tc>
        <w:tc>
          <w:tcPr>
            <w:tcW w:w="0" w:type="auto"/>
            <w:gridSpan w:val="3"/>
          </w:tcPr>
          <w:p w14:paraId="55C5DDC8" w14:textId="77777777" w:rsidR="00065317" w:rsidRDefault="005C7BF7">
            <w:pPr>
              <w:pStyle w:val="Compact"/>
            </w:pPr>
            <w:r>
              <w:rPr>
                <w:rStyle w:val="VerbatimChar"/>
                <w:i/>
                <w:iCs/>
              </w:rPr>
              <w:t>E33_Objet_linguistique</w:t>
            </w:r>
          </w:p>
        </w:tc>
      </w:tr>
      <w:tr w:rsidR="00065317" w14:paraId="00523EAD" w14:textId="77777777">
        <w:tc>
          <w:tcPr>
            <w:tcW w:w="0" w:type="auto"/>
          </w:tcPr>
          <w:p w14:paraId="23A5B116" w14:textId="77777777" w:rsidR="00065317" w:rsidRDefault="005C7BF7">
            <w:pPr>
              <w:pStyle w:val="Compact"/>
            </w:pPr>
            <w:r>
              <w:t>E34</w:t>
            </w:r>
          </w:p>
        </w:tc>
        <w:tc>
          <w:tcPr>
            <w:tcW w:w="0" w:type="auto"/>
          </w:tcPr>
          <w:p w14:paraId="26876D97" w14:textId="77777777" w:rsidR="00065317" w:rsidRDefault="005C7BF7">
            <w:pPr>
              <w:pStyle w:val="Compact"/>
            </w:pPr>
            <w:r>
              <w:t>-</w:t>
            </w:r>
          </w:p>
        </w:tc>
        <w:tc>
          <w:tcPr>
            <w:tcW w:w="0" w:type="auto"/>
          </w:tcPr>
          <w:p w14:paraId="3483F01B" w14:textId="77777777" w:rsidR="00065317" w:rsidRDefault="005C7BF7">
            <w:pPr>
              <w:pStyle w:val="Compact"/>
            </w:pPr>
            <w:r>
              <w:t>-</w:t>
            </w:r>
          </w:p>
        </w:tc>
        <w:tc>
          <w:tcPr>
            <w:tcW w:w="0" w:type="auto"/>
          </w:tcPr>
          <w:p w14:paraId="449F02C4" w14:textId="77777777" w:rsidR="00065317" w:rsidRDefault="005C7BF7">
            <w:pPr>
              <w:pStyle w:val="Compact"/>
            </w:pPr>
            <w:r>
              <w:t>-</w:t>
            </w:r>
          </w:p>
        </w:tc>
        <w:tc>
          <w:tcPr>
            <w:tcW w:w="0" w:type="auto"/>
          </w:tcPr>
          <w:p w14:paraId="2339F392" w14:textId="77777777" w:rsidR="00065317" w:rsidRDefault="005C7BF7">
            <w:pPr>
              <w:pStyle w:val="Compact"/>
            </w:pPr>
            <w:r>
              <w:t>-</w:t>
            </w:r>
          </w:p>
        </w:tc>
        <w:tc>
          <w:tcPr>
            <w:tcW w:w="0" w:type="auto"/>
          </w:tcPr>
          <w:p w14:paraId="0141DDC4" w14:textId="77777777" w:rsidR="00065317" w:rsidRDefault="005C7BF7">
            <w:pPr>
              <w:pStyle w:val="Compact"/>
            </w:pPr>
            <w:r>
              <w:t>-</w:t>
            </w:r>
          </w:p>
        </w:tc>
        <w:tc>
          <w:tcPr>
            <w:tcW w:w="0" w:type="auto"/>
          </w:tcPr>
          <w:p w14:paraId="56E564BE" w14:textId="77777777" w:rsidR="00065317" w:rsidRDefault="005C7BF7">
            <w:pPr>
              <w:pStyle w:val="Compact"/>
            </w:pPr>
            <w:r>
              <w:t>-</w:t>
            </w:r>
          </w:p>
        </w:tc>
        <w:tc>
          <w:tcPr>
            <w:tcW w:w="0" w:type="auto"/>
          </w:tcPr>
          <w:p w14:paraId="3956C43C" w14:textId="77777777" w:rsidR="00065317" w:rsidRDefault="005C7BF7">
            <w:pPr>
              <w:pStyle w:val="Compact"/>
            </w:pPr>
            <w:r>
              <w:t>-</w:t>
            </w:r>
          </w:p>
        </w:tc>
        <w:tc>
          <w:tcPr>
            <w:tcW w:w="0" w:type="auto"/>
          </w:tcPr>
          <w:p w14:paraId="50B316B9" w14:textId="77777777" w:rsidR="00065317" w:rsidRDefault="005C7BF7">
            <w:pPr>
              <w:pStyle w:val="Compact"/>
            </w:pPr>
            <w:r>
              <w:t>-</w:t>
            </w:r>
          </w:p>
        </w:tc>
        <w:tc>
          <w:tcPr>
            <w:tcW w:w="0" w:type="auto"/>
            <w:gridSpan w:val="2"/>
          </w:tcPr>
          <w:p w14:paraId="017BAAC0" w14:textId="77777777" w:rsidR="00065317" w:rsidRDefault="005C7BF7">
            <w:pPr>
              <w:pStyle w:val="Compact"/>
            </w:pPr>
            <w:r>
              <w:rPr>
                <w:rStyle w:val="VerbatimChar"/>
                <w:i/>
                <w:iCs/>
              </w:rPr>
              <w:t>E34_Inscription</w:t>
            </w:r>
          </w:p>
        </w:tc>
      </w:tr>
      <w:tr w:rsidR="00065317" w14:paraId="7A1EF095" w14:textId="77777777">
        <w:tc>
          <w:tcPr>
            <w:tcW w:w="0" w:type="auto"/>
          </w:tcPr>
          <w:p w14:paraId="6E3B2BCB" w14:textId="77777777" w:rsidR="00065317" w:rsidRDefault="005C7BF7">
            <w:pPr>
              <w:pStyle w:val="Compact"/>
            </w:pPr>
            <w:r>
              <w:t>E35</w:t>
            </w:r>
          </w:p>
        </w:tc>
        <w:tc>
          <w:tcPr>
            <w:tcW w:w="0" w:type="auto"/>
          </w:tcPr>
          <w:p w14:paraId="6F0BF1E1" w14:textId="77777777" w:rsidR="00065317" w:rsidRDefault="005C7BF7">
            <w:pPr>
              <w:pStyle w:val="Compact"/>
            </w:pPr>
            <w:r>
              <w:t>-</w:t>
            </w:r>
          </w:p>
        </w:tc>
        <w:tc>
          <w:tcPr>
            <w:tcW w:w="0" w:type="auto"/>
          </w:tcPr>
          <w:p w14:paraId="384B4517" w14:textId="77777777" w:rsidR="00065317" w:rsidRDefault="005C7BF7">
            <w:pPr>
              <w:pStyle w:val="Compact"/>
            </w:pPr>
            <w:r>
              <w:t>-</w:t>
            </w:r>
          </w:p>
        </w:tc>
        <w:tc>
          <w:tcPr>
            <w:tcW w:w="0" w:type="auto"/>
          </w:tcPr>
          <w:p w14:paraId="3AA6630A" w14:textId="77777777" w:rsidR="00065317" w:rsidRDefault="005C7BF7">
            <w:pPr>
              <w:pStyle w:val="Compact"/>
            </w:pPr>
            <w:r>
              <w:t>-</w:t>
            </w:r>
          </w:p>
        </w:tc>
        <w:tc>
          <w:tcPr>
            <w:tcW w:w="0" w:type="auto"/>
          </w:tcPr>
          <w:p w14:paraId="1C324EC0" w14:textId="77777777" w:rsidR="00065317" w:rsidRDefault="005C7BF7">
            <w:pPr>
              <w:pStyle w:val="Compact"/>
            </w:pPr>
            <w:r>
              <w:t>-</w:t>
            </w:r>
          </w:p>
        </w:tc>
        <w:tc>
          <w:tcPr>
            <w:tcW w:w="0" w:type="auto"/>
          </w:tcPr>
          <w:p w14:paraId="5103E69A" w14:textId="77777777" w:rsidR="00065317" w:rsidRDefault="005C7BF7">
            <w:pPr>
              <w:pStyle w:val="Compact"/>
            </w:pPr>
            <w:r>
              <w:t>-</w:t>
            </w:r>
          </w:p>
        </w:tc>
        <w:tc>
          <w:tcPr>
            <w:tcW w:w="0" w:type="auto"/>
          </w:tcPr>
          <w:p w14:paraId="1DB28D65" w14:textId="77777777" w:rsidR="00065317" w:rsidRDefault="005C7BF7">
            <w:pPr>
              <w:pStyle w:val="Compact"/>
            </w:pPr>
            <w:r>
              <w:t>-</w:t>
            </w:r>
          </w:p>
        </w:tc>
        <w:tc>
          <w:tcPr>
            <w:tcW w:w="0" w:type="auto"/>
          </w:tcPr>
          <w:p w14:paraId="65E7214C" w14:textId="77777777" w:rsidR="00065317" w:rsidRDefault="005C7BF7">
            <w:pPr>
              <w:pStyle w:val="Compact"/>
            </w:pPr>
            <w:r>
              <w:t>-</w:t>
            </w:r>
          </w:p>
        </w:tc>
        <w:tc>
          <w:tcPr>
            <w:tcW w:w="0" w:type="auto"/>
          </w:tcPr>
          <w:p w14:paraId="6EF556FE" w14:textId="77777777" w:rsidR="00065317" w:rsidRDefault="005C7BF7">
            <w:pPr>
              <w:pStyle w:val="Compact"/>
            </w:pPr>
            <w:r>
              <w:t>-</w:t>
            </w:r>
          </w:p>
        </w:tc>
        <w:tc>
          <w:tcPr>
            <w:tcW w:w="0" w:type="auto"/>
            <w:gridSpan w:val="2"/>
          </w:tcPr>
          <w:p w14:paraId="55174E2D" w14:textId="77777777" w:rsidR="00065317" w:rsidRDefault="005C7BF7">
            <w:pPr>
              <w:pStyle w:val="Compact"/>
            </w:pPr>
            <w:r>
              <w:rPr>
                <w:rStyle w:val="VerbatimChar"/>
                <w:i/>
                <w:iCs/>
              </w:rPr>
              <w:t>E35_Titre</w:t>
            </w:r>
          </w:p>
        </w:tc>
      </w:tr>
      <w:tr w:rsidR="00065317" w14:paraId="1938F8A1" w14:textId="77777777">
        <w:tc>
          <w:tcPr>
            <w:tcW w:w="0" w:type="auto"/>
          </w:tcPr>
          <w:p w14:paraId="100074F9" w14:textId="77777777" w:rsidR="00065317" w:rsidRDefault="005C7BF7">
            <w:pPr>
              <w:pStyle w:val="Compact"/>
            </w:pPr>
            <w:r>
              <w:t>E36</w:t>
            </w:r>
          </w:p>
        </w:tc>
        <w:tc>
          <w:tcPr>
            <w:tcW w:w="0" w:type="auto"/>
          </w:tcPr>
          <w:p w14:paraId="7C943D36" w14:textId="77777777" w:rsidR="00065317" w:rsidRDefault="005C7BF7">
            <w:pPr>
              <w:pStyle w:val="Compact"/>
            </w:pPr>
            <w:r>
              <w:t>-</w:t>
            </w:r>
          </w:p>
        </w:tc>
        <w:tc>
          <w:tcPr>
            <w:tcW w:w="0" w:type="auto"/>
          </w:tcPr>
          <w:p w14:paraId="5DFD28C4" w14:textId="77777777" w:rsidR="00065317" w:rsidRDefault="005C7BF7">
            <w:pPr>
              <w:pStyle w:val="Compact"/>
            </w:pPr>
            <w:r>
              <w:t>-</w:t>
            </w:r>
          </w:p>
        </w:tc>
        <w:tc>
          <w:tcPr>
            <w:tcW w:w="0" w:type="auto"/>
          </w:tcPr>
          <w:p w14:paraId="5411D3A0" w14:textId="77777777" w:rsidR="00065317" w:rsidRDefault="005C7BF7">
            <w:pPr>
              <w:pStyle w:val="Compact"/>
            </w:pPr>
            <w:r>
              <w:t>-</w:t>
            </w:r>
          </w:p>
        </w:tc>
        <w:tc>
          <w:tcPr>
            <w:tcW w:w="0" w:type="auto"/>
          </w:tcPr>
          <w:p w14:paraId="4AF07498" w14:textId="77777777" w:rsidR="00065317" w:rsidRDefault="005C7BF7">
            <w:pPr>
              <w:pStyle w:val="Compact"/>
            </w:pPr>
            <w:r>
              <w:t>-</w:t>
            </w:r>
          </w:p>
        </w:tc>
        <w:tc>
          <w:tcPr>
            <w:tcW w:w="0" w:type="auto"/>
          </w:tcPr>
          <w:p w14:paraId="05B5D266" w14:textId="77777777" w:rsidR="00065317" w:rsidRDefault="005C7BF7">
            <w:pPr>
              <w:pStyle w:val="Compact"/>
            </w:pPr>
            <w:r>
              <w:t>-</w:t>
            </w:r>
          </w:p>
        </w:tc>
        <w:tc>
          <w:tcPr>
            <w:tcW w:w="0" w:type="auto"/>
          </w:tcPr>
          <w:p w14:paraId="2B554B1A" w14:textId="77777777" w:rsidR="00065317" w:rsidRDefault="005C7BF7">
            <w:pPr>
              <w:pStyle w:val="Compact"/>
            </w:pPr>
            <w:r>
              <w:t>-</w:t>
            </w:r>
          </w:p>
        </w:tc>
        <w:tc>
          <w:tcPr>
            <w:tcW w:w="0" w:type="auto"/>
          </w:tcPr>
          <w:p w14:paraId="022EF931" w14:textId="77777777" w:rsidR="00065317" w:rsidRDefault="005C7BF7">
            <w:pPr>
              <w:pStyle w:val="Compact"/>
            </w:pPr>
            <w:r>
              <w:t>-</w:t>
            </w:r>
          </w:p>
        </w:tc>
        <w:tc>
          <w:tcPr>
            <w:tcW w:w="0" w:type="auto"/>
            <w:gridSpan w:val="3"/>
          </w:tcPr>
          <w:p w14:paraId="5F1A90FC" w14:textId="77777777" w:rsidR="00065317" w:rsidRDefault="005C7BF7">
            <w:pPr>
              <w:pStyle w:val="Compact"/>
            </w:pPr>
            <w:r>
              <w:rPr>
                <w:rStyle w:val="VerbatimChar"/>
                <w:i/>
                <w:iCs/>
              </w:rPr>
              <w:t>E36_Entité_visuelle</w:t>
            </w:r>
          </w:p>
        </w:tc>
      </w:tr>
      <w:tr w:rsidR="00065317" w14:paraId="3CBA2E23" w14:textId="77777777">
        <w:tc>
          <w:tcPr>
            <w:tcW w:w="0" w:type="auto"/>
          </w:tcPr>
          <w:p w14:paraId="39A7043E" w14:textId="77777777" w:rsidR="00065317" w:rsidRDefault="005C7BF7">
            <w:pPr>
              <w:pStyle w:val="Compact"/>
            </w:pPr>
            <w:r>
              <w:t>E37</w:t>
            </w:r>
          </w:p>
        </w:tc>
        <w:tc>
          <w:tcPr>
            <w:tcW w:w="0" w:type="auto"/>
          </w:tcPr>
          <w:p w14:paraId="575A8A80" w14:textId="77777777" w:rsidR="00065317" w:rsidRDefault="005C7BF7">
            <w:pPr>
              <w:pStyle w:val="Compact"/>
            </w:pPr>
            <w:r>
              <w:t>-</w:t>
            </w:r>
          </w:p>
        </w:tc>
        <w:tc>
          <w:tcPr>
            <w:tcW w:w="0" w:type="auto"/>
          </w:tcPr>
          <w:p w14:paraId="47803162" w14:textId="77777777" w:rsidR="00065317" w:rsidRDefault="005C7BF7">
            <w:pPr>
              <w:pStyle w:val="Compact"/>
            </w:pPr>
            <w:r>
              <w:t>-</w:t>
            </w:r>
          </w:p>
        </w:tc>
        <w:tc>
          <w:tcPr>
            <w:tcW w:w="0" w:type="auto"/>
          </w:tcPr>
          <w:p w14:paraId="1BF35120" w14:textId="77777777" w:rsidR="00065317" w:rsidRDefault="005C7BF7">
            <w:pPr>
              <w:pStyle w:val="Compact"/>
            </w:pPr>
            <w:r>
              <w:t>-</w:t>
            </w:r>
          </w:p>
        </w:tc>
        <w:tc>
          <w:tcPr>
            <w:tcW w:w="0" w:type="auto"/>
          </w:tcPr>
          <w:p w14:paraId="607BE7E7" w14:textId="77777777" w:rsidR="00065317" w:rsidRDefault="005C7BF7">
            <w:pPr>
              <w:pStyle w:val="Compact"/>
            </w:pPr>
            <w:r>
              <w:t>-</w:t>
            </w:r>
          </w:p>
        </w:tc>
        <w:tc>
          <w:tcPr>
            <w:tcW w:w="0" w:type="auto"/>
          </w:tcPr>
          <w:p w14:paraId="0C7C7A5D" w14:textId="77777777" w:rsidR="00065317" w:rsidRDefault="005C7BF7">
            <w:pPr>
              <w:pStyle w:val="Compact"/>
            </w:pPr>
            <w:r>
              <w:t>-</w:t>
            </w:r>
          </w:p>
        </w:tc>
        <w:tc>
          <w:tcPr>
            <w:tcW w:w="0" w:type="auto"/>
          </w:tcPr>
          <w:p w14:paraId="1E6EF56A" w14:textId="77777777" w:rsidR="00065317" w:rsidRDefault="005C7BF7">
            <w:pPr>
              <w:pStyle w:val="Compact"/>
            </w:pPr>
            <w:r>
              <w:t>-</w:t>
            </w:r>
          </w:p>
        </w:tc>
        <w:tc>
          <w:tcPr>
            <w:tcW w:w="0" w:type="auto"/>
          </w:tcPr>
          <w:p w14:paraId="21C99CC1" w14:textId="77777777" w:rsidR="00065317" w:rsidRDefault="005C7BF7">
            <w:pPr>
              <w:pStyle w:val="Compact"/>
            </w:pPr>
            <w:r>
              <w:t>-</w:t>
            </w:r>
          </w:p>
        </w:tc>
        <w:tc>
          <w:tcPr>
            <w:tcW w:w="0" w:type="auto"/>
          </w:tcPr>
          <w:p w14:paraId="4E8F6943" w14:textId="77777777" w:rsidR="00065317" w:rsidRDefault="005C7BF7">
            <w:pPr>
              <w:pStyle w:val="Compact"/>
            </w:pPr>
            <w:r>
              <w:t>-</w:t>
            </w:r>
          </w:p>
        </w:tc>
        <w:tc>
          <w:tcPr>
            <w:tcW w:w="0" w:type="auto"/>
            <w:gridSpan w:val="2"/>
          </w:tcPr>
          <w:p w14:paraId="6EC5FE50" w14:textId="77777777" w:rsidR="00065317" w:rsidRDefault="005C7BF7">
            <w:pPr>
              <w:pStyle w:val="Compact"/>
            </w:pPr>
            <w:r>
              <w:rPr>
                <w:rStyle w:val="VerbatimChar"/>
                <w:i/>
                <w:iCs/>
              </w:rPr>
              <w:t>E37_Marque</w:t>
            </w:r>
          </w:p>
        </w:tc>
      </w:tr>
      <w:tr w:rsidR="00065317" w14:paraId="0F63AD4A" w14:textId="77777777">
        <w:tc>
          <w:tcPr>
            <w:tcW w:w="0" w:type="auto"/>
          </w:tcPr>
          <w:p w14:paraId="4D88BDEB" w14:textId="77777777" w:rsidR="00065317" w:rsidRDefault="005C7BF7">
            <w:pPr>
              <w:pStyle w:val="Compact"/>
            </w:pPr>
            <w:r>
              <w:t>E34</w:t>
            </w:r>
          </w:p>
        </w:tc>
        <w:tc>
          <w:tcPr>
            <w:tcW w:w="0" w:type="auto"/>
          </w:tcPr>
          <w:p w14:paraId="11EACBF9" w14:textId="77777777" w:rsidR="00065317" w:rsidRDefault="005C7BF7">
            <w:pPr>
              <w:pStyle w:val="Compact"/>
            </w:pPr>
            <w:r>
              <w:t>-</w:t>
            </w:r>
          </w:p>
        </w:tc>
        <w:tc>
          <w:tcPr>
            <w:tcW w:w="0" w:type="auto"/>
          </w:tcPr>
          <w:p w14:paraId="779FBCA3" w14:textId="77777777" w:rsidR="00065317" w:rsidRDefault="005C7BF7">
            <w:pPr>
              <w:pStyle w:val="Compact"/>
            </w:pPr>
            <w:r>
              <w:t>-</w:t>
            </w:r>
          </w:p>
        </w:tc>
        <w:tc>
          <w:tcPr>
            <w:tcW w:w="0" w:type="auto"/>
          </w:tcPr>
          <w:p w14:paraId="4614A75C" w14:textId="77777777" w:rsidR="00065317" w:rsidRDefault="005C7BF7">
            <w:pPr>
              <w:pStyle w:val="Compact"/>
            </w:pPr>
            <w:r>
              <w:t>-</w:t>
            </w:r>
          </w:p>
        </w:tc>
        <w:tc>
          <w:tcPr>
            <w:tcW w:w="0" w:type="auto"/>
          </w:tcPr>
          <w:p w14:paraId="21654EDD" w14:textId="77777777" w:rsidR="00065317" w:rsidRDefault="005C7BF7">
            <w:pPr>
              <w:pStyle w:val="Compact"/>
            </w:pPr>
            <w:r>
              <w:t>-</w:t>
            </w:r>
          </w:p>
        </w:tc>
        <w:tc>
          <w:tcPr>
            <w:tcW w:w="0" w:type="auto"/>
          </w:tcPr>
          <w:p w14:paraId="468F30FA" w14:textId="77777777" w:rsidR="00065317" w:rsidRDefault="005C7BF7">
            <w:pPr>
              <w:pStyle w:val="Compact"/>
            </w:pPr>
            <w:r>
              <w:t>-</w:t>
            </w:r>
          </w:p>
        </w:tc>
        <w:tc>
          <w:tcPr>
            <w:tcW w:w="0" w:type="auto"/>
          </w:tcPr>
          <w:p w14:paraId="7E56C59A" w14:textId="77777777" w:rsidR="00065317" w:rsidRDefault="005C7BF7">
            <w:pPr>
              <w:pStyle w:val="Compact"/>
            </w:pPr>
            <w:r>
              <w:t>-</w:t>
            </w:r>
          </w:p>
        </w:tc>
        <w:tc>
          <w:tcPr>
            <w:tcW w:w="0" w:type="auto"/>
          </w:tcPr>
          <w:p w14:paraId="61E79C87" w14:textId="77777777" w:rsidR="00065317" w:rsidRDefault="005C7BF7">
            <w:pPr>
              <w:pStyle w:val="Compact"/>
            </w:pPr>
            <w:r>
              <w:t>-</w:t>
            </w:r>
          </w:p>
        </w:tc>
        <w:tc>
          <w:tcPr>
            <w:tcW w:w="0" w:type="auto"/>
          </w:tcPr>
          <w:p w14:paraId="0D6CE35A" w14:textId="77777777" w:rsidR="00065317" w:rsidRDefault="005C7BF7">
            <w:pPr>
              <w:pStyle w:val="Compact"/>
            </w:pPr>
            <w:r>
              <w:t>-</w:t>
            </w:r>
          </w:p>
        </w:tc>
        <w:tc>
          <w:tcPr>
            <w:tcW w:w="0" w:type="auto"/>
          </w:tcPr>
          <w:p w14:paraId="255AB449" w14:textId="77777777" w:rsidR="00065317" w:rsidRDefault="005C7BF7">
            <w:pPr>
              <w:pStyle w:val="Compact"/>
            </w:pPr>
            <w:r>
              <w:t>-</w:t>
            </w:r>
          </w:p>
        </w:tc>
        <w:tc>
          <w:tcPr>
            <w:tcW w:w="0" w:type="auto"/>
          </w:tcPr>
          <w:p w14:paraId="23C31E07" w14:textId="77777777" w:rsidR="00065317" w:rsidRDefault="005C7BF7">
            <w:pPr>
              <w:pStyle w:val="Compact"/>
            </w:pPr>
            <w:r>
              <w:rPr>
                <w:rStyle w:val="VerbatimChar"/>
                <w:i/>
                <w:iCs/>
              </w:rPr>
              <w:t>E34_Inscription</w:t>
            </w:r>
          </w:p>
        </w:tc>
      </w:tr>
      <w:tr w:rsidR="00065317" w14:paraId="2BC2578B" w14:textId="77777777">
        <w:tc>
          <w:tcPr>
            <w:tcW w:w="0" w:type="auto"/>
          </w:tcPr>
          <w:p w14:paraId="7DFBB2F1" w14:textId="77777777" w:rsidR="00065317" w:rsidRDefault="005C7BF7">
            <w:pPr>
              <w:pStyle w:val="Compact"/>
            </w:pPr>
            <w:r>
              <w:t>E30</w:t>
            </w:r>
          </w:p>
        </w:tc>
        <w:tc>
          <w:tcPr>
            <w:tcW w:w="0" w:type="auto"/>
          </w:tcPr>
          <w:p w14:paraId="3C0CB732" w14:textId="77777777" w:rsidR="00065317" w:rsidRDefault="005C7BF7">
            <w:pPr>
              <w:pStyle w:val="Compact"/>
            </w:pPr>
            <w:r>
              <w:t>-</w:t>
            </w:r>
          </w:p>
        </w:tc>
        <w:tc>
          <w:tcPr>
            <w:tcW w:w="0" w:type="auto"/>
          </w:tcPr>
          <w:p w14:paraId="4EDCC584" w14:textId="77777777" w:rsidR="00065317" w:rsidRDefault="005C7BF7">
            <w:pPr>
              <w:pStyle w:val="Compact"/>
            </w:pPr>
            <w:r>
              <w:t>-</w:t>
            </w:r>
          </w:p>
        </w:tc>
        <w:tc>
          <w:tcPr>
            <w:tcW w:w="0" w:type="auto"/>
          </w:tcPr>
          <w:p w14:paraId="06923651" w14:textId="77777777" w:rsidR="00065317" w:rsidRDefault="005C7BF7">
            <w:pPr>
              <w:pStyle w:val="Compact"/>
            </w:pPr>
            <w:r>
              <w:t>-</w:t>
            </w:r>
          </w:p>
        </w:tc>
        <w:tc>
          <w:tcPr>
            <w:tcW w:w="0" w:type="auto"/>
          </w:tcPr>
          <w:p w14:paraId="323A8157" w14:textId="77777777" w:rsidR="00065317" w:rsidRDefault="005C7BF7">
            <w:pPr>
              <w:pStyle w:val="Compact"/>
            </w:pPr>
            <w:r>
              <w:t>-</w:t>
            </w:r>
          </w:p>
        </w:tc>
        <w:tc>
          <w:tcPr>
            <w:tcW w:w="0" w:type="auto"/>
          </w:tcPr>
          <w:p w14:paraId="0980BE20" w14:textId="77777777" w:rsidR="00065317" w:rsidRDefault="005C7BF7">
            <w:pPr>
              <w:pStyle w:val="Compact"/>
            </w:pPr>
            <w:r>
              <w:t>-</w:t>
            </w:r>
          </w:p>
        </w:tc>
        <w:tc>
          <w:tcPr>
            <w:tcW w:w="0" w:type="auto"/>
          </w:tcPr>
          <w:p w14:paraId="2B0A8B19" w14:textId="77777777" w:rsidR="00065317" w:rsidRDefault="005C7BF7">
            <w:pPr>
              <w:pStyle w:val="Compact"/>
            </w:pPr>
            <w:r>
              <w:t>-</w:t>
            </w:r>
          </w:p>
        </w:tc>
        <w:tc>
          <w:tcPr>
            <w:tcW w:w="0" w:type="auto"/>
            <w:gridSpan w:val="4"/>
          </w:tcPr>
          <w:p w14:paraId="4E86FDC5" w14:textId="77777777" w:rsidR="00065317" w:rsidRDefault="005C7BF7">
            <w:pPr>
              <w:pStyle w:val="Compact"/>
            </w:pPr>
            <w:r>
              <w:rPr>
                <w:rStyle w:val="VerbatimChar"/>
              </w:rPr>
              <w:t>E30_Droit</w:t>
            </w:r>
          </w:p>
        </w:tc>
      </w:tr>
      <w:tr w:rsidR="00065317" w14:paraId="5DC760FE" w14:textId="77777777">
        <w:tc>
          <w:tcPr>
            <w:tcW w:w="0" w:type="auto"/>
          </w:tcPr>
          <w:p w14:paraId="59A53554" w14:textId="77777777" w:rsidR="00065317" w:rsidRDefault="005C7BF7">
            <w:pPr>
              <w:pStyle w:val="Compact"/>
            </w:pPr>
            <w:r>
              <w:t>E55</w:t>
            </w:r>
          </w:p>
        </w:tc>
        <w:tc>
          <w:tcPr>
            <w:tcW w:w="0" w:type="auto"/>
          </w:tcPr>
          <w:p w14:paraId="31FBBC72" w14:textId="77777777" w:rsidR="00065317" w:rsidRDefault="005C7BF7">
            <w:pPr>
              <w:pStyle w:val="Compact"/>
            </w:pPr>
            <w:r>
              <w:t>-</w:t>
            </w:r>
          </w:p>
        </w:tc>
        <w:tc>
          <w:tcPr>
            <w:tcW w:w="0" w:type="auto"/>
          </w:tcPr>
          <w:p w14:paraId="21792E98" w14:textId="77777777" w:rsidR="00065317" w:rsidRDefault="005C7BF7">
            <w:pPr>
              <w:pStyle w:val="Compact"/>
            </w:pPr>
            <w:r>
              <w:t>-</w:t>
            </w:r>
          </w:p>
        </w:tc>
        <w:tc>
          <w:tcPr>
            <w:tcW w:w="0" w:type="auto"/>
          </w:tcPr>
          <w:p w14:paraId="40FD3424" w14:textId="77777777" w:rsidR="00065317" w:rsidRDefault="005C7BF7">
            <w:pPr>
              <w:pStyle w:val="Compact"/>
            </w:pPr>
            <w:r>
              <w:t>-</w:t>
            </w:r>
          </w:p>
        </w:tc>
        <w:tc>
          <w:tcPr>
            <w:tcW w:w="0" w:type="auto"/>
          </w:tcPr>
          <w:p w14:paraId="4CC62863" w14:textId="77777777" w:rsidR="00065317" w:rsidRDefault="005C7BF7">
            <w:pPr>
              <w:pStyle w:val="Compact"/>
            </w:pPr>
            <w:r>
              <w:t>-</w:t>
            </w:r>
          </w:p>
        </w:tc>
        <w:tc>
          <w:tcPr>
            <w:tcW w:w="0" w:type="auto"/>
          </w:tcPr>
          <w:p w14:paraId="6908399A" w14:textId="77777777" w:rsidR="00065317" w:rsidRDefault="005C7BF7">
            <w:pPr>
              <w:pStyle w:val="Compact"/>
            </w:pPr>
            <w:r>
              <w:t>-</w:t>
            </w:r>
          </w:p>
        </w:tc>
        <w:tc>
          <w:tcPr>
            <w:tcW w:w="0" w:type="auto"/>
            <w:gridSpan w:val="5"/>
          </w:tcPr>
          <w:p w14:paraId="7B96A867" w14:textId="77777777" w:rsidR="00065317" w:rsidRDefault="005C7BF7">
            <w:pPr>
              <w:pStyle w:val="Compact"/>
            </w:pPr>
            <w:r>
              <w:rPr>
                <w:rStyle w:val="VerbatimChar"/>
              </w:rPr>
              <w:t>E55_Type</w:t>
            </w:r>
          </w:p>
        </w:tc>
      </w:tr>
      <w:tr w:rsidR="00065317" w14:paraId="2B5D8056" w14:textId="77777777">
        <w:tc>
          <w:tcPr>
            <w:tcW w:w="0" w:type="auto"/>
          </w:tcPr>
          <w:p w14:paraId="44E0C791" w14:textId="77777777" w:rsidR="00065317" w:rsidRDefault="005C7BF7">
            <w:pPr>
              <w:pStyle w:val="Compact"/>
            </w:pPr>
            <w:r>
              <w:t>E56</w:t>
            </w:r>
          </w:p>
        </w:tc>
        <w:tc>
          <w:tcPr>
            <w:tcW w:w="0" w:type="auto"/>
          </w:tcPr>
          <w:p w14:paraId="7E54D09A" w14:textId="77777777" w:rsidR="00065317" w:rsidRDefault="005C7BF7">
            <w:pPr>
              <w:pStyle w:val="Compact"/>
            </w:pPr>
            <w:r>
              <w:t>-</w:t>
            </w:r>
          </w:p>
        </w:tc>
        <w:tc>
          <w:tcPr>
            <w:tcW w:w="0" w:type="auto"/>
          </w:tcPr>
          <w:p w14:paraId="16D3965D" w14:textId="77777777" w:rsidR="00065317" w:rsidRDefault="005C7BF7">
            <w:pPr>
              <w:pStyle w:val="Compact"/>
            </w:pPr>
            <w:r>
              <w:t>-</w:t>
            </w:r>
          </w:p>
        </w:tc>
        <w:tc>
          <w:tcPr>
            <w:tcW w:w="0" w:type="auto"/>
          </w:tcPr>
          <w:p w14:paraId="4E3C2F59" w14:textId="77777777" w:rsidR="00065317" w:rsidRDefault="005C7BF7">
            <w:pPr>
              <w:pStyle w:val="Compact"/>
            </w:pPr>
            <w:r>
              <w:t>-</w:t>
            </w:r>
          </w:p>
        </w:tc>
        <w:tc>
          <w:tcPr>
            <w:tcW w:w="0" w:type="auto"/>
          </w:tcPr>
          <w:p w14:paraId="75F140B2" w14:textId="77777777" w:rsidR="00065317" w:rsidRDefault="005C7BF7">
            <w:pPr>
              <w:pStyle w:val="Compact"/>
            </w:pPr>
            <w:r>
              <w:t>-</w:t>
            </w:r>
          </w:p>
        </w:tc>
        <w:tc>
          <w:tcPr>
            <w:tcW w:w="0" w:type="auto"/>
          </w:tcPr>
          <w:p w14:paraId="434BE4ED" w14:textId="77777777" w:rsidR="00065317" w:rsidRDefault="005C7BF7">
            <w:pPr>
              <w:pStyle w:val="Compact"/>
            </w:pPr>
            <w:r>
              <w:t>-</w:t>
            </w:r>
          </w:p>
        </w:tc>
        <w:tc>
          <w:tcPr>
            <w:tcW w:w="0" w:type="auto"/>
          </w:tcPr>
          <w:p w14:paraId="519A201A" w14:textId="77777777" w:rsidR="00065317" w:rsidRDefault="005C7BF7">
            <w:pPr>
              <w:pStyle w:val="Compact"/>
            </w:pPr>
            <w:r>
              <w:t>-</w:t>
            </w:r>
          </w:p>
        </w:tc>
        <w:tc>
          <w:tcPr>
            <w:tcW w:w="0" w:type="auto"/>
            <w:gridSpan w:val="4"/>
          </w:tcPr>
          <w:p w14:paraId="20CE74A4" w14:textId="77777777" w:rsidR="00065317" w:rsidRDefault="005C7BF7">
            <w:pPr>
              <w:pStyle w:val="Compact"/>
            </w:pPr>
            <w:r>
              <w:rPr>
                <w:rStyle w:val="VerbatimChar"/>
              </w:rPr>
              <w:t>E56_Langue</w:t>
            </w:r>
          </w:p>
        </w:tc>
      </w:tr>
      <w:tr w:rsidR="00065317" w14:paraId="1C3CC188" w14:textId="77777777">
        <w:tc>
          <w:tcPr>
            <w:tcW w:w="0" w:type="auto"/>
          </w:tcPr>
          <w:p w14:paraId="3D112508" w14:textId="77777777" w:rsidR="00065317" w:rsidRDefault="005C7BF7">
            <w:pPr>
              <w:pStyle w:val="Compact"/>
            </w:pPr>
            <w:r>
              <w:t>E57</w:t>
            </w:r>
          </w:p>
        </w:tc>
        <w:tc>
          <w:tcPr>
            <w:tcW w:w="0" w:type="auto"/>
          </w:tcPr>
          <w:p w14:paraId="55C669D0" w14:textId="77777777" w:rsidR="00065317" w:rsidRDefault="005C7BF7">
            <w:pPr>
              <w:pStyle w:val="Compact"/>
            </w:pPr>
            <w:r>
              <w:t>-</w:t>
            </w:r>
          </w:p>
        </w:tc>
        <w:tc>
          <w:tcPr>
            <w:tcW w:w="0" w:type="auto"/>
          </w:tcPr>
          <w:p w14:paraId="37D63C76" w14:textId="77777777" w:rsidR="00065317" w:rsidRDefault="005C7BF7">
            <w:pPr>
              <w:pStyle w:val="Compact"/>
            </w:pPr>
            <w:r>
              <w:t>-</w:t>
            </w:r>
          </w:p>
        </w:tc>
        <w:tc>
          <w:tcPr>
            <w:tcW w:w="0" w:type="auto"/>
          </w:tcPr>
          <w:p w14:paraId="30DA43EC" w14:textId="77777777" w:rsidR="00065317" w:rsidRDefault="005C7BF7">
            <w:pPr>
              <w:pStyle w:val="Compact"/>
            </w:pPr>
            <w:r>
              <w:t>-</w:t>
            </w:r>
          </w:p>
        </w:tc>
        <w:tc>
          <w:tcPr>
            <w:tcW w:w="0" w:type="auto"/>
          </w:tcPr>
          <w:p w14:paraId="406C9265" w14:textId="77777777" w:rsidR="00065317" w:rsidRDefault="005C7BF7">
            <w:pPr>
              <w:pStyle w:val="Compact"/>
            </w:pPr>
            <w:r>
              <w:t>-</w:t>
            </w:r>
          </w:p>
        </w:tc>
        <w:tc>
          <w:tcPr>
            <w:tcW w:w="0" w:type="auto"/>
          </w:tcPr>
          <w:p w14:paraId="2039087B" w14:textId="77777777" w:rsidR="00065317" w:rsidRDefault="005C7BF7">
            <w:pPr>
              <w:pStyle w:val="Compact"/>
            </w:pPr>
            <w:r>
              <w:t>-</w:t>
            </w:r>
          </w:p>
        </w:tc>
        <w:tc>
          <w:tcPr>
            <w:tcW w:w="0" w:type="auto"/>
          </w:tcPr>
          <w:p w14:paraId="47071DB7" w14:textId="77777777" w:rsidR="00065317" w:rsidRDefault="005C7BF7">
            <w:pPr>
              <w:pStyle w:val="Compact"/>
            </w:pPr>
            <w:r>
              <w:t>-</w:t>
            </w:r>
          </w:p>
        </w:tc>
        <w:tc>
          <w:tcPr>
            <w:tcW w:w="0" w:type="auto"/>
            <w:gridSpan w:val="4"/>
          </w:tcPr>
          <w:p w14:paraId="770BD6CF" w14:textId="77777777" w:rsidR="00065317" w:rsidRDefault="005C7BF7">
            <w:pPr>
              <w:pStyle w:val="Compact"/>
            </w:pPr>
            <w:r>
              <w:rPr>
                <w:rStyle w:val="VerbatimChar"/>
              </w:rPr>
              <w:t>E57_Matériau</w:t>
            </w:r>
          </w:p>
        </w:tc>
      </w:tr>
      <w:tr w:rsidR="00065317" w14:paraId="1DC1998D" w14:textId="77777777">
        <w:tc>
          <w:tcPr>
            <w:tcW w:w="0" w:type="auto"/>
          </w:tcPr>
          <w:p w14:paraId="61D93B79" w14:textId="77777777" w:rsidR="00065317" w:rsidRDefault="005C7BF7">
            <w:pPr>
              <w:pStyle w:val="Compact"/>
            </w:pPr>
            <w:r>
              <w:t>E58</w:t>
            </w:r>
          </w:p>
        </w:tc>
        <w:tc>
          <w:tcPr>
            <w:tcW w:w="0" w:type="auto"/>
          </w:tcPr>
          <w:p w14:paraId="65CB6C38" w14:textId="77777777" w:rsidR="00065317" w:rsidRDefault="005C7BF7">
            <w:pPr>
              <w:pStyle w:val="Compact"/>
            </w:pPr>
            <w:r>
              <w:t>-</w:t>
            </w:r>
          </w:p>
        </w:tc>
        <w:tc>
          <w:tcPr>
            <w:tcW w:w="0" w:type="auto"/>
          </w:tcPr>
          <w:p w14:paraId="48038353" w14:textId="77777777" w:rsidR="00065317" w:rsidRDefault="005C7BF7">
            <w:pPr>
              <w:pStyle w:val="Compact"/>
            </w:pPr>
            <w:r>
              <w:t>-</w:t>
            </w:r>
          </w:p>
        </w:tc>
        <w:tc>
          <w:tcPr>
            <w:tcW w:w="0" w:type="auto"/>
          </w:tcPr>
          <w:p w14:paraId="49D1DEF8" w14:textId="77777777" w:rsidR="00065317" w:rsidRDefault="005C7BF7">
            <w:pPr>
              <w:pStyle w:val="Compact"/>
            </w:pPr>
            <w:r>
              <w:t>-</w:t>
            </w:r>
          </w:p>
        </w:tc>
        <w:tc>
          <w:tcPr>
            <w:tcW w:w="0" w:type="auto"/>
          </w:tcPr>
          <w:p w14:paraId="1363A571" w14:textId="77777777" w:rsidR="00065317" w:rsidRDefault="005C7BF7">
            <w:pPr>
              <w:pStyle w:val="Compact"/>
            </w:pPr>
            <w:r>
              <w:t>-</w:t>
            </w:r>
          </w:p>
        </w:tc>
        <w:tc>
          <w:tcPr>
            <w:tcW w:w="0" w:type="auto"/>
          </w:tcPr>
          <w:p w14:paraId="70CE8F41" w14:textId="77777777" w:rsidR="00065317" w:rsidRDefault="005C7BF7">
            <w:pPr>
              <w:pStyle w:val="Compact"/>
            </w:pPr>
            <w:r>
              <w:t>-</w:t>
            </w:r>
          </w:p>
        </w:tc>
        <w:tc>
          <w:tcPr>
            <w:tcW w:w="0" w:type="auto"/>
          </w:tcPr>
          <w:p w14:paraId="3F5A9B16" w14:textId="77777777" w:rsidR="00065317" w:rsidRDefault="005C7BF7">
            <w:pPr>
              <w:pStyle w:val="Compact"/>
            </w:pPr>
            <w:r>
              <w:t>-</w:t>
            </w:r>
          </w:p>
        </w:tc>
        <w:tc>
          <w:tcPr>
            <w:tcW w:w="0" w:type="auto"/>
            <w:gridSpan w:val="4"/>
          </w:tcPr>
          <w:p w14:paraId="11FC792E" w14:textId="77777777" w:rsidR="00065317" w:rsidRDefault="005C7BF7">
            <w:pPr>
              <w:pStyle w:val="Compact"/>
            </w:pPr>
            <w:r>
              <w:rPr>
                <w:rStyle w:val="VerbatimChar"/>
              </w:rPr>
              <w:t>E58_Unité_de_mesure</w:t>
            </w:r>
          </w:p>
        </w:tc>
      </w:tr>
      <w:tr w:rsidR="00065317" w14:paraId="2DB7E1B1" w14:textId="77777777">
        <w:tc>
          <w:tcPr>
            <w:tcW w:w="0" w:type="auto"/>
          </w:tcPr>
          <w:p w14:paraId="272C86C6" w14:textId="77777777" w:rsidR="00065317" w:rsidRDefault="005C7BF7">
            <w:pPr>
              <w:pStyle w:val="Compact"/>
            </w:pPr>
            <w:r>
              <w:t>E98</w:t>
            </w:r>
          </w:p>
        </w:tc>
        <w:tc>
          <w:tcPr>
            <w:tcW w:w="0" w:type="auto"/>
          </w:tcPr>
          <w:p w14:paraId="723B1785" w14:textId="77777777" w:rsidR="00065317" w:rsidRDefault="005C7BF7">
            <w:pPr>
              <w:pStyle w:val="Compact"/>
            </w:pPr>
            <w:r>
              <w:t>-</w:t>
            </w:r>
          </w:p>
        </w:tc>
        <w:tc>
          <w:tcPr>
            <w:tcW w:w="0" w:type="auto"/>
          </w:tcPr>
          <w:p w14:paraId="60022EFE" w14:textId="77777777" w:rsidR="00065317" w:rsidRDefault="005C7BF7">
            <w:pPr>
              <w:pStyle w:val="Compact"/>
            </w:pPr>
            <w:r>
              <w:t>-</w:t>
            </w:r>
          </w:p>
        </w:tc>
        <w:tc>
          <w:tcPr>
            <w:tcW w:w="0" w:type="auto"/>
          </w:tcPr>
          <w:p w14:paraId="4ED1B2D8" w14:textId="77777777" w:rsidR="00065317" w:rsidRDefault="005C7BF7">
            <w:pPr>
              <w:pStyle w:val="Compact"/>
            </w:pPr>
            <w:r>
              <w:t>-</w:t>
            </w:r>
          </w:p>
        </w:tc>
        <w:tc>
          <w:tcPr>
            <w:tcW w:w="0" w:type="auto"/>
          </w:tcPr>
          <w:p w14:paraId="5DC6E9E0" w14:textId="77777777" w:rsidR="00065317" w:rsidRDefault="005C7BF7">
            <w:pPr>
              <w:pStyle w:val="Compact"/>
            </w:pPr>
            <w:r>
              <w:t>-</w:t>
            </w:r>
          </w:p>
        </w:tc>
        <w:tc>
          <w:tcPr>
            <w:tcW w:w="0" w:type="auto"/>
          </w:tcPr>
          <w:p w14:paraId="3307154F" w14:textId="77777777" w:rsidR="00065317" w:rsidRDefault="005C7BF7">
            <w:pPr>
              <w:pStyle w:val="Compact"/>
            </w:pPr>
            <w:r>
              <w:t>-</w:t>
            </w:r>
          </w:p>
        </w:tc>
        <w:tc>
          <w:tcPr>
            <w:tcW w:w="0" w:type="auto"/>
          </w:tcPr>
          <w:p w14:paraId="31C956DC" w14:textId="77777777" w:rsidR="00065317" w:rsidRDefault="005C7BF7">
            <w:pPr>
              <w:pStyle w:val="Compact"/>
            </w:pPr>
            <w:r>
              <w:t>-</w:t>
            </w:r>
          </w:p>
        </w:tc>
        <w:tc>
          <w:tcPr>
            <w:tcW w:w="0" w:type="auto"/>
          </w:tcPr>
          <w:p w14:paraId="141603A0" w14:textId="77777777" w:rsidR="00065317" w:rsidRDefault="005C7BF7">
            <w:pPr>
              <w:pStyle w:val="Compact"/>
            </w:pPr>
            <w:r>
              <w:t>-</w:t>
            </w:r>
          </w:p>
        </w:tc>
        <w:tc>
          <w:tcPr>
            <w:tcW w:w="0" w:type="auto"/>
            <w:gridSpan w:val="3"/>
          </w:tcPr>
          <w:p w14:paraId="2B95D277" w14:textId="77777777" w:rsidR="00065317" w:rsidRDefault="005C7BF7">
            <w:pPr>
              <w:pStyle w:val="Compact"/>
            </w:pPr>
            <w:r>
              <w:rPr>
                <w:rStyle w:val="VerbatimChar"/>
              </w:rPr>
              <w:t>E98_Unité_monétaire</w:t>
            </w:r>
          </w:p>
        </w:tc>
      </w:tr>
      <w:tr w:rsidR="00065317" w14:paraId="5EDCAA6A" w14:textId="77777777">
        <w:tc>
          <w:tcPr>
            <w:tcW w:w="0" w:type="auto"/>
          </w:tcPr>
          <w:p w14:paraId="025A2191" w14:textId="77777777" w:rsidR="00065317" w:rsidRDefault="005C7BF7">
            <w:pPr>
              <w:pStyle w:val="Compact"/>
            </w:pPr>
            <w:r>
              <w:t>E99</w:t>
            </w:r>
          </w:p>
        </w:tc>
        <w:tc>
          <w:tcPr>
            <w:tcW w:w="0" w:type="auto"/>
          </w:tcPr>
          <w:p w14:paraId="56C6581E" w14:textId="77777777" w:rsidR="00065317" w:rsidRDefault="005C7BF7">
            <w:pPr>
              <w:pStyle w:val="Compact"/>
            </w:pPr>
            <w:r>
              <w:t>-</w:t>
            </w:r>
          </w:p>
        </w:tc>
        <w:tc>
          <w:tcPr>
            <w:tcW w:w="0" w:type="auto"/>
          </w:tcPr>
          <w:p w14:paraId="122F69B2" w14:textId="77777777" w:rsidR="00065317" w:rsidRDefault="005C7BF7">
            <w:pPr>
              <w:pStyle w:val="Compact"/>
            </w:pPr>
            <w:r>
              <w:t>-</w:t>
            </w:r>
          </w:p>
        </w:tc>
        <w:tc>
          <w:tcPr>
            <w:tcW w:w="0" w:type="auto"/>
          </w:tcPr>
          <w:p w14:paraId="3FF68045" w14:textId="77777777" w:rsidR="00065317" w:rsidRDefault="005C7BF7">
            <w:pPr>
              <w:pStyle w:val="Compact"/>
            </w:pPr>
            <w:r>
              <w:t>-</w:t>
            </w:r>
          </w:p>
        </w:tc>
        <w:tc>
          <w:tcPr>
            <w:tcW w:w="0" w:type="auto"/>
          </w:tcPr>
          <w:p w14:paraId="6EA3B027" w14:textId="77777777" w:rsidR="00065317" w:rsidRDefault="005C7BF7">
            <w:pPr>
              <w:pStyle w:val="Compact"/>
            </w:pPr>
            <w:r>
              <w:t>-</w:t>
            </w:r>
          </w:p>
        </w:tc>
        <w:tc>
          <w:tcPr>
            <w:tcW w:w="0" w:type="auto"/>
          </w:tcPr>
          <w:p w14:paraId="18A9C740" w14:textId="77777777" w:rsidR="00065317" w:rsidRDefault="005C7BF7">
            <w:pPr>
              <w:pStyle w:val="Compact"/>
            </w:pPr>
            <w:r>
              <w:t>-</w:t>
            </w:r>
          </w:p>
        </w:tc>
        <w:tc>
          <w:tcPr>
            <w:tcW w:w="0" w:type="auto"/>
          </w:tcPr>
          <w:p w14:paraId="444D9820" w14:textId="77777777" w:rsidR="00065317" w:rsidRDefault="005C7BF7">
            <w:pPr>
              <w:pStyle w:val="Compact"/>
            </w:pPr>
            <w:r>
              <w:t>-</w:t>
            </w:r>
          </w:p>
        </w:tc>
        <w:tc>
          <w:tcPr>
            <w:tcW w:w="0" w:type="auto"/>
            <w:gridSpan w:val="4"/>
          </w:tcPr>
          <w:p w14:paraId="6FD1CE1A" w14:textId="77777777" w:rsidR="00065317" w:rsidRDefault="005C7BF7">
            <w:pPr>
              <w:pStyle w:val="Compact"/>
            </w:pPr>
            <w:r>
              <w:rPr>
                <w:rStyle w:val="VerbatimChar"/>
              </w:rPr>
              <w:t>E99_Modèle_de_produit</w:t>
            </w:r>
          </w:p>
        </w:tc>
      </w:tr>
      <w:tr w:rsidR="00065317" w14:paraId="751B3071" w14:textId="77777777">
        <w:tc>
          <w:tcPr>
            <w:tcW w:w="0" w:type="auto"/>
          </w:tcPr>
          <w:p w14:paraId="52827ECC" w14:textId="77777777" w:rsidR="00065317" w:rsidRDefault="005C7BF7">
            <w:pPr>
              <w:pStyle w:val="Compact"/>
            </w:pPr>
            <w:r>
              <w:t>E39</w:t>
            </w:r>
          </w:p>
        </w:tc>
        <w:tc>
          <w:tcPr>
            <w:tcW w:w="0" w:type="auto"/>
          </w:tcPr>
          <w:p w14:paraId="73472D3A" w14:textId="77777777" w:rsidR="00065317" w:rsidRDefault="005C7BF7">
            <w:pPr>
              <w:pStyle w:val="Compact"/>
            </w:pPr>
            <w:r>
              <w:t>-</w:t>
            </w:r>
          </w:p>
        </w:tc>
        <w:tc>
          <w:tcPr>
            <w:tcW w:w="0" w:type="auto"/>
          </w:tcPr>
          <w:p w14:paraId="0C9EF11A" w14:textId="77777777" w:rsidR="00065317" w:rsidRDefault="005C7BF7">
            <w:pPr>
              <w:pStyle w:val="Compact"/>
            </w:pPr>
            <w:r>
              <w:t>-</w:t>
            </w:r>
          </w:p>
        </w:tc>
        <w:tc>
          <w:tcPr>
            <w:tcW w:w="0" w:type="auto"/>
            <w:gridSpan w:val="8"/>
          </w:tcPr>
          <w:p w14:paraId="48941CA1" w14:textId="77777777" w:rsidR="00065317" w:rsidRDefault="005C7BF7">
            <w:pPr>
              <w:pStyle w:val="Compact"/>
            </w:pPr>
            <w:r>
              <w:rPr>
                <w:rStyle w:val="VerbatimChar"/>
              </w:rPr>
              <w:t>E39_Actant</w:t>
            </w:r>
          </w:p>
        </w:tc>
      </w:tr>
      <w:tr w:rsidR="00065317" w14:paraId="72D432AB" w14:textId="77777777">
        <w:tc>
          <w:tcPr>
            <w:tcW w:w="0" w:type="auto"/>
          </w:tcPr>
          <w:p w14:paraId="2F1E44BB" w14:textId="77777777" w:rsidR="00065317" w:rsidRDefault="005C7BF7">
            <w:pPr>
              <w:pStyle w:val="Compact"/>
            </w:pPr>
            <w:r>
              <w:t>E74</w:t>
            </w:r>
          </w:p>
        </w:tc>
        <w:tc>
          <w:tcPr>
            <w:tcW w:w="0" w:type="auto"/>
          </w:tcPr>
          <w:p w14:paraId="373F8024" w14:textId="77777777" w:rsidR="00065317" w:rsidRDefault="005C7BF7">
            <w:pPr>
              <w:pStyle w:val="Compact"/>
            </w:pPr>
            <w:r>
              <w:t>-</w:t>
            </w:r>
          </w:p>
        </w:tc>
        <w:tc>
          <w:tcPr>
            <w:tcW w:w="0" w:type="auto"/>
          </w:tcPr>
          <w:p w14:paraId="1A23C67D" w14:textId="77777777" w:rsidR="00065317" w:rsidRDefault="005C7BF7">
            <w:pPr>
              <w:pStyle w:val="Compact"/>
            </w:pPr>
            <w:r>
              <w:t>-</w:t>
            </w:r>
          </w:p>
        </w:tc>
        <w:tc>
          <w:tcPr>
            <w:tcW w:w="0" w:type="auto"/>
          </w:tcPr>
          <w:p w14:paraId="698261FB" w14:textId="77777777" w:rsidR="00065317" w:rsidRDefault="005C7BF7">
            <w:pPr>
              <w:pStyle w:val="Compact"/>
            </w:pPr>
            <w:r>
              <w:t>-</w:t>
            </w:r>
          </w:p>
        </w:tc>
        <w:tc>
          <w:tcPr>
            <w:tcW w:w="0" w:type="auto"/>
            <w:gridSpan w:val="7"/>
          </w:tcPr>
          <w:p w14:paraId="49F5B958" w14:textId="77777777" w:rsidR="00065317" w:rsidRDefault="005C7BF7">
            <w:pPr>
              <w:pStyle w:val="Compact"/>
            </w:pPr>
            <w:r>
              <w:rPr>
                <w:rStyle w:val="VerbatimChar"/>
              </w:rPr>
              <w:t>E74_Groupe</w:t>
            </w:r>
          </w:p>
        </w:tc>
      </w:tr>
      <w:tr w:rsidR="00065317" w14:paraId="07FEC171" w14:textId="77777777">
        <w:tc>
          <w:tcPr>
            <w:tcW w:w="0" w:type="auto"/>
          </w:tcPr>
          <w:p w14:paraId="51A8B1D2" w14:textId="77777777" w:rsidR="00065317" w:rsidRDefault="005C7BF7">
            <w:pPr>
              <w:pStyle w:val="Compact"/>
            </w:pPr>
            <w:r>
              <w:t>E21</w:t>
            </w:r>
          </w:p>
        </w:tc>
        <w:tc>
          <w:tcPr>
            <w:tcW w:w="0" w:type="auto"/>
          </w:tcPr>
          <w:p w14:paraId="4FBAAE1D" w14:textId="77777777" w:rsidR="00065317" w:rsidRDefault="005C7BF7">
            <w:pPr>
              <w:pStyle w:val="Compact"/>
            </w:pPr>
            <w:r>
              <w:t>-</w:t>
            </w:r>
          </w:p>
        </w:tc>
        <w:tc>
          <w:tcPr>
            <w:tcW w:w="0" w:type="auto"/>
          </w:tcPr>
          <w:p w14:paraId="47B66CCB" w14:textId="77777777" w:rsidR="00065317" w:rsidRDefault="005C7BF7">
            <w:pPr>
              <w:pStyle w:val="Compact"/>
            </w:pPr>
            <w:r>
              <w:t>-</w:t>
            </w:r>
          </w:p>
        </w:tc>
        <w:tc>
          <w:tcPr>
            <w:tcW w:w="0" w:type="auto"/>
          </w:tcPr>
          <w:p w14:paraId="3C7894EB" w14:textId="77777777" w:rsidR="00065317" w:rsidRDefault="005C7BF7">
            <w:pPr>
              <w:pStyle w:val="Compact"/>
            </w:pPr>
            <w:r>
              <w:t>-</w:t>
            </w:r>
          </w:p>
        </w:tc>
        <w:tc>
          <w:tcPr>
            <w:tcW w:w="0" w:type="auto"/>
            <w:gridSpan w:val="7"/>
          </w:tcPr>
          <w:p w14:paraId="78F5C7CB" w14:textId="77777777" w:rsidR="00065317" w:rsidRDefault="005C7BF7">
            <w:pPr>
              <w:pStyle w:val="Compact"/>
            </w:pPr>
            <w:r>
              <w:rPr>
                <w:rStyle w:val="VerbatimChar"/>
                <w:i/>
                <w:iCs/>
              </w:rPr>
              <w:t>E21_Personne</w:t>
            </w:r>
          </w:p>
        </w:tc>
      </w:tr>
      <w:tr w:rsidR="00065317" w14:paraId="660587F2" w14:textId="77777777">
        <w:tc>
          <w:tcPr>
            <w:tcW w:w="0" w:type="auto"/>
          </w:tcPr>
          <w:p w14:paraId="534FC7EB" w14:textId="77777777" w:rsidR="00065317" w:rsidRDefault="005C7BF7">
            <w:pPr>
              <w:pStyle w:val="Compact"/>
            </w:pPr>
            <w:r>
              <w:t>E52</w:t>
            </w:r>
          </w:p>
        </w:tc>
        <w:tc>
          <w:tcPr>
            <w:tcW w:w="0" w:type="auto"/>
          </w:tcPr>
          <w:p w14:paraId="36B5613B" w14:textId="77777777" w:rsidR="00065317" w:rsidRDefault="005C7BF7">
            <w:pPr>
              <w:pStyle w:val="Compact"/>
            </w:pPr>
            <w:r>
              <w:t>-</w:t>
            </w:r>
          </w:p>
        </w:tc>
        <w:tc>
          <w:tcPr>
            <w:tcW w:w="0" w:type="auto"/>
            <w:gridSpan w:val="9"/>
          </w:tcPr>
          <w:p w14:paraId="675FEC9F" w14:textId="77777777" w:rsidR="00065317" w:rsidRDefault="005C7BF7">
            <w:pPr>
              <w:pStyle w:val="Compact"/>
            </w:pPr>
            <w:r>
              <w:rPr>
                <w:rStyle w:val="VerbatimChar"/>
              </w:rPr>
              <w:t>E52_Intervalle_temporel</w:t>
            </w:r>
          </w:p>
        </w:tc>
      </w:tr>
      <w:tr w:rsidR="00065317" w14:paraId="04F6F39D" w14:textId="77777777">
        <w:tc>
          <w:tcPr>
            <w:tcW w:w="0" w:type="auto"/>
          </w:tcPr>
          <w:p w14:paraId="7D3D363D" w14:textId="77777777" w:rsidR="00065317" w:rsidRDefault="005C7BF7">
            <w:pPr>
              <w:pStyle w:val="Compact"/>
            </w:pPr>
            <w:r>
              <w:t>E53</w:t>
            </w:r>
          </w:p>
        </w:tc>
        <w:tc>
          <w:tcPr>
            <w:tcW w:w="0" w:type="auto"/>
          </w:tcPr>
          <w:p w14:paraId="3056AE82" w14:textId="77777777" w:rsidR="00065317" w:rsidRDefault="005C7BF7">
            <w:pPr>
              <w:pStyle w:val="Compact"/>
            </w:pPr>
            <w:r>
              <w:t>-</w:t>
            </w:r>
          </w:p>
        </w:tc>
        <w:tc>
          <w:tcPr>
            <w:tcW w:w="0" w:type="auto"/>
            <w:gridSpan w:val="9"/>
          </w:tcPr>
          <w:p w14:paraId="08717DE2" w14:textId="77777777" w:rsidR="00065317" w:rsidRDefault="005C7BF7">
            <w:pPr>
              <w:pStyle w:val="Compact"/>
            </w:pPr>
            <w:r>
              <w:rPr>
                <w:rStyle w:val="VerbatimChar"/>
              </w:rPr>
              <w:t>E53_Lieu</w:t>
            </w:r>
          </w:p>
        </w:tc>
      </w:tr>
      <w:tr w:rsidR="00065317" w14:paraId="20DA3036" w14:textId="77777777">
        <w:tc>
          <w:tcPr>
            <w:tcW w:w="0" w:type="auto"/>
          </w:tcPr>
          <w:p w14:paraId="10EC7D78" w14:textId="77777777" w:rsidR="00065317" w:rsidRDefault="005C7BF7">
            <w:pPr>
              <w:pStyle w:val="Compact"/>
            </w:pPr>
            <w:r>
              <w:t>E54</w:t>
            </w:r>
          </w:p>
        </w:tc>
        <w:tc>
          <w:tcPr>
            <w:tcW w:w="0" w:type="auto"/>
          </w:tcPr>
          <w:p w14:paraId="5B96173E" w14:textId="77777777" w:rsidR="00065317" w:rsidRDefault="005C7BF7">
            <w:pPr>
              <w:pStyle w:val="Compact"/>
            </w:pPr>
            <w:r>
              <w:t>-</w:t>
            </w:r>
          </w:p>
        </w:tc>
        <w:tc>
          <w:tcPr>
            <w:tcW w:w="0" w:type="auto"/>
            <w:gridSpan w:val="9"/>
          </w:tcPr>
          <w:p w14:paraId="28069DA3" w14:textId="77777777" w:rsidR="00065317" w:rsidRDefault="005C7BF7">
            <w:pPr>
              <w:pStyle w:val="Compact"/>
            </w:pPr>
            <w:r>
              <w:rPr>
                <w:rStyle w:val="VerbatimChar"/>
              </w:rPr>
              <w:t>E54_Dimension</w:t>
            </w:r>
          </w:p>
        </w:tc>
      </w:tr>
      <w:tr w:rsidR="00065317" w14:paraId="600146BA" w14:textId="77777777">
        <w:tc>
          <w:tcPr>
            <w:tcW w:w="0" w:type="auto"/>
          </w:tcPr>
          <w:p w14:paraId="6D7851B8" w14:textId="77777777" w:rsidR="00065317" w:rsidRDefault="005C7BF7">
            <w:pPr>
              <w:pStyle w:val="Compact"/>
            </w:pPr>
            <w:r>
              <w:t>E97</w:t>
            </w:r>
          </w:p>
        </w:tc>
        <w:tc>
          <w:tcPr>
            <w:tcW w:w="0" w:type="auto"/>
          </w:tcPr>
          <w:p w14:paraId="3BE3F256" w14:textId="77777777" w:rsidR="00065317" w:rsidRDefault="005C7BF7">
            <w:pPr>
              <w:pStyle w:val="Compact"/>
            </w:pPr>
            <w:r>
              <w:t>-</w:t>
            </w:r>
          </w:p>
        </w:tc>
        <w:tc>
          <w:tcPr>
            <w:tcW w:w="0" w:type="auto"/>
          </w:tcPr>
          <w:p w14:paraId="32D495B3" w14:textId="77777777" w:rsidR="00065317" w:rsidRDefault="005C7BF7">
            <w:pPr>
              <w:pStyle w:val="Compact"/>
            </w:pPr>
            <w:r>
              <w:t>-</w:t>
            </w:r>
          </w:p>
        </w:tc>
        <w:tc>
          <w:tcPr>
            <w:tcW w:w="0" w:type="auto"/>
            <w:gridSpan w:val="8"/>
          </w:tcPr>
          <w:p w14:paraId="207FC04E" w14:textId="77777777" w:rsidR="00065317" w:rsidRDefault="005C7BF7">
            <w:pPr>
              <w:pStyle w:val="Compact"/>
            </w:pPr>
            <w:r>
              <w:rPr>
                <w:rStyle w:val="VerbatimChar"/>
              </w:rPr>
              <w:t>E97_Valeur_monétaire</w:t>
            </w:r>
          </w:p>
        </w:tc>
      </w:tr>
      <w:tr w:rsidR="00065317" w14:paraId="69734576" w14:textId="77777777">
        <w:tc>
          <w:tcPr>
            <w:tcW w:w="0" w:type="auto"/>
          </w:tcPr>
          <w:p w14:paraId="2C0337F8" w14:textId="77777777" w:rsidR="00065317" w:rsidRDefault="005C7BF7">
            <w:pPr>
              <w:pStyle w:val="Compact"/>
            </w:pPr>
            <w:r>
              <w:t>E92</w:t>
            </w:r>
          </w:p>
        </w:tc>
        <w:tc>
          <w:tcPr>
            <w:tcW w:w="0" w:type="auto"/>
          </w:tcPr>
          <w:p w14:paraId="1286FC3D" w14:textId="77777777" w:rsidR="00065317" w:rsidRDefault="005C7BF7">
            <w:pPr>
              <w:pStyle w:val="Compact"/>
            </w:pPr>
            <w:r>
              <w:t>-</w:t>
            </w:r>
          </w:p>
        </w:tc>
        <w:tc>
          <w:tcPr>
            <w:tcW w:w="0" w:type="auto"/>
            <w:gridSpan w:val="9"/>
          </w:tcPr>
          <w:p w14:paraId="5F876D26" w14:textId="77777777" w:rsidR="00065317" w:rsidRDefault="005C7BF7">
            <w:pPr>
              <w:pStyle w:val="Compact"/>
            </w:pPr>
            <w:r>
              <w:rPr>
                <w:rStyle w:val="VerbatimChar"/>
              </w:rPr>
              <w:t>E92_Volume_spatio-temporel</w:t>
            </w:r>
          </w:p>
        </w:tc>
      </w:tr>
      <w:tr w:rsidR="00065317" w14:paraId="37FA86DB" w14:textId="77777777">
        <w:tc>
          <w:tcPr>
            <w:tcW w:w="0" w:type="auto"/>
          </w:tcPr>
          <w:p w14:paraId="063CA6F9" w14:textId="77777777" w:rsidR="00065317" w:rsidRDefault="005C7BF7">
            <w:pPr>
              <w:pStyle w:val="Compact"/>
            </w:pPr>
            <w:r>
              <w:lastRenderedPageBreak/>
              <w:t>E4</w:t>
            </w:r>
          </w:p>
        </w:tc>
        <w:tc>
          <w:tcPr>
            <w:tcW w:w="0" w:type="auto"/>
          </w:tcPr>
          <w:p w14:paraId="5FDE4F89" w14:textId="77777777" w:rsidR="00065317" w:rsidRDefault="005C7BF7">
            <w:pPr>
              <w:pStyle w:val="Compact"/>
            </w:pPr>
            <w:r>
              <w:t>-</w:t>
            </w:r>
          </w:p>
        </w:tc>
        <w:tc>
          <w:tcPr>
            <w:tcW w:w="0" w:type="auto"/>
          </w:tcPr>
          <w:p w14:paraId="6E9E13A2" w14:textId="77777777" w:rsidR="00065317" w:rsidRDefault="005C7BF7">
            <w:pPr>
              <w:pStyle w:val="Compact"/>
            </w:pPr>
            <w:r>
              <w:t>-</w:t>
            </w:r>
          </w:p>
        </w:tc>
        <w:tc>
          <w:tcPr>
            <w:tcW w:w="0" w:type="auto"/>
            <w:gridSpan w:val="8"/>
          </w:tcPr>
          <w:p w14:paraId="41641806" w14:textId="77777777" w:rsidR="00065317" w:rsidRDefault="005C7BF7">
            <w:pPr>
              <w:pStyle w:val="Compact"/>
            </w:pPr>
            <w:r>
              <w:rPr>
                <w:rStyle w:val="VerbatimChar"/>
                <w:i/>
                <w:iCs/>
              </w:rPr>
              <w:t>E4_Période</w:t>
            </w:r>
          </w:p>
        </w:tc>
      </w:tr>
      <w:tr w:rsidR="00065317" w14:paraId="2D726F51" w14:textId="77777777">
        <w:tc>
          <w:tcPr>
            <w:tcW w:w="0" w:type="auto"/>
          </w:tcPr>
          <w:p w14:paraId="21144FE2" w14:textId="77777777" w:rsidR="00065317" w:rsidRDefault="005C7BF7">
            <w:pPr>
              <w:pStyle w:val="Compact"/>
            </w:pPr>
            <w:r>
              <w:t>E5</w:t>
            </w:r>
          </w:p>
        </w:tc>
        <w:tc>
          <w:tcPr>
            <w:tcW w:w="0" w:type="auto"/>
          </w:tcPr>
          <w:p w14:paraId="23496027" w14:textId="77777777" w:rsidR="00065317" w:rsidRDefault="005C7BF7">
            <w:pPr>
              <w:pStyle w:val="Compact"/>
            </w:pPr>
            <w:r>
              <w:t>-</w:t>
            </w:r>
          </w:p>
        </w:tc>
        <w:tc>
          <w:tcPr>
            <w:tcW w:w="0" w:type="auto"/>
          </w:tcPr>
          <w:p w14:paraId="50FA83D8" w14:textId="77777777" w:rsidR="00065317" w:rsidRDefault="005C7BF7">
            <w:pPr>
              <w:pStyle w:val="Compact"/>
            </w:pPr>
            <w:r>
              <w:t>-</w:t>
            </w:r>
          </w:p>
        </w:tc>
        <w:tc>
          <w:tcPr>
            <w:tcW w:w="0" w:type="auto"/>
          </w:tcPr>
          <w:p w14:paraId="35A0E0D8" w14:textId="77777777" w:rsidR="00065317" w:rsidRDefault="005C7BF7">
            <w:pPr>
              <w:pStyle w:val="Compact"/>
            </w:pPr>
            <w:r>
              <w:t>-</w:t>
            </w:r>
          </w:p>
        </w:tc>
        <w:tc>
          <w:tcPr>
            <w:tcW w:w="0" w:type="auto"/>
            <w:gridSpan w:val="7"/>
          </w:tcPr>
          <w:p w14:paraId="77DE7D1B" w14:textId="77777777" w:rsidR="00065317" w:rsidRDefault="005C7BF7">
            <w:pPr>
              <w:pStyle w:val="Compact"/>
            </w:pPr>
            <w:r>
              <w:rPr>
                <w:rStyle w:val="VerbatimChar"/>
                <w:i/>
                <w:iCs/>
              </w:rPr>
              <w:t>E5_Évènement</w:t>
            </w:r>
          </w:p>
        </w:tc>
      </w:tr>
      <w:tr w:rsidR="00065317" w14:paraId="155D1DA7" w14:textId="77777777">
        <w:tc>
          <w:tcPr>
            <w:tcW w:w="0" w:type="auto"/>
          </w:tcPr>
          <w:p w14:paraId="1A254FAB" w14:textId="77777777" w:rsidR="00065317" w:rsidRDefault="005C7BF7">
            <w:pPr>
              <w:pStyle w:val="Compact"/>
            </w:pPr>
            <w:r>
              <w:t>E7</w:t>
            </w:r>
          </w:p>
        </w:tc>
        <w:tc>
          <w:tcPr>
            <w:tcW w:w="0" w:type="auto"/>
          </w:tcPr>
          <w:p w14:paraId="246E1369" w14:textId="77777777" w:rsidR="00065317" w:rsidRDefault="005C7BF7">
            <w:pPr>
              <w:pStyle w:val="Compact"/>
            </w:pPr>
            <w:r>
              <w:t>-</w:t>
            </w:r>
          </w:p>
        </w:tc>
        <w:tc>
          <w:tcPr>
            <w:tcW w:w="0" w:type="auto"/>
          </w:tcPr>
          <w:p w14:paraId="2DEB7724" w14:textId="77777777" w:rsidR="00065317" w:rsidRDefault="005C7BF7">
            <w:pPr>
              <w:pStyle w:val="Compact"/>
            </w:pPr>
            <w:r>
              <w:t>-</w:t>
            </w:r>
          </w:p>
        </w:tc>
        <w:tc>
          <w:tcPr>
            <w:tcW w:w="0" w:type="auto"/>
          </w:tcPr>
          <w:p w14:paraId="3D466B4E" w14:textId="77777777" w:rsidR="00065317" w:rsidRDefault="005C7BF7">
            <w:pPr>
              <w:pStyle w:val="Compact"/>
            </w:pPr>
            <w:r>
              <w:t>-</w:t>
            </w:r>
          </w:p>
        </w:tc>
        <w:tc>
          <w:tcPr>
            <w:tcW w:w="0" w:type="auto"/>
          </w:tcPr>
          <w:p w14:paraId="518F7743" w14:textId="77777777" w:rsidR="00065317" w:rsidRDefault="005C7BF7">
            <w:pPr>
              <w:pStyle w:val="Compact"/>
            </w:pPr>
            <w:r>
              <w:t>-</w:t>
            </w:r>
          </w:p>
        </w:tc>
        <w:tc>
          <w:tcPr>
            <w:tcW w:w="0" w:type="auto"/>
            <w:gridSpan w:val="6"/>
          </w:tcPr>
          <w:p w14:paraId="07DF1CB6" w14:textId="77777777" w:rsidR="00065317" w:rsidRDefault="005C7BF7">
            <w:pPr>
              <w:pStyle w:val="Compact"/>
            </w:pPr>
            <w:r>
              <w:rPr>
                <w:rStyle w:val="VerbatimChar"/>
                <w:i/>
                <w:iCs/>
              </w:rPr>
              <w:t>E7_Activité</w:t>
            </w:r>
          </w:p>
        </w:tc>
      </w:tr>
      <w:tr w:rsidR="00065317" w14:paraId="58B88272" w14:textId="77777777">
        <w:tc>
          <w:tcPr>
            <w:tcW w:w="0" w:type="auto"/>
          </w:tcPr>
          <w:p w14:paraId="3047579A" w14:textId="77777777" w:rsidR="00065317" w:rsidRDefault="005C7BF7">
            <w:pPr>
              <w:pStyle w:val="Compact"/>
            </w:pPr>
            <w:r>
              <w:t>E8</w:t>
            </w:r>
          </w:p>
        </w:tc>
        <w:tc>
          <w:tcPr>
            <w:tcW w:w="0" w:type="auto"/>
          </w:tcPr>
          <w:p w14:paraId="3BF870CF" w14:textId="77777777" w:rsidR="00065317" w:rsidRDefault="005C7BF7">
            <w:pPr>
              <w:pStyle w:val="Compact"/>
            </w:pPr>
            <w:r>
              <w:t>-</w:t>
            </w:r>
          </w:p>
        </w:tc>
        <w:tc>
          <w:tcPr>
            <w:tcW w:w="0" w:type="auto"/>
          </w:tcPr>
          <w:p w14:paraId="450C8213" w14:textId="77777777" w:rsidR="00065317" w:rsidRDefault="005C7BF7">
            <w:pPr>
              <w:pStyle w:val="Compact"/>
            </w:pPr>
            <w:r>
              <w:t>-</w:t>
            </w:r>
          </w:p>
        </w:tc>
        <w:tc>
          <w:tcPr>
            <w:tcW w:w="0" w:type="auto"/>
          </w:tcPr>
          <w:p w14:paraId="0BE6FAAE" w14:textId="77777777" w:rsidR="00065317" w:rsidRDefault="005C7BF7">
            <w:pPr>
              <w:pStyle w:val="Compact"/>
            </w:pPr>
            <w:r>
              <w:t>-</w:t>
            </w:r>
          </w:p>
        </w:tc>
        <w:tc>
          <w:tcPr>
            <w:tcW w:w="0" w:type="auto"/>
          </w:tcPr>
          <w:p w14:paraId="372BAEA4" w14:textId="77777777" w:rsidR="00065317" w:rsidRDefault="005C7BF7">
            <w:pPr>
              <w:pStyle w:val="Compact"/>
            </w:pPr>
            <w:r>
              <w:t>-</w:t>
            </w:r>
          </w:p>
        </w:tc>
        <w:tc>
          <w:tcPr>
            <w:tcW w:w="0" w:type="auto"/>
          </w:tcPr>
          <w:p w14:paraId="21D7A3B8" w14:textId="77777777" w:rsidR="00065317" w:rsidRDefault="005C7BF7">
            <w:pPr>
              <w:pStyle w:val="Compact"/>
            </w:pPr>
            <w:r>
              <w:t>-</w:t>
            </w:r>
          </w:p>
        </w:tc>
        <w:tc>
          <w:tcPr>
            <w:tcW w:w="0" w:type="auto"/>
            <w:gridSpan w:val="5"/>
          </w:tcPr>
          <w:p w14:paraId="68B09106" w14:textId="77777777" w:rsidR="00065317" w:rsidRDefault="005C7BF7">
            <w:pPr>
              <w:pStyle w:val="Compact"/>
            </w:pPr>
            <w:r>
              <w:rPr>
                <w:rStyle w:val="VerbatimChar"/>
                <w:i/>
                <w:iCs/>
              </w:rPr>
              <w:t>E8_Acquisition</w:t>
            </w:r>
          </w:p>
        </w:tc>
      </w:tr>
      <w:tr w:rsidR="00065317" w14:paraId="270CCF75" w14:textId="77777777">
        <w:tc>
          <w:tcPr>
            <w:tcW w:w="0" w:type="auto"/>
          </w:tcPr>
          <w:p w14:paraId="39714580" w14:textId="77777777" w:rsidR="00065317" w:rsidRDefault="005C7BF7">
            <w:pPr>
              <w:pStyle w:val="Compact"/>
            </w:pPr>
            <w:r>
              <w:t>E96</w:t>
            </w:r>
          </w:p>
        </w:tc>
        <w:tc>
          <w:tcPr>
            <w:tcW w:w="0" w:type="auto"/>
          </w:tcPr>
          <w:p w14:paraId="49842387" w14:textId="77777777" w:rsidR="00065317" w:rsidRDefault="005C7BF7">
            <w:pPr>
              <w:pStyle w:val="Compact"/>
            </w:pPr>
            <w:r>
              <w:t>-</w:t>
            </w:r>
          </w:p>
        </w:tc>
        <w:tc>
          <w:tcPr>
            <w:tcW w:w="0" w:type="auto"/>
          </w:tcPr>
          <w:p w14:paraId="6D53DEB0" w14:textId="77777777" w:rsidR="00065317" w:rsidRDefault="005C7BF7">
            <w:pPr>
              <w:pStyle w:val="Compact"/>
            </w:pPr>
            <w:r>
              <w:t>-</w:t>
            </w:r>
          </w:p>
        </w:tc>
        <w:tc>
          <w:tcPr>
            <w:tcW w:w="0" w:type="auto"/>
          </w:tcPr>
          <w:p w14:paraId="4592EE50" w14:textId="77777777" w:rsidR="00065317" w:rsidRDefault="005C7BF7">
            <w:pPr>
              <w:pStyle w:val="Compact"/>
            </w:pPr>
            <w:r>
              <w:t>-</w:t>
            </w:r>
          </w:p>
        </w:tc>
        <w:tc>
          <w:tcPr>
            <w:tcW w:w="0" w:type="auto"/>
          </w:tcPr>
          <w:p w14:paraId="30CD4DF4" w14:textId="77777777" w:rsidR="00065317" w:rsidRDefault="005C7BF7">
            <w:pPr>
              <w:pStyle w:val="Compact"/>
            </w:pPr>
            <w:r>
              <w:t>-</w:t>
            </w:r>
          </w:p>
        </w:tc>
        <w:tc>
          <w:tcPr>
            <w:tcW w:w="0" w:type="auto"/>
          </w:tcPr>
          <w:p w14:paraId="4F3449C7" w14:textId="77777777" w:rsidR="00065317" w:rsidRDefault="005C7BF7">
            <w:pPr>
              <w:pStyle w:val="Compact"/>
            </w:pPr>
            <w:r>
              <w:t>-</w:t>
            </w:r>
          </w:p>
        </w:tc>
        <w:tc>
          <w:tcPr>
            <w:tcW w:w="0" w:type="auto"/>
          </w:tcPr>
          <w:p w14:paraId="23FF43B7" w14:textId="77777777" w:rsidR="00065317" w:rsidRDefault="005C7BF7">
            <w:pPr>
              <w:pStyle w:val="Compact"/>
            </w:pPr>
            <w:r>
              <w:t>-</w:t>
            </w:r>
          </w:p>
        </w:tc>
        <w:tc>
          <w:tcPr>
            <w:tcW w:w="0" w:type="auto"/>
            <w:gridSpan w:val="4"/>
          </w:tcPr>
          <w:p w14:paraId="12D596F4" w14:textId="77777777" w:rsidR="00065317" w:rsidRDefault="005C7BF7">
            <w:pPr>
              <w:pStyle w:val="Compact"/>
            </w:pPr>
            <w:r>
              <w:rPr>
                <w:rStyle w:val="VerbatimChar"/>
                <w:i/>
                <w:iCs/>
              </w:rPr>
              <w:t>E96_Achat</w:t>
            </w:r>
          </w:p>
        </w:tc>
      </w:tr>
      <w:tr w:rsidR="00065317" w14:paraId="487BE054" w14:textId="77777777">
        <w:tc>
          <w:tcPr>
            <w:tcW w:w="0" w:type="auto"/>
          </w:tcPr>
          <w:p w14:paraId="317F738D" w14:textId="77777777" w:rsidR="00065317" w:rsidRDefault="005C7BF7">
            <w:pPr>
              <w:pStyle w:val="Compact"/>
            </w:pPr>
            <w:r>
              <w:t>E9</w:t>
            </w:r>
          </w:p>
        </w:tc>
        <w:tc>
          <w:tcPr>
            <w:tcW w:w="0" w:type="auto"/>
          </w:tcPr>
          <w:p w14:paraId="0180BCF8" w14:textId="77777777" w:rsidR="00065317" w:rsidRDefault="005C7BF7">
            <w:pPr>
              <w:pStyle w:val="Compact"/>
            </w:pPr>
            <w:r>
              <w:t>-</w:t>
            </w:r>
          </w:p>
        </w:tc>
        <w:tc>
          <w:tcPr>
            <w:tcW w:w="0" w:type="auto"/>
          </w:tcPr>
          <w:p w14:paraId="42DE3A47" w14:textId="77777777" w:rsidR="00065317" w:rsidRDefault="005C7BF7">
            <w:pPr>
              <w:pStyle w:val="Compact"/>
            </w:pPr>
            <w:r>
              <w:t>-</w:t>
            </w:r>
          </w:p>
        </w:tc>
        <w:tc>
          <w:tcPr>
            <w:tcW w:w="0" w:type="auto"/>
          </w:tcPr>
          <w:p w14:paraId="626E9ADF" w14:textId="77777777" w:rsidR="00065317" w:rsidRDefault="005C7BF7">
            <w:pPr>
              <w:pStyle w:val="Compact"/>
            </w:pPr>
            <w:r>
              <w:t>-</w:t>
            </w:r>
          </w:p>
        </w:tc>
        <w:tc>
          <w:tcPr>
            <w:tcW w:w="0" w:type="auto"/>
          </w:tcPr>
          <w:p w14:paraId="48384397" w14:textId="77777777" w:rsidR="00065317" w:rsidRDefault="005C7BF7">
            <w:pPr>
              <w:pStyle w:val="Compact"/>
            </w:pPr>
            <w:r>
              <w:t>-</w:t>
            </w:r>
          </w:p>
        </w:tc>
        <w:tc>
          <w:tcPr>
            <w:tcW w:w="0" w:type="auto"/>
          </w:tcPr>
          <w:p w14:paraId="3185C4E2" w14:textId="77777777" w:rsidR="00065317" w:rsidRDefault="005C7BF7">
            <w:pPr>
              <w:pStyle w:val="Compact"/>
            </w:pPr>
            <w:r>
              <w:t>-</w:t>
            </w:r>
          </w:p>
        </w:tc>
        <w:tc>
          <w:tcPr>
            <w:tcW w:w="0" w:type="auto"/>
            <w:gridSpan w:val="5"/>
          </w:tcPr>
          <w:p w14:paraId="73DEE173" w14:textId="77777777" w:rsidR="00065317" w:rsidRDefault="005C7BF7">
            <w:pPr>
              <w:pStyle w:val="Compact"/>
            </w:pPr>
            <w:r>
              <w:rPr>
                <w:rStyle w:val="VerbatimChar"/>
                <w:i/>
                <w:iCs/>
              </w:rPr>
              <w:t>E9_Déplacement</w:t>
            </w:r>
          </w:p>
        </w:tc>
      </w:tr>
      <w:tr w:rsidR="00065317" w14:paraId="591AE861" w14:textId="77777777">
        <w:tc>
          <w:tcPr>
            <w:tcW w:w="0" w:type="auto"/>
          </w:tcPr>
          <w:p w14:paraId="5359D18D" w14:textId="77777777" w:rsidR="00065317" w:rsidRDefault="005C7BF7">
            <w:pPr>
              <w:pStyle w:val="Compact"/>
            </w:pPr>
            <w:r>
              <w:t>E10</w:t>
            </w:r>
          </w:p>
        </w:tc>
        <w:tc>
          <w:tcPr>
            <w:tcW w:w="0" w:type="auto"/>
          </w:tcPr>
          <w:p w14:paraId="37C902A9" w14:textId="77777777" w:rsidR="00065317" w:rsidRDefault="005C7BF7">
            <w:pPr>
              <w:pStyle w:val="Compact"/>
            </w:pPr>
            <w:r>
              <w:t>-</w:t>
            </w:r>
          </w:p>
        </w:tc>
        <w:tc>
          <w:tcPr>
            <w:tcW w:w="0" w:type="auto"/>
          </w:tcPr>
          <w:p w14:paraId="3577F193" w14:textId="77777777" w:rsidR="00065317" w:rsidRDefault="005C7BF7">
            <w:pPr>
              <w:pStyle w:val="Compact"/>
            </w:pPr>
            <w:r>
              <w:t>-</w:t>
            </w:r>
          </w:p>
        </w:tc>
        <w:tc>
          <w:tcPr>
            <w:tcW w:w="0" w:type="auto"/>
          </w:tcPr>
          <w:p w14:paraId="557B689F" w14:textId="77777777" w:rsidR="00065317" w:rsidRDefault="005C7BF7">
            <w:pPr>
              <w:pStyle w:val="Compact"/>
            </w:pPr>
            <w:r>
              <w:t>-</w:t>
            </w:r>
          </w:p>
        </w:tc>
        <w:tc>
          <w:tcPr>
            <w:tcW w:w="0" w:type="auto"/>
          </w:tcPr>
          <w:p w14:paraId="7A697BE4" w14:textId="77777777" w:rsidR="00065317" w:rsidRDefault="005C7BF7">
            <w:pPr>
              <w:pStyle w:val="Compact"/>
            </w:pPr>
            <w:r>
              <w:t>-</w:t>
            </w:r>
          </w:p>
        </w:tc>
        <w:tc>
          <w:tcPr>
            <w:tcW w:w="0" w:type="auto"/>
          </w:tcPr>
          <w:p w14:paraId="3BC2DBC1" w14:textId="77777777" w:rsidR="00065317" w:rsidRDefault="005C7BF7">
            <w:pPr>
              <w:pStyle w:val="Compact"/>
            </w:pPr>
            <w:r>
              <w:t>-</w:t>
            </w:r>
          </w:p>
        </w:tc>
        <w:tc>
          <w:tcPr>
            <w:tcW w:w="0" w:type="auto"/>
            <w:gridSpan w:val="5"/>
          </w:tcPr>
          <w:p w14:paraId="3D7553C1" w14:textId="77777777" w:rsidR="00065317" w:rsidRDefault="005C7BF7">
            <w:pPr>
              <w:pStyle w:val="Compact"/>
            </w:pPr>
            <w:r>
              <w:rPr>
                <w:rStyle w:val="VerbatimChar"/>
                <w:i/>
                <w:iCs/>
              </w:rPr>
              <w:t>E10_Transfert_de_la_garde</w:t>
            </w:r>
          </w:p>
        </w:tc>
      </w:tr>
      <w:tr w:rsidR="00065317" w14:paraId="5539BF94" w14:textId="77777777">
        <w:tc>
          <w:tcPr>
            <w:tcW w:w="0" w:type="auto"/>
          </w:tcPr>
          <w:p w14:paraId="7851C633" w14:textId="77777777" w:rsidR="00065317" w:rsidRDefault="005C7BF7">
            <w:pPr>
              <w:pStyle w:val="Compact"/>
            </w:pPr>
            <w:r>
              <w:t>E11</w:t>
            </w:r>
          </w:p>
        </w:tc>
        <w:tc>
          <w:tcPr>
            <w:tcW w:w="0" w:type="auto"/>
          </w:tcPr>
          <w:p w14:paraId="742D811E" w14:textId="77777777" w:rsidR="00065317" w:rsidRDefault="005C7BF7">
            <w:pPr>
              <w:pStyle w:val="Compact"/>
            </w:pPr>
            <w:r>
              <w:t>-</w:t>
            </w:r>
          </w:p>
        </w:tc>
        <w:tc>
          <w:tcPr>
            <w:tcW w:w="0" w:type="auto"/>
          </w:tcPr>
          <w:p w14:paraId="10BF6000" w14:textId="77777777" w:rsidR="00065317" w:rsidRDefault="005C7BF7">
            <w:pPr>
              <w:pStyle w:val="Compact"/>
            </w:pPr>
            <w:r>
              <w:t>-</w:t>
            </w:r>
          </w:p>
        </w:tc>
        <w:tc>
          <w:tcPr>
            <w:tcW w:w="0" w:type="auto"/>
          </w:tcPr>
          <w:p w14:paraId="18D29C78" w14:textId="77777777" w:rsidR="00065317" w:rsidRDefault="005C7BF7">
            <w:pPr>
              <w:pStyle w:val="Compact"/>
            </w:pPr>
            <w:r>
              <w:t>-</w:t>
            </w:r>
          </w:p>
        </w:tc>
        <w:tc>
          <w:tcPr>
            <w:tcW w:w="0" w:type="auto"/>
          </w:tcPr>
          <w:p w14:paraId="62C97179" w14:textId="77777777" w:rsidR="00065317" w:rsidRDefault="005C7BF7">
            <w:pPr>
              <w:pStyle w:val="Compact"/>
            </w:pPr>
            <w:r>
              <w:t>-</w:t>
            </w:r>
          </w:p>
        </w:tc>
        <w:tc>
          <w:tcPr>
            <w:tcW w:w="0" w:type="auto"/>
          </w:tcPr>
          <w:p w14:paraId="65130C8A" w14:textId="77777777" w:rsidR="00065317" w:rsidRDefault="005C7BF7">
            <w:pPr>
              <w:pStyle w:val="Compact"/>
            </w:pPr>
            <w:r>
              <w:t>-</w:t>
            </w:r>
          </w:p>
        </w:tc>
        <w:tc>
          <w:tcPr>
            <w:tcW w:w="0" w:type="auto"/>
            <w:gridSpan w:val="5"/>
          </w:tcPr>
          <w:p w14:paraId="26D50551" w14:textId="77777777" w:rsidR="00065317" w:rsidRDefault="005C7BF7">
            <w:pPr>
              <w:pStyle w:val="Compact"/>
            </w:pPr>
            <w:r>
              <w:rPr>
                <w:rStyle w:val="VerbatimChar"/>
                <w:i/>
                <w:iCs/>
              </w:rPr>
              <w:t>E11_Modification</w:t>
            </w:r>
          </w:p>
        </w:tc>
      </w:tr>
      <w:tr w:rsidR="00065317" w14:paraId="5D73DEB2" w14:textId="77777777">
        <w:tc>
          <w:tcPr>
            <w:tcW w:w="0" w:type="auto"/>
          </w:tcPr>
          <w:p w14:paraId="237771BA" w14:textId="77777777" w:rsidR="00065317" w:rsidRDefault="005C7BF7">
            <w:pPr>
              <w:pStyle w:val="Compact"/>
            </w:pPr>
            <w:r>
              <w:t>E12</w:t>
            </w:r>
          </w:p>
        </w:tc>
        <w:tc>
          <w:tcPr>
            <w:tcW w:w="0" w:type="auto"/>
          </w:tcPr>
          <w:p w14:paraId="3852A1B2" w14:textId="77777777" w:rsidR="00065317" w:rsidRDefault="005C7BF7">
            <w:pPr>
              <w:pStyle w:val="Compact"/>
            </w:pPr>
            <w:r>
              <w:t>-</w:t>
            </w:r>
          </w:p>
        </w:tc>
        <w:tc>
          <w:tcPr>
            <w:tcW w:w="0" w:type="auto"/>
          </w:tcPr>
          <w:p w14:paraId="5511FB2F" w14:textId="77777777" w:rsidR="00065317" w:rsidRDefault="005C7BF7">
            <w:pPr>
              <w:pStyle w:val="Compact"/>
            </w:pPr>
            <w:r>
              <w:t>-</w:t>
            </w:r>
          </w:p>
        </w:tc>
        <w:tc>
          <w:tcPr>
            <w:tcW w:w="0" w:type="auto"/>
          </w:tcPr>
          <w:p w14:paraId="2DDE2BE4" w14:textId="77777777" w:rsidR="00065317" w:rsidRDefault="005C7BF7">
            <w:pPr>
              <w:pStyle w:val="Compact"/>
            </w:pPr>
            <w:r>
              <w:t>-</w:t>
            </w:r>
          </w:p>
        </w:tc>
        <w:tc>
          <w:tcPr>
            <w:tcW w:w="0" w:type="auto"/>
          </w:tcPr>
          <w:p w14:paraId="3F46A04C" w14:textId="77777777" w:rsidR="00065317" w:rsidRDefault="005C7BF7">
            <w:pPr>
              <w:pStyle w:val="Compact"/>
            </w:pPr>
            <w:r>
              <w:t>-</w:t>
            </w:r>
          </w:p>
        </w:tc>
        <w:tc>
          <w:tcPr>
            <w:tcW w:w="0" w:type="auto"/>
          </w:tcPr>
          <w:p w14:paraId="13804E9E" w14:textId="77777777" w:rsidR="00065317" w:rsidRDefault="005C7BF7">
            <w:pPr>
              <w:pStyle w:val="Compact"/>
            </w:pPr>
            <w:r>
              <w:t>-</w:t>
            </w:r>
          </w:p>
        </w:tc>
        <w:tc>
          <w:tcPr>
            <w:tcW w:w="0" w:type="auto"/>
          </w:tcPr>
          <w:p w14:paraId="3C54B00E" w14:textId="77777777" w:rsidR="00065317" w:rsidRDefault="005C7BF7">
            <w:pPr>
              <w:pStyle w:val="Compact"/>
            </w:pPr>
            <w:r>
              <w:t>-</w:t>
            </w:r>
          </w:p>
        </w:tc>
        <w:tc>
          <w:tcPr>
            <w:tcW w:w="0" w:type="auto"/>
            <w:gridSpan w:val="4"/>
          </w:tcPr>
          <w:p w14:paraId="17F2ECD1" w14:textId="77777777" w:rsidR="00065317" w:rsidRDefault="005C7BF7">
            <w:pPr>
              <w:pStyle w:val="Compact"/>
            </w:pPr>
            <w:r>
              <w:rPr>
                <w:rStyle w:val="VerbatimChar"/>
                <w:i/>
                <w:iCs/>
              </w:rPr>
              <w:t>E12_Production</w:t>
            </w:r>
          </w:p>
        </w:tc>
      </w:tr>
      <w:tr w:rsidR="00065317" w14:paraId="1ADB39DB" w14:textId="77777777">
        <w:tc>
          <w:tcPr>
            <w:tcW w:w="0" w:type="auto"/>
          </w:tcPr>
          <w:p w14:paraId="41334B86" w14:textId="77777777" w:rsidR="00065317" w:rsidRDefault="005C7BF7">
            <w:pPr>
              <w:pStyle w:val="Compact"/>
            </w:pPr>
            <w:r>
              <w:t>E79</w:t>
            </w:r>
          </w:p>
        </w:tc>
        <w:tc>
          <w:tcPr>
            <w:tcW w:w="0" w:type="auto"/>
          </w:tcPr>
          <w:p w14:paraId="67E52CFE" w14:textId="77777777" w:rsidR="00065317" w:rsidRDefault="005C7BF7">
            <w:pPr>
              <w:pStyle w:val="Compact"/>
            </w:pPr>
            <w:r>
              <w:t>-</w:t>
            </w:r>
          </w:p>
        </w:tc>
        <w:tc>
          <w:tcPr>
            <w:tcW w:w="0" w:type="auto"/>
          </w:tcPr>
          <w:p w14:paraId="5DFBF9E4" w14:textId="77777777" w:rsidR="00065317" w:rsidRDefault="005C7BF7">
            <w:pPr>
              <w:pStyle w:val="Compact"/>
            </w:pPr>
            <w:r>
              <w:t>-</w:t>
            </w:r>
          </w:p>
        </w:tc>
        <w:tc>
          <w:tcPr>
            <w:tcW w:w="0" w:type="auto"/>
          </w:tcPr>
          <w:p w14:paraId="26AE9611" w14:textId="77777777" w:rsidR="00065317" w:rsidRDefault="005C7BF7">
            <w:pPr>
              <w:pStyle w:val="Compact"/>
            </w:pPr>
            <w:r>
              <w:t>-</w:t>
            </w:r>
          </w:p>
        </w:tc>
        <w:tc>
          <w:tcPr>
            <w:tcW w:w="0" w:type="auto"/>
          </w:tcPr>
          <w:p w14:paraId="12BFD5C8" w14:textId="77777777" w:rsidR="00065317" w:rsidRDefault="005C7BF7">
            <w:pPr>
              <w:pStyle w:val="Compact"/>
            </w:pPr>
            <w:r>
              <w:t>-</w:t>
            </w:r>
          </w:p>
        </w:tc>
        <w:tc>
          <w:tcPr>
            <w:tcW w:w="0" w:type="auto"/>
          </w:tcPr>
          <w:p w14:paraId="647917B2" w14:textId="77777777" w:rsidR="00065317" w:rsidRDefault="005C7BF7">
            <w:pPr>
              <w:pStyle w:val="Compact"/>
            </w:pPr>
            <w:r>
              <w:t>-</w:t>
            </w:r>
          </w:p>
        </w:tc>
        <w:tc>
          <w:tcPr>
            <w:tcW w:w="0" w:type="auto"/>
          </w:tcPr>
          <w:p w14:paraId="148EF0CB" w14:textId="77777777" w:rsidR="00065317" w:rsidRDefault="005C7BF7">
            <w:pPr>
              <w:pStyle w:val="Compact"/>
            </w:pPr>
            <w:r>
              <w:t>-</w:t>
            </w:r>
          </w:p>
        </w:tc>
        <w:tc>
          <w:tcPr>
            <w:tcW w:w="0" w:type="auto"/>
            <w:gridSpan w:val="4"/>
          </w:tcPr>
          <w:p w14:paraId="4AB84927" w14:textId="10E27D80" w:rsidR="00065317" w:rsidRDefault="005C7BF7">
            <w:pPr>
              <w:pStyle w:val="Compact"/>
            </w:pPr>
            <w:r>
              <w:rPr>
                <w:rStyle w:val="VerbatimChar"/>
                <w:i/>
                <w:iCs/>
              </w:rPr>
              <w:t>E79_Ajout_d</w:t>
            </w:r>
            <w:r w:rsidR="00E84B0E">
              <w:rPr>
                <w:rStyle w:val="VerbatimChar"/>
                <w:i/>
                <w:iCs/>
              </w:rPr>
              <w:t>’</w:t>
            </w:r>
            <w:r>
              <w:rPr>
                <w:rStyle w:val="VerbatimChar"/>
                <w:i/>
                <w:iCs/>
              </w:rPr>
              <w:t>élément</w:t>
            </w:r>
          </w:p>
        </w:tc>
      </w:tr>
      <w:tr w:rsidR="00065317" w14:paraId="5707BAB8" w14:textId="77777777">
        <w:tc>
          <w:tcPr>
            <w:tcW w:w="0" w:type="auto"/>
          </w:tcPr>
          <w:p w14:paraId="6747547B" w14:textId="77777777" w:rsidR="00065317" w:rsidRDefault="005C7BF7">
            <w:pPr>
              <w:pStyle w:val="Compact"/>
            </w:pPr>
            <w:r>
              <w:t>E80</w:t>
            </w:r>
          </w:p>
        </w:tc>
        <w:tc>
          <w:tcPr>
            <w:tcW w:w="0" w:type="auto"/>
          </w:tcPr>
          <w:p w14:paraId="3680EF4A" w14:textId="77777777" w:rsidR="00065317" w:rsidRDefault="005C7BF7">
            <w:pPr>
              <w:pStyle w:val="Compact"/>
            </w:pPr>
            <w:r>
              <w:t>-</w:t>
            </w:r>
          </w:p>
        </w:tc>
        <w:tc>
          <w:tcPr>
            <w:tcW w:w="0" w:type="auto"/>
          </w:tcPr>
          <w:p w14:paraId="0B68C659" w14:textId="77777777" w:rsidR="00065317" w:rsidRDefault="005C7BF7">
            <w:pPr>
              <w:pStyle w:val="Compact"/>
            </w:pPr>
            <w:r>
              <w:t>-</w:t>
            </w:r>
          </w:p>
        </w:tc>
        <w:tc>
          <w:tcPr>
            <w:tcW w:w="0" w:type="auto"/>
          </w:tcPr>
          <w:p w14:paraId="4D8DFD5A" w14:textId="77777777" w:rsidR="00065317" w:rsidRDefault="005C7BF7">
            <w:pPr>
              <w:pStyle w:val="Compact"/>
            </w:pPr>
            <w:r>
              <w:t>-</w:t>
            </w:r>
          </w:p>
        </w:tc>
        <w:tc>
          <w:tcPr>
            <w:tcW w:w="0" w:type="auto"/>
          </w:tcPr>
          <w:p w14:paraId="5B3D484D" w14:textId="77777777" w:rsidR="00065317" w:rsidRDefault="005C7BF7">
            <w:pPr>
              <w:pStyle w:val="Compact"/>
            </w:pPr>
            <w:r>
              <w:t>-</w:t>
            </w:r>
          </w:p>
        </w:tc>
        <w:tc>
          <w:tcPr>
            <w:tcW w:w="0" w:type="auto"/>
          </w:tcPr>
          <w:p w14:paraId="590B8D4F" w14:textId="77777777" w:rsidR="00065317" w:rsidRDefault="005C7BF7">
            <w:pPr>
              <w:pStyle w:val="Compact"/>
            </w:pPr>
            <w:r>
              <w:t>-</w:t>
            </w:r>
          </w:p>
        </w:tc>
        <w:tc>
          <w:tcPr>
            <w:tcW w:w="0" w:type="auto"/>
          </w:tcPr>
          <w:p w14:paraId="2B38F9A6" w14:textId="77777777" w:rsidR="00065317" w:rsidRDefault="005C7BF7">
            <w:pPr>
              <w:pStyle w:val="Compact"/>
            </w:pPr>
            <w:r>
              <w:t>-</w:t>
            </w:r>
          </w:p>
        </w:tc>
        <w:tc>
          <w:tcPr>
            <w:tcW w:w="0" w:type="auto"/>
            <w:gridSpan w:val="4"/>
          </w:tcPr>
          <w:p w14:paraId="43CE2900" w14:textId="6AC8FBD2" w:rsidR="00065317" w:rsidRDefault="005C7BF7">
            <w:pPr>
              <w:pStyle w:val="Compact"/>
            </w:pPr>
            <w:r>
              <w:rPr>
                <w:rStyle w:val="VerbatimChar"/>
                <w:i/>
                <w:iCs/>
              </w:rPr>
              <w:t>E80_Retrait_d</w:t>
            </w:r>
            <w:r w:rsidR="00E84B0E">
              <w:rPr>
                <w:rStyle w:val="VerbatimChar"/>
                <w:i/>
                <w:iCs/>
              </w:rPr>
              <w:t>’</w:t>
            </w:r>
            <w:r>
              <w:rPr>
                <w:rStyle w:val="VerbatimChar"/>
                <w:i/>
                <w:iCs/>
              </w:rPr>
              <w:t>élément</w:t>
            </w:r>
          </w:p>
        </w:tc>
      </w:tr>
      <w:tr w:rsidR="00065317" w14:paraId="58B8D2D5" w14:textId="77777777">
        <w:tc>
          <w:tcPr>
            <w:tcW w:w="0" w:type="auto"/>
          </w:tcPr>
          <w:p w14:paraId="5E92F6E4" w14:textId="77777777" w:rsidR="00065317" w:rsidRDefault="005C7BF7">
            <w:pPr>
              <w:pStyle w:val="Compact"/>
            </w:pPr>
            <w:r>
              <w:t>E13</w:t>
            </w:r>
          </w:p>
        </w:tc>
        <w:tc>
          <w:tcPr>
            <w:tcW w:w="0" w:type="auto"/>
          </w:tcPr>
          <w:p w14:paraId="47165EB2" w14:textId="77777777" w:rsidR="00065317" w:rsidRDefault="005C7BF7">
            <w:pPr>
              <w:pStyle w:val="Compact"/>
            </w:pPr>
            <w:r>
              <w:t>-</w:t>
            </w:r>
          </w:p>
        </w:tc>
        <w:tc>
          <w:tcPr>
            <w:tcW w:w="0" w:type="auto"/>
          </w:tcPr>
          <w:p w14:paraId="403BB2A6" w14:textId="77777777" w:rsidR="00065317" w:rsidRDefault="005C7BF7">
            <w:pPr>
              <w:pStyle w:val="Compact"/>
            </w:pPr>
            <w:r>
              <w:t>-</w:t>
            </w:r>
          </w:p>
        </w:tc>
        <w:tc>
          <w:tcPr>
            <w:tcW w:w="0" w:type="auto"/>
          </w:tcPr>
          <w:p w14:paraId="4D4157EE" w14:textId="77777777" w:rsidR="00065317" w:rsidRDefault="005C7BF7">
            <w:pPr>
              <w:pStyle w:val="Compact"/>
            </w:pPr>
            <w:r>
              <w:t>-</w:t>
            </w:r>
          </w:p>
        </w:tc>
        <w:tc>
          <w:tcPr>
            <w:tcW w:w="0" w:type="auto"/>
          </w:tcPr>
          <w:p w14:paraId="5ED72631" w14:textId="77777777" w:rsidR="00065317" w:rsidRDefault="005C7BF7">
            <w:pPr>
              <w:pStyle w:val="Compact"/>
            </w:pPr>
            <w:r>
              <w:t>-</w:t>
            </w:r>
          </w:p>
        </w:tc>
        <w:tc>
          <w:tcPr>
            <w:tcW w:w="0" w:type="auto"/>
          </w:tcPr>
          <w:p w14:paraId="7EE112BE" w14:textId="77777777" w:rsidR="00065317" w:rsidRDefault="005C7BF7">
            <w:pPr>
              <w:pStyle w:val="Compact"/>
            </w:pPr>
            <w:r>
              <w:t>-</w:t>
            </w:r>
          </w:p>
        </w:tc>
        <w:tc>
          <w:tcPr>
            <w:tcW w:w="0" w:type="auto"/>
            <w:gridSpan w:val="5"/>
          </w:tcPr>
          <w:p w14:paraId="1B990746" w14:textId="0EA70764" w:rsidR="00065317" w:rsidRDefault="005C7BF7">
            <w:pPr>
              <w:pStyle w:val="Compact"/>
            </w:pPr>
            <w:r>
              <w:rPr>
                <w:rStyle w:val="VerbatimChar"/>
                <w:i/>
                <w:iCs/>
              </w:rPr>
              <w:t>E13_Assignation_d</w:t>
            </w:r>
            <w:r w:rsidR="00E84B0E">
              <w:rPr>
                <w:rStyle w:val="VerbatimChar"/>
                <w:i/>
                <w:iCs/>
              </w:rPr>
              <w:t>’</w:t>
            </w:r>
            <w:r>
              <w:rPr>
                <w:rStyle w:val="VerbatimChar"/>
                <w:i/>
                <w:iCs/>
              </w:rPr>
              <w:t>attribut</w:t>
            </w:r>
          </w:p>
        </w:tc>
      </w:tr>
      <w:tr w:rsidR="00065317" w14:paraId="77454A04" w14:textId="77777777">
        <w:tc>
          <w:tcPr>
            <w:tcW w:w="0" w:type="auto"/>
          </w:tcPr>
          <w:p w14:paraId="457D1D61" w14:textId="77777777" w:rsidR="00065317" w:rsidRDefault="005C7BF7">
            <w:pPr>
              <w:pStyle w:val="Compact"/>
            </w:pPr>
            <w:r>
              <w:t>E14</w:t>
            </w:r>
          </w:p>
        </w:tc>
        <w:tc>
          <w:tcPr>
            <w:tcW w:w="0" w:type="auto"/>
          </w:tcPr>
          <w:p w14:paraId="6BDCF092" w14:textId="77777777" w:rsidR="00065317" w:rsidRDefault="005C7BF7">
            <w:pPr>
              <w:pStyle w:val="Compact"/>
            </w:pPr>
            <w:r>
              <w:t>-</w:t>
            </w:r>
          </w:p>
        </w:tc>
        <w:tc>
          <w:tcPr>
            <w:tcW w:w="0" w:type="auto"/>
          </w:tcPr>
          <w:p w14:paraId="1606052E" w14:textId="77777777" w:rsidR="00065317" w:rsidRDefault="005C7BF7">
            <w:pPr>
              <w:pStyle w:val="Compact"/>
            </w:pPr>
            <w:r>
              <w:t>-</w:t>
            </w:r>
          </w:p>
        </w:tc>
        <w:tc>
          <w:tcPr>
            <w:tcW w:w="0" w:type="auto"/>
          </w:tcPr>
          <w:p w14:paraId="00017E2C" w14:textId="77777777" w:rsidR="00065317" w:rsidRDefault="005C7BF7">
            <w:pPr>
              <w:pStyle w:val="Compact"/>
            </w:pPr>
            <w:r>
              <w:t>-</w:t>
            </w:r>
          </w:p>
        </w:tc>
        <w:tc>
          <w:tcPr>
            <w:tcW w:w="0" w:type="auto"/>
          </w:tcPr>
          <w:p w14:paraId="545203E6" w14:textId="77777777" w:rsidR="00065317" w:rsidRDefault="005C7BF7">
            <w:pPr>
              <w:pStyle w:val="Compact"/>
            </w:pPr>
            <w:r>
              <w:t>-</w:t>
            </w:r>
          </w:p>
        </w:tc>
        <w:tc>
          <w:tcPr>
            <w:tcW w:w="0" w:type="auto"/>
          </w:tcPr>
          <w:p w14:paraId="696C64F2" w14:textId="77777777" w:rsidR="00065317" w:rsidRDefault="005C7BF7">
            <w:pPr>
              <w:pStyle w:val="Compact"/>
            </w:pPr>
            <w:r>
              <w:t>-</w:t>
            </w:r>
          </w:p>
        </w:tc>
        <w:tc>
          <w:tcPr>
            <w:tcW w:w="0" w:type="auto"/>
          </w:tcPr>
          <w:p w14:paraId="7E69902C" w14:textId="77777777" w:rsidR="00065317" w:rsidRDefault="005C7BF7">
            <w:pPr>
              <w:pStyle w:val="Compact"/>
            </w:pPr>
            <w:r>
              <w:t>-</w:t>
            </w:r>
          </w:p>
        </w:tc>
        <w:tc>
          <w:tcPr>
            <w:tcW w:w="0" w:type="auto"/>
            <w:gridSpan w:val="4"/>
          </w:tcPr>
          <w:p w14:paraId="32CCD648" w14:textId="1B2D5AE1" w:rsidR="00065317" w:rsidRDefault="005C7BF7">
            <w:pPr>
              <w:pStyle w:val="Compact"/>
            </w:pPr>
            <w:r>
              <w:rPr>
                <w:rStyle w:val="VerbatimChar"/>
                <w:i/>
                <w:iCs/>
              </w:rPr>
              <w:t>E14_Évaluation_d</w:t>
            </w:r>
            <w:r w:rsidR="00E84B0E">
              <w:rPr>
                <w:rStyle w:val="VerbatimChar"/>
                <w:i/>
                <w:iCs/>
              </w:rPr>
              <w:t>’</w:t>
            </w:r>
            <w:r>
              <w:rPr>
                <w:rStyle w:val="VerbatimChar"/>
                <w:i/>
                <w:iCs/>
              </w:rPr>
              <w:t>état_matériel</w:t>
            </w:r>
          </w:p>
        </w:tc>
      </w:tr>
      <w:tr w:rsidR="00065317" w14:paraId="7430B515" w14:textId="77777777">
        <w:tc>
          <w:tcPr>
            <w:tcW w:w="0" w:type="auto"/>
          </w:tcPr>
          <w:p w14:paraId="38356EB2" w14:textId="77777777" w:rsidR="00065317" w:rsidRDefault="005C7BF7">
            <w:pPr>
              <w:pStyle w:val="Compact"/>
            </w:pPr>
            <w:r>
              <w:t>E15</w:t>
            </w:r>
          </w:p>
        </w:tc>
        <w:tc>
          <w:tcPr>
            <w:tcW w:w="0" w:type="auto"/>
          </w:tcPr>
          <w:p w14:paraId="74E46439" w14:textId="77777777" w:rsidR="00065317" w:rsidRDefault="005C7BF7">
            <w:pPr>
              <w:pStyle w:val="Compact"/>
            </w:pPr>
            <w:r>
              <w:t>-</w:t>
            </w:r>
          </w:p>
        </w:tc>
        <w:tc>
          <w:tcPr>
            <w:tcW w:w="0" w:type="auto"/>
          </w:tcPr>
          <w:p w14:paraId="78E5DC6F" w14:textId="77777777" w:rsidR="00065317" w:rsidRDefault="005C7BF7">
            <w:pPr>
              <w:pStyle w:val="Compact"/>
            </w:pPr>
            <w:r>
              <w:t>-</w:t>
            </w:r>
          </w:p>
        </w:tc>
        <w:tc>
          <w:tcPr>
            <w:tcW w:w="0" w:type="auto"/>
          </w:tcPr>
          <w:p w14:paraId="254686BC" w14:textId="77777777" w:rsidR="00065317" w:rsidRDefault="005C7BF7">
            <w:pPr>
              <w:pStyle w:val="Compact"/>
            </w:pPr>
            <w:r>
              <w:t>-</w:t>
            </w:r>
          </w:p>
        </w:tc>
        <w:tc>
          <w:tcPr>
            <w:tcW w:w="0" w:type="auto"/>
          </w:tcPr>
          <w:p w14:paraId="1DABB03E" w14:textId="77777777" w:rsidR="00065317" w:rsidRDefault="005C7BF7">
            <w:pPr>
              <w:pStyle w:val="Compact"/>
            </w:pPr>
            <w:r>
              <w:t>-</w:t>
            </w:r>
          </w:p>
        </w:tc>
        <w:tc>
          <w:tcPr>
            <w:tcW w:w="0" w:type="auto"/>
          </w:tcPr>
          <w:p w14:paraId="5E94FB1C" w14:textId="77777777" w:rsidR="00065317" w:rsidRDefault="005C7BF7">
            <w:pPr>
              <w:pStyle w:val="Compact"/>
            </w:pPr>
            <w:r>
              <w:t>-</w:t>
            </w:r>
          </w:p>
        </w:tc>
        <w:tc>
          <w:tcPr>
            <w:tcW w:w="0" w:type="auto"/>
          </w:tcPr>
          <w:p w14:paraId="1472510B" w14:textId="77777777" w:rsidR="00065317" w:rsidRDefault="005C7BF7">
            <w:pPr>
              <w:pStyle w:val="Compact"/>
            </w:pPr>
            <w:r>
              <w:t>-</w:t>
            </w:r>
          </w:p>
        </w:tc>
        <w:tc>
          <w:tcPr>
            <w:tcW w:w="0" w:type="auto"/>
            <w:gridSpan w:val="4"/>
          </w:tcPr>
          <w:p w14:paraId="009BCDBE" w14:textId="5A9ECD96" w:rsidR="00065317" w:rsidRDefault="005C7BF7">
            <w:pPr>
              <w:pStyle w:val="Compact"/>
            </w:pPr>
            <w:r>
              <w:rPr>
                <w:rStyle w:val="VerbatimChar"/>
                <w:i/>
                <w:iCs/>
              </w:rPr>
              <w:t>E15_Assignation_d</w:t>
            </w:r>
            <w:r w:rsidR="00E84B0E">
              <w:rPr>
                <w:rStyle w:val="VerbatimChar"/>
                <w:i/>
                <w:iCs/>
              </w:rPr>
              <w:t>’</w:t>
            </w:r>
            <w:r>
              <w:rPr>
                <w:rStyle w:val="VerbatimChar"/>
                <w:i/>
                <w:iCs/>
              </w:rPr>
              <w:t>identifiant</w:t>
            </w:r>
          </w:p>
        </w:tc>
      </w:tr>
      <w:tr w:rsidR="00065317" w14:paraId="40EDB71C" w14:textId="77777777">
        <w:tc>
          <w:tcPr>
            <w:tcW w:w="0" w:type="auto"/>
          </w:tcPr>
          <w:p w14:paraId="0B9FD647" w14:textId="77777777" w:rsidR="00065317" w:rsidRDefault="005C7BF7">
            <w:pPr>
              <w:pStyle w:val="Compact"/>
            </w:pPr>
            <w:r>
              <w:t>E16</w:t>
            </w:r>
          </w:p>
        </w:tc>
        <w:tc>
          <w:tcPr>
            <w:tcW w:w="0" w:type="auto"/>
          </w:tcPr>
          <w:p w14:paraId="0DEC132D" w14:textId="77777777" w:rsidR="00065317" w:rsidRDefault="005C7BF7">
            <w:pPr>
              <w:pStyle w:val="Compact"/>
            </w:pPr>
            <w:r>
              <w:t>-</w:t>
            </w:r>
          </w:p>
        </w:tc>
        <w:tc>
          <w:tcPr>
            <w:tcW w:w="0" w:type="auto"/>
          </w:tcPr>
          <w:p w14:paraId="34A84D5C" w14:textId="77777777" w:rsidR="00065317" w:rsidRDefault="005C7BF7">
            <w:pPr>
              <w:pStyle w:val="Compact"/>
            </w:pPr>
            <w:r>
              <w:t>-</w:t>
            </w:r>
          </w:p>
        </w:tc>
        <w:tc>
          <w:tcPr>
            <w:tcW w:w="0" w:type="auto"/>
          </w:tcPr>
          <w:p w14:paraId="37AC9C1D" w14:textId="77777777" w:rsidR="00065317" w:rsidRDefault="005C7BF7">
            <w:pPr>
              <w:pStyle w:val="Compact"/>
            </w:pPr>
            <w:r>
              <w:t>-</w:t>
            </w:r>
          </w:p>
        </w:tc>
        <w:tc>
          <w:tcPr>
            <w:tcW w:w="0" w:type="auto"/>
          </w:tcPr>
          <w:p w14:paraId="73EDC844" w14:textId="77777777" w:rsidR="00065317" w:rsidRDefault="005C7BF7">
            <w:pPr>
              <w:pStyle w:val="Compact"/>
            </w:pPr>
            <w:r>
              <w:t>-</w:t>
            </w:r>
          </w:p>
        </w:tc>
        <w:tc>
          <w:tcPr>
            <w:tcW w:w="0" w:type="auto"/>
          </w:tcPr>
          <w:p w14:paraId="0428E0B4" w14:textId="77777777" w:rsidR="00065317" w:rsidRDefault="005C7BF7">
            <w:pPr>
              <w:pStyle w:val="Compact"/>
            </w:pPr>
            <w:r>
              <w:t>-</w:t>
            </w:r>
          </w:p>
        </w:tc>
        <w:tc>
          <w:tcPr>
            <w:tcW w:w="0" w:type="auto"/>
          </w:tcPr>
          <w:p w14:paraId="2F410094" w14:textId="77777777" w:rsidR="00065317" w:rsidRDefault="005C7BF7">
            <w:pPr>
              <w:pStyle w:val="Compact"/>
            </w:pPr>
            <w:r>
              <w:t>-</w:t>
            </w:r>
          </w:p>
        </w:tc>
        <w:tc>
          <w:tcPr>
            <w:tcW w:w="0" w:type="auto"/>
            <w:gridSpan w:val="4"/>
          </w:tcPr>
          <w:p w14:paraId="6BC00787" w14:textId="77777777" w:rsidR="00065317" w:rsidRDefault="005C7BF7">
            <w:pPr>
              <w:pStyle w:val="Compact"/>
            </w:pPr>
            <w:r>
              <w:rPr>
                <w:rStyle w:val="VerbatimChar"/>
                <w:i/>
                <w:iCs/>
              </w:rPr>
              <w:t>E16_Mesurage</w:t>
            </w:r>
          </w:p>
        </w:tc>
      </w:tr>
      <w:tr w:rsidR="00065317" w14:paraId="60365A1B" w14:textId="77777777">
        <w:tc>
          <w:tcPr>
            <w:tcW w:w="0" w:type="auto"/>
          </w:tcPr>
          <w:p w14:paraId="7A968AC1" w14:textId="77777777" w:rsidR="00065317" w:rsidRDefault="005C7BF7">
            <w:pPr>
              <w:pStyle w:val="Compact"/>
            </w:pPr>
            <w:r>
              <w:t>E17</w:t>
            </w:r>
          </w:p>
        </w:tc>
        <w:tc>
          <w:tcPr>
            <w:tcW w:w="0" w:type="auto"/>
          </w:tcPr>
          <w:p w14:paraId="7C56094B" w14:textId="77777777" w:rsidR="00065317" w:rsidRDefault="005C7BF7">
            <w:pPr>
              <w:pStyle w:val="Compact"/>
            </w:pPr>
            <w:r>
              <w:t>-</w:t>
            </w:r>
          </w:p>
        </w:tc>
        <w:tc>
          <w:tcPr>
            <w:tcW w:w="0" w:type="auto"/>
          </w:tcPr>
          <w:p w14:paraId="0BAF73C4" w14:textId="77777777" w:rsidR="00065317" w:rsidRDefault="005C7BF7">
            <w:pPr>
              <w:pStyle w:val="Compact"/>
            </w:pPr>
            <w:r>
              <w:t>-</w:t>
            </w:r>
          </w:p>
        </w:tc>
        <w:tc>
          <w:tcPr>
            <w:tcW w:w="0" w:type="auto"/>
          </w:tcPr>
          <w:p w14:paraId="64F8E0DF" w14:textId="77777777" w:rsidR="00065317" w:rsidRDefault="005C7BF7">
            <w:pPr>
              <w:pStyle w:val="Compact"/>
            </w:pPr>
            <w:r>
              <w:t>-</w:t>
            </w:r>
          </w:p>
        </w:tc>
        <w:tc>
          <w:tcPr>
            <w:tcW w:w="0" w:type="auto"/>
          </w:tcPr>
          <w:p w14:paraId="3AD7AD78" w14:textId="77777777" w:rsidR="00065317" w:rsidRDefault="005C7BF7">
            <w:pPr>
              <w:pStyle w:val="Compact"/>
            </w:pPr>
            <w:r>
              <w:t>-</w:t>
            </w:r>
          </w:p>
        </w:tc>
        <w:tc>
          <w:tcPr>
            <w:tcW w:w="0" w:type="auto"/>
          </w:tcPr>
          <w:p w14:paraId="7F26A1FE" w14:textId="77777777" w:rsidR="00065317" w:rsidRDefault="005C7BF7">
            <w:pPr>
              <w:pStyle w:val="Compact"/>
            </w:pPr>
            <w:r>
              <w:t>-</w:t>
            </w:r>
          </w:p>
        </w:tc>
        <w:tc>
          <w:tcPr>
            <w:tcW w:w="0" w:type="auto"/>
          </w:tcPr>
          <w:p w14:paraId="08217F78" w14:textId="77777777" w:rsidR="00065317" w:rsidRDefault="005C7BF7">
            <w:pPr>
              <w:pStyle w:val="Compact"/>
            </w:pPr>
            <w:r>
              <w:t>-</w:t>
            </w:r>
          </w:p>
        </w:tc>
        <w:tc>
          <w:tcPr>
            <w:tcW w:w="0" w:type="auto"/>
            <w:gridSpan w:val="4"/>
          </w:tcPr>
          <w:p w14:paraId="0823CB2E" w14:textId="77777777" w:rsidR="00065317" w:rsidRDefault="005C7BF7">
            <w:pPr>
              <w:pStyle w:val="Compact"/>
            </w:pPr>
            <w:r>
              <w:rPr>
                <w:rStyle w:val="VerbatimChar"/>
                <w:i/>
                <w:iCs/>
              </w:rPr>
              <w:t>E17_Assignation_de_type</w:t>
            </w:r>
          </w:p>
        </w:tc>
      </w:tr>
      <w:tr w:rsidR="00065317" w14:paraId="1F9F1BBB" w14:textId="77777777">
        <w:tc>
          <w:tcPr>
            <w:tcW w:w="0" w:type="auto"/>
          </w:tcPr>
          <w:p w14:paraId="202BB911" w14:textId="77777777" w:rsidR="00065317" w:rsidRDefault="005C7BF7">
            <w:pPr>
              <w:pStyle w:val="Compact"/>
            </w:pPr>
            <w:r>
              <w:t>E65</w:t>
            </w:r>
          </w:p>
        </w:tc>
        <w:tc>
          <w:tcPr>
            <w:tcW w:w="0" w:type="auto"/>
          </w:tcPr>
          <w:p w14:paraId="4867934C" w14:textId="77777777" w:rsidR="00065317" w:rsidRDefault="005C7BF7">
            <w:pPr>
              <w:pStyle w:val="Compact"/>
            </w:pPr>
            <w:r>
              <w:t>-</w:t>
            </w:r>
          </w:p>
        </w:tc>
        <w:tc>
          <w:tcPr>
            <w:tcW w:w="0" w:type="auto"/>
          </w:tcPr>
          <w:p w14:paraId="488AA772" w14:textId="77777777" w:rsidR="00065317" w:rsidRDefault="005C7BF7">
            <w:pPr>
              <w:pStyle w:val="Compact"/>
            </w:pPr>
            <w:r>
              <w:t>-</w:t>
            </w:r>
          </w:p>
        </w:tc>
        <w:tc>
          <w:tcPr>
            <w:tcW w:w="0" w:type="auto"/>
          </w:tcPr>
          <w:p w14:paraId="0A469C48" w14:textId="77777777" w:rsidR="00065317" w:rsidRDefault="005C7BF7">
            <w:pPr>
              <w:pStyle w:val="Compact"/>
            </w:pPr>
            <w:r>
              <w:t>-</w:t>
            </w:r>
          </w:p>
        </w:tc>
        <w:tc>
          <w:tcPr>
            <w:tcW w:w="0" w:type="auto"/>
          </w:tcPr>
          <w:p w14:paraId="51E61DCB" w14:textId="77777777" w:rsidR="00065317" w:rsidRDefault="005C7BF7">
            <w:pPr>
              <w:pStyle w:val="Compact"/>
            </w:pPr>
            <w:r>
              <w:t>-</w:t>
            </w:r>
          </w:p>
        </w:tc>
        <w:tc>
          <w:tcPr>
            <w:tcW w:w="0" w:type="auto"/>
          </w:tcPr>
          <w:p w14:paraId="0411D1F6" w14:textId="77777777" w:rsidR="00065317" w:rsidRDefault="005C7BF7">
            <w:pPr>
              <w:pStyle w:val="Compact"/>
            </w:pPr>
            <w:r>
              <w:t>-</w:t>
            </w:r>
          </w:p>
        </w:tc>
        <w:tc>
          <w:tcPr>
            <w:tcW w:w="0" w:type="auto"/>
            <w:gridSpan w:val="5"/>
          </w:tcPr>
          <w:p w14:paraId="3AB07C58" w14:textId="77777777" w:rsidR="00065317" w:rsidRDefault="005C7BF7">
            <w:pPr>
              <w:pStyle w:val="Compact"/>
            </w:pPr>
            <w:r>
              <w:rPr>
                <w:rStyle w:val="VerbatimChar"/>
                <w:i/>
                <w:iCs/>
              </w:rPr>
              <w:t>E65_Création</w:t>
            </w:r>
          </w:p>
        </w:tc>
      </w:tr>
      <w:tr w:rsidR="00065317" w14:paraId="55BF1695" w14:textId="77777777">
        <w:tc>
          <w:tcPr>
            <w:tcW w:w="0" w:type="auto"/>
          </w:tcPr>
          <w:p w14:paraId="35F78DA8" w14:textId="77777777" w:rsidR="00065317" w:rsidRDefault="005C7BF7">
            <w:pPr>
              <w:pStyle w:val="Compact"/>
            </w:pPr>
            <w:r>
              <w:t>E83</w:t>
            </w:r>
          </w:p>
        </w:tc>
        <w:tc>
          <w:tcPr>
            <w:tcW w:w="0" w:type="auto"/>
          </w:tcPr>
          <w:p w14:paraId="75022CC3" w14:textId="77777777" w:rsidR="00065317" w:rsidRDefault="005C7BF7">
            <w:pPr>
              <w:pStyle w:val="Compact"/>
            </w:pPr>
            <w:r>
              <w:t>-</w:t>
            </w:r>
          </w:p>
        </w:tc>
        <w:tc>
          <w:tcPr>
            <w:tcW w:w="0" w:type="auto"/>
          </w:tcPr>
          <w:p w14:paraId="6F7C20A9" w14:textId="77777777" w:rsidR="00065317" w:rsidRDefault="005C7BF7">
            <w:pPr>
              <w:pStyle w:val="Compact"/>
            </w:pPr>
            <w:r>
              <w:t>-</w:t>
            </w:r>
          </w:p>
        </w:tc>
        <w:tc>
          <w:tcPr>
            <w:tcW w:w="0" w:type="auto"/>
          </w:tcPr>
          <w:p w14:paraId="07FDDBEC" w14:textId="77777777" w:rsidR="00065317" w:rsidRDefault="005C7BF7">
            <w:pPr>
              <w:pStyle w:val="Compact"/>
            </w:pPr>
            <w:r>
              <w:t>-</w:t>
            </w:r>
          </w:p>
        </w:tc>
        <w:tc>
          <w:tcPr>
            <w:tcW w:w="0" w:type="auto"/>
          </w:tcPr>
          <w:p w14:paraId="30EAAF32" w14:textId="77777777" w:rsidR="00065317" w:rsidRDefault="005C7BF7">
            <w:pPr>
              <w:pStyle w:val="Compact"/>
            </w:pPr>
            <w:r>
              <w:t>-</w:t>
            </w:r>
          </w:p>
        </w:tc>
        <w:tc>
          <w:tcPr>
            <w:tcW w:w="0" w:type="auto"/>
          </w:tcPr>
          <w:p w14:paraId="364FEF6D" w14:textId="77777777" w:rsidR="00065317" w:rsidRDefault="005C7BF7">
            <w:pPr>
              <w:pStyle w:val="Compact"/>
            </w:pPr>
            <w:r>
              <w:t>-</w:t>
            </w:r>
          </w:p>
        </w:tc>
        <w:tc>
          <w:tcPr>
            <w:tcW w:w="0" w:type="auto"/>
          </w:tcPr>
          <w:p w14:paraId="33A0EF68" w14:textId="77777777" w:rsidR="00065317" w:rsidRDefault="005C7BF7">
            <w:pPr>
              <w:pStyle w:val="Compact"/>
            </w:pPr>
            <w:r>
              <w:t>-</w:t>
            </w:r>
          </w:p>
        </w:tc>
        <w:tc>
          <w:tcPr>
            <w:tcW w:w="0" w:type="auto"/>
            <w:gridSpan w:val="4"/>
          </w:tcPr>
          <w:p w14:paraId="400D3535" w14:textId="77777777" w:rsidR="00065317" w:rsidRDefault="005C7BF7">
            <w:pPr>
              <w:pStyle w:val="Compact"/>
            </w:pPr>
            <w:r>
              <w:rPr>
                <w:rStyle w:val="VerbatimChar"/>
                <w:i/>
                <w:iCs/>
              </w:rPr>
              <w:t>E83_Création_de_type</w:t>
            </w:r>
          </w:p>
        </w:tc>
      </w:tr>
      <w:tr w:rsidR="00065317" w14:paraId="6DF3773A" w14:textId="77777777">
        <w:tc>
          <w:tcPr>
            <w:tcW w:w="0" w:type="auto"/>
          </w:tcPr>
          <w:p w14:paraId="1ED2344A" w14:textId="77777777" w:rsidR="00065317" w:rsidRDefault="005C7BF7">
            <w:pPr>
              <w:pStyle w:val="Compact"/>
            </w:pPr>
            <w:r>
              <w:t>E66</w:t>
            </w:r>
          </w:p>
        </w:tc>
        <w:tc>
          <w:tcPr>
            <w:tcW w:w="0" w:type="auto"/>
          </w:tcPr>
          <w:p w14:paraId="012CAC6A" w14:textId="77777777" w:rsidR="00065317" w:rsidRDefault="005C7BF7">
            <w:pPr>
              <w:pStyle w:val="Compact"/>
            </w:pPr>
            <w:r>
              <w:t>-</w:t>
            </w:r>
          </w:p>
        </w:tc>
        <w:tc>
          <w:tcPr>
            <w:tcW w:w="0" w:type="auto"/>
          </w:tcPr>
          <w:p w14:paraId="29DF1475" w14:textId="77777777" w:rsidR="00065317" w:rsidRDefault="005C7BF7">
            <w:pPr>
              <w:pStyle w:val="Compact"/>
            </w:pPr>
            <w:r>
              <w:t>-</w:t>
            </w:r>
          </w:p>
        </w:tc>
        <w:tc>
          <w:tcPr>
            <w:tcW w:w="0" w:type="auto"/>
          </w:tcPr>
          <w:p w14:paraId="6E209DF3" w14:textId="77777777" w:rsidR="00065317" w:rsidRDefault="005C7BF7">
            <w:pPr>
              <w:pStyle w:val="Compact"/>
            </w:pPr>
            <w:r>
              <w:t>-</w:t>
            </w:r>
          </w:p>
        </w:tc>
        <w:tc>
          <w:tcPr>
            <w:tcW w:w="0" w:type="auto"/>
          </w:tcPr>
          <w:p w14:paraId="745869A0" w14:textId="77777777" w:rsidR="00065317" w:rsidRDefault="005C7BF7">
            <w:pPr>
              <w:pStyle w:val="Compact"/>
            </w:pPr>
            <w:r>
              <w:t>-</w:t>
            </w:r>
          </w:p>
        </w:tc>
        <w:tc>
          <w:tcPr>
            <w:tcW w:w="0" w:type="auto"/>
          </w:tcPr>
          <w:p w14:paraId="7ED90865" w14:textId="77777777" w:rsidR="00065317" w:rsidRDefault="005C7BF7">
            <w:pPr>
              <w:pStyle w:val="Compact"/>
            </w:pPr>
            <w:r>
              <w:t>-</w:t>
            </w:r>
          </w:p>
        </w:tc>
        <w:tc>
          <w:tcPr>
            <w:tcW w:w="0" w:type="auto"/>
            <w:gridSpan w:val="5"/>
          </w:tcPr>
          <w:p w14:paraId="672412D6" w14:textId="77777777" w:rsidR="00065317" w:rsidRDefault="005C7BF7">
            <w:pPr>
              <w:pStyle w:val="Compact"/>
            </w:pPr>
            <w:r>
              <w:rPr>
                <w:rStyle w:val="VerbatimChar"/>
                <w:i/>
                <w:iCs/>
              </w:rPr>
              <w:t>E66_Formation</w:t>
            </w:r>
          </w:p>
        </w:tc>
      </w:tr>
      <w:tr w:rsidR="00065317" w14:paraId="03290E8F" w14:textId="77777777">
        <w:tc>
          <w:tcPr>
            <w:tcW w:w="0" w:type="auto"/>
          </w:tcPr>
          <w:p w14:paraId="3031E3F5" w14:textId="77777777" w:rsidR="00065317" w:rsidRDefault="005C7BF7">
            <w:pPr>
              <w:pStyle w:val="Compact"/>
            </w:pPr>
            <w:r>
              <w:t>E85</w:t>
            </w:r>
          </w:p>
        </w:tc>
        <w:tc>
          <w:tcPr>
            <w:tcW w:w="0" w:type="auto"/>
          </w:tcPr>
          <w:p w14:paraId="0502F976" w14:textId="77777777" w:rsidR="00065317" w:rsidRDefault="005C7BF7">
            <w:pPr>
              <w:pStyle w:val="Compact"/>
            </w:pPr>
            <w:r>
              <w:t>-</w:t>
            </w:r>
          </w:p>
        </w:tc>
        <w:tc>
          <w:tcPr>
            <w:tcW w:w="0" w:type="auto"/>
          </w:tcPr>
          <w:p w14:paraId="5E28D3F8" w14:textId="77777777" w:rsidR="00065317" w:rsidRDefault="005C7BF7">
            <w:pPr>
              <w:pStyle w:val="Compact"/>
            </w:pPr>
            <w:r>
              <w:t>-</w:t>
            </w:r>
          </w:p>
        </w:tc>
        <w:tc>
          <w:tcPr>
            <w:tcW w:w="0" w:type="auto"/>
          </w:tcPr>
          <w:p w14:paraId="5F58C275" w14:textId="77777777" w:rsidR="00065317" w:rsidRDefault="005C7BF7">
            <w:pPr>
              <w:pStyle w:val="Compact"/>
            </w:pPr>
            <w:r>
              <w:t>-</w:t>
            </w:r>
          </w:p>
        </w:tc>
        <w:tc>
          <w:tcPr>
            <w:tcW w:w="0" w:type="auto"/>
          </w:tcPr>
          <w:p w14:paraId="6B28FBE3" w14:textId="77777777" w:rsidR="00065317" w:rsidRDefault="005C7BF7">
            <w:pPr>
              <w:pStyle w:val="Compact"/>
            </w:pPr>
            <w:r>
              <w:t>-</w:t>
            </w:r>
          </w:p>
        </w:tc>
        <w:tc>
          <w:tcPr>
            <w:tcW w:w="0" w:type="auto"/>
          </w:tcPr>
          <w:p w14:paraId="1E541732" w14:textId="77777777" w:rsidR="00065317" w:rsidRDefault="005C7BF7">
            <w:pPr>
              <w:pStyle w:val="Compact"/>
            </w:pPr>
            <w:r>
              <w:t>-</w:t>
            </w:r>
          </w:p>
        </w:tc>
        <w:tc>
          <w:tcPr>
            <w:tcW w:w="0" w:type="auto"/>
            <w:gridSpan w:val="5"/>
          </w:tcPr>
          <w:p w14:paraId="1B0AAA04" w14:textId="77777777" w:rsidR="00065317" w:rsidRDefault="005C7BF7">
            <w:pPr>
              <w:pStyle w:val="Compact"/>
            </w:pPr>
            <w:r>
              <w:rPr>
                <w:rStyle w:val="VerbatimChar"/>
                <w:i/>
                <w:iCs/>
              </w:rPr>
              <w:t>E85_Adhésion</w:t>
            </w:r>
          </w:p>
        </w:tc>
      </w:tr>
      <w:tr w:rsidR="00065317" w14:paraId="6B05B764" w14:textId="77777777">
        <w:tc>
          <w:tcPr>
            <w:tcW w:w="0" w:type="auto"/>
          </w:tcPr>
          <w:p w14:paraId="592032C7" w14:textId="77777777" w:rsidR="00065317" w:rsidRDefault="005C7BF7">
            <w:pPr>
              <w:pStyle w:val="Compact"/>
            </w:pPr>
            <w:r>
              <w:t>E86</w:t>
            </w:r>
          </w:p>
        </w:tc>
        <w:tc>
          <w:tcPr>
            <w:tcW w:w="0" w:type="auto"/>
          </w:tcPr>
          <w:p w14:paraId="4348EA4A" w14:textId="77777777" w:rsidR="00065317" w:rsidRDefault="005C7BF7">
            <w:pPr>
              <w:pStyle w:val="Compact"/>
            </w:pPr>
            <w:r>
              <w:t>-</w:t>
            </w:r>
          </w:p>
        </w:tc>
        <w:tc>
          <w:tcPr>
            <w:tcW w:w="0" w:type="auto"/>
          </w:tcPr>
          <w:p w14:paraId="5F50FC3C" w14:textId="77777777" w:rsidR="00065317" w:rsidRDefault="005C7BF7">
            <w:pPr>
              <w:pStyle w:val="Compact"/>
            </w:pPr>
            <w:r>
              <w:t>-</w:t>
            </w:r>
          </w:p>
        </w:tc>
        <w:tc>
          <w:tcPr>
            <w:tcW w:w="0" w:type="auto"/>
          </w:tcPr>
          <w:p w14:paraId="40E98474" w14:textId="77777777" w:rsidR="00065317" w:rsidRDefault="005C7BF7">
            <w:pPr>
              <w:pStyle w:val="Compact"/>
            </w:pPr>
            <w:r>
              <w:t>-</w:t>
            </w:r>
          </w:p>
        </w:tc>
        <w:tc>
          <w:tcPr>
            <w:tcW w:w="0" w:type="auto"/>
          </w:tcPr>
          <w:p w14:paraId="598B3D3E" w14:textId="77777777" w:rsidR="00065317" w:rsidRDefault="005C7BF7">
            <w:pPr>
              <w:pStyle w:val="Compact"/>
            </w:pPr>
            <w:r>
              <w:t>-</w:t>
            </w:r>
          </w:p>
        </w:tc>
        <w:tc>
          <w:tcPr>
            <w:tcW w:w="0" w:type="auto"/>
          </w:tcPr>
          <w:p w14:paraId="4DB94AF7" w14:textId="77777777" w:rsidR="00065317" w:rsidRDefault="005C7BF7">
            <w:pPr>
              <w:pStyle w:val="Compact"/>
            </w:pPr>
            <w:r>
              <w:t>-</w:t>
            </w:r>
          </w:p>
        </w:tc>
        <w:tc>
          <w:tcPr>
            <w:tcW w:w="0" w:type="auto"/>
            <w:gridSpan w:val="5"/>
          </w:tcPr>
          <w:p w14:paraId="587DBE98" w14:textId="77777777" w:rsidR="00065317" w:rsidRDefault="005C7BF7">
            <w:pPr>
              <w:pStyle w:val="Compact"/>
            </w:pPr>
            <w:r>
              <w:rPr>
                <w:rStyle w:val="VerbatimChar"/>
                <w:i/>
                <w:iCs/>
              </w:rPr>
              <w:t>E86_Départ</w:t>
            </w:r>
          </w:p>
        </w:tc>
      </w:tr>
      <w:tr w:rsidR="00065317" w14:paraId="25E02CC9" w14:textId="77777777">
        <w:tc>
          <w:tcPr>
            <w:tcW w:w="0" w:type="auto"/>
          </w:tcPr>
          <w:p w14:paraId="55595FED" w14:textId="77777777" w:rsidR="00065317" w:rsidRDefault="005C7BF7">
            <w:pPr>
              <w:pStyle w:val="Compact"/>
            </w:pPr>
            <w:r>
              <w:t>E87</w:t>
            </w:r>
          </w:p>
        </w:tc>
        <w:tc>
          <w:tcPr>
            <w:tcW w:w="0" w:type="auto"/>
          </w:tcPr>
          <w:p w14:paraId="60C1F6D0" w14:textId="77777777" w:rsidR="00065317" w:rsidRDefault="005C7BF7">
            <w:pPr>
              <w:pStyle w:val="Compact"/>
            </w:pPr>
            <w:r>
              <w:t>-</w:t>
            </w:r>
          </w:p>
        </w:tc>
        <w:tc>
          <w:tcPr>
            <w:tcW w:w="0" w:type="auto"/>
          </w:tcPr>
          <w:p w14:paraId="0C26831A" w14:textId="77777777" w:rsidR="00065317" w:rsidRDefault="005C7BF7">
            <w:pPr>
              <w:pStyle w:val="Compact"/>
            </w:pPr>
            <w:r>
              <w:t>-</w:t>
            </w:r>
          </w:p>
        </w:tc>
        <w:tc>
          <w:tcPr>
            <w:tcW w:w="0" w:type="auto"/>
          </w:tcPr>
          <w:p w14:paraId="3C802163" w14:textId="77777777" w:rsidR="00065317" w:rsidRDefault="005C7BF7">
            <w:pPr>
              <w:pStyle w:val="Compact"/>
            </w:pPr>
            <w:r>
              <w:t>-</w:t>
            </w:r>
          </w:p>
        </w:tc>
        <w:tc>
          <w:tcPr>
            <w:tcW w:w="0" w:type="auto"/>
          </w:tcPr>
          <w:p w14:paraId="1A8D9B7F" w14:textId="77777777" w:rsidR="00065317" w:rsidRDefault="005C7BF7">
            <w:pPr>
              <w:pStyle w:val="Compact"/>
            </w:pPr>
            <w:r>
              <w:t>-</w:t>
            </w:r>
          </w:p>
        </w:tc>
        <w:tc>
          <w:tcPr>
            <w:tcW w:w="0" w:type="auto"/>
          </w:tcPr>
          <w:p w14:paraId="45932A62" w14:textId="77777777" w:rsidR="00065317" w:rsidRDefault="005C7BF7">
            <w:pPr>
              <w:pStyle w:val="Compact"/>
            </w:pPr>
            <w:r>
              <w:t>-</w:t>
            </w:r>
          </w:p>
        </w:tc>
        <w:tc>
          <w:tcPr>
            <w:tcW w:w="0" w:type="auto"/>
            <w:gridSpan w:val="5"/>
          </w:tcPr>
          <w:p w14:paraId="39CDC3E0" w14:textId="77777777" w:rsidR="00065317" w:rsidRDefault="005C7BF7">
            <w:pPr>
              <w:pStyle w:val="Compact"/>
            </w:pPr>
            <w:r>
              <w:rPr>
                <w:rStyle w:val="VerbatimChar"/>
                <w:i/>
                <w:iCs/>
              </w:rPr>
              <w:t>E87_Activité_curatoriale</w:t>
            </w:r>
          </w:p>
        </w:tc>
      </w:tr>
      <w:tr w:rsidR="00065317" w14:paraId="3F5A0551" w14:textId="77777777">
        <w:tc>
          <w:tcPr>
            <w:tcW w:w="0" w:type="auto"/>
          </w:tcPr>
          <w:p w14:paraId="2422EEA4" w14:textId="77777777" w:rsidR="00065317" w:rsidRDefault="005C7BF7">
            <w:pPr>
              <w:pStyle w:val="Compact"/>
            </w:pPr>
            <w:r>
              <w:t>E63</w:t>
            </w:r>
          </w:p>
        </w:tc>
        <w:tc>
          <w:tcPr>
            <w:tcW w:w="0" w:type="auto"/>
          </w:tcPr>
          <w:p w14:paraId="6B29D853" w14:textId="77777777" w:rsidR="00065317" w:rsidRDefault="005C7BF7">
            <w:pPr>
              <w:pStyle w:val="Compact"/>
            </w:pPr>
            <w:r>
              <w:t>-</w:t>
            </w:r>
          </w:p>
        </w:tc>
        <w:tc>
          <w:tcPr>
            <w:tcW w:w="0" w:type="auto"/>
          </w:tcPr>
          <w:p w14:paraId="3F5CE4AF" w14:textId="77777777" w:rsidR="00065317" w:rsidRDefault="005C7BF7">
            <w:pPr>
              <w:pStyle w:val="Compact"/>
            </w:pPr>
            <w:r>
              <w:t>-</w:t>
            </w:r>
          </w:p>
        </w:tc>
        <w:tc>
          <w:tcPr>
            <w:tcW w:w="0" w:type="auto"/>
          </w:tcPr>
          <w:p w14:paraId="69BDE337" w14:textId="77777777" w:rsidR="00065317" w:rsidRDefault="005C7BF7">
            <w:pPr>
              <w:pStyle w:val="Compact"/>
            </w:pPr>
            <w:r>
              <w:t>-</w:t>
            </w:r>
          </w:p>
        </w:tc>
        <w:tc>
          <w:tcPr>
            <w:tcW w:w="0" w:type="auto"/>
          </w:tcPr>
          <w:p w14:paraId="34C2A66C" w14:textId="77777777" w:rsidR="00065317" w:rsidRDefault="005C7BF7">
            <w:pPr>
              <w:pStyle w:val="Compact"/>
            </w:pPr>
            <w:r>
              <w:t>-</w:t>
            </w:r>
          </w:p>
        </w:tc>
        <w:tc>
          <w:tcPr>
            <w:tcW w:w="0" w:type="auto"/>
            <w:gridSpan w:val="6"/>
          </w:tcPr>
          <w:p w14:paraId="2A77573A" w14:textId="0DAE1933" w:rsidR="00065317" w:rsidRDefault="005C7BF7">
            <w:pPr>
              <w:pStyle w:val="Compact"/>
            </w:pPr>
            <w:r>
              <w:rPr>
                <w:rStyle w:val="VerbatimChar"/>
                <w:i/>
                <w:iCs/>
              </w:rPr>
              <w:t>E63_Début_d</w:t>
            </w:r>
            <w:r w:rsidR="00E84B0E">
              <w:rPr>
                <w:rStyle w:val="VerbatimChar"/>
                <w:i/>
                <w:iCs/>
              </w:rPr>
              <w:t>’</w:t>
            </w:r>
            <w:r>
              <w:rPr>
                <w:rStyle w:val="VerbatimChar"/>
                <w:i/>
                <w:iCs/>
              </w:rPr>
              <w:t>existence</w:t>
            </w:r>
          </w:p>
        </w:tc>
      </w:tr>
      <w:tr w:rsidR="00065317" w14:paraId="65AC3FB7" w14:textId="77777777">
        <w:tc>
          <w:tcPr>
            <w:tcW w:w="0" w:type="auto"/>
          </w:tcPr>
          <w:p w14:paraId="7B8AC592" w14:textId="77777777" w:rsidR="00065317" w:rsidRDefault="005C7BF7">
            <w:pPr>
              <w:pStyle w:val="Compact"/>
            </w:pPr>
            <w:r>
              <w:t>E67</w:t>
            </w:r>
          </w:p>
        </w:tc>
        <w:tc>
          <w:tcPr>
            <w:tcW w:w="0" w:type="auto"/>
          </w:tcPr>
          <w:p w14:paraId="15CA6761" w14:textId="77777777" w:rsidR="00065317" w:rsidRDefault="005C7BF7">
            <w:pPr>
              <w:pStyle w:val="Compact"/>
            </w:pPr>
            <w:r>
              <w:t>-</w:t>
            </w:r>
          </w:p>
        </w:tc>
        <w:tc>
          <w:tcPr>
            <w:tcW w:w="0" w:type="auto"/>
          </w:tcPr>
          <w:p w14:paraId="10ECB91A" w14:textId="77777777" w:rsidR="00065317" w:rsidRDefault="005C7BF7">
            <w:pPr>
              <w:pStyle w:val="Compact"/>
            </w:pPr>
            <w:r>
              <w:t>-</w:t>
            </w:r>
          </w:p>
        </w:tc>
        <w:tc>
          <w:tcPr>
            <w:tcW w:w="0" w:type="auto"/>
          </w:tcPr>
          <w:p w14:paraId="6485CB26" w14:textId="77777777" w:rsidR="00065317" w:rsidRDefault="005C7BF7">
            <w:pPr>
              <w:pStyle w:val="Compact"/>
            </w:pPr>
            <w:r>
              <w:t>-</w:t>
            </w:r>
          </w:p>
        </w:tc>
        <w:tc>
          <w:tcPr>
            <w:tcW w:w="0" w:type="auto"/>
          </w:tcPr>
          <w:p w14:paraId="7BCF4D30" w14:textId="77777777" w:rsidR="00065317" w:rsidRDefault="005C7BF7">
            <w:pPr>
              <w:pStyle w:val="Compact"/>
            </w:pPr>
            <w:r>
              <w:t>-</w:t>
            </w:r>
          </w:p>
        </w:tc>
        <w:tc>
          <w:tcPr>
            <w:tcW w:w="0" w:type="auto"/>
          </w:tcPr>
          <w:p w14:paraId="5AD12937" w14:textId="77777777" w:rsidR="00065317" w:rsidRDefault="005C7BF7">
            <w:pPr>
              <w:pStyle w:val="Compact"/>
            </w:pPr>
            <w:r>
              <w:t>-</w:t>
            </w:r>
          </w:p>
        </w:tc>
        <w:tc>
          <w:tcPr>
            <w:tcW w:w="0" w:type="auto"/>
            <w:gridSpan w:val="5"/>
          </w:tcPr>
          <w:p w14:paraId="252709B6" w14:textId="77777777" w:rsidR="00065317" w:rsidRDefault="005C7BF7">
            <w:pPr>
              <w:pStyle w:val="Compact"/>
            </w:pPr>
            <w:r>
              <w:rPr>
                <w:rStyle w:val="VerbatimChar"/>
                <w:i/>
                <w:iCs/>
              </w:rPr>
              <w:t>E67_Naissance</w:t>
            </w:r>
          </w:p>
        </w:tc>
      </w:tr>
      <w:tr w:rsidR="00065317" w14:paraId="5318B05B" w14:textId="77777777">
        <w:tc>
          <w:tcPr>
            <w:tcW w:w="0" w:type="auto"/>
          </w:tcPr>
          <w:p w14:paraId="1C153CF4" w14:textId="77777777" w:rsidR="00065317" w:rsidRDefault="005C7BF7">
            <w:pPr>
              <w:pStyle w:val="Compact"/>
            </w:pPr>
            <w:r>
              <w:lastRenderedPageBreak/>
              <w:t>E81</w:t>
            </w:r>
          </w:p>
        </w:tc>
        <w:tc>
          <w:tcPr>
            <w:tcW w:w="0" w:type="auto"/>
          </w:tcPr>
          <w:p w14:paraId="75D01E93" w14:textId="77777777" w:rsidR="00065317" w:rsidRDefault="005C7BF7">
            <w:pPr>
              <w:pStyle w:val="Compact"/>
            </w:pPr>
            <w:r>
              <w:t>-</w:t>
            </w:r>
          </w:p>
        </w:tc>
        <w:tc>
          <w:tcPr>
            <w:tcW w:w="0" w:type="auto"/>
          </w:tcPr>
          <w:p w14:paraId="4C31E79C" w14:textId="77777777" w:rsidR="00065317" w:rsidRDefault="005C7BF7">
            <w:pPr>
              <w:pStyle w:val="Compact"/>
            </w:pPr>
            <w:r>
              <w:t>-</w:t>
            </w:r>
          </w:p>
        </w:tc>
        <w:tc>
          <w:tcPr>
            <w:tcW w:w="0" w:type="auto"/>
          </w:tcPr>
          <w:p w14:paraId="318F2F67" w14:textId="77777777" w:rsidR="00065317" w:rsidRDefault="005C7BF7">
            <w:pPr>
              <w:pStyle w:val="Compact"/>
            </w:pPr>
            <w:r>
              <w:t>-</w:t>
            </w:r>
          </w:p>
        </w:tc>
        <w:tc>
          <w:tcPr>
            <w:tcW w:w="0" w:type="auto"/>
          </w:tcPr>
          <w:p w14:paraId="5D1A5330" w14:textId="77777777" w:rsidR="00065317" w:rsidRDefault="005C7BF7">
            <w:pPr>
              <w:pStyle w:val="Compact"/>
            </w:pPr>
            <w:r>
              <w:t>-</w:t>
            </w:r>
          </w:p>
        </w:tc>
        <w:tc>
          <w:tcPr>
            <w:tcW w:w="0" w:type="auto"/>
          </w:tcPr>
          <w:p w14:paraId="55F6514C" w14:textId="77777777" w:rsidR="00065317" w:rsidRDefault="005C7BF7">
            <w:pPr>
              <w:pStyle w:val="Compact"/>
            </w:pPr>
            <w:r>
              <w:t>-</w:t>
            </w:r>
          </w:p>
        </w:tc>
        <w:tc>
          <w:tcPr>
            <w:tcW w:w="0" w:type="auto"/>
            <w:gridSpan w:val="5"/>
          </w:tcPr>
          <w:p w14:paraId="6599A9EC" w14:textId="77777777" w:rsidR="00065317" w:rsidRDefault="005C7BF7">
            <w:pPr>
              <w:pStyle w:val="Compact"/>
            </w:pPr>
            <w:r>
              <w:rPr>
                <w:rStyle w:val="VerbatimChar"/>
                <w:i/>
                <w:iCs/>
              </w:rPr>
              <w:t>E81_Transformation</w:t>
            </w:r>
          </w:p>
        </w:tc>
      </w:tr>
      <w:tr w:rsidR="00065317" w14:paraId="18EF8269" w14:textId="77777777">
        <w:tc>
          <w:tcPr>
            <w:tcW w:w="0" w:type="auto"/>
          </w:tcPr>
          <w:p w14:paraId="753262EE" w14:textId="77777777" w:rsidR="00065317" w:rsidRDefault="005C7BF7">
            <w:pPr>
              <w:pStyle w:val="Compact"/>
            </w:pPr>
            <w:r>
              <w:t>E12</w:t>
            </w:r>
          </w:p>
        </w:tc>
        <w:tc>
          <w:tcPr>
            <w:tcW w:w="0" w:type="auto"/>
          </w:tcPr>
          <w:p w14:paraId="290A366E" w14:textId="77777777" w:rsidR="00065317" w:rsidRDefault="005C7BF7">
            <w:pPr>
              <w:pStyle w:val="Compact"/>
            </w:pPr>
            <w:r>
              <w:t>-</w:t>
            </w:r>
          </w:p>
        </w:tc>
        <w:tc>
          <w:tcPr>
            <w:tcW w:w="0" w:type="auto"/>
          </w:tcPr>
          <w:p w14:paraId="07D6D815" w14:textId="77777777" w:rsidR="00065317" w:rsidRDefault="005C7BF7">
            <w:pPr>
              <w:pStyle w:val="Compact"/>
            </w:pPr>
            <w:r>
              <w:t>-</w:t>
            </w:r>
          </w:p>
        </w:tc>
        <w:tc>
          <w:tcPr>
            <w:tcW w:w="0" w:type="auto"/>
          </w:tcPr>
          <w:p w14:paraId="582C40FE" w14:textId="77777777" w:rsidR="00065317" w:rsidRDefault="005C7BF7">
            <w:pPr>
              <w:pStyle w:val="Compact"/>
            </w:pPr>
            <w:r>
              <w:t>-</w:t>
            </w:r>
          </w:p>
        </w:tc>
        <w:tc>
          <w:tcPr>
            <w:tcW w:w="0" w:type="auto"/>
          </w:tcPr>
          <w:p w14:paraId="34C64649" w14:textId="77777777" w:rsidR="00065317" w:rsidRDefault="005C7BF7">
            <w:pPr>
              <w:pStyle w:val="Compact"/>
            </w:pPr>
            <w:r>
              <w:t>-</w:t>
            </w:r>
          </w:p>
        </w:tc>
        <w:tc>
          <w:tcPr>
            <w:tcW w:w="0" w:type="auto"/>
          </w:tcPr>
          <w:p w14:paraId="35833B95" w14:textId="77777777" w:rsidR="00065317" w:rsidRDefault="005C7BF7">
            <w:pPr>
              <w:pStyle w:val="Compact"/>
            </w:pPr>
            <w:r>
              <w:t>-</w:t>
            </w:r>
          </w:p>
        </w:tc>
        <w:tc>
          <w:tcPr>
            <w:tcW w:w="0" w:type="auto"/>
            <w:gridSpan w:val="5"/>
          </w:tcPr>
          <w:p w14:paraId="06918D89" w14:textId="77777777" w:rsidR="00065317" w:rsidRDefault="005C7BF7">
            <w:pPr>
              <w:pStyle w:val="Compact"/>
            </w:pPr>
            <w:r>
              <w:rPr>
                <w:rStyle w:val="VerbatimChar"/>
                <w:i/>
                <w:iCs/>
              </w:rPr>
              <w:t>E12_Production</w:t>
            </w:r>
          </w:p>
        </w:tc>
      </w:tr>
      <w:tr w:rsidR="00065317" w14:paraId="2E34AFD6" w14:textId="77777777">
        <w:tc>
          <w:tcPr>
            <w:tcW w:w="0" w:type="auto"/>
          </w:tcPr>
          <w:p w14:paraId="376AAE1E" w14:textId="77777777" w:rsidR="00065317" w:rsidRDefault="005C7BF7">
            <w:pPr>
              <w:pStyle w:val="Compact"/>
            </w:pPr>
            <w:r>
              <w:t>E65</w:t>
            </w:r>
          </w:p>
        </w:tc>
        <w:tc>
          <w:tcPr>
            <w:tcW w:w="0" w:type="auto"/>
          </w:tcPr>
          <w:p w14:paraId="12A682AD" w14:textId="77777777" w:rsidR="00065317" w:rsidRDefault="005C7BF7">
            <w:pPr>
              <w:pStyle w:val="Compact"/>
            </w:pPr>
            <w:r>
              <w:t>-</w:t>
            </w:r>
          </w:p>
        </w:tc>
        <w:tc>
          <w:tcPr>
            <w:tcW w:w="0" w:type="auto"/>
          </w:tcPr>
          <w:p w14:paraId="18EFEF28" w14:textId="77777777" w:rsidR="00065317" w:rsidRDefault="005C7BF7">
            <w:pPr>
              <w:pStyle w:val="Compact"/>
            </w:pPr>
            <w:r>
              <w:t>-</w:t>
            </w:r>
          </w:p>
        </w:tc>
        <w:tc>
          <w:tcPr>
            <w:tcW w:w="0" w:type="auto"/>
          </w:tcPr>
          <w:p w14:paraId="47B68FDF" w14:textId="77777777" w:rsidR="00065317" w:rsidRDefault="005C7BF7">
            <w:pPr>
              <w:pStyle w:val="Compact"/>
            </w:pPr>
            <w:r>
              <w:t>-</w:t>
            </w:r>
          </w:p>
        </w:tc>
        <w:tc>
          <w:tcPr>
            <w:tcW w:w="0" w:type="auto"/>
          </w:tcPr>
          <w:p w14:paraId="41BA3CA5" w14:textId="77777777" w:rsidR="00065317" w:rsidRDefault="005C7BF7">
            <w:pPr>
              <w:pStyle w:val="Compact"/>
            </w:pPr>
            <w:r>
              <w:t>-</w:t>
            </w:r>
          </w:p>
        </w:tc>
        <w:tc>
          <w:tcPr>
            <w:tcW w:w="0" w:type="auto"/>
          </w:tcPr>
          <w:p w14:paraId="20B56F98" w14:textId="77777777" w:rsidR="00065317" w:rsidRDefault="005C7BF7">
            <w:pPr>
              <w:pStyle w:val="Compact"/>
            </w:pPr>
            <w:r>
              <w:t>-</w:t>
            </w:r>
          </w:p>
        </w:tc>
        <w:tc>
          <w:tcPr>
            <w:tcW w:w="0" w:type="auto"/>
            <w:gridSpan w:val="5"/>
          </w:tcPr>
          <w:p w14:paraId="6B86D20A" w14:textId="77777777" w:rsidR="00065317" w:rsidRDefault="005C7BF7">
            <w:pPr>
              <w:pStyle w:val="Compact"/>
            </w:pPr>
            <w:r>
              <w:rPr>
                <w:rStyle w:val="VerbatimChar"/>
                <w:i/>
                <w:iCs/>
              </w:rPr>
              <w:t>E65_Création</w:t>
            </w:r>
          </w:p>
        </w:tc>
      </w:tr>
      <w:tr w:rsidR="00065317" w14:paraId="2D7FC934" w14:textId="77777777">
        <w:tc>
          <w:tcPr>
            <w:tcW w:w="0" w:type="auto"/>
          </w:tcPr>
          <w:p w14:paraId="364A754B" w14:textId="77777777" w:rsidR="00065317" w:rsidRDefault="005C7BF7">
            <w:pPr>
              <w:pStyle w:val="Compact"/>
            </w:pPr>
            <w:r>
              <w:t>E83</w:t>
            </w:r>
          </w:p>
        </w:tc>
        <w:tc>
          <w:tcPr>
            <w:tcW w:w="0" w:type="auto"/>
          </w:tcPr>
          <w:p w14:paraId="61827BD6" w14:textId="77777777" w:rsidR="00065317" w:rsidRDefault="005C7BF7">
            <w:pPr>
              <w:pStyle w:val="Compact"/>
            </w:pPr>
            <w:r>
              <w:t>-</w:t>
            </w:r>
          </w:p>
        </w:tc>
        <w:tc>
          <w:tcPr>
            <w:tcW w:w="0" w:type="auto"/>
          </w:tcPr>
          <w:p w14:paraId="65D5A66B" w14:textId="77777777" w:rsidR="00065317" w:rsidRDefault="005C7BF7">
            <w:pPr>
              <w:pStyle w:val="Compact"/>
            </w:pPr>
            <w:r>
              <w:t>-</w:t>
            </w:r>
          </w:p>
        </w:tc>
        <w:tc>
          <w:tcPr>
            <w:tcW w:w="0" w:type="auto"/>
          </w:tcPr>
          <w:p w14:paraId="505E435E" w14:textId="77777777" w:rsidR="00065317" w:rsidRDefault="005C7BF7">
            <w:pPr>
              <w:pStyle w:val="Compact"/>
            </w:pPr>
            <w:r>
              <w:t>-</w:t>
            </w:r>
          </w:p>
        </w:tc>
        <w:tc>
          <w:tcPr>
            <w:tcW w:w="0" w:type="auto"/>
          </w:tcPr>
          <w:p w14:paraId="4B4B4796" w14:textId="77777777" w:rsidR="00065317" w:rsidRDefault="005C7BF7">
            <w:pPr>
              <w:pStyle w:val="Compact"/>
            </w:pPr>
            <w:r>
              <w:t>-</w:t>
            </w:r>
          </w:p>
        </w:tc>
        <w:tc>
          <w:tcPr>
            <w:tcW w:w="0" w:type="auto"/>
          </w:tcPr>
          <w:p w14:paraId="2206288D" w14:textId="77777777" w:rsidR="00065317" w:rsidRDefault="005C7BF7">
            <w:pPr>
              <w:pStyle w:val="Compact"/>
            </w:pPr>
            <w:r>
              <w:t>-</w:t>
            </w:r>
          </w:p>
        </w:tc>
        <w:tc>
          <w:tcPr>
            <w:tcW w:w="0" w:type="auto"/>
          </w:tcPr>
          <w:p w14:paraId="614E61A4" w14:textId="77777777" w:rsidR="00065317" w:rsidRDefault="005C7BF7">
            <w:pPr>
              <w:pStyle w:val="Compact"/>
            </w:pPr>
            <w:r>
              <w:t>-</w:t>
            </w:r>
          </w:p>
        </w:tc>
        <w:tc>
          <w:tcPr>
            <w:tcW w:w="0" w:type="auto"/>
            <w:gridSpan w:val="4"/>
          </w:tcPr>
          <w:p w14:paraId="1704C82B" w14:textId="77777777" w:rsidR="00065317" w:rsidRDefault="005C7BF7">
            <w:pPr>
              <w:pStyle w:val="Compact"/>
            </w:pPr>
            <w:r>
              <w:rPr>
                <w:rStyle w:val="VerbatimChar"/>
                <w:i/>
                <w:iCs/>
              </w:rPr>
              <w:t>E83_Création_de_type</w:t>
            </w:r>
          </w:p>
        </w:tc>
      </w:tr>
      <w:tr w:rsidR="00065317" w14:paraId="424A2BA9" w14:textId="77777777">
        <w:tc>
          <w:tcPr>
            <w:tcW w:w="0" w:type="auto"/>
          </w:tcPr>
          <w:p w14:paraId="1A56907B" w14:textId="77777777" w:rsidR="00065317" w:rsidRDefault="005C7BF7">
            <w:pPr>
              <w:pStyle w:val="Compact"/>
            </w:pPr>
            <w:r>
              <w:t>E66</w:t>
            </w:r>
          </w:p>
        </w:tc>
        <w:tc>
          <w:tcPr>
            <w:tcW w:w="0" w:type="auto"/>
          </w:tcPr>
          <w:p w14:paraId="05F18831" w14:textId="77777777" w:rsidR="00065317" w:rsidRDefault="005C7BF7">
            <w:pPr>
              <w:pStyle w:val="Compact"/>
            </w:pPr>
            <w:r>
              <w:t>-</w:t>
            </w:r>
          </w:p>
        </w:tc>
        <w:tc>
          <w:tcPr>
            <w:tcW w:w="0" w:type="auto"/>
          </w:tcPr>
          <w:p w14:paraId="1E027A8C" w14:textId="77777777" w:rsidR="00065317" w:rsidRDefault="005C7BF7">
            <w:pPr>
              <w:pStyle w:val="Compact"/>
            </w:pPr>
            <w:r>
              <w:t>-</w:t>
            </w:r>
          </w:p>
        </w:tc>
        <w:tc>
          <w:tcPr>
            <w:tcW w:w="0" w:type="auto"/>
          </w:tcPr>
          <w:p w14:paraId="60240FEB" w14:textId="77777777" w:rsidR="00065317" w:rsidRDefault="005C7BF7">
            <w:pPr>
              <w:pStyle w:val="Compact"/>
            </w:pPr>
            <w:r>
              <w:t>-</w:t>
            </w:r>
          </w:p>
        </w:tc>
        <w:tc>
          <w:tcPr>
            <w:tcW w:w="0" w:type="auto"/>
          </w:tcPr>
          <w:p w14:paraId="62839A03" w14:textId="77777777" w:rsidR="00065317" w:rsidRDefault="005C7BF7">
            <w:pPr>
              <w:pStyle w:val="Compact"/>
            </w:pPr>
            <w:r>
              <w:t>-</w:t>
            </w:r>
          </w:p>
        </w:tc>
        <w:tc>
          <w:tcPr>
            <w:tcW w:w="0" w:type="auto"/>
          </w:tcPr>
          <w:p w14:paraId="6DB857A7" w14:textId="77777777" w:rsidR="00065317" w:rsidRDefault="005C7BF7">
            <w:pPr>
              <w:pStyle w:val="Compact"/>
            </w:pPr>
            <w:r>
              <w:t>-</w:t>
            </w:r>
          </w:p>
        </w:tc>
        <w:tc>
          <w:tcPr>
            <w:tcW w:w="0" w:type="auto"/>
            <w:gridSpan w:val="5"/>
          </w:tcPr>
          <w:p w14:paraId="54079774" w14:textId="77777777" w:rsidR="00065317" w:rsidRDefault="005C7BF7">
            <w:pPr>
              <w:pStyle w:val="Compact"/>
            </w:pPr>
            <w:r>
              <w:rPr>
                <w:rStyle w:val="VerbatimChar"/>
                <w:i/>
                <w:iCs/>
              </w:rPr>
              <w:t>E66_Formation</w:t>
            </w:r>
          </w:p>
        </w:tc>
      </w:tr>
      <w:tr w:rsidR="00065317" w14:paraId="4481F3C6" w14:textId="77777777">
        <w:tc>
          <w:tcPr>
            <w:tcW w:w="0" w:type="auto"/>
          </w:tcPr>
          <w:p w14:paraId="3279C92A" w14:textId="77777777" w:rsidR="00065317" w:rsidRDefault="005C7BF7">
            <w:pPr>
              <w:pStyle w:val="Compact"/>
            </w:pPr>
            <w:r>
              <w:t>E64</w:t>
            </w:r>
          </w:p>
        </w:tc>
        <w:tc>
          <w:tcPr>
            <w:tcW w:w="0" w:type="auto"/>
          </w:tcPr>
          <w:p w14:paraId="052710C6" w14:textId="77777777" w:rsidR="00065317" w:rsidRDefault="005C7BF7">
            <w:pPr>
              <w:pStyle w:val="Compact"/>
            </w:pPr>
            <w:r>
              <w:t>-</w:t>
            </w:r>
          </w:p>
        </w:tc>
        <w:tc>
          <w:tcPr>
            <w:tcW w:w="0" w:type="auto"/>
          </w:tcPr>
          <w:p w14:paraId="46BB3E77" w14:textId="77777777" w:rsidR="00065317" w:rsidRDefault="005C7BF7">
            <w:pPr>
              <w:pStyle w:val="Compact"/>
            </w:pPr>
            <w:r>
              <w:t>-</w:t>
            </w:r>
          </w:p>
        </w:tc>
        <w:tc>
          <w:tcPr>
            <w:tcW w:w="0" w:type="auto"/>
          </w:tcPr>
          <w:p w14:paraId="18584076" w14:textId="77777777" w:rsidR="00065317" w:rsidRDefault="005C7BF7">
            <w:pPr>
              <w:pStyle w:val="Compact"/>
            </w:pPr>
            <w:r>
              <w:t>-</w:t>
            </w:r>
          </w:p>
        </w:tc>
        <w:tc>
          <w:tcPr>
            <w:tcW w:w="0" w:type="auto"/>
          </w:tcPr>
          <w:p w14:paraId="0CADB18F" w14:textId="77777777" w:rsidR="00065317" w:rsidRDefault="005C7BF7">
            <w:pPr>
              <w:pStyle w:val="Compact"/>
            </w:pPr>
            <w:r>
              <w:t>-</w:t>
            </w:r>
          </w:p>
        </w:tc>
        <w:tc>
          <w:tcPr>
            <w:tcW w:w="0" w:type="auto"/>
            <w:gridSpan w:val="6"/>
          </w:tcPr>
          <w:p w14:paraId="7E816162" w14:textId="64066CC4" w:rsidR="00065317" w:rsidRDefault="005C7BF7">
            <w:pPr>
              <w:pStyle w:val="Compact"/>
            </w:pPr>
            <w:r>
              <w:rPr>
                <w:rStyle w:val="VerbatimChar"/>
                <w:i/>
                <w:iCs/>
              </w:rPr>
              <w:t>E64_Fin_d</w:t>
            </w:r>
            <w:r w:rsidR="00E84B0E">
              <w:rPr>
                <w:rStyle w:val="VerbatimChar"/>
                <w:i/>
                <w:iCs/>
              </w:rPr>
              <w:t>’</w:t>
            </w:r>
            <w:r>
              <w:rPr>
                <w:rStyle w:val="VerbatimChar"/>
                <w:i/>
                <w:iCs/>
              </w:rPr>
              <w:t>existence</w:t>
            </w:r>
          </w:p>
        </w:tc>
      </w:tr>
      <w:tr w:rsidR="00065317" w14:paraId="42EBFD2D" w14:textId="77777777">
        <w:tc>
          <w:tcPr>
            <w:tcW w:w="0" w:type="auto"/>
          </w:tcPr>
          <w:p w14:paraId="4871C07B" w14:textId="77777777" w:rsidR="00065317" w:rsidRDefault="005C7BF7">
            <w:pPr>
              <w:pStyle w:val="Compact"/>
            </w:pPr>
            <w:r>
              <w:t>E6</w:t>
            </w:r>
          </w:p>
        </w:tc>
        <w:tc>
          <w:tcPr>
            <w:tcW w:w="0" w:type="auto"/>
          </w:tcPr>
          <w:p w14:paraId="4EF20872" w14:textId="77777777" w:rsidR="00065317" w:rsidRDefault="005C7BF7">
            <w:pPr>
              <w:pStyle w:val="Compact"/>
            </w:pPr>
            <w:r>
              <w:t>-</w:t>
            </w:r>
          </w:p>
        </w:tc>
        <w:tc>
          <w:tcPr>
            <w:tcW w:w="0" w:type="auto"/>
          </w:tcPr>
          <w:p w14:paraId="363AEE7B" w14:textId="77777777" w:rsidR="00065317" w:rsidRDefault="005C7BF7">
            <w:pPr>
              <w:pStyle w:val="Compact"/>
            </w:pPr>
            <w:r>
              <w:t>-</w:t>
            </w:r>
          </w:p>
        </w:tc>
        <w:tc>
          <w:tcPr>
            <w:tcW w:w="0" w:type="auto"/>
          </w:tcPr>
          <w:p w14:paraId="0DDBC233" w14:textId="77777777" w:rsidR="00065317" w:rsidRDefault="005C7BF7">
            <w:pPr>
              <w:pStyle w:val="Compact"/>
            </w:pPr>
            <w:r>
              <w:t>-</w:t>
            </w:r>
          </w:p>
        </w:tc>
        <w:tc>
          <w:tcPr>
            <w:tcW w:w="0" w:type="auto"/>
          </w:tcPr>
          <w:p w14:paraId="42B5C604" w14:textId="77777777" w:rsidR="00065317" w:rsidRDefault="005C7BF7">
            <w:pPr>
              <w:pStyle w:val="Compact"/>
            </w:pPr>
            <w:r>
              <w:t>-</w:t>
            </w:r>
          </w:p>
        </w:tc>
        <w:tc>
          <w:tcPr>
            <w:tcW w:w="0" w:type="auto"/>
          </w:tcPr>
          <w:p w14:paraId="527A56BA" w14:textId="77777777" w:rsidR="00065317" w:rsidRDefault="005C7BF7">
            <w:pPr>
              <w:pStyle w:val="Compact"/>
            </w:pPr>
            <w:r>
              <w:t>-</w:t>
            </w:r>
          </w:p>
        </w:tc>
        <w:tc>
          <w:tcPr>
            <w:tcW w:w="0" w:type="auto"/>
            <w:gridSpan w:val="5"/>
          </w:tcPr>
          <w:p w14:paraId="3A5DFE27" w14:textId="77777777" w:rsidR="00065317" w:rsidRDefault="005C7BF7">
            <w:pPr>
              <w:pStyle w:val="Compact"/>
            </w:pPr>
            <w:r>
              <w:rPr>
                <w:rStyle w:val="VerbatimChar"/>
                <w:i/>
                <w:iCs/>
              </w:rPr>
              <w:t>E6_Destruction</w:t>
            </w:r>
          </w:p>
        </w:tc>
      </w:tr>
      <w:tr w:rsidR="00065317" w14:paraId="363BE38C" w14:textId="77777777">
        <w:tc>
          <w:tcPr>
            <w:tcW w:w="0" w:type="auto"/>
          </w:tcPr>
          <w:p w14:paraId="725C8D79" w14:textId="77777777" w:rsidR="00065317" w:rsidRDefault="005C7BF7">
            <w:pPr>
              <w:pStyle w:val="Compact"/>
            </w:pPr>
            <w:r>
              <w:t>E68</w:t>
            </w:r>
          </w:p>
        </w:tc>
        <w:tc>
          <w:tcPr>
            <w:tcW w:w="0" w:type="auto"/>
          </w:tcPr>
          <w:p w14:paraId="63AC4AE6" w14:textId="77777777" w:rsidR="00065317" w:rsidRDefault="005C7BF7">
            <w:pPr>
              <w:pStyle w:val="Compact"/>
            </w:pPr>
            <w:r>
              <w:t>-</w:t>
            </w:r>
          </w:p>
        </w:tc>
        <w:tc>
          <w:tcPr>
            <w:tcW w:w="0" w:type="auto"/>
          </w:tcPr>
          <w:p w14:paraId="63C241C7" w14:textId="77777777" w:rsidR="00065317" w:rsidRDefault="005C7BF7">
            <w:pPr>
              <w:pStyle w:val="Compact"/>
            </w:pPr>
            <w:r>
              <w:t>-</w:t>
            </w:r>
          </w:p>
        </w:tc>
        <w:tc>
          <w:tcPr>
            <w:tcW w:w="0" w:type="auto"/>
          </w:tcPr>
          <w:p w14:paraId="2E626289" w14:textId="77777777" w:rsidR="00065317" w:rsidRDefault="005C7BF7">
            <w:pPr>
              <w:pStyle w:val="Compact"/>
            </w:pPr>
            <w:r>
              <w:t>-</w:t>
            </w:r>
          </w:p>
        </w:tc>
        <w:tc>
          <w:tcPr>
            <w:tcW w:w="0" w:type="auto"/>
          </w:tcPr>
          <w:p w14:paraId="0F6AE32F" w14:textId="77777777" w:rsidR="00065317" w:rsidRDefault="005C7BF7">
            <w:pPr>
              <w:pStyle w:val="Compact"/>
            </w:pPr>
            <w:r>
              <w:t>-</w:t>
            </w:r>
          </w:p>
        </w:tc>
        <w:tc>
          <w:tcPr>
            <w:tcW w:w="0" w:type="auto"/>
          </w:tcPr>
          <w:p w14:paraId="129A4B82" w14:textId="77777777" w:rsidR="00065317" w:rsidRDefault="005C7BF7">
            <w:pPr>
              <w:pStyle w:val="Compact"/>
            </w:pPr>
            <w:r>
              <w:t>-</w:t>
            </w:r>
          </w:p>
        </w:tc>
        <w:tc>
          <w:tcPr>
            <w:tcW w:w="0" w:type="auto"/>
            <w:gridSpan w:val="5"/>
          </w:tcPr>
          <w:p w14:paraId="444F6E01" w14:textId="77777777" w:rsidR="00065317" w:rsidRDefault="005C7BF7">
            <w:pPr>
              <w:pStyle w:val="Compact"/>
            </w:pPr>
            <w:r>
              <w:rPr>
                <w:rStyle w:val="VerbatimChar"/>
                <w:i/>
                <w:iCs/>
              </w:rPr>
              <w:t>E68_Dissolution</w:t>
            </w:r>
          </w:p>
        </w:tc>
      </w:tr>
      <w:tr w:rsidR="00065317" w14:paraId="5334F778" w14:textId="77777777">
        <w:tc>
          <w:tcPr>
            <w:tcW w:w="0" w:type="auto"/>
          </w:tcPr>
          <w:p w14:paraId="32953AC4" w14:textId="77777777" w:rsidR="00065317" w:rsidRDefault="005C7BF7">
            <w:pPr>
              <w:pStyle w:val="Compact"/>
            </w:pPr>
            <w:r>
              <w:t>E69</w:t>
            </w:r>
          </w:p>
        </w:tc>
        <w:tc>
          <w:tcPr>
            <w:tcW w:w="0" w:type="auto"/>
          </w:tcPr>
          <w:p w14:paraId="21FC40EE" w14:textId="77777777" w:rsidR="00065317" w:rsidRDefault="005C7BF7">
            <w:pPr>
              <w:pStyle w:val="Compact"/>
            </w:pPr>
            <w:r>
              <w:t>-</w:t>
            </w:r>
          </w:p>
        </w:tc>
        <w:tc>
          <w:tcPr>
            <w:tcW w:w="0" w:type="auto"/>
          </w:tcPr>
          <w:p w14:paraId="6553A820" w14:textId="77777777" w:rsidR="00065317" w:rsidRDefault="005C7BF7">
            <w:pPr>
              <w:pStyle w:val="Compact"/>
            </w:pPr>
            <w:r>
              <w:t>-</w:t>
            </w:r>
          </w:p>
        </w:tc>
        <w:tc>
          <w:tcPr>
            <w:tcW w:w="0" w:type="auto"/>
          </w:tcPr>
          <w:p w14:paraId="5565C045" w14:textId="77777777" w:rsidR="00065317" w:rsidRDefault="005C7BF7">
            <w:pPr>
              <w:pStyle w:val="Compact"/>
            </w:pPr>
            <w:r>
              <w:t>-</w:t>
            </w:r>
          </w:p>
        </w:tc>
        <w:tc>
          <w:tcPr>
            <w:tcW w:w="0" w:type="auto"/>
          </w:tcPr>
          <w:p w14:paraId="3B8DFF71" w14:textId="77777777" w:rsidR="00065317" w:rsidRDefault="005C7BF7">
            <w:pPr>
              <w:pStyle w:val="Compact"/>
            </w:pPr>
            <w:r>
              <w:t>-</w:t>
            </w:r>
          </w:p>
        </w:tc>
        <w:tc>
          <w:tcPr>
            <w:tcW w:w="0" w:type="auto"/>
          </w:tcPr>
          <w:p w14:paraId="518D6CDD" w14:textId="77777777" w:rsidR="00065317" w:rsidRDefault="005C7BF7">
            <w:pPr>
              <w:pStyle w:val="Compact"/>
            </w:pPr>
            <w:r>
              <w:t>-</w:t>
            </w:r>
          </w:p>
        </w:tc>
        <w:tc>
          <w:tcPr>
            <w:tcW w:w="0" w:type="auto"/>
            <w:gridSpan w:val="5"/>
          </w:tcPr>
          <w:p w14:paraId="399639D2" w14:textId="77777777" w:rsidR="00065317" w:rsidRDefault="005C7BF7">
            <w:pPr>
              <w:pStyle w:val="Compact"/>
            </w:pPr>
            <w:r>
              <w:rPr>
                <w:rStyle w:val="VerbatimChar"/>
                <w:i/>
                <w:iCs/>
              </w:rPr>
              <w:t>E69_Mort</w:t>
            </w:r>
          </w:p>
        </w:tc>
      </w:tr>
      <w:tr w:rsidR="00065317" w14:paraId="16097C6F" w14:textId="77777777">
        <w:tc>
          <w:tcPr>
            <w:tcW w:w="0" w:type="auto"/>
          </w:tcPr>
          <w:p w14:paraId="320689B1" w14:textId="77777777" w:rsidR="00065317" w:rsidRDefault="005C7BF7">
            <w:pPr>
              <w:pStyle w:val="Compact"/>
            </w:pPr>
            <w:r>
              <w:t>E81</w:t>
            </w:r>
          </w:p>
        </w:tc>
        <w:tc>
          <w:tcPr>
            <w:tcW w:w="0" w:type="auto"/>
          </w:tcPr>
          <w:p w14:paraId="3FDD0FA3" w14:textId="77777777" w:rsidR="00065317" w:rsidRDefault="005C7BF7">
            <w:pPr>
              <w:pStyle w:val="Compact"/>
            </w:pPr>
            <w:r>
              <w:t>-</w:t>
            </w:r>
          </w:p>
        </w:tc>
        <w:tc>
          <w:tcPr>
            <w:tcW w:w="0" w:type="auto"/>
          </w:tcPr>
          <w:p w14:paraId="1EADACDE" w14:textId="77777777" w:rsidR="00065317" w:rsidRDefault="005C7BF7">
            <w:pPr>
              <w:pStyle w:val="Compact"/>
            </w:pPr>
            <w:r>
              <w:t>-</w:t>
            </w:r>
          </w:p>
        </w:tc>
        <w:tc>
          <w:tcPr>
            <w:tcW w:w="0" w:type="auto"/>
          </w:tcPr>
          <w:p w14:paraId="07CD9386" w14:textId="77777777" w:rsidR="00065317" w:rsidRDefault="005C7BF7">
            <w:pPr>
              <w:pStyle w:val="Compact"/>
            </w:pPr>
            <w:r>
              <w:t>-</w:t>
            </w:r>
          </w:p>
        </w:tc>
        <w:tc>
          <w:tcPr>
            <w:tcW w:w="0" w:type="auto"/>
          </w:tcPr>
          <w:p w14:paraId="74A12B1B" w14:textId="77777777" w:rsidR="00065317" w:rsidRDefault="005C7BF7">
            <w:pPr>
              <w:pStyle w:val="Compact"/>
            </w:pPr>
            <w:r>
              <w:t>-</w:t>
            </w:r>
          </w:p>
        </w:tc>
        <w:tc>
          <w:tcPr>
            <w:tcW w:w="0" w:type="auto"/>
          </w:tcPr>
          <w:p w14:paraId="65FFAA2F" w14:textId="77777777" w:rsidR="00065317" w:rsidRDefault="005C7BF7">
            <w:pPr>
              <w:pStyle w:val="Compact"/>
            </w:pPr>
            <w:r>
              <w:t>-</w:t>
            </w:r>
          </w:p>
        </w:tc>
        <w:tc>
          <w:tcPr>
            <w:tcW w:w="0" w:type="auto"/>
            <w:gridSpan w:val="5"/>
          </w:tcPr>
          <w:p w14:paraId="1C30C530" w14:textId="77777777" w:rsidR="00065317" w:rsidRDefault="005C7BF7">
            <w:pPr>
              <w:pStyle w:val="Compact"/>
            </w:pPr>
            <w:r>
              <w:rPr>
                <w:rStyle w:val="VerbatimChar"/>
                <w:i/>
                <w:iCs/>
              </w:rPr>
              <w:t>E81_Transformation</w:t>
            </w:r>
          </w:p>
        </w:tc>
      </w:tr>
      <w:tr w:rsidR="00065317" w14:paraId="6082B3A5" w14:textId="77777777">
        <w:tc>
          <w:tcPr>
            <w:tcW w:w="0" w:type="auto"/>
          </w:tcPr>
          <w:p w14:paraId="04F7786F" w14:textId="77777777" w:rsidR="00065317" w:rsidRDefault="005C7BF7">
            <w:pPr>
              <w:pStyle w:val="Compact"/>
            </w:pPr>
            <w:r>
              <w:t>E93</w:t>
            </w:r>
          </w:p>
        </w:tc>
        <w:tc>
          <w:tcPr>
            <w:tcW w:w="0" w:type="auto"/>
          </w:tcPr>
          <w:p w14:paraId="24D3E017" w14:textId="77777777" w:rsidR="00065317" w:rsidRDefault="005C7BF7">
            <w:pPr>
              <w:pStyle w:val="Compact"/>
            </w:pPr>
            <w:r>
              <w:t>-</w:t>
            </w:r>
          </w:p>
        </w:tc>
        <w:tc>
          <w:tcPr>
            <w:tcW w:w="0" w:type="auto"/>
          </w:tcPr>
          <w:p w14:paraId="6F489ACF" w14:textId="77777777" w:rsidR="00065317" w:rsidRDefault="005C7BF7">
            <w:pPr>
              <w:pStyle w:val="Compact"/>
            </w:pPr>
            <w:r>
              <w:t>-</w:t>
            </w:r>
          </w:p>
        </w:tc>
        <w:tc>
          <w:tcPr>
            <w:tcW w:w="0" w:type="auto"/>
            <w:gridSpan w:val="8"/>
          </w:tcPr>
          <w:p w14:paraId="4F67E9D7" w14:textId="77777777" w:rsidR="00065317" w:rsidRDefault="005C7BF7">
            <w:pPr>
              <w:pStyle w:val="Compact"/>
            </w:pPr>
            <w:r>
              <w:rPr>
                <w:rStyle w:val="VerbatimChar"/>
              </w:rPr>
              <w:t>E93_Présence</w:t>
            </w:r>
          </w:p>
        </w:tc>
      </w:tr>
      <w:tr w:rsidR="00065317" w14:paraId="66420408" w14:textId="77777777">
        <w:tc>
          <w:tcPr>
            <w:tcW w:w="0" w:type="auto"/>
          </w:tcPr>
          <w:p w14:paraId="1132B948" w14:textId="77777777" w:rsidR="00065317" w:rsidRDefault="005C7BF7">
            <w:pPr>
              <w:pStyle w:val="Compact"/>
            </w:pPr>
            <w:r>
              <w:t>E59</w:t>
            </w:r>
          </w:p>
        </w:tc>
        <w:tc>
          <w:tcPr>
            <w:tcW w:w="0" w:type="auto"/>
          </w:tcPr>
          <w:p w14:paraId="61FAA7B1" w14:textId="77777777" w:rsidR="00065317" w:rsidRDefault="005C7BF7">
            <w:pPr>
              <w:pStyle w:val="Compact"/>
            </w:pPr>
            <w:r>
              <w:t>-</w:t>
            </w:r>
          </w:p>
        </w:tc>
        <w:tc>
          <w:tcPr>
            <w:tcW w:w="0" w:type="auto"/>
            <w:gridSpan w:val="9"/>
          </w:tcPr>
          <w:p w14:paraId="68001567" w14:textId="77777777" w:rsidR="00065317" w:rsidRDefault="005C7BF7">
            <w:pPr>
              <w:pStyle w:val="Compact"/>
            </w:pPr>
            <w:r>
              <w:rPr>
                <w:rStyle w:val="VerbatimChar"/>
              </w:rPr>
              <w:t>E59_Valeur_primitive</w:t>
            </w:r>
          </w:p>
        </w:tc>
      </w:tr>
      <w:tr w:rsidR="00065317" w14:paraId="34B033FF" w14:textId="77777777">
        <w:tc>
          <w:tcPr>
            <w:tcW w:w="0" w:type="auto"/>
          </w:tcPr>
          <w:p w14:paraId="0DA18B2A" w14:textId="77777777" w:rsidR="00065317" w:rsidRDefault="005C7BF7">
            <w:pPr>
              <w:pStyle w:val="Compact"/>
            </w:pPr>
            <w:r>
              <w:t>E60</w:t>
            </w:r>
          </w:p>
        </w:tc>
        <w:tc>
          <w:tcPr>
            <w:tcW w:w="0" w:type="auto"/>
          </w:tcPr>
          <w:p w14:paraId="09647F16" w14:textId="77777777" w:rsidR="00065317" w:rsidRDefault="005C7BF7">
            <w:pPr>
              <w:pStyle w:val="Compact"/>
            </w:pPr>
            <w:r>
              <w:t>-</w:t>
            </w:r>
          </w:p>
        </w:tc>
        <w:tc>
          <w:tcPr>
            <w:tcW w:w="0" w:type="auto"/>
          </w:tcPr>
          <w:p w14:paraId="6F6C24A3" w14:textId="77777777" w:rsidR="00065317" w:rsidRDefault="005C7BF7">
            <w:pPr>
              <w:pStyle w:val="Compact"/>
            </w:pPr>
            <w:r>
              <w:t>-</w:t>
            </w:r>
          </w:p>
        </w:tc>
        <w:tc>
          <w:tcPr>
            <w:tcW w:w="0" w:type="auto"/>
            <w:gridSpan w:val="8"/>
          </w:tcPr>
          <w:p w14:paraId="22C68384" w14:textId="77777777" w:rsidR="00065317" w:rsidRDefault="005C7BF7">
            <w:pPr>
              <w:pStyle w:val="Compact"/>
            </w:pPr>
            <w:r>
              <w:rPr>
                <w:rStyle w:val="VerbatimChar"/>
              </w:rPr>
              <w:t>E60_Nombre</w:t>
            </w:r>
          </w:p>
        </w:tc>
      </w:tr>
      <w:tr w:rsidR="00065317" w14:paraId="199EE2EE" w14:textId="77777777">
        <w:tc>
          <w:tcPr>
            <w:tcW w:w="0" w:type="auto"/>
          </w:tcPr>
          <w:p w14:paraId="66C79DB1" w14:textId="77777777" w:rsidR="00065317" w:rsidRDefault="005C7BF7">
            <w:pPr>
              <w:pStyle w:val="Compact"/>
            </w:pPr>
            <w:r>
              <w:t>E61</w:t>
            </w:r>
          </w:p>
        </w:tc>
        <w:tc>
          <w:tcPr>
            <w:tcW w:w="0" w:type="auto"/>
          </w:tcPr>
          <w:p w14:paraId="12F98A43" w14:textId="77777777" w:rsidR="00065317" w:rsidRDefault="005C7BF7">
            <w:pPr>
              <w:pStyle w:val="Compact"/>
            </w:pPr>
            <w:r>
              <w:t>-</w:t>
            </w:r>
          </w:p>
        </w:tc>
        <w:tc>
          <w:tcPr>
            <w:tcW w:w="0" w:type="auto"/>
          </w:tcPr>
          <w:p w14:paraId="0A39E297" w14:textId="77777777" w:rsidR="00065317" w:rsidRDefault="005C7BF7">
            <w:pPr>
              <w:pStyle w:val="Compact"/>
            </w:pPr>
            <w:r>
              <w:t>-</w:t>
            </w:r>
          </w:p>
        </w:tc>
        <w:tc>
          <w:tcPr>
            <w:tcW w:w="0" w:type="auto"/>
            <w:gridSpan w:val="8"/>
          </w:tcPr>
          <w:p w14:paraId="69B681CF" w14:textId="77777777" w:rsidR="00065317" w:rsidRDefault="005C7BF7">
            <w:pPr>
              <w:pStyle w:val="Compact"/>
            </w:pPr>
            <w:r>
              <w:rPr>
                <w:rStyle w:val="VerbatimChar"/>
                <w:i/>
                <w:iCs/>
              </w:rPr>
              <w:t>E61_Primitive_temporelle</w:t>
            </w:r>
          </w:p>
        </w:tc>
      </w:tr>
      <w:tr w:rsidR="00065317" w14:paraId="478506DB" w14:textId="77777777">
        <w:tc>
          <w:tcPr>
            <w:tcW w:w="0" w:type="auto"/>
          </w:tcPr>
          <w:p w14:paraId="7F747A2E" w14:textId="77777777" w:rsidR="00065317" w:rsidRDefault="005C7BF7">
            <w:pPr>
              <w:pStyle w:val="Compact"/>
            </w:pPr>
            <w:r>
              <w:t>E62</w:t>
            </w:r>
          </w:p>
        </w:tc>
        <w:tc>
          <w:tcPr>
            <w:tcW w:w="0" w:type="auto"/>
          </w:tcPr>
          <w:p w14:paraId="32803FFB" w14:textId="77777777" w:rsidR="00065317" w:rsidRDefault="005C7BF7">
            <w:pPr>
              <w:pStyle w:val="Compact"/>
            </w:pPr>
            <w:r>
              <w:t>-</w:t>
            </w:r>
          </w:p>
        </w:tc>
        <w:tc>
          <w:tcPr>
            <w:tcW w:w="0" w:type="auto"/>
          </w:tcPr>
          <w:p w14:paraId="7D235107" w14:textId="77777777" w:rsidR="00065317" w:rsidRDefault="005C7BF7">
            <w:pPr>
              <w:pStyle w:val="Compact"/>
            </w:pPr>
            <w:r>
              <w:t>-</w:t>
            </w:r>
          </w:p>
        </w:tc>
        <w:tc>
          <w:tcPr>
            <w:tcW w:w="0" w:type="auto"/>
            <w:gridSpan w:val="8"/>
          </w:tcPr>
          <w:p w14:paraId="4EE8795F" w14:textId="77777777" w:rsidR="00065317" w:rsidRDefault="005C7BF7">
            <w:pPr>
              <w:pStyle w:val="Compact"/>
            </w:pPr>
            <w:r>
              <w:rPr>
                <w:rStyle w:val="VerbatimChar"/>
              </w:rPr>
              <w:t>E62_Chaîne_de_caractères</w:t>
            </w:r>
          </w:p>
        </w:tc>
      </w:tr>
      <w:tr w:rsidR="00065317" w14:paraId="6111E103" w14:textId="77777777">
        <w:tc>
          <w:tcPr>
            <w:tcW w:w="0" w:type="auto"/>
          </w:tcPr>
          <w:p w14:paraId="5564D520" w14:textId="77777777" w:rsidR="00065317" w:rsidRDefault="005C7BF7">
            <w:pPr>
              <w:pStyle w:val="Compact"/>
            </w:pPr>
            <w:r>
              <w:t>E94</w:t>
            </w:r>
          </w:p>
        </w:tc>
        <w:tc>
          <w:tcPr>
            <w:tcW w:w="0" w:type="auto"/>
          </w:tcPr>
          <w:p w14:paraId="1851171A" w14:textId="77777777" w:rsidR="00065317" w:rsidRDefault="005C7BF7">
            <w:pPr>
              <w:pStyle w:val="Compact"/>
            </w:pPr>
            <w:r>
              <w:t>-</w:t>
            </w:r>
          </w:p>
        </w:tc>
        <w:tc>
          <w:tcPr>
            <w:tcW w:w="0" w:type="auto"/>
          </w:tcPr>
          <w:p w14:paraId="79EFF830" w14:textId="77777777" w:rsidR="00065317" w:rsidRDefault="005C7BF7">
            <w:pPr>
              <w:pStyle w:val="Compact"/>
            </w:pPr>
            <w:r>
              <w:t>-</w:t>
            </w:r>
          </w:p>
        </w:tc>
        <w:tc>
          <w:tcPr>
            <w:tcW w:w="0" w:type="auto"/>
            <w:gridSpan w:val="8"/>
          </w:tcPr>
          <w:p w14:paraId="06114F0A" w14:textId="77777777" w:rsidR="00065317" w:rsidRDefault="005C7BF7">
            <w:pPr>
              <w:pStyle w:val="Compact"/>
            </w:pPr>
            <w:r>
              <w:rPr>
                <w:rStyle w:val="VerbatimChar"/>
                <w:i/>
                <w:iCs/>
              </w:rPr>
              <w:t>E94_Primitive_spatiale</w:t>
            </w:r>
          </w:p>
        </w:tc>
      </w:tr>
      <w:tr w:rsidR="00065317" w14:paraId="27C8C74A" w14:textId="77777777">
        <w:tc>
          <w:tcPr>
            <w:tcW w:w="0" w:type="auto"/>
          </w:tcPr>
          <w:p w14:paraId="05F21AA4" w14:textId="77777777" w:rsidR="00065317" w:rsidRDefault="005C7BF7">
            <w:pPr>
              <w:pStyle w:val="Compact"/>
            </w:pPr>
            <w:r>
              <w:t>E95</w:t>
            </w:r>
          </w:p>
        </w:tc>
        <w:tc>
          <w:tcPr>
            <w:tcW w:w="0" w:type="auto"/>
          </w:tcPr>
          <w:p w14:paraId="33F4C44B" w14:textId="77777777" w:rsidR="00065317" w:rsidRDefault="005C7BF7">
            <w:pPr>
              <w:pStyle w:val="Compact"/>
            </w:pPr>
            <w:r>
              <w:t>-</w:t>
            </w:r>
          </w:p>
        </w:tc>
        <w:tc>
          <w:tcPr>
            <w:tcW w:w="0" w:type="auto"/>
          </w:tcPr>
          <w:p w14:paraId="501B4C5C" w14:textId="77777777" w:rsidR="00065317" w:rsidRDefault="005C7BF7">
            <w:pPr>
              <w:pStyle w:val="Compact"/>
            </w:pPr>
            <w:r>
              <w:t>-</w:t>
            </w:r>
          </w:p>
        </w:tc>
        <w:tc>
          <w:tcPr>
            <w:tcW w:w="0" w:type="auto"/>
            <w:gridSpan w:val="8"/>
          </w:tcPr>
          <w:p w14:paraId="424D3A77" w14:textId="77777777" w:rsidR="00065317" w:rsidRDefault="005C7BF7">
            <w:pPr>
              <w:pStyle w:val="Compact"/>
            </w:pPr>
            <w:r>
              <w:rPr>
                <w:rStyle w:val="VerbatimChar"/>
                <w:i/>
                <w:iCs/>
              </w:rPr>
              <w:t>E95_Primitive_spatio-temporelle</w:t>
            </w:r>
          </w:p>
        </w:tc>
      </w:tr>
    </w:tbl>
    <w:p w14:paraId="6A99382F" w14:textId="77777777" w:rsidR="00241DFB" w:rsidRDefault="00241DFB" w:rsidP="004979D4">
      <w:pPr>
        <w:pStyle w:val="Normalcentr"/>
      </w:pPr>
      <w:bookmarkStart w:id="100" w:name="Xfa26a3180f7f9118e21f9a2d0cf4da6528b79d7"/>
      <w:bookmarkEnd w:id="98"/>
    </w:p>
    <w:p w14:paraId="03B1EBF4" w14:textId="77777777" w:rsidR="00241DFB" w:rsidRDefault="00241DFB">
      <w:pPr>
        <w:spacing w:after="0"/>
        <w:rPr>
          <w:rFonts w:eastAsiaTheme="majorEastAsia" w:cstheme="majorBidi"/>
          <w:b/>
          <w:bCs/>
          <w:color w:val="000000"/>
          <w:sz w:val="32"/>
          <w:szCs w:val="32"/>
        </w:rPr>
      </w:pPr>
      <w:r>
        <w:br w:type="page"/>
      </w:r>
    </w:p>
    <w:p w14:paraId="5C92367A" w14:textId="271D3B70" w:rsidR="00065317" w:rsidRDefault="005C7BF7" w:rsidP="005C4361">
      <w:pPr>
        <w:pStyle w:val="Titre3"/>
      </w:pPr>
      <w:bookmarkStart w:id="101" w:name="_Toc154048735"/>
      <w:r>
        <w:lastRenderedPageBreak/>
        <w:t xml:space="preserve">Liste hiérarchisée des propriétés du </w:t>
      </w:r>
      <w:r w:rsidR="00C8288F">
        <w:t>CIDOC CRM</w:t>
      </w:r>
      <w:bookmarkEnd w:id="101"/>
    </w:p>
    <w:tbl>
      <w:tblPr>
        <w:tblStyle w:val="Table"/>
        <w:tblW w:w="0" w:type="auto"/>
        <w:tblInd w:w="0" w:type="dxa"/>
        <w:tblLayout w:type="fixed"/>
        <w:tblLook w:val="0000" w:firstRow="0" w:lastRow="0" w:firstColumn="0" w:lastColumn="0" w:noHBand="0" w:noVBand="0"/>
      </w:tblPr>
      <w:tblGrid>
        <w:gridCol w:w="800"/>
        <w:gridCol w:w="256"/>
        <w:gridCol w:w="267"/>
        <w:gridCol w:w="293"/>
        <w:gridCol w:w="309"/>
        <w:gridCol w:w="309"/>
        <w:gridCol w:w="3074"/>
        <w:gridCol w:w="2620"/>
        <w:gridCol w:w="2268"/>
      </w:tblGrid>
      <w:tr w:rsidR="00065317" w14:paraId="27AA1996" w14:textId="77777777" w:rsidTr="000041DB">
        <w:trPr>
          <w:cantSplit/>
          <w:trHeight w:val="2251"/>
        </w:trPr>
        <w:tc>
          <w:tcPr>
            <w:tcW w:w="800" w:type="dxa"/>
            <w:textDirection w:val="btLr"/>
          </w:tcPr>
          <w:p w14:paraId="7040C2EE" w14:textId="77777777" w:rsidR="00065317" w:rsidRDefault="005C7BF7" w:rsidP="000041DB">
            <w:pPr>
              <w:pStyle w:val="Compact"/>
              <w:ind w:left="113" w:right="113"/>
            </w:pPr>
            <w:r>
              <w:rPr>
                <w:b/>
                <w:bCs/>
              </w:rPr>
              <w:t>Identifiant unique de propriété</w:t>
            </w:r>
          </w:p>
        </w:tc>
        <w:tc>
          <w:tcPr>
            <w:tcW w:w="4508" w:type="dxa"/>
            <w:gridSpan w:val="6"/>
            <w:textDirection w:val="btLr"/>
          </w:tcPr>
          <w:p w14:paraId="7F8311C7" w14:textId="77777777" w:rsidR="00065317" w:rsidRDefault="005C7BF7" w:rsidP="000041DB">
            <w:pPr>
              <w:pStyle w:val="Compact"/>
              <w:ind w:left="113" w:right="113"/>
            </w:pPr>
            <w:r>
              <w:rPr>
                <w:b/>
                <w:bCs/>
              </w:rPr>
              <w:t>Nom de la propriété</w:t>
            </w:r>
          </w:p>
        </w:tc>
        <w:tc>
          <w:tcPr>
            <w:tcW w:w="2620" w:type="dxa"/>
            <w:textDirection w:val="btLr"/>
          </w:tcPr>
          <w:p w14:paraId="624E0018" w14:textId="77777777" w:rsidR="00065317" w:rsidRDefault="005C7BF7" w:rsidP="000041DB">
            <w:pPr>
              <w:pStyle w:val="Compact"/>
              <w:ind w:left="113" w:right="113"/>
            </w:pPr>
            <w:r>
              <w:rPr>
                <w:b/>
                <w:bCs/>
              </w:rPr>
              <w:t>Domaine</w:t>
            </w:r>
          </w:p>
        </w:tc>
        <w:tc>
          <w:tcPr>
            <w:tcW w:w="2268" w:type="dxa"/>
            <w:textDirection w:val="btLr"/>
          </w:tcPr>
          <w:p w14:paraId="65667BD9" w14:textId="77777777" w:rsidR="00065317" w:rsidRDefault="005C7BF7" w:rsidP="000041DB">
            <w:pPr>
              <w:pStyle w:val="Compact"/>
              <w:ind w:left="113" w:right="113"/>
            </w:pPr>
            <w:r>
              <w:rPr>
                <w:b/>
                <w:bCs/>
              </w:rPr>
              <w:t>Portée</w:t>
            </w:r>
          </w:p>
        </w:tc>
      </w:tr>
      <w:tr w:rsidR="00065317" w14:paraId="66407B5C" w14:textId="77777777" w:rsidTr="000041DB">
        <w:tc>
          <w:tcPr>
            <w:tcW w:w="800" w:type="dxa"/>
          </w:tcPr>
          <w:p w14:paraId="43A45C98" w14:textId="77777777" w:rsidR="00065317" w:rsidRDefault="005C7BF7">
            <w:pPr>
              <w:pStyle w:val="Compact"/>
            </w:pPr>
            <w:r>
              <w:t>P1</w:t>
            </w:r>
          </w:p>
        </w:tc>
        <w:tc>
          <w:tcPr>
            <w:tcW w:w="4508" w:type="dxa"/>
            <w:gridSpan w:val="6"/>
          </w:tcPr>
          <w:p w14:paraId="1381098A" w14:textId="77777777" w:rsidR="00065317" w:rsidRDefault="005C7BF7">
            <w:pPr>
              <w:pStyle w:val="Compact"/>
            </w:pPr>
            <w:r>
              <w:rPr>
                <w:rStyle w:val="VerbatimChar"/>
              </w:rPr>
              <w:t>P1_est_identifié_par (identifie)</w:t>
            </w:r>
          </w:p>
        </w:tc>
        <w:tc>
          <w:tcPr>
            <w:tcW w:w="2620" w:type="dxa"/>
          </w:tcPr>
          <w:p w14:paraId="5857B033" w14:textId="77777777" w:rsidR="00065317" w:rsidRDefault="005C7BF7">
            <w:pPr>
              <w:pStyle w:val="Compact"/>
            </w:pPr>
            <w:r>
              <w:rPr>
                <w:rStyle w:val="VerbatimChar"/>
              </w:rPr>
              <w:t>E1_Entité_CRM</w:t>
            </w:r>
          </w:p>
        </w:tc>
        <w:tc>
          <w:tcPr>
            <w:tcW w:w="2268" w:type="dxa"/>
          </w:tcPr>
          <w:p w14:paraId="370F6FCA" w14:textId="77777777" w:rsidR="00065317" w:rsidRDefault="005C7BF7">
            <w:pPr>
              <w:pStyle w:val="Compact"/>
            </w:pPr>
            <w:r>
              <w:rPr>
                <w:rStyle w:val="VerbatimChar"/>
              </w:rPr>
              <w:t>E41_Appellation</w:t>
            </w:r>
          </w:p>
        </w:tc>
      </w:tr>
      <w:tr w:rsidR="00065317" w14:paraId="706D12A7" w14:textId="77777777" w:rsidTr="000041DB">
        <w:tc>
          <w:tcPr>
            <w:tcW w:w="800" w:type="dxa"/>
          </w:tcPr>
          <w:p w14:paraId="52C9769A" w14:textId="77777777" w:rsidR="00065317" w:rsidRDefault="005C7BF7">
            <w:pPr>
              <w:pStyle w:val="Compact"/>
            </w:pPr>
            <w:r>
              <w:t>P48</w:t>
            </w:r>
          </w:p>
        </w:tc>
        <w:tc>
          <w:tcPr>
            <w:tcW w:w="256" w:type="dxa"/>
          </w:tcPr>
          <w:p w14:paraId="15D7C74B" w14:textId="77777777" w:rsidR="00065317" w:rsidRDefault="005C7BF7">
            <w:pPr>
              <w:pStyle w:val="Compact"/>
            </w:pPr>
            <w:r>
              <w:t>-</w:t>
            </w:r>
          </w:p>
        </w:tc>
        <w:tc>
          <w:tcPr>
            <w:tcW w:w="4252" w:type="dxa"/>
            <w:gridSpan w:val="5"/>
          </w:tcPr>
          <w:p w14:paraId="12053774" w14:textId="1B315B2F" w:rsidR="00065317" w:rsidRDefault="005C7BF7">
            <w:pPr>
              <w:pStyle w:val="Compact"/>
            </w:pPr>
            <w:r>
              <w:rPr>
                <w:rStyle w:val="VerbatimChar"/>
              </w:rPr>
              <w:t>P48_a_pour_identifiant_préférentiel (est_l</w:t>
            </w:r>
            <w:r w:rsidR="00E84B0E">
              <w:rPr>
                <w:rStyle w:val="VerbatimChar"/>
              </w:rPr>
              <w:t>’</w:t>
            </w:r>
            <w:r>
              <w:rPr>
                <w:rStyle w:val="VerbatimChar"/>
              </w:rPr>
              <w:t>identifiant_préférentiel_de)</w:t>
            </w:r>
          </w:p>
        </w:tc>
        <w:tc>
          <w:tcPr>
            <w:tcW w:w="2620" w:type="dxa"/>
          </w:tcPr>
          <w:p w14:paraId="6D2D213F" w14:textId="77777777" w:rsidR="00065317" w:rsidRDefault="005C7BF7">
            <w:pPr>
              <w:pStyle w:val="Compact"/>
            </w:pPr>
            <w:r>
              <w:rPr>
                <w:rStyle w:val="VerbatimChar"/>
              </w:rPr>
              <w:t>E1_Entité_CRM</w:t>
            </w:r>
          </w:p>
        </w:tc>
        <w:tc>
          <w:tcPr>
            <w:tcW w:w="2268" w:type="dxa"/>
          </w:tcPr>
          <w:p w14:paraId="7761725B" w14:textId="77777777" w:rsidR="00065317" w:rsidRDefault="005C7BF7">
            <w:pPr>
              <w:pStyle w:val="Compact"/>
            </w:pPr>
            <w:r>
              <w:rPr>
                <w:rStyle w:val="VerbatimChar"/>
              </w:rPr>
              <w:t>E42_Identifiant</w:t>
            </w:r>
          </w:p>
        </w:tc>
      </w:tr>
      <w:tr w:rsidR="00065317" w14:paraId="75EBE92F" w14:textId="77777777" w:rsidTr="000041DB">
        <w:tc>
          <w:tcPr>
            <w:tcW w:w="800" w:type="dxa"/>
          </w:tcPr>
          <w:p w14:paraId="23718BC7" w14:textId="77777777" w:rsidR="00065317" w:rsidRDefault="005C7BF7">
            <w:pPr>
              <w:pStyle w:val="Compact"/>
            </w:pPr>
            <w:r>
              <w:t>P102</w:t>
            </w:r>
          </w:p>
        </w:tc>
        <w:tc>
          <w:tcPr>
            <w:tcW w:w="256" w:type="dxa"/>
          </w:tcPr>
          <w:p w14:paraId="560C158D" w14:textId="77777777" w:rsidR="00065317" w:rsidRDefault="005C7BF7">
            <w:pPr>
              <w:pStyle w:val="Compact"/>
            </w:pPr>
            <w:r>
              <w:t>-</w:t>
            </w:r>
          </w:p>
        </w:tc>
        <w:tc>
          <w:tcPr>
            <w:tcW w:w="4252" w:type="dxa"/>
            <w:gridSpan w:val="5"/>
          </w:tcPr>
          <w:p w14:paraId="28A3AE45" w14:textId="77777777" w:rsidR="00065317" w:rsidRDefault="005C7BF7">
            <w:pPr>
              <w:pStyle w:val="Compact"/>
            </w:pPr>
            <w:r>
              <w:rPr>
                <w:rStyle w:val="VerbatimChar"/>
              </w:rPr>
              <w:t>P102_a_pour_titre (est_le_titre_de)</w:t>
            </w:r>
          </w:p>
        </w:tc>
        <w:tc>
          <w:tcPr>
            <w:tcW w:w="2620" w:type="dxa"/>
          </w:tcPr>
          <w:p w14:paraId="2A61640F" w14:textId="114B8B0D" w:rsidR="00065317" w:rsidRDefault="005C7BF7">
            <w:pPr>
              <w:pStyle w:val="Compact"/>
            </w:pPr>
            <w:r>
              <w:rPr>
                <w:rStyle w:val="VerbatimChar"/>
              </w:rPr>
              <w:t>E71_Chose_élaborée_par_l</w:t>
            </w:r>
            <w:r w:rsidR="00E84B0E">
              <w:rPr>
                <w:rStyle w:val="VerbatimChar"/>
              </w:rPr>
              <w:t>’</w:t>
            </w:r>
            <w:r>
              <w:rPr>
                <w:rStyle w:val="VerbatimChar"/>
              </w:rPr>
              <w:t>humain</w:t>
            </w:r>
          </w:p>
        </w:tc>
        <w:tc>
          <w:tcPr>
            <w:tcW w:w="2268" w:type="dxa"/>
          </w:tcPr>
          <w:p w14:paraId="754868DD" w14:textId="77777777" w:rsidR="00065317" w:rsidRDefault="005C7BF7">
            <w:pPr>
              <w:pStyle w:val="Compact"/>
            </w:pPr>
            <w:r>
              <w:rPr>
                <w:rStyle w:val="VerbatimChar"/>
              </w:rPr>
              <w:t>E35_Titre</w:t>
            </w:r>
          </w:p>
        </w:tc>
      </w:tr>
      <w:tr w:rsidR="00065317" w14:paraId="4597F488" w14:textId="77777777" w:rsidTr="000041DB">
        <w:tc>
          <w:tcPr>
            <w:tcW w:w="800" w:type="dxa"/>
          </w:tcPr>
          <w:p w14:paraId="765D9680" w14:textId="77777777" w:rsidR="00065317" w:rsidRDefault="005C7BF7">
            <w:pPr>
              <w:pStyle w:val="Compact"/>
            </w:pPr>
            <w:r>
              <w:t>P168</w:t>
            </w:r>
          </w:p>
        </w:tc>
        <w:tc>
          <w:tcPr>
            <w:tcW w:w="256" w:type="dxa"/>
          </w:tcPr>
          <w:p w14:paraId="7F639206" w14:textId="77777777" w:rsidR="00065317" w:rsidRDefault="005C7BF7">
            <w:pPr>
              <w:pStyle w:val="Compact"/>
            </w:pPr>
            <w:r>
              <w:t>-</w:t>
            </w:r>
          </w:p>
        </w:tc>
        <w:tc>
          <w:tcPr>
            <w:tcW w:w="4252" w:type="dxa"/>
            <w:gridSpan w:val="5"/>
          </w:tcPr>
          <w:p w14:paraId="29E5F52E" w14:textId="77777777" w:rsidR="00065317" w:rsidRDefault="005C7BF7">
            <w:pPr>
              <w:pStyle w:val="Compact"/>
            </w:pPr>
            <w:r>
              <w:rPr>
                <w:rStyle w:val="VerbatimChar"/>
              </w:rPr>
              <w:t>P168_lieu_défini_par (définit_le_lieu)</w:t>
            </w:r>
          </w:p>
        </w:tc>
        <w:tc>
          <w:tcPr>
            <w:tcW w:w="2620" w:type="dxa"/>
          </w:tcPr>
          <w:p w14:paraId="75FBA912" w14:textId="77777777" w:rsidR="00065317" w:rsidRDefault="005C7BF7">
            <w:pPr>
              <w:pStyle w:val="Compact"/>
            </w:pPr>
            <w:r>
              <w:rPr>
                <w:rStyle w:val="VerbatimChar"/>
              </w:rPr>
              <w:t>E53_Lieu</w:t>
            </w:r>
          </w:p>
        </w:tc>
        <w:tc>
          <w:tcPr>
            <w:tcW w:w="2268" w:type="dxa"/>
          </w:tcPr>
          <w:p w14:paraId="5291FCB1" w14:textId="77777777" w:rsidR="00065317" w:rsidRDefault="005C7BF7">
            <w:pPr>
              <w:pStyle w:val="Compact"/>
            </w:pPr>
            <w:r>
              <w:rPr>
                <w:rStyle w:val="VerbatimChar"/>
              </w:rPr>
              <w:t>E94_Primitive_spatiale</w:t>
            </w:r>
          </w:p>
        </w:tc>
      </w:tr>
      <w:tr w:rsidR="00065317" w14:paraId="229AB957" w14:textId="77777777" w:rsidTr="000041DB">
        <w:tc>
          <w:tcPr>
            <w:tcW w:w="800" w:type="dxa"/>
          </w:tcPr>
          <w:p w14:paraId="718CE443" w14:textId="77777777" w:rsidR="00065317" w:rsidRDefault="005C7BF7">
            <w:pPr>
              <w:pStyle w:val="Compact"/>
            </w:pPr>
            <w:r>
              <w:t>P169i</w:t>
            </w:r>
          </w:p>
        </w:tc>
        <w:tc>
          <w:tcPr>
            <w:tcW w:w="256" w:type="dxa"/>
          </w:tcPr>
          <w:p w14:paraId="451DDCE5" w14:textId="77777777" w:rsidR="00065317" w:rsidRDefault="005C7BF7">
            <w:pPr>
              <w:pStyle w:val="Compact"/>
            </w:pPr>
            <w:r>
              <w:t>-</w:t>
            </w:r>
          </w:p>
        </w:tc>
        <w:tc>
          <w:tcPr>
            <w:tcW w:w="4252" w:type="dxa"/>
            <w:gridSpan w:val="5"/>
          </w:tcPr>
          <w:p w14:paraId="25B00F17" w14:textId="77777777" w:rsidR="00065317" w:rsidRDefault="005C7BF7">
            <w:pPr>
              <w:pStyle w:val="Compact"/>
            </w:pPr>
            <w:r>
              <w:rPr>
                <w:rStyle w:val="VerbatimChar"/>
              </w:rPr>
              <w:t>P169i_volume_spatio-temporel_défini_par (définit_le_volume_spatio-temporel)</w:t>
            </w:r>
          </w:p>
        </w:tc>
        <w:tc>
          <w:tcPr>
            <w:tcW w:w="2620" w:type="dxa"/>
          </w:tcPr>
          <w:p w14:paraId="6E3FAD49" w14:textId="77777777" w:rsidR="00065317" w:rsidRDefault="005C7BF7">
            <w:pPr>
              <w:pStyle w:val="Compact"/>
            </w:pPr>
            <w:r>
              <w:rPr>
                <w:rStyle w:val="VerbatimChar"/>
              </w:rPr>
              <w:t>E92_Volume_spatio-temporel</w:t>
            </w:r>
          </w:p>
        </w:tc>
        <w:tc>
          <w:tcPr>
            <w:tcW w:w="2268" w:type="dxa"/>
          </w:tcPr>
          <w:p w14:paraId="1BE7B1BF" w14:textId="77777777" w:rsidR="00065317" w:rsidRDefault="005C7BF7">
            <w:pPr>
              <w:pStyle w:val="Compact"/>
            </w:pPr>
            <w:r>
              <w:rPr>
                <w:rStyle w:val="VerbatimChar"/>
              </w:rPr>
              <w:t>E95_Primitive_spatio-temporelle</w:t>
            </w:r>
          </w:p>
        </w:tc>
      </w:tr>
      <w:tr w:rsidR="00065317" w14:paraId="50306958" w14:textId="77777777" w:rsidTr="000041DB">
        <w:tc>
          <w:tcPr>
            <w:tcW w:w="800" w:type="dxa"/>
          </w:tcPr>
          <w:p w14:paraId="24C506FD" w14:textId="77777777" w:rsidR="00065317" w:rsidRDefault="005C7BF7">
            <w:pPr>
              <w:pStyle w:val="Compact"/>
            </w:pPr>
            <w:r>
              <w:t>P170i</w:t>
            </w:r>
          </w:p>
        </w:tc>
        <w:tc>
          <w:tcPr>
            <w:tcW w:w="256" w:type="dxa"/>
          </w:tcPr>
          <w:p w14:paraId="35A9DD38" w14:textId="77777777" w:rsidR="00065317" w:rsidRDefault="005C7BF7">
            <w:pPr>
              <w:pStyle w:val="Compact"/>
            </w:pPr>
            <w:r>
              <w:t>-</w:t>
            </w:r>
          </w:p>
        </w:tc>
        <w:tc>
          <w:tcPr>
            <w:tcW w:w="4252" w:type="dxa"/>
            <w:gridSpan w:val="5"/>
          </w:tcPr>
          <w:p w14:paraId="509887DB" w14:textId="77777777" w:rsidR="00065317" w:rsidRDefault="005C7BF7">
            <w:pPr>
              <w:pStyle w:val="Compact"/>
            </w:pPr>
            <w:r>
              <w:rPr>
                <w:rStyle w:val="VerbatimChar"/>
              </w:rPr>
              <w:t>P170i_temps_défini_par (définit_le_temps)</w:t>
            </w:r>
          </w:p>
        </w:tc>
        <w:tc>
          <w:tcPr>
            <w:tcW w:w="2620" w:type="dxa"/>
          </w:tcPr>
          <w:p w14:paraId="06A0C696" w14:textId="77777777" w:rsidR="00065317" w:rsidRDefault="005C7BF7">
            <w:pPr>
              <w:pStyle w:val="Compact"/>
            </w:pPr>
            <w:r>
              <w:rPr>
                <w:rStyle w:val="VerbatimChar"/>
              </w:rPr>
              <w:t xml:space="preserve">E52_Intervalle_temporel </w:t>
            </w:r>
          </w:p>
        </w:tc>
        <w:tc>
          <w:tcPr>
            <w:tcW w:w="2268" w:type="dxa"/>
          </w:tcPr>
          <w:p w14:paraId="60EF1CCA" w14:textId="77777777" w:rsidR="00065317" w:rsidRDefault="005C7BF7">
            <w:pPr>
              <w:pStyle w:val="Compact"/>
            </w:pPr>
            <w:r>
              <w:rPr>
                <w:rStyle w:val="VerbatimChar"/>
              </w:rPr>
              <w:t>E61_Primitive_temporelle</w:t>
            </w:r>
          </w:p>
        </w:tc>
      </w:tr>
      <w:tr w:rsidR="00065317" w14:paraId="49E8EF34" w14:textId="77777777" w:rsidTr="000041DB">
        <w:tc>
          <w:tcPr>
            <w:tcW w:w="800" w:type="dxa"/>
          </w:tcPr>
          <w:p w14:paraId="6C462763" w14:textId="77777777" w:rsidR="00065317" w:rsidRDefault="005C7BF7">
            <w:pPr>
              <w:pStyle w:val="Compact"/>
            </w:pPr>
            <w:r>
              <w:t>P2</w:t>
            </w:r>
          </w:p>
        </w:tc>
        <w:tc>
          <w:tcPr>
            <w:tcW w:w="4508" w:type="dxa"/>
            <w:gridSpan w:val="6"/>
          </w:tcPr>
          <w:p w14:paraId="5A61F9AC" w14:textId="77777777" w:rsidR="00065317" w:rsidRDefault="005C7BF7">
            <w:pPr>
              <w:pStyle w:val="Compact"/>
            </w:pPr>
            <w:r>
              <w:rPr>
                <w:rStyle w:val="VerbatimChar"/>
              </w:rPr>
              <w:t>P2_a_pour_type (est_le_type_de)</w:t>
            </w:r>
          </w:p>
        </w:tc>
        <w:tc>
          <w:tcPr>
            <w:tcW w:w="2620" w:type="dxa"/>
          </w:tcPr>
          <w:p w14:paraId="7BB42D4C" w14:textId="77777777" w:rsidR="00065317" w:rsidRDefault="005C7BF7">
            <w:pPr>
              <w:pStyle w:val="Compact"/>
            </w:pPr>
            <w:r>
              <w:rPr>
                <w:rStyle w:val="VerbatimChar"/>
              </w:rPr>
              <w:t>E1_Entité_CRM</w:t>
            </w:r>
          </w:p>
        </w:tc>
        <w:tc>
          <w:tcPr>
            <w:tcW w:w="2268" w:type="dxa"/>
          </w:tcPr>
          <w:p w14:paraId="4A3AB971" w14:textId="77777777" w:rsidR="00065317" w:rsidRDefault="005C7BF7">
            <w:pPr>
              <w:pStyle w:val="Compact"/>
            </w:pPr>
            <w:r>
              <w:rPr>
                <w:rStyle w:val="VerbatimChar"/>
              </w:rPr>
              <w:t>E55_Type</w:t>
            </w:r>
          </w:p>
        </w:tc>
      </w:tr>
      <w:tr w:rsidR="00065317" w14:paraId="0D6DF53E" w14:textId="77777777" w:rsidTr="000041DB">
        <w:tc>
          <w:tcPr>
            <w:tcW w:w="800" w:type="dxa"/>
          </w:tcPr>
          <w:p w14:paraId="082D7EDA" w14:textId="77777777" w:rsidR="00065317" w:rsidRDefault="005C7BF7">
            <w:pPr>
              <w:pStyle w:val="Compact"/>
            </w:pPr>
            <w:r>
              <w:t>P137</w:t>
            </w:r>
          </w:p>
        </w:tc>
        <w:tc>
          <w:tcPr>
            <w:tcW w:w="256" w:type="dxa"/>
          </w:tcPr>
          <w:p w14:paraId="54682652" w14:textId="77777777" w:rsidR="00065317" w:rsidRDefault="005C7BF7">
            <w:pPr>
              <w:pStyle w:val="Compact"/>
            </w:pPr>
            <w:r>
              <w:t>-</w:t>
            </w:r>
          </w:p>
        </w:tc>
        <w:tc>
          <w:tcPr>
            <w:tcW w:w="4252" w:type="dxa"/>
            <w:gridSpan w:val="5"/>
          </w:tcPr>
          <w:p w14:paraId="3A92E950" w14:textId="77777777" w:rsidR="00065317" w:rsidRDefault="005C7BF7">
            <w:pPr>
              <w:pStyle w:val="Compact"/>
            </w:pPr>
            <w:r>
              <w:rPr>
                <w:rStyle w:val="VerbatimChar"/>
              </w:rPr>
              <w:t>P137_exemplifie (est_exemplifié_par)</w:t>
            </w:r>
          </w:p>
        </w:tc>
        <w:tc>
          <w:tcPr>
            <w:tcW w:w="2620" w:type="dxa"/>
          </w:tcPr>
          <w:p w14:paraId="310D6D84" w14:textId="77777777" w:rsidR="00065317" w:rsidRDefault="005C7BF7">
            <w:pPr>
              <w:pStyle w:val="Compact"/>
            </w:pPr>
            <w:r>
              <w:rPr>
                <w:rStyle w:val="VerbatimChar"/>
              </w:rPr>
              <w:t>E1_Entité_CRM</w:t>
            </w:r>
          </w:p>
        </w:tc>
        <w:tc>
          <w:tcPr>
            <w:tcW w:w="2268" w:type="dxa"/>
          </w:tcPr>
          <w:p w14:paraId="6B2F376B" w14:textId="77777777" w:rsidR="00065317" w:rsidRDefault="005C7BF7">
            <w:pPr>
              <w:pStyle w:val="Compact"/>
            </w:pPr>
            <w:r>
              <w:rPr>
                <w:rStyle w:val="VerbatimChar"/>
              </w:rPr>
              <w:t>E55_Type</w:t>
            </w:r>
          </w:p>
        </w:tc>
      </w:tr>
      <w:tr w:rsidR="00065317" w14:paraId="3719826D" w14:textId="77777777" w:rsidTr="000041DB">
        <w:tc>
          <w:tcPr>
            <w:tcW w:w="800" w:type="dxa"/>
          </w:tcPr>
          <w:p w14:paraId="4E65F841" w14:textId="77777777" w:rsidR="00065317" w:rsidRDefault="005C7BF7">
            <w:pPr>
              <w:pStyle w:val="Compact"/>
            </w:pPr>
            <w:r>
              <w:t>P177</w:t>
            </w:r>
          </w:p>
        </w:tc>
        <w:tc>
          <w:tcPr>
            <w:tcW w:w="256" w:type="dxa"/>
          </w:tcPr>
          <w:p w14:paraId="38F1C050" w14:textId="77777777" w:rsidR="00065317" w:rsidRDefault="005C7BF7">
            <w:pPr>
              <w:pStyle w:val="Compact"/>
            </w:pPr>
            <w:r>
              <w:t>-</w:t>
            </w:r>
          </w:p>
        </w:tc>
        <w:tc>
          <w:tcPr>
            <w:tcW w:w="4252" w:type="dxa"/>
            <w:gridSpan w:val="5"/>
          </w:tcPr>
          <w:p w14:paraId="2D6B89B7" w14:textId="77777777" w:rsidR="00065317" w:rsidRDefault="005C7BF7">
            <w:pPr>
              <w:pStyle w:val="Compact"/>
            </w:pPr>
            <w:r>
              <w:rPr>
                <w:rStyle w:val="VerbatimChar"/>
              </w:rPr>
              <w:t xml:space="preserve">P177_a_assigné_le_type_de_propriété (est le type de la propriété assigné) </w:t>
            </w:r>
          </w:p>
        </w:tc>
        <w:tc>
          <w:tcPr>
            <w:tcW w:w="2620" w:type="dxa"/>
          </w:tcPr>
          <w:p w14:paraId="118F045B" w14:textId="2944FADC" w:rsidR="00065317" w:rsidRDefault="005C7BF7">
            <w:pPr>
              <w:pStyle w:val="Compact"/>
            </w:pPr>
            <w:r>
              <w:rPr>
                <w:rStyle w:val="VerbatimChar"/>
              </w:rPr>
              <w:t>E13_Assignation_d</w:t>
            </w:r>
            <w:r w:rsidR="00E84B0E">
              <w:rPr>
                <w:rStyle w:val="VerbatimChar"/>
              </w:rPr>
              <w:t>’</w:t>
            </w:r>
            <w:r>
              <w:rPr>
                <w:rStyle w:val="VerbatimChar"/>
              </w:rPr>
              <w:t>attribut</w:t>
            </w:r>
          </w:p>
        </w:tc>
        <w:tc>
          <w:tcPr>
            <w:tcW w:w="2268" w:type="dxa"/>
          </w:tcPr>
          <w:p w14:paraId="36A6C67D" w14:textId="77777777" w:rsidR="00065317" w:rsidRDefault="005C7BF7">
            <w:pPr>
              <w:pStyle w:val="Compact"/>
            </w:pPr>
            <w:r>
              <w:rPr>
                <w:rStyle w:val="VerbatimChar"/>
              </w:rPr>
              <w:t>E55_Type</w:t>
            </w:r>
          </w:p>
        </w:tc>
      </w:tr>
      <w:tr w:rsidR="00065317" w14:paraId="75789748" w14:textId="77777777" w:rsidTr="000041DB">
        <w:tc>
          <w:tcPr>
            <w:tcW w:w="800" w:type="dxa"/>
          </w:tcPr>
          <w:p w14:paraId="68AD6158" w14:textId="77777777" w:rsidR="00065317" w:rsidRDefault="005C7BF7">
            <w:pPr>
              <w:pStyle w:val="Compact"/>
            </w:pPr>
            <w:r>
              <w:t>P3</w:t>
            </w:r>
          </w:p>
        </w:tc>
        <w:tc>
          <w:tcPr>
            <w:tcW w:w="4508" w:type="dxa"/>
            <w:gridSpan w:val="6"/>
          </w:tcPr>
          <w:p w14:paraId="5E7C4D53" w14:textId="77777777" w:rsidR="00065317" w:rsidRDefault="005C7BF7">
            <w:pPr>
              <w:pStyle w:val="Compact"/>
            </w:pPr>
            <w:r>
              <w:rPr>
                <w:rStyle w:val="VerbatimChar"/>
              </w:rPr>
              <w:t>P3_a_pour_note</w:t>
            </w:r>
          </w:p>
        </w:tc>
        <w:tc>
          <w:tcPr>
            <w:tcW w:w="2620" w:type="dxa"/>
          </w:tcPr>
          <w:p w14:paraId="61AF599E" w14:textId="77777777" w:rsidR="00065317" w:rsidRDefault="005C7BF7">
            <w:pPr>
              <w:pStyle w:val="Compact"/>
            </w:pPr>
            <w:r>
              <w:rPr>
                <w:rStyle w:val="VerbatimChar"/>
              </w:rPr>
              <w:t>E1_Entité_CRM</w:t>
            </w:r>
          </w:p>
        </w:tc>
        <w:tc>
          <w:tcPr>
            <w:tcW w:w="2268" w:type="dxa"/>
          </w:tcPr>
          <w:p w14:paraId="1F0DF4E4" w14:textId="77777777" w:rsidR="00065317" w:rsidRDefault="005C7BF7">
            <w:pPr>
              <w:pStyle w:val="Compact"/>
            </w:pPr>
            <w:r>
              <w:rPr>
                <w:rStyle w:val="VerbatimChar"/>
              </w:rPr>
              <w:t>E62_Chaîne_de_caractères</w:t>
            </w:r>
          </w:p>
        </w:tc>
      </w:tr>
      <w:tr w:rsidR="00065317" w14:paraId="14F3DBB9" w14:textId="77777777" w:rsidTr="000041DB">
        <w:tc>
          <w:tcPr>
            <w:tcW w:w="800" w:type="dxa"/>
          </w:tcPr>
          <w:p w14:paraId="2E5097CC" w14:textId="77777777" w:rsidR="00065317" w:rsidRDefault="005C7BF7">
            <w:pPr>
              <w:pStyle w:val="Compact"/>
            </w:pPr>
            <w:r>
              <w:t>P79</w:t>
            </w:r>
          </w:p>
        </w:tc>
        <w:tc>
          <w:tcPr>
            <w:tcW w:w="256" w:type="dxa"/>
          </w:tcPr>
          <w:p w14:paraId="64DC43A6" w14:textId="77777777" w:rsidR="00065317" w:rsidRDefault="005C7BF7">
            <w:pPr>
              <w:pStyle w:val="Compact"/>
            </w:pPr>
            <w:r>
              <w:t>-</w:t>
            </w:r>
          </w:p>
        </w:tc>
        <w:tc>
          <w:tcPr>
            <w:tcW w:w="4252" w:type="dxa"/>
            <w:gridSpan w:val="5"/>
          </w:tcPr>
          <w:p w14:paraId="711C2FA3" w14:textId="77777777" w:rsidR="00065317" w:rsidRDefault="005C7BF7">
            <w:pPr>
              <w:pStyle w:val="Compact"/>
            </w:pPr>
            <w:r>
              <w:rPr>
                <w:rStyle w:val="VerbatimChar"/>
              </w:rPr>
              <w:t>P79_a_son_début_qualifié_par</w:t>
            </w:r>
          </w:p>
        </w:tc>
        <w:tc>
          <w:tcPr>
            <w:tcW w:w="2620" w:type="dxa"/>
          </w:tcPr>
          <w:p w14:paraId="615C757A" w14:textId="77777777" w:rsidR="00065317" w:rsidRDefault="005C7BF7">
            <w:pPr>
              <w:pStyle w:val="Compact"/>
            </w:pPr>
            <w:r>
              <w:rPr>
                <w:rStyle w:val="VerbatimChar"/>
              </w:rPr>
              <w:t xml:space="preserve">E52_Intervalle_temporel </w:t>
            </w:r>
          </w:p>
        </w:tc>
        <w:tc>
          <w:tcPr>
            <w:tcW w:w="2268" w:type="dxa"/>
          </w:tcPr>
          <w:p w14:paraId="3313AD80" w14:textId="77777777" w:rsidR="00065317" w:rsidRDefault="005C7BF7">
            <w:pPr>
              <w:pStyle w:val="Compact"/>
            </w:pPr>
            <w:r>
              <w:rPr>
                <w:rStyle w:val="VerbatimChar"/>
              </w:rPr>
              <w:t>E62_Chaîne_de_caractères</w:t>
            </w:r>
          </w:p>
        </w:tc>
      </w:tr>
      <w:tr w:rsidR="00065317" w14:paraId="35D96E29" w14:textId="77777777" w:rsidTr="000041DB">
        <w:tc>
          <w:tcPr>
            <w:tcW w:w="800" w:type="dxa"/>
          </w:tcPr>
          <w:p w14:paraId="6A4101F9" w14:textId="77777777" w:rsidR="00065317" w:rsidRDefault="005C7BF7">
            <w:pPr>
              <w:pStyle w:val="Compact"/>
            </w:pPr>
            <w:r>
              <w:t>P80</w:t>
            </w:r>
          </w:p>
        </w:tc>
        <w:tc>
          <w:tcPr>
            <w:tcW w:w="256" w:type="dxa"/>
          </w:tcPr>
          <w:p w14:paraId="5AF5AF62" w14:textId="77777777" w:rsidR="00065317" w:rsidRDefault="005C7BF7">
            <w:pPr>
              <w:pStyle w:val="Compact"/>
            </w:pPr>
            <w:r>
              <w:t>-</w:t>
            </w:r>
          </w:p>
        </w:tc>
        <w:tc>
          <w:tcPr>
            <w:tcW w:w="4252" w:type="dxa"/>
            <w:gridSpan w:val="5"/>
          </w:tcPr>
          <w:p w14:paraId="1E561B18" w14:textId="77777777" w:rsidR="00065317" w:rsidRDefault="005C7BF7">
            <w:pPr>
              <w:pStyle w:val="Compact"/>
            </w:pPr>
            <w:r>
              <w:rPr>
                <w:rStyle w:val="VerbatimChar"/>
              </w:rPr>
              <w:t>P80_a_sa_fin_qualifiée_par</w:t>
            </w:r>
          </w:p>
        </w:tc>
        <w:tc>
          <w:tcPr>
            <w:tcW w:w="2620" w:type="dxa"/>
          </w:tcPr>
          <w:p w14:paraId="685A2F0C" w14:textId="77777777" w:rsidR="00065317" w:rsidRDefault="005C7BF7">
            <w:pPr>
              <w:pStyle w:val="Compact"/>
            </w:pPr>
            <w:r>
              <w:rPr>
                <w:rStyle w:val="VerbatimChar"/>
              </w:rPr>
              <w:t xml:space="preserve">E52_Intervalle_temporel </w:t>
            </w:r>
          </w:p>
        </w:tc>
        <w:tc>
          <w:tcPr>
            <w:tcW w:w="2268" w:type="dxa"/>
          </w:tcPr>
          <w:p w14:paraId="66CBDC90" w14:textId="77777777" w:rsidR="00065317" w:rsidRDefault="005C7BF7">
            <w:pPr>
              <w:pStyle w:val="Compact"/>
            </w:pPr>
            <w:r>
              <w:rPr>
                <w:rStyle w:val="VerbatimChar"/>
              </w:rPr>
              <w:t>E62_Chaîne_de_caractères</w:t>
            </w:r>
          </w:p>
        </w:tc>
      </w:tr>
      <w:tr w:rsidR="00065317" w14:paraId="5033EF5E" w14:textId="77777777" w:rsidTr="000041DB">
        <w:tc>
          <w:tcPr>
            <w:tcW w:w="800" w:type="dxa"/>
          </w:tcPr>
          <w:p w14:paraId="7163D94F" w14:textId="77777777" w:rsidR="00065317" w:rsidRDefault="005C7BF7">
            <w:pPr>
              <w:pStyle w:val="Compact"/>
            </w:pPr>
            <w:r>
              <w:lastRenderedPageBreak/>
              <w:t>P190</w:t>
            </w:r>
          </w:p>
        </w:tc>
        <w:tc>
          <w:tcPr>
            <w:tcW w:w="256" w:type="dxa"/>
          </w:tcPr>
          <w:p w14:paraId="1E94914E" w14:textId="77777777" w:rsidR="00065317" w:rsidRDefault="005C7BF7">
            <w:pPr>
              <w:pStyle w:val="Compact"/>
            </w:pPr>
            <w:r>
              <w:t>-</w:t>
            </w:r>
          </w:p>
        </w:tc>
        <w:tc>
          <w:tcPr>
            <w:tcW w:w="4252" w:type="dxa"/>
            <w:gridSpan w:val="5"/>
          </w:tcPr>
          <w:p w14:paraId="44971C80" w14:textId="77777777" w:rsidR="00065317" w:rsidRDefault="005C7BF7">
            <w:pPr>
              <w:pStyle w:val="Compact"/>
            </w:pPr>
            <w:r>
              <w:rPr>
                <w:rStyle w:val="VerbatimChar"/>
              </w:rPr>
              <w:t>P190_a_pour_contenu_symbolique</w:t>
            </w:r>
          </w:p>
        </w:tc>
        <w:tc>
          <w:tcPr>
            <w:tcW w:w="2620" w:type="dxa"/>
          </w:tcPr>
          <w:p w14:paraId="742D390F" w14:textId="77777777" w:rsidR="00065317" w:rsidRDefault="005C7BF7">
            <w:pPr>
              <w:pStyle w:val="Compact"/>
            </w:pPr>
            <w:r>
              <w:rPr>
                <w:rStyle w:val="VerbatimChar"/>
              </w:rPr>
              <w:t>E90_Objet_symbolique</w:t>
            </w:r>
          </w:p>
        </w:tc>
        <w:tc>
          <w:tcPr>
            <w:tcW w:w="2268" w:type="dxa"/>
          </w:tcPr>
          <w:p w14:paraId="05F2D722" w14:textId="77777777" w:rsidR="00065317" w:rsidRDefault="005C7BF7">
            <w:pPr>
              <w:pStyle w:val="Compact"/>
            </w:pPr>
            <w:r>
              <w:rPr>
                <w:rStyle w:val="VerbatimChar"/>
              </w:rPr>
              <w:t>E62_Chaîne_de_caractères</w:t>
            </w:r>
          </w:p>
        </w:tc>
      </w:tr>
      <w:tr w:rsidR="00065317" w14:paraId="1ED48C7F" w14:textId="77777777" w:rsidTr="000041DB">
        <w:tc>
          <w:tcPr>
            <w:tcW w:w="800" w:type="dxa"/>
          </w:tcPr>
          <w:p w14:paraId="7372D5F1" w14:textId="77777777" w:rsidR="00065317" w:rsidRDefault="005C7BF7">
            <w:pPr>
              <w:pStyle w:val="Compact"/>
            </w:pPr>
            <w:r>
              <w:t>P4</w:t>
            </w:r>
          </w:p>
        </w:tc>
        <w:tc>
          <w:tcPr>
            <w:tcW w:w="4508" w:type="dxa"/>
            <w:gridSpan w:val="6"/>
          </w:tcPr>
          <w:p w14:paraId="178674DE" w14:textId="1DA12EC7" w:rsidR="00065317" w:rsidRDefault="005C7BF7">
            <w:pPr>
              <w:pStyle w:val="Compact"/>
            </w:pPr>
            <w:r>
              <w:rPr>
                <w:rStyle w:val="VerbatimChar"/>
              </w:rPr>
              <w:t>P4_a_pour_intervalle_temporel (est_l</w:t>
            </w:r>
            <w:r w:rsidR="00E84B0E">
              <w:rPr>
                <w:rStyle w:val="VerbatimChar"/>
              </w:rPr>
              <w:t>’</w:t>
            </w:r>
            <w:r>
              <w:rPr>
                <w:rStyle w:val="VerbatimChar"/>
              </w:rPr>
              <w:t>intervalle_temporel_de)</w:t>
            </w:r>
          </w:p>
        </w:tc>
        <w:tc>
          <w:tcPr>
            <w:tcW w:w="2620" w:type="dxa"/>
          </w:tcPr>
          <w:p w14:paraId="1C3E14EF" w14:textId="77777777" w:rsidR="00065317" w:rsidRDefault="005C7BF7">
            <w:pPr>
              <w:pStyle w:val="Compact"/>
            </w:pPr>
            <w:r>
              <w:rPr>
                <w:rStyle w:val="VerbatimChar"/>
              </w:rPr>
              <w:t>E2_Entité_temporelle</w:t>
            </w:r>
          </w:p>
        </w:tc>
        <w:tc>
          <w:tcPr>
            <w:tcW w:w="2268" w:type="dxa"/>
          </w:tcPr>
          <w:p w14:paraId="14B5D5B7" w14:textId="77777777" w:rsidR="00065317" w:rsidRDefault="005C7BF7">
            <w:pPr>
              <w:pStyle w:val="Compact"/>
            </w:pPr>
            <w:r>
              <w:rPr>
                <w:rStyle w:val="VerbatimChar"/>
              </w:rPr>
              <w:t xml:space="preserve">E52_Intervalle_temporel </w:t>
            </w:r>
          </w:p>
        </w:tc>
      </w:tr>
      <w:tr w:rsidR="00065317" w14:paraId="5FD58369" w14:textId="77777777" w:rsidTr="000041DB">
        <w:tc>
          <w:tcPr>
            <w:tcW w:w="800" w:type="dxa"/>
          </w:tcPr>
          <w:p w14:paraId="5B1EB4C2" w14:textId="77777777" w:rsidR="00065317" w:rsidRDefault="005C7BF7">
            <w:pPr>
              <w:pStyle w:val="Compact"/>
            </w:pPr>
            <w:r>
              <w:t>P5</w:t>
            </w:r>
          </w:p>
        </w:tc>
        <w:tc>
          <w:tcPr>
            <w:tcW w:w="4508" w:type="dxa"/>
            <w:gridSpan w:val="6"/>
          </w:tcPr>
          <w:p w14:paraId="44096166" w14:textId="77777777" w:rsidR="00065317" w:rsidRDefault="005C7BF7">
            <w:pPr>
              <w:pStyle w:val="Compact"/>
            </w:pPr>
            <w:r>
              <w:rPr>
                <w:rStyle w:val="VerbatimChar"/>
              </w:rPr>
              <w:t>P5_comprend (fait_partie_de)</w:t>
            </w:r>
          </w:p>
        </w:tc>
        <w:tc>
          <w:tcPr>
            <w:tcW w:w="2620" w:type="dxa"/>
          </w:tcPr>
          <w:p w14:paraId="36EA679D" w14:textId="77777777" w:rsidR="00065317" w:rsidRDefault="005C7BF7">
            <w:pPr>
              <w:pStyle w:val="Compact"/>
            </w:pPr>
            <w:r>
              <w:rPr>
                <w:rStyle w:val="VerbatimChar"/>
              </w:rPr>
              <w:t>E3_État_matériel</w:t>
            </w:r>
          </w:p>
        </w:tc>
        <w:tc>
          <w:tcPr>
            <w:tcW w:w="2268" w:type="dxa"/>
          </w:tcPr>
          <w:p w14:paraId="5995B88B" w14:textId="77777777" w:rsidR="00065317" w:rsidRDefault="005C7BF7">
            <w:pPr>
              <w:pStyle w:val="Compact"/>
            </w:pPr>
            <w:r>
              <w:rPr>
                <w:rStyle w:val="VerbatimChar"/>
              </w:rPr>
              <w:t>E3_État_matériel</w:t>
            </w:r>
          </w:p>
        </w:tc>
      </w:tr>
      <w:tr w:rsidR="00065317" w14:paraId="01904946" w14:textId="77777777" w:rsidTr="000041DB">
        <w:tc>
          <w:tcPr>
            <w:tcW w:w="800" w:type="dxa"/>
          </w:tcPr>
          <w:p w14:paraId="1D1F47F6" w14:textId="77777777" w:rsidR="00065317" w:rsidRDefault="005C7BF7">
            <w:pPr>
              <w:pStyle w:val="Compact"/>
            </w:pPr>
            <w:r>
              <w:t>P7</w:t>
            </w:r>
          </w:p>
        </w:tc>
        <w:tc>
          <w:tcPr>
            <w:tcW w:w="4508" w:type="dxa"/>
            <w:gridSpan w:val="6"/>
          </w:tcPr>
          <w:p w14:paraId="541862A9" w14:textId="77777777" w:rsidR="00065317" w:rsidRDefault="005C7BF7">
            <w:pPr>
              <w:pStyle w:val="Compact"/>
            </w:pPr>
            <w:r>
              <w:rPr>
                <w:rStyle w:val="VerbatimChar"/>
              </w:rPr>
              <w:t>P7_a_eu_lieu_dans (a_été_témoin_de)</w:t>
            </w:r>
          </w:p>
        </w:tc>
        <w:tc>
          <w:tcPr>
            <w:tcW w:w="2620" w:type="dxa"/>
          </w:tcPr>
          <w:p w14:paraId="468DD35F" w14:textId="77777777" w:rsidR="00065317" w:rsidRDefault="005C7BF7">
            <w:pPr>
              <w:pStyle w:val="Compact"/>
            </w:pPr>
            <w:r>
              <w:rPr>
                <w:rStyle w:val="VerbatimChar"/>
              </w:rPr>
              <w:t>E4_Période</w:t>
            </w:r>
          </w:p>
        </w:tc>
        <w:tc>
          <w:tcPr>
            <w:tcW w:w="2268" w:type="dxa"/>
          </w:tcPr>
          <w:p w14:paraId="49F2C585" w14:textId="77777777" w:rsidR="00065317" w:rsidRDefault="005C7BF7">
            <w:pPr>
              <w:pStyle w:val="Compact"/>
            </w:pPr>
            <w:r>
              <w:rPr>
                <w:rStyle w:val="VerbatimChar"/>
              </w:rPr>
              <w:t>E53_Lieu</w:t>
            </w:r>
          </w:p>
        </w:tc>
      </w:tr>
      <w:tr w:rsidR="00065317" w14:paraId="3D30F520" w14:textId="77777777" w:rsidTr="000041DB">
        <w:tc>
          <w:tcPr>
            <w:tcW w:w="800" w:type="dxa"/>
          </w:tcPr>
          <w:p w14:paraId="1757C09F" w14:textId="77777777" w:rsidR="00065317" w:rsidRDefault="005C7BF7">
            <w:pPr>
              <w:pStyle w:val="Compact"/>
            </w:pPr>
            <w:r>
              <w:t>P8</w:t>
            </w:r>
          </w:p>
        </w:tc>
        <w:tc>
          <w:tcPr>
            <w:tcW w:w="4508" w:type="dxa"/>
            <w:gridSpan w:val="6"/>
          </w:tcPr>
          <w:p w14:paraId="1C856477" w14:textId="77777777" w:rsidR="00065317" w:rsidRDefault="005C7BF7">
            <w:pPr>
              <w:pStyle w:val="Compact"/>
            </w:pPr>
            <w:r>
              <w:rPr>
                <w:rStyle w:val="VerbatimChar"/>
              </w:rPr>
              <w:t>P8_a_eu_lieu (a_été_témoin_de)</w:t>
            </w:r>
          </w:p>
        </w:tc>
        <w:tc>
          <w:tcPr>
            <w:tcW w:w="2620" w:type="dxa"/>
          </w:tcPr>
          <w:p w14:paraId="446BD9E5" w14:textId="77777777" w:rsidR="00065317" w:rsidRDefault="005C7BF7">
            <w:pPr>
              <w:pStyle w:val="Compact"/>
            </w:pPr>
            <w:r>
              <w:rPr>
                <w:rStyle w:val="VerbatimChar"/>
              </w:rPr>
              <w:t>E4_Période</w:t>
            </w:r>
          </w:p>
        </w:tc>
        <w:tc>
          <w:tcPr>
            <w:tcW w:w="2268" w:type="dxa"/>
          </w:tcPr>
          <w:p w14:paraId="78931246" w14:textId="77777777" w:rsidR="00065317" w:rsidRDefault="005C7BF7">
            <w:pPr>
              <w:pStyle w:val="Compact"/>
            </w:pPr>
            <w:r>
              <w:rPr>
                <w:rStyle w:val="VerbatimChar"/>
              </w:rPr>
              <w:t>E18_Chose_matérielle</w:t>
            </w:r>
          </w:p>
        </w:tc>
      </w:tr>
      <w:tr w:rsidR="00065317" w14:paraId="7CCC7016" w14:textId="77777777" w:rsidTr="000041DB">
        <w:tc>
          <w:tcPr>
            <w:tcW w:w="800" w:type="dxa"/>
          </w:tcPr>
          <w:p w14:paraId="1A38A378" w14:textId="77777777" w:rsidR="00065317" w:rsidRDefault="005C7BF7">
            <w:pPr>
              <w:pStyle w:val="Compact"/>
            </w:pPr>
            <w:r>
              <w:t>P12</w:t>
            </w:r>
          </w:p>
        </w:tc>
        <w:tc>
          <w:tcPr>
            <w:tcW w:w="4508" w:type="dxa"/>
            <w:gridSpan w:val="6"/>
          </w:tcPr>
          <w:p w14:paraId="09E3FA14" w14:textId="77777777" w:rsidR="00065317" w:rsidRDefault="005C7BF7">
            <w:pPr>
              <w:pStyle w:val="Compact"/>
            </w:pPr>
            <w:r>
              <w:rPr>
                <w:rStyle w:val="VerbatimChar"/>
              </w:rPr>
              <w:t>P12_a_eu_lieu_en_présence_de (a_été_présent_à)</w:t>
            </w:r>
          </w:p>
        </w:tc>
        <w:tc>
          <w:tcPr>
            <w:tcW w:w="2620" w:type="dxa"/>
          </w:tcPr>
          <w:p w14:paraId="09FD8FAF" w14:textId="77777777" w:rsidR="00065317" w:rsidRDefault="005C7BF7">
            <w:pPr>
              <w:pStyle w:val="Compact"/>
            </w:pPr>
            <w:r>
              <w:rPr>
                <w:rStyle w:val="VerbatimChar"/>
              </w:rPr>
              <w:t>E5_Évènement</w:t>
            </w:r>
          </w:p>
        </w:tc>
        <w:tc>
          <w:tcPr>
            <w:tcW w:w="2268" w:type="dxa"/>
          </w:tcPr>
          <w:p w14:paraId="5F7DEBD0" w14:textId="77777777" w:rsidR="00065317" w:rsidRDefault="005C7BF7">
            <w:pPr>
              <w:pStyle w:val="Compact"/>
            </w:pPr>
            <w:r>
              <w:rPr>
                <w:rStyle w:val="VerbatimChar"/>
              </w:rPr>
              <w:t>E77_Entité_persistante</w:t>
            </w:r>
          </w:p>
        </w:tc>
      </w:tr>
      <w:tr w:rsidR="00065317" w14:paraId="38C64D23" w14:textId="77777777" w:rsidTr="000041DB">
        <w:tc>
          <w:tcPr>
            <w:tcW w:w="800" w:type="dxa"/>
          </w:tcPr>
          <w:p w14:paraId="49F500EA" w14:textId="77777777" w:rsidR="00065317" w:rsidRDefault="005C7BF7">
            <w:pPr>
              <w:pStyle w:val="Compact"/>
            </w:pPr>
            <w:r>
              <w:t>P111</w:t>
            </w:r>
          </w:p>
        </w:tc>
        <w:tc>
          <w:tcPr>
            <w:tcW w:w="256" w:type="dxa"/>
          </w:tcPr>
          <w:p w14:paraId="5730F3D6" w14:textId="77777777" w:rsidR="00065317" w:rsidRDefault="005C7BF7">
            <w:pPr>
              <w:pStyle w:val="Compact"/>
            </w:pPr>
            <w:r>
              <w:t>-</w:t>
            </w:r>
          </w:p>
        </w:tc>
        <w:tc>
          <w:tcPr>
            <w:tcW w:w="4252" w:type="dxa"/>
            <w:gridSpan w:val="5"/>
          </w:tcPr>
          <w:p w14:paraId="0C0748FD" w14:textId="77777777" w:rsidR="00065317" w:rsidRDefault="005C7BF7">
            <w:pPr>
              <w:pStyle w:val="Compact"/>
            </w:pPr>
            <w:r>
              <w:rPr>
                <w:rStyle w:val="VerbatimChar"/>
              </w:rPr>
              <w:t>P111_a_ajouté (a_été_ajouté_par)</w:t>
            </w:r>
          </w:p>
        </w:tc>
        <w:tc>
          <w:tcPr>
            <w:tcW w:w="2620" w:type="dxa"/>
          </w:tcPr>
          <w:p w14:paraId="0E87C923" w14:textId="613C1F70" w:rsidR="00065317" w:rsidRDefault="005C7BF7">
            <w:pPr>
              <w:pStyle w:val="Compact"/>
            </w:pPr>
            <w:r>
              <w:rPr>
                <w:rStyle w:val="VerbatimChar"/>
              </w:rPr>
              <w:t>E79_Ajout_d</w:t>
            </w:r>
            <w:r w:rsidR="00E84B0E">
              <w:rPr>
                <w:rStyle w:val="VerbatimChar"/>
              </w:rPr>
              <w:t>’</w:t>
            </w:r>
            <w:r>
              <w:rPr>
                <w:rStyle w:val="VerbatimChar"/>
              </w:rPr>
              <w:t>élément</w:t>
            </w:r>
          </w:p>
        </w:tc>
        <w:tc>
          <w:tcPr>
            <w:tcW w:w="2268" w:type="dxa"/>
          </w:tcPr>
          <w:p w14:paraId="0A3BF22D" w14:textId="77777777" w:rsidR="00065317" w:rsidRDefault="005C7BF7">
            <w:pPr>
              <w:pStyle w:val="Compact"/>
            </w:pPr>
            <w:r>
              <w:rPr>
                <w:rStyle w:val="VerbatimChar"/>
              </w:rPr>
              <w:t>E18_Chose_matérielle</w:t>
            </w:r>
          </w:p>
        </w:tc>
      </w:tr>
      <w:tr w:rsidR="00065317" w14:paraId="7E8C3172" w14:textId="77777777" w:rsidTr="000041DB">
        <w:tc>
          <w:tcPr>
            <w:tcW w:w="800" w:type="dxa"/>
          </w:tcPr>
          <w:p w14:paraId="2A8A18AC" w14:textId="77777777" w:rsidR="00065317" w:rsidRDefault="005C7BF7">
            <w:pPr>
              <w:pStyle w:val="Compact"/>
            </w:pPr>
            <w:r>
              <w:t>P113</w:t>
            </w:r>
          </w:p>
        </w:tc>
        <w:tc>
          <w:tcPr>
            <w:tcW w:w="256" w:type="dxa"/>
          </w:tcPr>
          <w:p w14:paraId="0EE159FA" w14:textId="77777777" w:rsidR="00065317" w:rsidRDefault="005C7BF7">
            <w:pPr>
              <w:pStyle w:val="Compact"/>
            </w:pPr>
            <w:r>
              <w:t>-</w:t>
            </w:r>
          </w:p>
        </w:tc>
        <w:tc>
          <w:tcPr>
            <w:tcW w:w="4252" w:type="dxa"/>
            <w:gridSpan w:val="5"/>
          </w:tcPr>
          <w:p w14:paraId="764576FA" w14:textId="77777777" w:rsidR="00065317" w:rsidRDefault="005C7BF7">
            <w:pPr>
              <w:pStyle w:val="Compact"/>
            </w:pPr>
            <w:r>
              <w:rPr>
                <w:rStyle w:val="VerbatimChar"/>
              </w:rPr>
              <w:t>P113_a_retiré (a_été_retiré_par)</w:t>
            </w:r>
          </w:p>
        </w:tc>
        <w:tc>
          <w:tcPr>
            <w:tcW w:w="2620" w:type="dxa"/>
          </w:tcPr>
          <w:p w14:paraId="61F246A2" w14:textId="3B694B47" w:rsidR="00065317" w:rsidRDefault="005C7BF7">
            <w:pPr>
              <w:pStyle w:val="Compact"/>
            </w:pPr>
            <w:r>
              <w:rPr>
                <w:rStyle w:val="VerbatimChar"/>
              </w:rPr>
              <w:t>E80_Retrait_d</w:t>
            </w:r>
            <w:r w:rsidR="00E84B0E">
              <w:rPr>
                <w:rStyle w:val="VerbatimChar"/>
              </w:rPr>
              <w:t>’</w:t>
            </w:r>
            <w:r>
              <w:rPr>
                <w:rStyle w:val="VerbatimChar"/>
              </w:rPr>
              <w:t>élément</w:t>
            </w:r>
          </w:p>
        </w:tc>
        <w:tc>
          <w:tcPr>
            <w:tcW w:w="2268" w:type="dxa"/>
          </w:tcPr>
          <w:p w14:paraId="268CB1C2" w14:textId="77777777" w:rsidR="00065317" w:rsidRDefault="005C7BF7">
            <w:pPr>
              <w:pStyle w:val="Compact"/>
            </w:pPr>
            <w:r>
              <w:rPr>
                <w:rStyle w:val="VerbatimChar"/>
              </w:rPr>
              <w:t>E18_Chose_matérielle</w:t>
            </w:r>
          </w:p>
        </w:tc>
      </w:tr>
      <w:tr w:rsidR="00065317" w14:paraId="54497875" w14:textId="77777777" w:rsidTr="000041DB">
        <w:tc>
          <w:tcPr>
            <w:tcW w:w="800" w:type="dxa"/>
          </w:tcPr>
          <w:p w14:paraId="6351D7AD" w14:textId="77777777" w:rsidR="00065317" w:rsidRDefault="005C7BF7">
            <w:pPr>
              <w:pStyle w:val="Compact"/>
            </w:pPr>
            <w:r>
              <w:t>P11</w:t>
            </w:r>
          </w:p>
        </w:tc>
        <w:tc>
          <w:tcPr>
            <w:tcW w:w="256" w:type="dxa"/>
          </w:tcPr>
          <w:p w14:paraId="55CBEC07" w14:textId="77777777" w:rsidR="00065317" w:rsidRDefault="005C7BF7">
            <w:pPr>
              <w:pStyle w:val="Compact"/>
            </w:pPr>
            <w:r>
              <w:t>-</w:t>
            </w:r>
          </w:p>
        </w:tc>
        <w:tc>
          <w:tcPr>
            <w:tcW w:w="4252" w:type="dxa"/>
            <w:gridSpan w:val="5"/>
          </w:tcPr>
          <w:p w14:paraId="0B2A9CC4" w14:textId="77777777" w:rsidR="00065317" w:rsidRDefault="005C7BF7">
            <w:pPr>
              <w:pStyle w:val="Compact"/>
            </w:pPr>
            <w:r>
              <w:rPr>
                <w:rStyle w:val="VerbatimChar"/>
              </w:rPr>
              <w:t>P11_a_eu_pour_actant_participant (a_participé_à)</w:t>
            </w:r>
          </w:p>
        </w:tc>
        <w:tc>
          <w:tcPr>
            <w:tcW w:w="2620" w:type="dxa"/>
          </w:tcPr>
          <w:p w14:paraId="7CCCC4F8" w14:textId="77777777" w:rsidR="00065317" w:rsidRDefault="005C7BF7">
            <w:pPr>
              <w:pStyle w:val="Compact"/>
            </w:pPr>
            <w:r>
              <w:rPr>
                <w:rStyle w:val="VerbatimChar"/>
              </w:rPr>
              <w:t>E5_Évènement</w:t>
            </w:r>
          </w:p>
        </w:tc>
        <w:tc>
          <w:tcPr>
            <w:tcW w:w="2268" w:type="dxa"/>
          </w:tcPr>
          <w:p w14:paraId="56AD6005" w14:textId="77777777" w:rsidR="00065317" w:rsidRDefault="005C7BF7">
            <w:pPr>
              <w:pStyle w:val="Compact"/>
            </w:pPr>
            <w:r>
              <w:rPr>
                <w:rStyle w:val="VerbatimChar"/>
              </w:rPr>
              <w:t>E39_Actant</w:t>
            </w:r>
          </w:p>
        </w:tc>
      </w:tr>
      <w:tr w:rsidR="00065317" w14:paraId="7B87316A" w14:textId="77777777" w:rsidTr="000041DB">
        <w:tc>
          <w:tcPr>
            <w:tcW w:w="800" w:type="dxa"/>
          </w:tcPr>
          <w:p w14:paraId="219EF5C6" w14:textId="77777777" w:rsidR="00065317" w:rsidRDefault="005C7BF7">
            <w:pPr>
              <w:pStyle w:val="Compact"/>
            </w:pPr>
            <w:r>
              <w:t>P14</w:t>
            </w:r>
          </w:p>
        </w:tc>
        <w:tc>
          <w:tcPr>
            <w:tcW w:w="256" w:type="dxa"/>
          </w:tcPr>
          <w:p w14:paraId="6A477B87" w14:textId="77777777" w:rsidR="00065317" w:rsidRDefault="005C7BF7">
            <w:pPr>
              <w:pStyle w:val="Compact"/>
            </w:pPr>
            <w:r>
              <w:t>-</w:t>
            </w:r>
          </w:p>
        </w:tc>
        <w:tc>
          <w:tcPr>
            <w:tcW w:w="267" w:type="dxa"/>
          </w:tcPr>
          <w:p w14:paraId="535AD8A3" w14:textId="77777777" w:rsidR="00065317" w:rsidRDefault="005C7BF7">
            <w:pPr>
              <w:pStyle w:val="Compact"/>
            </w:pPr>
            <w:r>
              <w:t>-</w:t>
            </w:r>
          </w:p>
        </w:tc>
        <w:tc>
          <w:tcPr>
            <w:tcW w:w="3985" w:type="dxa"/>
            <w:gridSpan w:val="4"/>
          </w:tcPr>
          <w:p w14:paraId="5F35C2F3" w14:textId="77777777" w:rsidR="00065317" w:rsidRDefault="005C7BF7">
            <w:pPr>
              <w:pStyle w:val="Compact"/>
            </w:pPr>
            <w:r>
              <w:rPr>
                <w:rStyle w:val="VerbatimChar"/>
              </w:rPr>
              <w:t>P14_a_été_effectué_par (a_effectué)</w:t>
            </w:r>
          </w:p>
        </w:tc>
        <w:tc>
          <w:tcPr>
            <w:tcW w:w="2620" w:type="dxa"/>
          </w:tcPr>
          <w:p w14:paraId="2C84C709" w14:textId="77777777" w:rsidR="00065317" w:rsidRDefault="005C7BF7">
            <w:pPr>
              <w:pStyle w:val="Compact"/>
            </w:pPr>
            <w:r>
              <w:rPr>
                <w:rStyle w:val="VerbatimChar"/>
              </w:rPr>
              <w:t>E7_Activité</w:t>
            </w:r>
          </w:p>
        </w:tc>
        <w:tc>
          <w:tcPr>
            <w:tcW w:w="2268" w:type="dxa"/>
          </w:tcPr>
          <w:p w14:paraId="7CD4672D" w14:textId="77777777" w:rsidR="00065317" w:rsidRDefault="005C7BF7">
            <w:pPr>
              <w:pStyle w:val="Compact"/>
            </w:pPr>
            <w:r>
              <w:rPr>
                <w:rStyle w:val="VerbatimChar"/>
              </w:rPr>
              <w:t>E39_Actant</w:t>
            </w:r>
          </w:p>
        </w:tc>
      </w:tr>
      <w:tr w:rsidR="00065317" w14:paraId="274EDF08" w14:textId="77777777" w:rsidTr="000041DB">
        <w:tc>
          <w:tcPr>
            <w:tcW w:w="800" w:type="dxa"/>
          </w:tcPr>
          <w:p w14:paraId="0C7FAA52" w14:textId="77777777" w:rsidR="00065317" w:rsidRDefault="005C7BF7">
            <w:pPr>
              <w:pStyle w:val="Compact"/>
            </w:pPr>
            <w:r>
              <w:t>P22</w:t>
            </w:r>
          </w:p>
        </w:tc>
        <w:tc>
          <w:tcPr>
            <w:tcW w:w="256" w:type="dxa"/>
          </w:tcPr>
          <w:p w14:paraId="18B5B42E" w14:textId="77777777" w:rsidR="00065317" w:rsidRDefault="005C7BF7">
            <w:pPr>
              <w:pStyle w:val="Compact"/>
            </w:pPr>
            <w:r>
              <w:t>-</w:t>
            </w:r>
          </w:p>
        </w:tc>
        <w:tc>
          <w:tcPr>
            <w:tcW w:w="267" w:type="dxa"/>
          </w:tcPr>
          <w:p w14:paraId="0DCDF885" w14:textId="77777777" w:rsidR="00065317" w:rsidRDefault="005C7BF7">
            <w:pPr>
              <w:pStyle w:val="Compact"/>
            </w:pPr>
            <w:r>
              <w:t>-</w:t>
            </w:r>
          </w:p>
        </w:tc>
        <w:tc>
          <w:tcPr>
            <w:tcW w:w="293" w:type="dxa"/>
          </w:tcPr>
          <w:p w14:paraId="31C3B573" w14:textId="77777777" w:rsidR="00065317" w:rsidRDefault="005C7BF7">
            <w:pPr>
              <w:pStyle w:val="Compact"/>
            </w:pPr>
            <w:r>
              <w:t>-</w:t>
            </w:r>
          </w:p>
        </w:tc>
        <w:tc>
          <w:tcPr>
            <w:tcW w:w="3692" w:type="dxa"/>
            <w:gridSpan w:val="3"/>
          </w:tcPr>
          <w:p w14:paraId="3C14B9EB" w14:textId="77777777" w:rsidR="00065317" w:rsidRDefault="005C7BF7">
            <w:pPr>
              <w:pStyle w:val="Compact"/>
            </w:pPr>
            <w:r>
              <w:rPr>
                <w:rStyle w:val="VerbatimChar"/>
              </w:rPr>
              <w:t>P22_a_transféré_le_titre_de_propriété_à (a_acquis_le_titre_de_propriété_par)</w:t>
            </w:r>
          </w:p>
        </w:tc>
        <w:tc>
          <w:tcPr>
            <w:tcW w:w="2620" w:type="dxa"/>
          </w:tcPr>
          <w:p w14:paraId="022D4E9B" w14:textId="77777777" w:rsidR="00065317" w:rsidRDefault="005C7BF7">
            <w:pPr>
              <w:pStyle w:val="Compact"/>
            </w:pPr>
            <w:r>
              <w:rPr>
                <w:rStyle w:val="VerbatimChar"/>
              </w:rPr>
              <w:t>E8_Acquisition</w:t>
            </w:r>
          </w:p>
        </w:tc>
        <w:tc>
          <w:tcPr>
            <w:tcW w:w="2268" w:type="dxa"/>
          </w:tcPr>
          <w:p w14:paraId="1F2D48CF" w14:textId="77777777" w:rsidR="00065317" w:rsidRDefault="005C7BF7">
            <w:pPr>
              <w:pStyle w:val="Compact"/>
            </w:pPr>
            <w:r>
              <w:rPr>
                <w:rStyle w:val="VerbatimChar"/>
              </w:rPr>
              <w:t>E39_Actant</w:t>
            </w:r>
          </w:p>
        </w:tc>
      </w:tr>
      <w:tr w:rsidR="00065317" w14:paraId="27613A88" w14:textId="77777777" w:rsidTr="000041DB">
        <w:tc>
          <w:tcPr>
            <w:tcW w:w="800" w:type="dxa"/>
          </w:tcPr>
          <w:p w14:paraId="17CEF85F" w14:textId="77777777" w:rsidR="00065317" w:rsidRDefault="005C7BF7">
            <w:pPr>
              <w:pStyle w:val="Compact"/>
            </w:pPr>
            <w:r>
              <w:t>P23</w:t>
            </w:r>
          </w:p>
        </w:tc>
        <w:tc>
          <w:tcPr>
            <w:tcW w:w="256" w:type="dxa"/>
          </w:tcPr>
          <w:p w14:paraId="7A1B0C68" w14:textId="77777777" w:rsidR="00065317" w:rsidRDefault="005C7BF7">
            <w:pPr>
              <w:pStyle w:val="Compact"/>
            </w:pPr>
            <w:r>
              <w:t>-</w:t>
            </w:r>
          </w:p>
        </w:tc>
        <w:tc>
          <w:tcPr>
            <w:tcW w:w="267" w:type="dxa"/>
          </w:tcPr>
          <w:p w14:paraId="7AB7DEF3" w14:textId="77777777" w:rsidR="00065317" w:rsidRDefault="005C7BF7">
            <w:pPr>
              <w:pStyle w:val="Compact"/>
            </w:pPr>
            <w:r>
              <w:t>-</w:t>
            </w:r>
          </w:p>
        </w:tc>
        <w:tc>
          <w:tcPr>
            <w:tcW w:w="293" w:type="dxa"/>
          </w:tcPr>
          <w:p w14:paraId="7AF10324" w14:textId="77777777" w:rsidR="00065317" w:rsidRDefault="005C7BF7">
            <w:pPr>
              <w:pStyle w:val="Compact"/>
            </w:pPr>
            <w:r>
              <w:t>-</w:t>
            </w:r>
          </w:p>
        </w:tc>
        <w:tc>
          <w:tcPr>
            <w:tcW w:w="3692" w:type="dxa"/>
            <w:gridSpan w:val="3"/>
          </w:tcPr>
          <w:p w14:paraId="0B126774" w14:textId="77777777" w:rsidR="00065317" w:rsidRDefault="005C7BF7">
            <w:pPr>
              <w:pStyle w:val="Compact"/>
            </w:pPr>
            <w:r>
              <w:rPr>
                <w:rStyle w:val="VerbatimChar"/>
              </w:rPr>
              <w:t>P23_a_transféré_le_titre_de_propriété_de (a_cédé_le_titre_de_propriété_à)</w:t>
            </w:r>
          </w:p>
        </w:tc>
        <w:tc>
          <w:tcPr>
            <w:tcW w:w="2620" w:type="dxa"/>
          </w:tcPr>
          <w:p w14:paraId="5C178BDB" w14:textId="77777777" w:rsidR="00065317" w:rsidRDefault="005C7BF7">
            <w:pPr>
              <w:pStyle w:val="Compact"/>
            </w:pPr>
            <w:r>
              <w:rPr>
                <w:rStyle w:val="VerbatimChar"/>
              </w:rPr>
              <w:t>E8_Acquisition</w:t>
            </w:r>
          </w:p>
        </w:tc>
        <w:tc>
          <w:tcPr>
            <w:tcW w:w="2268" w:type="dxa"/>
          </w:tcPr>
          <w:p w14:paraId="0E5D2BAD" w14:textId="77777777" w:rsidR="00065317" w:rsidRDefault="005C7BF7">
            <w:pPr>
              <w:pStyle w:val="Compact"/>
            </w:pPr>
            <w:r>
              <w:rPr>
                <w:rStyle w:val="VerbatimChar"/>
              </w:rPr>
              <w:t>E39_Actant</w:t>
            </w:r>
          </w:p>
        </w:tc>
      </w:tr>
      <w:tr w:rsidR="00065317" w14:paraId="39432C90" w14:textId="77777777" w:rsidTr="000041DB">
        <w:tc>
          <w:tcPr>
            <w:tcW w:w="800" w:type="dxa"/>
          </w:tcPr>
          <w:p w14:paraId="580F2D1A" w14:textId="77777777" w:rsidR="00065317" w:rsidRDefault="005C7BF7">
            <w:pPr>
              <w:pStyle w:val="Compact"/>
            </w:pPr>
            <w:r>
              <w:t>P28</w:t>
            </w:r>
          </w:p>
        </w:tc>
        <w:tc>
          <w:tcPr>
            <w:tcW w:w="256" w:type="dxa"/>
          </w:tcPr>
          <w:p w14:paraId="5942130A" w14:textId="77777777" w:rsidR="00065317" w:rsidRDefault="005C7BF7">
            <w:pPr>
              <w:pStyle w:val="Compact"/>
            </w:pPr>
            <w:r>
              <w:t>-</w:t>
            </w:r>
          </w:p>
        </w:tc>
        <w:tc>
          <w:tcPr>
            <w:tcW w:w="267" w:type="dxa"/>
          </w:tcPr>
          <w:p w14:paraId="56E1433E" w14:textId="77777777" w:rsidR="00065317" w:rsidRDefault="005C7BF7">
            <w:pPr>
              <w:pStyle w:val="Compact"/>
            </w:pPr>
            <w:r>
              <w:t>-</w:t>
            </w:r>
          </w:p>
        </w:tc>
        <w:tc>
          <w:tcPr>
            <w:tcW w:w="293" w:type="dxa"/>
          </w:tcPr>
          <w:p w14:paraId="1ADD8ED9" w14:textId="77777777" w:rsidR="00065317" w:rsidRDefault="005C7BF7">
            <w:pPr>
              <w:pStyle w:val="Compact"/>
            </w:pPr>
            <w:r>
              <w:t>-</w:t>
            </w:r>
          </w:p>
        </w:tc>
        <w:tc>
          <w:tcPr>
            <w:tcW w:w="3692" w:type="dxa"/>
            <w:gridSpan w:val="3"/>
          </w:tcPr>
          <w:p w14:paraId="40BDCED5" w14:textId="77777777" w:rsidR="00065317" w:rsidRDefault="005C7BF7">
            <w:pPr>
              <w:pStyle w:val="Compact"/>
            </w:pPr>
            <w:r>
              <w:rPr>
                <w:rStyle w:val="VerbatimChar"/>
              </w:rPr>
              <w:t>P28_a_mis_fin_à_la_garde_par (a_cédé_la_garde_par)</w:t>
            </w:r>
          </w:p>
        </w:tc>
        <w:tc>
          <w:tcPr>
            <w:tcW w:w="2620" w:type="dxa"/>
          </w:tcPr>
          <w:p w14:paraId="4CB49D77" w14:textId="77777777" w:rsidR="00065317" w:rsidRDefault="005C7BF7">
            <w:pPr>
              <w:pStyle w:val="Compact"/>
            </w:pPr>
            <w:r>
              <w:rPr>
                <w:rStyle w:val="VerbatimChar"/>
              </w:rPr>
              <w:t>E10_Transfert_de_la_garde</w:t>
            </w:r>
          </w:p>
        </w:tc>
        <w:tc>
          <w:tcPr>
            <w:tcW w:w="2268" w:type="dxa"/>
          </w:tcPr>
          <w:p w14:paraId="4809C123" w14:textId="77777777" w:rsidR="00065317" w:rsidRDefault="005C7BF7">
            <w:pPr>
              <w:pStyle w:val="Compact"/>
            </w:pPr>
            <w:r>
              <w:rPr>
                <w:rStyle w:val="VerbatimChar"/>
              </w:rPr>
              <w:t>E39_Actant</w:t>
            </w:r>
          </w:p>
        </w:tc>
      </w:tr>
      <w:tr w:rsidR="00065317" w14:paraId="0B518AFE" w14:textId="77777777" w:rsidTr="000041DB">
        <w:tc>
          <w:tcPr>
            <w:tcW w:w="800" w:type="dxa"/>
          </w:tcPr>
          <w:p w14:paraId="611169C6" w14:textId="77777777" w:rsidR="00065317" w:rsidRDefault="005C7BF7">
            <w:pPr>
              <w:pStyle w:val="Compact"/>
            </w:pPr>
            <w:r>
              <w:t>P29</w:t>
            </w:r>
          </w:p>
        </w:tc>
        <w:tc>
          <w:tcPr>
            <w:tcW w:w="256" w:type="dxa"/>
          </w:tcPr>
          <w:p w14:paraId="7413CC7C" w14:textId="77777777" w:rsidR="00065317" w:rsidRDefault="005C7BF7">
            <w:pPr>
              <w:pStyle w:val="Compact"/>
            </w:pPr>
            <w:r>
              <w:t>-</w:t>
            </w:r>
          </w:p>
        </w:tc>
        <w:tc>
          <w:tcPr>
            <w:tcW w:w="267" w:type="dxa"/>
          </w:tcPr>
          <w:p w14:paraId="36989F0B" w14:textId="77777777" w:rsidR="00065317" w:rsidRDefault="005C7BF7">
            <w:pPr>
              <w:pStyle w:val="Compact"/>
            </w:pPr>
            <w:r>
              <w:t>-</w:t>
            </w:r>
          </w:p>
        </w:tc>
        <w:tc>
          <w:tcPr>
            <w:tcW w:w="293" w:type="dxa"/>
          </w:tcPr>
          <w:p w14:paraId="181A355A" w14:textId="77777777" w:rsidR="00065317" w:rsidRDefault="005C7BF7">
            <w:pPr>
              <w:pStyle w:val="Compact"/>
            </w:pPr>
            <w:r>
              <w:t>-</w:t>
            </w:r>
          </w:p>
        </w:tc>
        <w:tc>
          <w:tcPr>
            <w:tcW w:w="3692" w:type="dxa"/>
            <w:gridSpan w:val="3"/>
          </w:tcPr>
          <w:p w14:paraId="407D74B1" w14:textId="77777777" w:rsidR="00065317" w:rsidRDefault="005C7BF7">
            <w:pPr>
              <w:pStyle w:val="Compact"/>
            </w:pPr>
            <w:r>
              <w:rPr>
                <w:rStyle w:val="VerbatimChar"/>
              </w:rPr>
              <w:t>P29_a_confié_la_garde_par (a_reçu_la_garde_par)</w:t>
            </w:r>
          </w:p>
        </w:tc>
        <w:tc>
          <w:tcPr>
            <w:tcW w:w="2620" w:type="dxa"/>
          </w:tcPr>
          <w:p w14:paraId="27F29094" w14:textId="77777777" w:rsidR="00065317" w:rsidRDefault="005C7BF7">
            <w:pPr>
              <w:pStyle w:val="Compact"/>
            </w:pPr>
            <w:r>
              <w:rPr>
                <w:rStyle w:val="VerbatimChar"/>
              </w:rPr>
              <w:t>E10_Transfert_de_la_garde</w:t>
            </w:r>
          </w:p>
        </w:tc>
        <w:tc>
          <w:tcPr>
            <w:tcW w:w="2268" w:type="dxa"/>
          </w:tcPr>
          <w:p w14:paraId="1FA15549" w14:textId="77777777" w:rsidR="00065317" w:rsidRDefault="005C7BF7">
            <w:pPr>
              <w:pStyle w:val="Compact"/>
            </w:pPr>
            <w:r>
              <w:rPr>
                <w:rStyle w:val="VerbatimChar"/>
              </w:rPr>
              <w:t>E39_Actant</w:t>
            </w:r>
          </w:p>
        </w:tc>
      </w:tr>
      <w:tr w:rsidR="00065317" w14:paraId="3B10D13F" w14:textId="77777777" w:rsidTr="000041DB">
        <w:tc>
          <w:tcPr>
            <w:tcW w:w="800" w:type="dxa"/>
          </w:tcPr>
          <w:p w14:paraId="524DF1F6" w14:textId="77777777" w:rsidR="00065317" w:rsidRDefault="005C7BF7">
            <w:pPr>
              <w:pStyle w:val="Compact"/>
            </w:pPr>
            <w:r>
              <w:t>P96</w:t>
            </w:r>
          </w:p>
        </w:tc>
        <w:tc>
          <w:tcPr>
            <w:tcW w:w="256" w:type="dxa"/>
          </w:tcPr>
          <w:p w14:paraId="13485358" w14:textId="77777777" w:rsidR="00065317" w:rsidRDefault="005C7BF7">
            <w:pPr>
              <w:pStyle w:val="Compact"/>
            </w:pPr>
            <w:r>
              <w:t>-</w:t>
            </w:r>
          </w:p>
        </w:tc>
        <w:tc>
          <w:tcPr>
            <w:tcW w:w="267" w:type="dxa"/>
          </w:tcPr>
          <w:p w14:paraId="58B21CCD" w14:textId="77777777" w:rsidR="00065317" w:rsidRDefault="005C7BF7">
            <w:pPr>
              <w:pStyle w:val="Compact"/>
            </w:pPr>
            <w:r>
              <w:t>-</w:t>
            </w:r>
          </w:p>
        </w:tc>
        <w:tc>
          <w:tcPr>
            <w:tcW w:w="3985" w:type="dxa"/>
            <w:gridSpan w:val="4"/>
          </w:tcPr>
          <w:p w14:paraId="4407C967" w14:textId="77777777" w:rsidR="00065317" w:rsidRDefault="005C7BF7">
            <w:pPr>
              <w:pStyle w:val="Compact"/>
            </w:pPr>
            <w:r>
              <w:rPr>
                <w:rStyle w:val="VerbatimChar"/>
              </w:rPr>
              <w:t>P96_de_mère (a_donné_naissance_à)</w:t>
            </w:r>
          </w:p>
        </w:tc>
        <w:tc>
          <w:tcPr>
            <w:tcW w:w="2620" w:type="dxa"/>
          </w:tcPr>
          <w:p w14:paraId="79C64197" w14:textId="77777777" w:rsidR="00065317" w:rsidRDefault="005C7BF7">
            <w:pPr>
              <w:pStyle w:val="Compact"/>
            </w:pPr>
            <w:r>
              <w:rPr>
                <w:rStyle w:val="VerbatimChar"/>
              </w:rPr>
              <w:t>E67_Naissance</w:t>
            </w:r>
          </w:p>
        </w:tc>
        <w:tc>
          <w:tcPr>
            <w:tcW w:w="2268" w:type="dxa"/>
          </w:tcPr>
          <w:p w14:paraId="45CF4181" w14:textId="77777777" w:rsidR="00065317" w:rsidRDefault="005C7BF7">
            <w:pPr>
              <w:pStyle w:val="Compact"/>
            </w:pPr>
            <w:r>
              <w:rPr>
                <w:rStyle w:val="VerbatimChar"/>
              </w:rPr>
              <w:t>E21_Personne</w:t>
            </w:r>
          </w:p>
        </w:tc>
      </w:tr>
      <w:tr w:rsidR="00065317" w14:paraId="484E0BF6" w14:textId="77777777" w:rsidTr="000041DB">
        <w:tc>
          <w:tcPr>
            <w:tcW w:w="800" w:type="dxa"/>
          </w:tcPr>
          <w:p w14:paraId="0F38407F" w14:textId="77777777" w:rsidR="00065317" w:rsidRDefault="005C7BF7">
            <w:pPr>
              <w:pStyle w:val="Compact"/>
            </w:pPr>
            <w:r>
              <w:t>P99</w:t>
            </w:r>
          </w:p>
        </w:tc>
        <w:tc>
          <w:tcPr>
            <w:tcW w:w="256" w:type="dxa"/>
          </w:tcPr>
          <w:p w14:paraId="7C0EFD1C" w14:textId="77777777" w:rsidR="00065317" w:rsidRDefault="005C7BF7">
            <w:pPr>
              <w:pStyle w:val="Compact"/>
            </w:pPr>
            <w:r>
              <w:t>-</w:t>
            </w:r>
          </w:p>
        </w:tc>
        <w:tc>
          <w:tcPr>
            <w:tcW w:w="267" w:type="dxa"/>
          </w:tcPr>
          <w:p w14:paraId="6611051E" w14:textId="77777777" w:rsidR="00065317" w:rsidRDefault="005C7BF7">
            <w:pPr>
              <w:pStyle w:val="Compact"/>
            </w:pPr>
            <w:r>
              <w:t>-</w:t>
            </w:r>
          </w:p>
        </w:tc>
        <w:tc>
          <w:tcPr>
            <w:tcW w:w="3985" w:type="dxa"/>
            <w:gridSpan w:val="4"/>
          </w:tcPr>
          <w:p w14:paraId="35FE4A1B" w14:textId="77777777" w:rsidR="00065317" w:rsidRDefault="005C7BF7">
            <w:pPr>
              <w:pStyle w:val="Compact"/>
            </w:pPr>
            <w:r>
              <w:rPr>
                <w:rStyle w:val="VerbatimChar"/>
              </w:rPr>
              <w:t>P99_a_dissous (a_été_dissous_par)</w:t>
            </w:r>
          </w:p>
        </w:tc>
        <w:tc>
          <w:tcPr>
            <w:tcW w:w="2620" w:type="dxa"/>
          </w:tcPr>
          <w:p w14:paraId="776DD176" w14:textId="77777777" w:rsidR="00065317" w:rsidRDefault="005C7BF7">
            <w:pPr>
              <w:pStyle w:val="Compact"/>
            </w:pPr>
            <w:r>
              <w:rPr>
                <w:rStyle w:val="VerbatimChar"/>
              </w:rPr>
              <w:t>E68_Dissolution</w:t>
            </w:r>
          </w:p>
        </w:tc>
        <w:tc>
          <w:tcPr>
            <w:tcW w:w="2268" w:type="dxa"/>
          </w:tcPr>
          <w:p w14:paraId="4B098C09" w14:textId="77777777" w:rsidR="00065317" w:rsidRDefault="005C7BF7">
            <w:pPr>
              <w:pStyle w:val="Compact"/>
            </w:pPr>
            <w:r>
              <w:rPr>
                <w:rStyle w:val="VerbatimChar"/>
              </w:rPr>
              <w:t>E74_Groupe</w:t>
            </w:r>
          </w:p>
        </w:tc>
      </w:tr>
      <w:tr w:rsidR="00065317" w14:paraId="10A24166" w14:textId="77777777" w:rsidTr="000041DB">
        <w:tc>
          <w:tcPr>
            <w:tcW w:w="800" w:type="dxa"/>
          </w:tcPr>
          <w:p w14:paraId="752DBC46" w14:textId="77777777" w:rsidR="00065317" w:rsidRDefault="005C7BF7">
            <w:pPr>
              <w:pStyle w:val="Compact"/>
            </w:pPr>
            <w:r>
              <w:lastRenderedPageBreak/>
              <w:t>P143</w:t>
            </w:r>
          </w:p>
        </w:tc>
        <w:tc>
          <w:tcPr>
            <w:tcW w:w="256" w:type="dxa"/>
          </w:tcPr>
          <w:p w14:paraId="769CB673" w14:textId="77777777" w:rsidR="00065317" w:rsidRDefault="005C7BF7">
            <w:pPr>
              <w:pStyle w:val="Compact"/>
            </w:pPr>
            <w:r>
              <w:t>-</w:t>
            </w:r>
          </w:p>
        </w:tc>
        <w:tc>
          <w:tcPr>
            <w:tcW w:w="267" w:type="dxa"/>
          </w:tcPr>
          <w:p w14:paraId="75103EB4" w14:textId="77777777" w:rsidR="00065317" w:rsidRDefault="005C7BF7">
            <w:pPr>
              <w:pStyle w:val="Compact"/>
            </w:pPr>
            <w:r>
              <w:t>-</w:t>
            </w:r>
          </w:p>
        </w:tc>
        <w:tc>
          <w:tcPr>
            <w:tcW w:w="3985" w:type="dxa"/>
            <w:gridSpan w:val="4"/>
          </w:tcPr>
          <w:p w14:paraId="0B427302" w14:textId="77777777" w:rsidR="00065317" w:rsidRDefault="005C7BF7">
            <w:pPr>
              <w:pStyle w:val="Compact"/>
            </w:pPr>
            <w:r>
              <w:rPr>
                <w:rStyle w:val="VerbatimChar"/>
              </w:rPr>
              <w:t>P143_a_fait_adhérer (a_adhéré_par)</w:t>
            </w:r>
          </w:p>
        </w:tc>
        <w:tc>
          <w:tcPr>
            <w:tcW w:w="2620" w:type="dxa"/>
          </w:tcPr>
          <w:p w14:paraId="0F42D1B2" w14:textId="77777777" w:rsidR="00065317" w:rsidRDefault="005C7BF7">
            <w:pPr>
              <w:pStyle w:val="Compact"/>
            </w:pPr>
            <w:r>
              <w:rPr>
                <w:rStyle w:val="VerbatimChar"/>
              </w:rPr>
              <w:t>E85_Adhésion</w:t>
            </w:r>
          </w:p>
        </w:tc>
        <w:tc>
          <w:tcPr>
            <w:tcW w:w="2268" w:type="dxa"/>
          </w:tcPr>
          <w:p w14:paraId="11735576" w14:textId="77777777" w:rsidR="00065317" w:rsidRDefault="005C7BF7">
            <w:pPr>
              <w:pStyle w:val="Compact"/>
            </w:pPr>
            <w:r>
              <w:rPr>
                <w:rStyle w:val="VerbatimChar"/>
              </w:rPr>
              <w:t>E39_Actant</w:t>
            </w:r>
          </w:p>
        </w:tc>
      </w:tr>
      <w:tr w:rsidR="00065317" w14:paraId="7508EC07" w14:textId="77777777" w:rsidTr="000041DB">
        <w:tc>
          <w:tcPr>
            <w:tcW w:w="800" w:type="dxa"/>
          </w:tcPr>
          <w:p w14:paraId="3BB39C01" w14:textId="77777777" w:rsidR="00065317" w:rsidRDefault="005C7BF7">
            <w:pPr>
              <w:pStyle w:val="Compact"/>
            </w:pPr>
            <w:r>
              <w:t>P144</w:t>
            </w:r>
          </w:p>
        </w:tc>
        <w:tc>
          <w:tcPr>
            <w:tcW w:w="256" w:type="dxa"/>
          </w:tcPr>
          <w:p w14:paraId="7474A3CF" w14:textId="77777777" w:rsidR="00065317" w:rsidRDefault="005C7BF7">
            <w:pPr>
              <w:pStyle w:val="Compact"/>
            </w:pPr>
            <w:r>
              <w:t>-</w:t>
            </w:r>
          </w:p>
        </w:tc>
        <w:tc>
          <w:tcPr>
            <w:tcW w:w="267" w:type="dxa"/>
          </w:tcPr>
          <w:p w14:paraId="39BD270C" w14:textId="77777777" w:rsidR="00065317" w:rsidRDefault="005C7BF7">
            <w:pPr>
              <w:pStyle w:val="Compact"/>
            </w:pPr>
            <w:r>
              <w:t>-</w:t>
            </w:r>
          </w:p>
        </w:tc>
        <w:tc>
          <w:tcPr>
            <w:tcW w:w="3985" w:type="dxa"/>
            <w:gridSpan w:val="4"/>
          </w:tcPr>
          <w:p w14:paraId="288FD219" w14:textId="77777777" w:rsidR="00065317" w:rsidRDefault="005C7BF7">
            <w:pPr>
              <w:pStyle w:val="Compact"/>
            </w:pPr>
            <w:r>
              <w:rPr>
                <w:rStyle w:val="VerbatimChar"/>
              </w:rPr>
              <w:t>P144_a_fait_adhérer_à (a_accueilli_le_membre_par)</w:t>
            </w:r>
          </w:p>
        </w:tc>
        <w:tc>
          <w:tcPr>
            <w:tcW w:w="2620" w:type="dxa"/>
          </w:tcPr>
          <w:p w14:paraId="307BE1A6" w14:textId="77777777" w:rsidR="00065317" w:rsidRDefault="005C7BF7">
            <w:pPr>
              <w:pStyle w:val="Compact"/>
            </w:pPr>
            <w:r>
              <w:rPr>
                <w:rStyle w:val="VerbatimChar"/>
              </w:rPr>
              <w:t>E85_Adhésion</w:t>
            </w:r>
          </w:p>
        </w:tc>
        <w:tc>
          <w:tcPr>
            <w:tcW w:w="2268" w:type="dxa"/>
          </w:tcPr>
          <w:p w14:paraId="1B8C6B9B" w14:textId="77777777" w:rsidR="00065317" w:rsidRDefault="005C7BF7">
            <w:pPr>
              <w:pStyle w:val="Compact"/>
            </w:pPr>
            <w:r>
              <w:rPr>
                <w:rStyle w:val="VerbatimChar"/>
              </w:rPr>
              <w:t>E74_Groupe</w:t>
            </w:r>
          </w:p>
        </w:tc>
      </w:tr>
      <w:tr w:rsidR="00065317" w14:paraId="53EAC81A" w14:textId="77777777" w:rsidTr="000041DB">
        <w:tc>
          <w:tcPr>
            <w:tcW w:w="800" w:type="dxa"/>
          </w:tcPr>
          <w:p w14:paraId="7253B6C2" w14:textId="77777777" w:rsidR="00065317" w:rsidRDefault="005C7BF7">
            <w:pPr>
              <w:pStyle w:val="Compact"/>
            </w:pPr>
            <w:r>
              <w:t>P145</w:t>
            </w:r>
          </w:p>
        </w:tc>
        <w:tc>
          <w:tcPr>
            <w:tcW w:w="256" w:type="dxa"/>
          </w:tcPr>
          <w:p w14:paraId="1097382D" w14:textId="77777777" w:rsidR="00065317" w:rsidRDefault="005C7BF7">
            <w:pPr>
              <w:pStyle w:val="Compact"/>
            </w:pPr>
            <w:r>
              <w:t>-</w:t>
            </w:r>
          </w:p>
        </w:tc>
        <w:tc>
          <w:tcPr>
            <w:tcW w:w="267" w:type="dxa"/>
          </w:tcPr>
          <w:p w14:paraId="1452C807" w14:textId="77777777" w:rsidR="00065317" w:rsidRDefault="005C7BF7">
            <w:pPr>
              <w:pStyle w:val="Compact"/>
            </w:pPr>
            <w:r>
              <w:t>-</w:t>
            </w:r>
          </w:p>
        </w:tc>
        <w:tc>
          <w:tcPr>
            <w:tcW w:w="3985" w:type="dxa"/>
            <w:gridSpan w:val="4"/>
          </w:tcPr>
          <w:p w14:paraId="46D0786E" w14:textId="77777777" w:rsidR="00065317" w:rsidRDefault="005C7BF7">
            <w:pPr>
              <w:pStyle w:val="Compact"/>
            </w:pPr>
            <w:r>
              <w:rPr>
                <w:rStyle w:val="VerbatimChar"/>
              </w:rPr>
              <w:t>P145_a_dissocié (est_dissocié_par)</w:t>
            </w:r>
          </w:p>
        </w:tc>
        <w:tc>
          <w:tcPr>
            <w:tcW w:w="2620" w:type="dxa"/>
          </w:tcPr>
          <w:p w14:paraId="46A8DD2A" w14:textId="77777777" w:rsidR="00065317" w:rsidRDefault="005C7BF7">
            <w:pPr>
              <w:pStyle w:val="Compact"/>
            </w:pPr>
            <w:r>
              <w:rPr>
                <w:rStyle w:val="VerbatimChar"/>
              </w:rPr>
              <w:t>E86_Départ</w:t>
            </w:r>
          </w:p>
        </w:tc>
        <w:tc>
          <w:tcPr>
            <w:tcW w:w="2268" w:type="dxa"/>
          </w:tcPr>
          <w:p w14:paraId="57397FDB" w14:textId="77777777" w:rsidR="00065317" w:rsidRDefault="005C7BF7">
            <w:pPr>
              <w:pStyle w:val="Compact"/>
            </w:pPr>
            <w:r>
              <w:rPr>
                <w:rStyle w:val="VerbatimChar"/>
              </w:rPr>
              <w:t>E39_Actant</w:t>
            </w:r>
          </w:p>
        </w:tc>
      </w:tr>
      <w:tr w:rsidR="00065317" w14:paraId="20638F79" w14:textId="77777777" w:rsidTr="000041DB">
        <w:tc>
          <w:tcPr>
            <w:tcW w:w="800" w:type="dxa"/>
          </w:tcPr>
          <w:p w14:paraId="710B7B96" w14:textId="77777777" w:rsidR="00065317" w:rsidRDefault="005C7BF7">
            <w:pPr>
              <w:pStyle w:val="Compact"/>
            </w:pPr>
            <w:r>
              <w:t>P146</w:t>
            </w:r>
          </w:p>
        </w:tc>
        <w:tc>
          <w:tcPr>
            <w:tcW w:w="256" w:type="dxa"/>
          </w:tcPr>
          <w:p w14:paraId="60912A24" w14:textId="77777777" w:rsidR="00065317" w:rsidRDefault="005C7BF7">
            <w:pPr>
              <w:pStyle w:val="Compact"/>
            </w:pPr>
            <w:r>
              <w:t>-</w:t>
            </w:r>
          </w:p>
        </w:tc>
        <w:tc>
          <w:tcPr>
            <w:tcW w:w="267" w:type="dxa"/>
          </w:tcPr>
          <w:p w14:paraId="3C0AA2A3" w14:textId="77777777" w:rsidR="00065317" w:rsidRDefault="005C7BF7">
            <w:pPr>
              <w:pStyle w:val="Compact"/>
            </w:pPr>
            <w:r>
              <w:t>-</w:t>
            </w:r>
          </w:p>
        </w:tc>
        <w:tc>
          <w:tcPr>
            <w:tcW w:w="3985" w:type="dxa"/>
            <w:gridSpan w:val="4"/>
          </w:tcPr>
          <w:p w14:paraId="7F0E0ED8" w14:textId="77777777" w:rsidR="00065317" w:rsidRDefault="005C7BF7">
            <w:pPr>
              <w:pStyle w:val="Compact"/>
            </w:pPr>
            <w:r>
              <w:rPr>
                <w:rStyle w:val="VerbatimChar"/>
              </w:rPr>
              <w:t>P146_a_dissocié_de (a_perdu_le_membre_par)</w:t>
            </w:r>
          </w:p>
        </w:tc>
        <w:tc>
          <w:tcPr>
            <w:tcW w:w="2620" w:type="dxa"/>
          </w:tcPr>
          <w:p w14:paraId="595C672F" w14:textId="77777777" w:rsidR="00065317" w:rsidRDefault="005C7BF7">
            <w:pPr>
              <w:pStyle w:val="Compact"/>
            </w:pPr>
            <w:r>
              <w:rPr>
                <w:rStyle w:val="VerbatimChar"/>
              </w:rPr>
              <w:t>E86_Départ</w:t>
            </w:r>
          </w:p>
        </w:tc>
        <w:tc>
          <w:tcPr>
            <w:tcW w:w="2268" w:type="dxa"/>
          </w:tcPr>
          <w:p w14:paraId="48EF5382" w14:textId="77777777" w:rsidR="00065317" w:rsidRDefault="005C7BF7">
            <w:pPr>
              <w:pStyle w:val="Compact"/>
            </w:pPr>
            <w:r>
              <w:rPr>
                <w:rStyle w:val="VerbatimChar"/>
              </w:rPr>
              <w:t>E74_Groupe</w:t>
            </w:r>
          </w:p>
        </w:tc>
      </w:tr>
      <w:tr w:rsidR="00065317" w14:paraId="67C16CC1" w14:textId="77777777" w:rsidTr="000041DB">
        <w:tc>
          <w:tcPr>
            <w:tcW w:w="800" w:type="dxa"/>
          </w:tcPr>
          <w:p w14:paraId="2683E85B" w14:textId="77777777" w:rsidR="00065317" w:rsidRDefault="005C7BF7">
            <w:pPr>
              <w:pStyle w:val="Compact"/>
            </w:pPr>
            <w:r>
              <w:t>P151</w:t>
            </w:r>
          </w:p>
        </w:tc>
        <w:tc>
          <w:tcPr>
            <w:tcW w:w="256" w:type="dxa"/>
          </w:tcPr>
          <w:p w14:paraId="2D75A4E8" w14:textId="77777777" w:rsidR="00065317" w:rsidRDefault="005C7BF7">
            <w:pPr>
              <w:pStyle w:val="Compact"/>
            </w:pPr>
            <w:r>
              <w:t>-</w:t>
            </w:r>
          </w:p>
        </w:tc>
        <w:tc>
          <w:tcPr>
            <w:tcW w:w="267" w:type="dxa"/>
          </w:tcPr>
          <w:p w14:paraId="15441474" w14:textId="77777777" w:rsidR="00065317" w:rsidRDefault="005C7BF7">
            <w:pPr>
              <w:pStyle w:val="Compact"/>
            </w:pPr>
            <w:r>
              <w:t>-</w:t>
            </w:r>
          </w:p>
        </w:tc>
        <w:tc>
          <w:tcPr>
            <w:tcW w:w="3985" w:type="dxa"/>
            <w:gridSpan w:val="4"/>
          </w:tcPr>
          <w:p w14:paraId="6FD15425" w14:textId="77777777" w:rsidR="00065317" w:rsidRDefault="005C7BF7">
            <w:pPr>
              <w:pStyle w:val="Compact"/>
            </w:pPr>
            <w:r>
              <w:rPr>
                <w:rStyle w:val="VerbatimChar"/>
              </w:rPr>
              <w:t>P151_a_été_formé_à_partir_de (a_participé_à)</w:t>
            </w:r>
          </w:p>
        </w:tc>
        <w:tc>
          <w:tcPr>
            <w:tcW w:w="2620" w:type="dxa"/>
          </w:tcPr>
          <w:p w14:paraId="4C95FD83" w14:textId="77777777" w:rsidR="00065317" w:rsidRDefault="005C7BF7">
            <w:pPr>
              <w:pStyle w:val="Compact"/>
            </w:pPr>
            <w:r>
              <w:rPr>
                <w:rStyle w:val="VerbatimChar"/>
              </w:rPr>
              <w:t>E66_Formation</w:t>
            </w:r>
          </w:p>
        </w:tc>
        <w:tc>
          <w:tcPr>
            <w:tcW w:w="2268" w:type="dxa"/>
          </w:tcPr>
          <w:p w14:paraId="312B5DFC" w14:textId="77777777" w:rsidR="00065317" w:rsidRDefault="005C7BF7">
            <w:pPr>
              <w:pStyle w:val="Compact"/>
            </w:pPr>
            <w:r>
              <w:rPr>
                <w:rStyle w:val="VerbatimChar"/>
              </w:rPr>
              <w:t>E74_Groupe</w:t>
            </w:r>
          </w:p>
        </w:tc>
      </w:tr>
      <w:tr w:rsidR="00065317" w14:paraId="14E1D03A" w14:textId="77777777" w:rsidTr="000041DB">
        <w:tc>
          <w:tcPr>
            <w:tcW w:w="800" w:type="dxa"/>
          </w:tcPr>
          <w:p w14:paraId="02760AA6" w14:textId="77777777" w:rsidR="00065317" w:rsidRDefault="005C7BF7">
            <w:pPr>
              <w:pStyle w:val="Compact"/>
            </w:pPr>
            <w:r>
              <w:t>P16</w:t>
            </w:r>
          </w:p>
        </w:tc>
        <w:tc>
          <w:tcPr>
            <w:tcW w:w="256" w:type="dxa"/>
          </w:tcPr>
          <w:p w14:paraId="05833051" w14:textId="77777777" w:rsidR="00065317" w:rsidRDefault="005C7BF7">
            <w:pPr>
              <w:pStyle w:val="Compact"/>
            </w:pPr>
            <w:r>
              <w:t>-</w:t>
            </w:r>
          </w:p>
        </w:tc>
        <w:tc>
          <w:tcPr>
            <w:tcW w:w="4252" w:type="dxa"/>
            <w:gridSpan w:val="5"/>
          </w:tcPr>
          <w:p w14:paraId="14E134C6" w14:textId="46D05E51" w:rsidR="00065317" w:rsidRDefault="005C7BF7">
            <w:pPr>
              <w:pStyle w:val="Compact"/>
            </w:pPr>
            <w:r>
              <w:rPr>
                <w:rStyle w:val="VerbatimChar"/>
              </w:rPr>
              <w:t>P16_a_mobilisé_l</w:t>
            </w:r>
            <w:r w:rsidR="00E84B0E">
              <w:rPr>
                <w:rStyle w:val="VerbatimChar"/>
              </w:rPr>
              <w:t>’</w:t>
            </w:r>
            <w:r>
              <w:rPr>
                <w:rStyle w:val="VerbatimChar"/>
              </w:rPr>
              <w:t>objet_spécifique (a_été_mobilisé_pour)</w:t>
            </w:r>
          </w:p>
        </w:tc>
        <w:tc>
          <w:tcPr>
            <w:tcW w:w="2620" w:type="dxa"/>
          </w:tcPr>
          <w:p w14:paraId="1EB253E2" w14:textId="77777777" w:rsidR="00065317" w:rsidRDefault="005C7BF7">
            <w:pPr>
              <w:pStyle w:val="Compact"/>
            </w:pPr>
            <w:r>
              <w:rPr>
                <w:rStyle w:val="VerbatimChar"/>
              </w:rPr>
              <w:t>E7_Activité</w:t>
            </w:r>
          </w:p>
        </w:tc>
        <w:tc>
          <w:tcPr>
            <w:tcW w:w="2268" w:type="dxa"/>
          </w:tcPr>
          <w:p w14:paraId="3A48C607" w14:textId="77777777" w:rsidR="00065317" w:rsidRDefault="005C7BF7">
            <w:pPr>
              <w:pStyle w:val="Compact"/>
            </w:pPr>
            <w:r>
              <w:rPr>
                <w:rStyle w:val="VerbatimChar"/>
              </w:rPr>
              <w:t>E70_Chose</w:t>
            </w:r>
          </w:p>
        </w:tc>
      </w:tr>
      <w:tr w:rsidR="00065317" w14:paraId="67291A8A" w14:textId="77777777" w:rsidTr="000041DB">
        <w:tc>
          <w:tcPr>
            <w:tcW w:w="800" w:type="dxa"/>
          </w:tcPr>
          <w:p w14:paraId="35FDFC6A" w14:textId="77777777" w:rsidR="00065317" w:rsidRDefault="005C7BF7">
            <w:pPr>
              <w:pStyle w:val="Compact"/>
            </w:pPr>
            <w:r>
              <w:t>P33</w:t>
            </w:r>
          </w:p>
        </w:tc>
        <w:tc>
          <w:tcPr>
            <w:tcW w:w="256" w:type="dxa"/>
          </w:tcPr>
          <w:p w14:paraId="6BC942F3" w14:textId="77777777" w:rsidR="00065317" w:rsidRDefault="005C7BF7">
            <w:pPr>
              <w:pStyle w:val="Compact"/>
            </w:pPr>
            <w:r>
              <w:t>-</w:t>
            </w:r>
          </w:p>
        </w:tc>
        <w:tc>
          <w:tcPr>
            <w:tcW w:w="267" w:type="dxa"/>
          </w:tcPr>
          <w:p w14:paraId="231A5951" w14:textId="77777777" w:rsidR="00065317" w:rsidRDefault="005C7BF7">
            <w:pPr>
              <w:pStyle w:val="Compact"/>
            </w:pPr>
            <w:r>
              <w:t>-</w:t>
            </w:r>
          </w:p>
        </w:tc>
        <w:tc>
          <w:tcPr>
            <w:tcW w:w="3985" w:type="dxa"/>
            <w:gridSpan w:val="4"/>
          </w:tcPr>
          <w:p w14:paraId="44E147C6" w14:textId="77777777" w:rsidR="00065317" w:rsidRDefault="005C7BF7">
            <w:pPr>
              <w:pStyle w:val="Compact"/>
            </w:pPr>
            <w:r>
              <w:rPr>
                <w:rStyle w:val="VerbatimChar"/>
              </w:rPr>
              <w:t>P33_a_mobilisé_comme_technique_spécifique (a_été_la_technique_spécifique_mise_en_œuvre_dans)</w:t>
            </w:r>
          </w:p>
        </w:tc>
        <w:tc>
          <w:tcPr>
            <w:tcW w:w="2620" w:type="dxa"/>
          </w:tcPr>
          <w:p w14:paraId="118B5E7C" w14:textId="77777777" w:rsidR="00065317" w:rsidRDefault="005C7BF7">
            <w:pPr>
              <w:pStyle w:val="Compact"/>
            </w:pPr>
            <w:r>
              <w:rPr>
                <w:rStyle w:val="VerbatimChar"/>
              </w:rPr>
              <w:t>E7_Activité</w:t>
            </w:r>
          </w:p>
        </w:tc>
        <w:tc>
          <w:tcPr>
            <w:tcW w:w="2268" w:type="dxa"/>
          </w:tcPr>
          <w:p w14:paraId="2AB46F93" w14:textId="77777777" w:rsidR="00065317" w:rsidRDefault="005C7BF7">
            <w:pPr>
              <w:pStyle w:val="Compact"/>
            </w:pPr>
            <w:r>
              <w:rPr>
                <w:rStyle w:val="VerbatimChar"/>
              </w:rPr>
              <w:t>E29_Conceptualisation_ou_procédure</w:t>
            </w:r>
          </w:p>
        </w:tc>
      </w:tr>
      <w:tr w:rsidR="00065317" w14:paraId="026FFEE0" w14:textId="77777777" w:rsidTr="000041DB">
        <w:tc>
          <w:tcPr>
            <w:tcW w:w="800" w:type="dxa"/>
          </w:tcPr>
          <w:p w14:paraId="2EEC0C8E" w14:textId="77777777" w:rsidR="00065317" w:rsidRDefault="005C7BF7">
            <w:pPr>
              <w:pStyle w:val="Compact"/>
            </w:pPr>
            <w:r>
              <w:t>P111</w:t>
            </w:r>
          </w:p>
        </w:tc>
        <w:tc>
          <w:tcPr>
            <w:tcW w:w="256" w:type="dxa"/>
          </w:tcPr>
          <w:p w14:paraId="30AA770F" w14:textId="77777777" w:rsidR="00065317" w:rsidRDefault="005C7BF7">
            <w:pPr>
              <w:pStyle w:val="Compact"/>
            </w:pPr>
            <w:r>
              <w:t>-</w:t>
            </w:r>
          </w:p>
        </w:tc>
        <w:tc>
          <w:tcPr>
            <w:tcW w:w="267" w:type="dxa"/>
          </w:tcPr>
          <w:p w14:paraId="16A63B44" w14:textId="77777777" w:rsidR="00065317" w:rsidRDefault="005C7BF7">
            <w:pPr>
              <w:pStyle w:val="Compact"/>
            </w:pPr>
            <w:r>
              <w:t>-</w:t>
            </w:r>
          </w:p>
        </w:tc>
        <w:tc>
          <w:tcPr>
            <w:tcW w:w="3985" w:type="dxa"/>
            <w:gridSpan w:val="4"/>
          </w:tcPr>
          <w:p w14:paraId="023C57C1" w14:textId="77777777" w:rsidR="00065317" w:rsidRDefault="005C7BF7">
            <w:pPr>
              <w:pStyle w:val="Compact"/>
            </w:pPr>
            <w:r>
              <w:rPr>
                <w:rStyle w:val="VerbatimChar"/>
              </w:rPr>
              <w:t>P111_a_ajouté (a_été_ajouté_par)</w:t>
            </w:r>
          </w:p>
        </w:tc>
        <w:tc>
          <w:tcPr>
            <w:tcW w:w="2620" w:type="dxa"/>
          </w:tcPr>
          <w:p w14:paraId="5FFF357E" w14:textId="38C1847F" w:rsidR="00065317" w:rsidRDefault="005C7BF7">
            <w:pPr>
              <w:pStyle w:val="Compact"/>
            </w:pPr>
            <w:r>
              <w:rPr>
                <w:rStyle w:val="VerbatimChar"/>
              </w:rPr>
              <w:t>E79_Ajout_d</w:t>
            </w:r>
            <w:r w:rsidR="00E84B0E">
              <w:rPr>
                <w:rStyle w:val="VerbatimChar"/>
              </w:rPr>
              <w:t>’</w:t>
            </w:r>
            <w:r>
              <w:rPr>
                <w:rStyle w:val="VerbatimChar"/>
              </w:rPr>
              <w:t>élément</w:t>
            </w:r>
          </w:p>
        </w:tc>
        <w:tc>
          <w:tcPr>
            <w:tcW w:w="2268" w:type="dxa"/>
          </w:tcPr>
          <w:p w14:paraId="5CB40D53" w14:textId="77777777" w:rsidR="00065317" w:rsidRDefault="005C7BF7">
            <w:pPr>
              <w:pStyle w:val="Compact"/>
            </w:pPr>
            <w:r>
              <w:rPr>
                <w:rStyle w:val="VerbatimChar"/>
              </w:rPr>
              <w:t>E18_Chose_matérielle</w:t>
            </w:r>
          </w:p>
        </w:tc>
      </w:tr>
      <w:tr w:rsidR="00065317" w14:paraId="1D96AD7F" w14:textId="77777777" w:rsidTr="000041DB">
        <w:tc>
          <w:tcPr>
            <w:tcW w:w="800" w:type="dxa"/>
          </w:tcPr>
          <w:p w14:paraId="1D918310" w14:textId="77777777" w:rsidR="00065317" w:rsidRDefault="005C7BF7">
            <w:pPr>
              <w:pStyle w:val="Compact"/>
            </w:pPr>
            <w:r>
              <w:t>P142</w:t>
            </w:r>
          </w:p>
        </w:tc>
        <w:tc>
          <w:tcPr>
            <w:tcW w:w="256" w:type="dxa"/>
          </w:tcPr>
          <w:p w14:paraId="725DAC51" w14:textId="77777777" w:rsidR="00065317" w:rsidRDefault="005C7BF7">
            <w:pPr>
              <w:pStyle w:val="Compact"/>
            </w:pPr>
            <w:r>
              <w:t>-</w:t>
            </w:r>
          </w:p>
        </w:tc>
        <w:tc>
          <w:tcPr>
            <w:tcW w:w="267" w:type="dxa"/>
          </w:tcPr>
          <w:p w14:paraId="0EA8966A" w14:textId="77777777" w:rsidR="00065317" w:rsidRDefault="005C7BF7">
            <w:pPr>
              <w:pStyle w:val="Compact"/>
            </w:pPr>
            <w:r>
              <w:t>-</w:t>
            </w:r>
          </w:p>
        </w:tc>
        <w:tc>
          <w:tcPr>
            <w:tcW w:w="3985" w:type="dxa"/>
            <w:gridSpan w:val="4"/>
          </w:tcPr>
          <w:p w14:paraId="749F2510" w14:textId="77777777" w:rsidR="00065317" w:rsidRDefault="005C7BF7">
            <w:pPr>
              <w:pStyle w:val="Compact"/>
            </w:pPr>
            <w:r>
              <w:rPr>
                <w:rStyle w:val="VerbatimChar"/>
              </w:rPr>
              <w:t>P142_a_mobilisé_comme_élément (a_été_mobilisé_dans)</w:t>
            </w:r>
          </w:p>
        </w:tc>
        <w:tc>
          <w:tcPr>
            <w:tcW w:w="2620" w:type="dxa"/>
          </w:tcPr>
          <w:p w14:paraId="185DDEBC" w14:textId="1CDF1A7E" w:rsidR="00065317" w:rsidRDefault="005C7BF7">
            <w:pPr>
              <w:pStyle w:val="Compact"/>
            </w:pPr>
            <w:r>
              <w:rPr>
                <w:rStyle w:val="VerbatimChar"/>
              </w:rPr>
              <w:t>E15_Assignation_d</w:t>
            </w:r>
            <w:r w:rsidR="00E84B0E">
              <w:rPr>
                <w:rStyle w:val="VerbatimChar"/>
              </w:rPr>
              <w:t>’</w:t>
            </w:r>
            <w:r>
              <w:rPr>
                <w:rStyle w:val="VerbatimChar"/>
              </w:rPr>
              <w:t>identifiant</w:t>
            </w:r>
          </w:p>
        </w:tc>
        <w:tc>
          <w:tcPr>
            <w:tcW w:w="2268" w:type="dxa"/>
          </w:tcPr>
          <w:p w14:paraId="643698F4" w14:textId="77777777" w:rsidR="00065317" w:rsidRDefault="005C7BF7">
            <w:pPr>
              <w:pStyle w:val="Compact"/>
            </w:pPr>
            <w:r>
              <w:rPr>
                <w:rStyle w:val="VerbatimChar"/>
              </w:rPr>
              <w:t>E90_Objet_symbolique</w:t>
            </w:r>
          </w:p>
        </w:tc>
      </w:tr>
      <w:tr w:rsidR="00065317" w14:paraId="0E5E2CF7" w14:textId="77777777" w:rsidTr="000041DB">
        <w:tc>
          <w:tcPr>
            <w:tcW w:w="800" w:type="dxa"/>
          </w:tcPr>
          <w:p w14:paraId="388AA758" w14:textId="77777777" w:rsidR="00065317" w:rsidRDefault="005C7BF7">
            <w:pPr>
              <w:pStyle w:val="Compact"/>
            </w:pPr>
            <w:r>
              <w:t>P25</w:t>
            </w:r>
          </w:p>
        </w:tc>
        <w:tc>
          <w:tcPr>
            <w:tcW w:w="256" w:type="dxa"/>
          </w:tcPr>
          <w:p w14:paraId="3A42BC60" w14:textId="77777777" w:rsidR="00065317" w:rsidRDefault="005C7BF7">
            <w:pPr>
              <w:pStyle w:val="Compact"/>
            </w:pPr>
            <w:r>
              <w:t>-</w:t>
            </w:r>
          </w:p>
        </w:tc>
        <w:tc>
          <w:tcPr>
            <w:tcW w:w="4252" w:type="dxa"/>
            <w:gridSpan w:val="5"/>
          </w:tcPr>
          <w:p w14:paraId="2D418DD0" w14:textId="77777777" w:rsidR="00065317" w:rsidRDefault="005C7BF7">
            <w:pPr>
              <w:pStyle w:val="Compact"/>
            </w:pPr>
            <w:r>
              <w:rPr>
                <w:rStyle w:val="VerbatimChar"/>
              </w:rPr>
              <w:t>P25_a_déplacé (a_été_déplacé_par)</w:t>
            </w:r>
          </w:p>
        </w:tc>
        <w:tc>
          <w:tcPr>
            <w:tcW w:w="2620" w:type="dxa"/>
          </w:tcPr>
          <w:p w14:paraId="46EA1D5C" w14:textId="77777777" w:rsidR="00065317" w:rsidRDefault="005C7BF7">
            <w:pPr>
              <w:pStyle w:val="Compact"/>
            </w:pPr>
            <w:r>
              <w:rPr>
                <w:rStyle w:val="VerbatimChar"/>
              </w:rPr>
              <w:t>E9_Déplacement</w:t>
            </w:r>
          </w:p>
        </w:tc>
        <w:tc>
          <w:tcPr>
            <w:tcW w:w="2268" w:type="dxa"/>
          </w:tcPr>
          <w:p w14:paraId="1E752020" w14:textId="77777777" w:rsidR="00065317" w:rsidRDefault="005C7BF7">
            <w:pPr>
              <w:pStyle w:val="Compact"/>
            </w:pPr>
            <w:r>
              <w:rPr>
                <w:rStyle w:val="VerbatimChar"/>
              </w:rPr>
              <w:t>E19_Objet_matériel</w:t>
            </w:r>
          </w:p>
        </w:tc>
      </w:tr>
      <w:tr w:rsidR="00065317" w14:paraId="623C86A8" w14:textId="77777777" w:rsidTr="000041DB">
        <w:tc>
          <w:tcPr>
            <w:tcW w:w="800" w:type="dxa"/>
          </w:tcPr>
          <w:p w14:paraId="4DEFC231" w14:textId="77777777" w:rsidR="00065317" w:rsidRDefault="005C7BF7">
            <w:pPr>
              <w:pStyle w:val="Compact"/>
            </w:pPr>
            <w:r>
              <w:t>P31</w:t>
            </w:r>
          </w:p>
        </w:tc>
        <w:tc>
          <w:tcPr>
            <w:tcW w:w="256" w:type="dxa"/>
          </w:tcPr>
          <w:p w14:paraId="01F9B011" w14:textId="77777777" w:rsidR="00065317" w:rsidRDefault="005C7BF7">
            <w:pPr>
              <w:pStyle w:val="Compact"/>
            </w:pPr>
            <w:r>
              <w:t>-</w:t>
            </w:r>
          </w:p>
        </w:tc>
        <w:tc>
          <w:tcPr>
            <w:tcW w:w="4252" w:type="dxa"/>
            <w:gridSpan w:val="5"/>
          </w:tcPr>
          <w:p w14:paraId="62E41C9E" w14:textId="77777777" w:rsidR="00065317" w:rsidRDefault="005C7BF7">
            <w:pPr>
              <w:pStyle w:val="Compact"/>
            </w:pPr>
            <w:r>
              <w:rPr>
                <w:rStyle w:val="VerbatimChar"/>
              </w:rPr>
              <w:t>P31_a_modifié (a_été_modifié_par)</w:t>
            </w:r>
          </w:p>
        </w:tc>
        <w:tc>
          <w:tcPr>
            <w:tcW w:w="2620" w:type="dxa"/>
          </w:tcPr>
          <w:p w14:paraId="642ACC30" w14:textId="77777777" w:rsidR="00065317" w:rsidRDefault="005C7BF7">
            <w:pPr>
              <w:pStyle w:val="Compact"/>
            </w:pPr>
            <w:r>
              <w:rPr>
                <w:rStyle w:val="VerbatimChar"/>
              </w:rPr>
              <w:t>E11_Modification</w:t>
            </w:r>
          </w:p>
        </w:tc>
        <w:tc>
          <w:tcPr>
            <w:tcW w:w="2268" w:type="dxa"/>
          </w:tcPr>
          <w:p w14:paraId="58E848C5" w14:textId="77777777" w:rsidR="00065317" w:rsidRDefault="005C7BF7">
            <w:pPr>
              <w:pStyle w:val="Compact"/>
            </w:pPr>
            <w:r>
              <w:rPr>
                <w:rStyle w:val="VerbatimChar"/>
              </w:rPr>
              <w:t>E18_Chose_matérielle</w:t>
            </w:r>
          </w:p>
        </w:tc>
      </w:tr>
      <w:tr w:rsidR="00065317" w14:paraId="04139FB6" w14:textId="77777777" w:rsidTr="000041DB">
        <w:tc>
          <w:tcPr>
            <w:tcW w:w="800" w:type="dxa"/>
          </w:tcPr>
          <w:p w14:paraId="4706B3BF" w14:textId="77777777" w:rsidR="00065317" w:rsidRDefault="005C7BF7">
            <w:pPr>
              <w:pStyle w:val="Compact"/>
            </w:pPr>
            <w:r>
              <w:t>P108</w:t>
            </w:r>
          </w:p>
        </w:tc>
        <w:tc>
          <w:tcPr>
            <w:tcW w:w="256" w:type="dxa"/>
          </w:tcPr>
          <w:p w14:paraId="672A829F" w14:textId="77777777" w:rsidR="00065317" w:rsidRDefault="005C7BF7">
            <w:pPr>
              <w:pStyle w:val="Compact"/>
            </w:pPr>
            <w:r>
              <w:t>-</w:t>
            </w:r>
          </w:p>
        </w:tc>
        <w:tc>
          <w:tcPr>
            <w:tcW w:w="267" w:type="dxa"/>
          </w:tcPr>
          <w:p w14:paraId="64E1FE9A" w14:textId="77777777" w:rsidR="00065317" w:rsidRDefault="005C7BF7">
            <w:pPr>
              <w:pStyle w:val="Compact"/>
            </w:pPr>
            <w:r>
              <w:t>-</w:t>
            </w:r>
          </w:p>
        </w:tc>
        <w:tc>
          <w:tcPr>
            <w:tcW w:w="3985" w:type="dxa"/>
            <w:gridSpan w:val="4"/>
          </w:tcPr>
          <w:p w14:paraId="4CF148EA" w14:textId="77777777" w:rsidR="00065317" w:rsidRDefault="005C7BF7">
            <w:pPr>
              <w:pStyle w:val="Compact"/>
            </w:pPr>
            <w:r>
              <w:rPr>
                <w:rStyle w:val="VerbatimChar"/>
              </w:rPr>
              <w:t>P108_a_produit (a_été_produit_par)</w:t>
            </w:r>
          </w:p>
        </w:tc>
        <w:tc>
          <w:tcPr>
            <w:tcW w:w="2620" w:type="dxa"/>
          </w:tcPr>
          <w:p w14:paraId="5F871338" w14:textId="77777777" w:rsidR="00065317" w:rsidRDefault="005C7BF7">
            <w:pPr>
              <w:pStyle w:val="Compact"/>
            </w:pPr>
            <w:r>
              <w:rPr>
                <w:rStyle w:val="VerbatimChar"/>
              </w:rPr>
              <w:t>E12_Production</w:t>
            </w:r>
          </w:p>
        </w:tc>
        <w:tc>
          <w:tcPr>
            <w:tcW w:w="2268" w:type="dxa"/>
          </w:tcPr>
          <w:p w14:paraId="5BF93FDB" w14:textId="7018D0BE" w:rsidR="00065317" w:rsidRDefault="005C7BF7">
            <w:pPr>
              <w:pStyle w:val="Compact"/>
            </w:pPr>
            <w:r>
              <w:rPr>
                <w:rStyle w:val="VerbatimChar"/>
              </w:rPr>
              <w:t>E24_Chose_matérielle_élaborée_par_l</w:t>
            </w:r>
            <w:r w:rsidR="00E84B0E">
              <w:rPr>
                <w:rStyle w:val="VerbatimChar"/>
              </w:rPr>
              <w:t>’</w:t>
            </w:r>
            <w:r>
              <w:rPr>
                <w:rStyle w:val="VerbatimChar"/>
              </w:rPr>
              <w:t>humain</w:t>
            </w:r>
          </w:p>
        </w:tc>
      </w:tr>
      <w:tr w:rsidR="00065317" w14:paraId="7CA15F02" w14:textId="77777777" w:rsidTr="000041DB">
        <w:tc>
          <w:tcPr>
            <w:tcW w:w="800" w:type="dxa"/>
          </w:tcPr>
          <w:p w14:paraId="7FE2B2D9" w14:textId="77777777" w:rsidR="00065317" w:rsidRDefault="005C7BF7">
            <w:pPr>
              <w:pStyle w:val="Compact"/>
            </w:pPr>
            <w:r>
              <w:t>P110</w:t>
            </w:r>
          </w:p>
        </w:tc>
        <w:tc>
          <w:tcPr>
            <w:tcW w:w="256" w:type="dxa"/>
          </w:tcPr>
          <w:p w14:paraId="36F435B4" w14:textId="77777777" w:rsidR="00065317" w:rsidRDefault="005C7BF7">
            <w:pPr>
              <w:pStyle w:val="Compact"/>
            </w:pPr>
            <w:r>
              <w:t>-</w:t>
            </w:r>
          </w:p>
        </w:tc>
        <w:tc>
          <w:tcPr>
            <w:tcW w:w="267" w:type="dxa"/>
          </w:tcPr>
          <w:p w14:paraId="51BD126E" w14:textId="77777777" w:rsidR="00065317" w:rsidRDefault="005C7BF7">
            <w:pPr>
              <w:pStyle w:val="Compact"/>
            </w:pPr>
            <w:r>
              <w:t>-</w:t>
            </w:r>
          </w:p>
        </w:tc>
        <w:tc>
          <w:tcPr>
            <w:tcW w:w="3985" w:type="dxa"/>
            <w:gridSpan w:val="4"/>
          </w:tcPr>
          <w:p w14:paraId="5D78F035" w14:textId="77777777" w:rsidR="00065317" w:rsidRDefault="005C7BF7">
            <w:pPr>
              <w:pStyle w:val="Compact"/>
            </w:pPr>
            <w:r>
              <w:rPr>
                <w:rStyle w:val="VerbatimChar"/>
              </w:rPr>
              <w:t>P110_a_augmenté (a_été_augmenté_par)</w:t>
            </w:r>
          </w:p>
        </w:tc>
        <w:tc>
          <w:tcPr>
            <w:tcW w:w="2620" w:type="dxa"/>
          </w:tcPr>
          <w:p w14:paraId="03A410D3" w14:textId="24D49714" w:rsidR="00065317" w:rsidRDefault="005C7BF7">
            <w:pPr>
              <w:pStyle w:val="Compact"/>
            </w:pPr>
            <w:r>
              <w:rPr>
                <w:rStyle w:val="VerbatimChar"/>
              </w:rPr>
              <w:t>E79_Ajout_d</w:t>
            </w:r>
            <w:r w:rsidR="00E84B0E">
              <w:rPr>
                <w:rStyle w:val="VerbatimChar"/>
              </w:rPr>
              <w:t>’</w:t>
            </w:r>
            <w:r>
              <w:rPr>
                <w:rStyle w:val="VerbatimChar"/>
              </w:rPr>
              <w:t>élément</w:t>
            </w:r>
          </w:p>
        </w:tc>
        <w:tc>
          <w:tcPr>
            <w:tcW w:w="2268" w:type="dxa"/>
          </w:tcPr>
          <w:p w14:paraId="482633E3" w14:textId="508B42B3" w:rsidR="00065317" w:rsidRDefault="005C7BF7">
            <w:pPr>
              <w:pStyle w:val="Compact"/>
            </w:pPr>
            <w:r>
              <w:rPr>
                <w:rStyle w:val="VerbatimChar"/>
              </w:rPr>
              <w:t>E24_Chose_matérielle_élaborée_par_l</w:t>
            </w:r>
            <w:r w:rsidR="00E84B0E">
              <w:rPr>
                <w:rStyle w:val="VerbatimChar"/>
              </w:rPr>
              <w:t>’</w:t>
            </w:r>
            <w:r>
              <w:rPr>
                <w:rStyle w:val="VerbatimChar"/>
              </w:rPr>
              <w:t>humain</w:t>
            </w:r>
          </w:p>
        </w:tc>
      </w:tr>
      <w:tr w:rsidR="00065317" w14:paraId="645EC0F7" w14:textId="77777777" w:rsidTr="000041DB">
        <w:tc>
          <w:tcPr>
            <w:tcW w:w="800" w:type="dxa"/>
          </w:tcPr>
          <w:p w14:paraId="55C6BDDF" w14:textId="77777777" w:rsidR="00065317" w:rsidRDefault="005C7BF7">
            <w:pPr>
              <w:pStyle w:val="Compact"/>
            </w:pPr>
            <w:r>
              <w:t>P112</w:t>
            </w:r>
          </w:p>
        </w:tc>
        <w:tc>
          <w:tcPr>
            <w:tcW w:w="256" w:type="dxa"/>
          </w:tcPr>
          <w:p w14:paraId="446EEE73" w14:textId="77777777" w:rsidR="00065317" w:rsidRDefault="005C7BF7">
            <w:pPr>
              <w:pStyle w:val="Compact"/>
            </w:pPr>
            <w:r>
              <w:t>-</w:t>
            </w:r>
          </w:p>
        </w:tc>
        <w:tc>
          <w:tcPr>
            <w:tcW w:w="267" w:type="dxa"/>
          </w:tcPr>
          <w:p w14:paraId="6EBE94D4" w14:textId="77777777" w:rsidR="00065317" w:rsidRDefault="005C7BF7">
            <w:pPr>
              <w:pStyle w:val="Compact"/>
            </w:pPr>
            <w:r>
              <w:t>-</w:t>
            </w:r>
          </w:p>
        </w:tc>
        <w:tc>
          <w:tcPr>
            <w:tcW w:w="3985" w:type="dxa"/>
            <w:gridSpan w:val="4"/>
          </w:tcPr>
          <w:p w14:paraId="20608E2A" w14:textId="77777777" w:rsidR="00065317" w:rsidRDefault="005C7BF7">
            <w:pPr>
              <w:pStyle w:val="Compact"/>
            </w:pPr>
            <w:r>
              <w:rPr>
                <w:rStyle w:val="VerbatimChar"/>
              </w:rPr>
              <w:t>P112_a_diminué (a_été_diminué_par)</w:t>
            </w:r>
          </w:p>
        </w:tc>
        <w:tc>
          <w:tcPr>
            <w:tcW w:w="2620" w:type="dxa"/>
          </w:tcPr>
          <w:p w14:paraId="333AB28E" w14:textId="288F148B" w:rsidR="00065317" w:rsidRDefault="005C7BF7">
            <w:pPr>
              <w:pStyle w:val="Compact"/>
            </w:pPr>
            <w:r>
              <w:rPr>
                <w:rStyle w:val="VerbatimChar"/>
              </w:rPr>
              <w:t>E80_Retrait_d</w:t>
            </w:r>
            <w:r w:rsidR="00E84B0E">
              <w:rPr>
                <w:rStyle w:val="VerbatimChar"/>
              </w:rPr>
              <w:t>’</w:t>
            </w:r>
            <w:r>
              <w:rPr>
                <w:rStyle w:val="VerbatimChar"/>
              </w:rPr>
              <w:t>élément</w:t>
            </w:r>
          </w:p>
        </w:tc>
        <w:tc>
          <w:tcPr>
            <w:tcW w:w="2268" w:type="dxa"/>
          </w:tcPr>
          <w:p w14:paraId="6DE0CE7F" w14:textId="5B9826AC" w:rsidR="00065317" w:rsidRDefault="005C7BF7">
            <w:pPr>
              <w:pStyle w:val="Compact"/>
            </w:pPr>
            <w:r>
              <w:rPr>
                <w:rStyle w:val="VerbatimChar"/>
              </w:rPr>
              <w:t>E24_Chose_matérielle_élaborée_par_l</w:t>
            </w:r>
            <w:r w:rsidR="00E84B0E">
              <w:rPr>
                <w:rStyle w:val="VerbatimChar"/>
              </w:rPr>
              <w:t>’</w:t>
            </w:r>
            <w:r>
              <w:rPr>
                <w:rStyle w:val="VerbatimChar"/>
              </w:rPr>
              <w:t>humain</w:t>
            </w:r>
          </w:p>
        </w:tc>
      </w:tr>
      <w:tr w:rsidR="00065317" w14:paraId="3590751A" w14:textId="77777777" w:rsidTr="000041DB">
        <w:tc>
          <w:tcPr>
            <w:tcW w:w="800" w:type="dxa"/>
          </w:tcPr>
          <w:p w14:paraId="221DB40D" w14:textId="77777777" w:rsidR="00065317" w:rsidRDefault="005C7BF7">
            <w:pPr>
              <w:pStyle w:val="Compact"/>
            </w:pPr>
            <w:r>
              <w:t>P92</w:t>
            </w:r>
          </w:p>
        </w:tc>
        <w:tc>
          <w:tcPr>
            <w:tcW w:w="256" w:type="dxa"/>
          </w:tcPr>
          <w:p w14:paraId="689114E9" w14:textId="77777777" w:rsidR="00065317" w:rsidRDefault="005C7BF7">
            <w:pPr>
              <w:pStyle w:val="Compact"/>
            </w:pPr>
            <w:r>
              <w:t>-</w:t>
            </w:r>
          </w:p>
        </w:tc>
        <w:tc>
          <w:tcPr>
            <w:tcW w:w="4252" w:type="dxa"/>
            <w:gridSpan w:val="5"/>
          </w:tcPr>
          <w:p w14:paraId="20DC25B5" w14:textId="77777777" w:rsidR="00065317" w:rsidRDefault="005C7BF7">
            <w:pPr>
              <w:pStyle w:val="Compact"/>
            </w:pPr>
            <w:r>
              <w:rPr>
                <w:rStyle w:val="VerbatimChar"/>
              </w:rPr>
              <w:t>P92_a_fait_exister (a_commencé_à_exister_par)</w:t>
            </w:r>
          </w:p>
        </w:tc>
        <w:tc>
          <w:tcPr>
            <w:tcW w:w="2620" w:type="dxa"/>
          </w:tcPr>
          <w:p w14:paraId="389F5C48" w14:textId="4EE35B1D" w:rsidR="00065317" w:rsidRDefault="005C7BF7">
            <w:pPr>
              <w:pStyle w:val="Compact"/>
            </w:pPr>
            <w:r>
              <w:rPr>
                <w:rStyle w:val="VerbatimChar"/>
              </w:rPr>
              <w:t>E63_Début_d</w:t>
            </w:r>
            <w:r w:rsidR="00E84B0E">
              <w:rPr>
                <w:rStyle w:val="VerbatimChar"/>
              </w:rPr>
              <w:t>’</w:t>
            </w:r>
            <w:r>
              <w:rPr>
                <w:rStyle w:val="VerbatimChar"/>
              </w:rPr>
              <w:t>existence</w:t>
            </w:r>
          </w:p>
        </w:tc>
        <w:tc>
          <w:tcPr>
            <w:tcW w:w="2268" w:type="dxa"/>
          </w:tcPr>
          <w:p w14:paraId="54A41397" w14:textId="77777777" w:rsidR="00065317" w:rsidRDefault="005C7BF7">
            <w:pPr>
              <w:pStyle w:val="Compact"/>
            </w:pPr>
            <w:r>
              <w:rPr>
                <w:rStyle w:val="VerbatimChar"/>
              </w:rPr>
              <w:t>E77_Entité_persistante</w:t>
            </w:r>
          </w:p>
        </w:tc>
      </w:tr>
      <w:tr w:rsidR="00065317" w14:paraId="0D4E4058" w14:textId="77777777" w:rsidTr="000041DB">
        <w:tc>
          <w:tcPr>
            <w:tcW w:w="800" w:type="dxa"/>
          </w:tcPr>
          <w:p w14:paraId="01E939D8" w14:textId="77777777" w:rsidR="00065317" w:rsidRDefault="005C7BF7">
            <w:pPr>
              <w:pStyle w:val="Compact"/>
            </w:pPr>
            <w:r>
              <w:lastRenderedPageBreak/>
              <w:t>P94</w:t>
            </w:r>
          </w:p>
        </w:tc>
        <w:tc>
          <w:tcPr>
            <w:tcW w:w="256" w:type="dxa"/>
          </w:tcPr>
          <w:p w14:paraId="6B5CCD50" w14:textId="77777777" w:rsidR="00065317" w:rsidRDefault="005C7BF7">
            <w:pPr>
              <w:pStyle w:val="Compact"/>
            </w:pPr>
            <w:r>
              <w:t>-</w:t>
            </w:r>
          </w:p>
        </w:tc>
        <w:tc>
          <w:tcPr>
            <w:tcW w:w="267" w:type="dxa"/>
          </w:tcPr>
          <w:p w14:paraId="623D5898" w14:textId="77777777" w:rsidR="00065317" w:rsidRDefault="005C7BF7">
            <w:pPr>
              <w:pStyle w:val="Compact"/>
            </w:pPr>
            <w:r>
              <w:t>-</w:t>
            </w:r>
          </w:p>
        </w:tc>
        <w:tc>
          <w:tcPr>
            <w:tcW w:w="3985" w:type="dxa"/>
            <w:gridSpan w:val="4"/>
          </w:tcPr>
          <w:p w14:paraId="667CAA97" w14:textId="77777777" w:rsidR="00065317" w:rsidRDefault="005C7BF7">
            <w:pPr>
              <w:pStyle w:val="Compact"/>
            </w:pPr>
            <w:r>
              <w:rPr>
                <w:rStyle w:val="VerbatimChar"/>
              </w:rPr>
              <w:t>P94_a_créé (a_été_créé_par)</w:t>
            </w:r>
          </w:p>
        </w:tc>
        <w:tc>
          <w:tcPr>
            <w:tcW w:w="2620" w:type="dxa"/>
          </w:tcPr>
          <w:p w14:paraId="57A947DC" w14:textId="77777777" w:rsidR="00065317" w:rsidRDefault="005C7BF7">
            <w:pPr>
              <w:pStyle w:val="Compact"/>
            </w:pPr>
            <w:r>
              <w:rPr>
                <w:rStyle w:val="VerbatimChar"/>
              </w:rPr>
              <w:t>E65_Création</w:t>
            </w:r>
          </w:p>
        </w:tc>
        <w:tc>
          <w:tcPr>
            <w:tcW w:w="2268" w:type="dxa"/>
          </w:tcPr>
          <w:p w14:paraId="14369712" w14:textId="77777777" w:rsidR="00065317" w:rsidRDefault="005C7BF7">
            <w:pPr>
              <w:pStyle w:val="Compact"/>
            </w:pPr>
            <w:r>
              <w:rPr>
                <w:rStyle w:val="VerbatimChar"/>
              </w:rPr>
              <w:t>E28_Objet_conceptuel</w:t>
            </w:r>
          </w:p>
        </w:tc>
      </w:tr>
      <w:tr w:rsidR="00065317" w14:paraId="0E3CF3C3" w14:textId="77777777" w:rsidTr="000041DB">
        <w:tc>
          <w:tcPr>
            <w:tcW w:w="800" w:type="dxa"/>
          </w:tcPr>
          <w:p w14:paraId="0E07294B" w14:textId="77777777" w:rsidR="00065317" w:rsidRDefault="005C7BF7">
            <w:pPr>
              <w:pStyle w:val="Compact"/>
            </w:pPr>
            <w:r>
              <w:t>P135</w:t>
            </w:r>
          </w:p>
        </w:tc>
        <w:tc>
          <w:tcPr>
            <w:tcW w:w="256" w:type="dxa"/>
          </w:tcPr>
          <w:p w14:paraId="43C7D400" w14:textId="77777777" w:rsidR="00065317" w:rsidRDefault="005C7BF7">
            <w:pPr>
              <w:pStyle w:val="Compact"/>
            </w:pPr>
            <w:r>
              <w:t>-</w:t>
            </w:r>
          </w:p>
        </w:tc>
        <w:tc>
          <w:tcPr>
            <w:tcW w:w="267" w:type="dxa"/>
          </w:tcPr>
          <w:p w14:paraId="641CCEDA" w14:textId="77777777" w:rsidR="00065317" w:rsidRDefault="005C7BF7">
            <w:pPr>
              <w:pStyle w:val="Compact"/>
            </w:pPr>
            <w:r>
              <w:t>-</w:t>
            </w:r>
          </w:p>
        </w:tc>
        <w:tc>
          <w:tcPr>
            <w:tcW w:w="293" w:type="dxa"/>
          </w:tcPr>
          <w:p w14:paraId="40386CA5" w14:textId="77777777" w:rsidR="00065317" w:rsidRDefault="005C7BF7">
            <w:pPr>
              <w:pStyle w:val="Compact"/>
            </w:pPr>
            <w:r>
              <w:t>-</w:t>
            </w:r>
          </w:p>
        </w:tc>
        <w:tc>
          <w:tcPr>
            <w:tcW w:w="3692" w:type="dxa"/>
            <w:gridSpan w:val="3"/>
          </w:tcPr>
          <w:p w14:paraId="4FACBB8D" w14:textId="77777777" w:rsidR="00065317" w:rsidRDefault="005C7BF7">
            <w:pPr>
              <w:pStyle w:val="Compact"/>
            </w:pPr>
            <w:r>
              <w:rPr>
                <w:rStyle w:val="VerbatimChar"/>
              </w:rPr>
              <w:t>P135_a_créé_le_type (a_été_créé_par)</w:t>
            </w:r>
          </w:p>
        </w:tc>
        <w:tc>
          <w:tcPr>
            <w:tcW w:w="2620" w:type="dxa"/>
          </w:tcPr>
          <w:p w14:paraId="30A3E03F" w14:textId="77777777" w:rsidR="00065317" w:rsidRDefault="005C7BF7">
            <w:pPr>
              <w:pStyle w:val="Compact"/>
            </w:pPr>
            <w:r>
              <w:rPr>
                <w:rStyle w:val="VerbatimChar"/>
              </w:rPr>
              <w:t>E83_Création_de_type</w:t>
            </w:r>
          </w:p>
        </w:tc>
        <w:tc>
          <w:tcPr>
            <w:tcW w:w="2268" w:type="dxa"/>
          </w:tcPr>
          <w:p w14:paraId="19DEAA6E" w14:textId="77777777" w:rsidR="00065317" w:rsidRDefault="005C7BF7">
            <w:pPr>
              <w:pStyle w:val="Compact"/>
            </w:pPr>
            <w:r>
              <w:rPr>
                <w:rStyle w:val="VerbatimChar"/>
              </w:rPr>
              <w:t>E55_Type</w:t>
            </w:r>
          </w:p>
        </w:tc>
      </w:tr>
      <w:tr w:rsidR="00065317" w14:paraId="125A5C15" w14:textId="77777777" w:rsidTr="000041DB">
        <w:tc>
          <w:tcPr>
            <w:tcW w:w="800" w:type="dxa"/>
          </w:tcPr>
          <w:p w14:paraId="53604359" w14:textId="77777777" w:rsidR="00065317" w:rsidRDefault="005C7BF7">
            <w:pPr>
              <w:pStyle w:val="Compact"/>
            </w:pPr>
            <w:r>
              <w:t>P95</w:t>
            </w:r>
          </w:p>
        </w:tc>
        <w:tc>
          <w:tcPr>
            <w:tcW w:w="256" w:type="dxa"/>
          </w:tcPr>
          <w:p w14:paraId="2F04A06C" w14:textId="77777777" w:rsidR="00065317" w:rsidRDefault="005C7BF7">
            <w:pPr>
              <w:pStyle w:val="Compact"/>
            </w:pPr>
            <w:r>
              <w:t>-</w:t>
            </w:r>
          </w:p>
        </w:tc>
        <w:tc>
          <w:tcPr>
            <w:tcW w:w="267" w:type="dxa"/>
          </w:tcPr>
          <w:p w14:paraId="5F8B2912" w14:textId="77777777" w:rsidR="00065317" w:rsidRDefault="005C7BF7">
            <w:pPr>
              <w:pStyle w:val="Compact"/>
            </w:pPr>
            <w:r>
              <w:t>-</w:t>
            </w:r>
          </w:p>
        </w:tc>
        <w:tc>
          <w:tcPr>
            <w:tcW w:w="3985" w:type="dxa"/>
            <w:gridSpan w:val="4"/>
          </w:tcPr>
          <w:p w14:paraId="78B38F92" w14:textId="77777777" w:rsidR="00065317" w:rsidRDefault="005C7BF7">
            <w:pPr>
              <w:pStyle w:val="Compact"/>
            </w:pPr>
            <w:r>
              <w:rPr>
                <w:rStyle w:val="VerbatimChar"/>
              </w:rPr>
              <w:t>P95_a_fondé (a_été_fondé_par)</w:t>
            </w:r>
          </w:p>
        </w:tc>
        <w:tc>
          <w:tcPr>
            <w:tcW w:w="2620" w:type="dxa"/>
          </w:tcPr>
          <w:p w14:paraId="1B97D3CB" w14:textId="77777777" w:rsidR="00065317" w:rsidRDefault="005C7BF7">
            <w:pPr>
              <w:pStyle w:val="Compact"/>
            </w:pPr>
            <w:r>
              <w:rPr>
                <w:rStyle w:val="VerbatimChar"/>
              </w:rPr>
              <w:t>E66_Formation</w:t>
            </w:r>
          </w:p>
        </w:tc>
        <w:tc>
          <w:tcPr>
            <w:tcW w:w="2268" w:type="dxa"/>
          </w:tcPr>
          <w:p w14:paraId="2AA4E10C" w14:textId="77777777" w:rsidR="00065317" w:rsidRDefault="005C7BF7">
            <w:pPr>
              <w:pStyle w:val="Compact"/>
            </w:pPr>
            <w:r>
              <w:rPr>
                <w:rStyle w:val="VerbatimChar"/>
              </w:rPr>
              <w:t>E74_Groupe</w:t>
            </w:r>
          </w:p>
        </w:tc>
      </w:tr>
      <w:tr w:rsidR="00065317" w14:paraId="29A5E1E5" w14:textId="77777777" w:rsidTr="000041DB">
        <w:tc>
          <w:tcPr>
            <w:tcW w:w="800" w:type="dxa"/>
          </w:tcPr>
          <w:p w14:paraId="2F8B597D" w14:textId="77777777" w:rsidR="00065317" w:rsidRDefault="005C7BF7">
            <w:pPr>
              <w:pStyle w:val="Compact"/>
            </w:pPr>
            <w:r>
              <w:t>P98</w:t>
            </w:r>
          </w:p>
        </w:tc>
        <w:tc>
          <w:tcPr>
            <w:tcW w:w="256" w:type="dxa"/>
          </w:tcPr>
          <w:p w14:paraId="0FF4CB4F" w14:textId="77777777" w:rsidR="00065317" w:rsidRDefault="005C7BF7">
            <w:pPr>
              <w:pStyle w:val="Compact"/>
            </w:pPr>
            <w:r>
              <w:t>-</w:t>
            </w:r>
          </w:p>
        </w:tc>
        <w:tc>
          <w:tcPr>
            <w:tcW w:w="267" w:type="dxa"/>
          </w:tcPr>
          <w:p w14:paraId="3D284055" w14:textId="77777777" w:rsidR="00065317" w:rsidRDefault="005C7BF7">
            <w:pPr>
              <w:pStyle w:val="Compact"/>
            </w:pPr>
            <w:r>
              <w:t>-</w:t>
            </w:r>
          </w:p>
        </w:tc>
        <w:tc>
          <w:tcPr>
            <w:tcW w:w="3985" w:type="dxa"/>
            <w:gridSpan w:val="4"/>
          </w:tcPr>
          <w:p w14:paraId="4C38E448" w14:textId="77777777" w:rsidR="00065317" w:rsidRDefault="005C7BF7">
            <w:pPr>
              <w:pStyle w:val="Compact"/>
            </w:pPr>
            <w:r>
              <w:rPr>
                <w:rStyle w:val="VerbatimChar"/>
              </w:rPr>
              <w:t>P98_a_donné_vie_à (a_été_dissous_par)</w:t>
            </w:r>
          </w:p>
        </w:tc>
        <w:tc>
          <w:tcPr>
            <w:tcW w:w="2620" w:type="dxa"/>
          </w:tcPr>
          <w:p w14:paraId="3D9A6B1C" w14:textId="77777777" w:rsidR="00065317" w:rsidRDefault="005C7BF7">
            <w:pPr>
              <w:pStyle w:val="Compact"/>
            </w:pPr>
            <w:r>
              <w:rPr>
                <w:rStyle w:val="VerbatimChar"/>
              </w:rPr>
              <w:t>E67_Naissance</w:t>
            </w:r>
          </w:p>
        </w:tc>
        <w:tc>
          <w:tcPr>
            <w:tcW w:w="2268" w:type="dxa"/>
          </w:tcPr>
          <w:p w14:paraId="680BD98D" w14:textId="77777777" w:rsidR="00065317" w:rsidRDefault="005C7BF7">
            <w:pPr>
              <w:pStyle w:val="Compact"/>
            </w:pPr>
            <w:r>
              <w:rPr>
                <w:rStyle w:val="VerbatimChar"/>
              </w:rPr>
              <w:t>E21_Personne</w:t>
            </w:r>
          </w:p>
        </w:tc>
      </w:tr>
      <w:tr w:rsidR="00065317" w14:paraId="3E985C4F" w14:textId="77777777" w:rsidTr="000041DB">
        <w:tc>
          <w:tcPr>
            <w:tcW w:w="800" w:type="dxa"/>
          </w:tcPr>
          <w:p w14:paraId="5BD7E8B4" w14:textId="77777777" w:rsidR="00065317" w:rsidRDefault="005C7BF7">
            <w:pPr>
              <w:pStyle w:val="Compact"/>
            </w:pPr>
            <w:r>
              <w:t>P108</w:t>
            </w:r>
          </w:p>
        </w:tc>
        <w:tc>
          <w:tcPr>
            <w:tcW w:w="256" w:type="dxa"/>
          </w:tcPr>
          <w:p w14:paraId="05072B6B" w14:textId="77777777" w:rsidR="00065317" w:rsidRDefault="005C7BF7">
            <w:pPr>
              <w:pStyle w:val="Compact"/>
            </w:pPr>
            <w:r>
              <w:t>-</w:t>
            </w:r>
          </w:p>
        </w:tc>
        <w:tc>
          <w:tcPr>
            <w:tcW w:w="267" w:type="dxa"/>
          </w:tcPr>
          <w:p w14:paraId="7F195C2B" w14:textId="77777777" w:rsidR="00065317" w:rsidRDefault="005C7BF7">
            <w:pPr>
              <w:pStyle w:val="Compact"/>
            </w:pPr>
            <w:r>
              <w:t>-</w:t>
            </w:r>
          </w:p>
        </w:tc>
        <w:tc>
          <w:tcPr>
            <w:tcW w:w="3985" w:type="dxa"/>
            <w:gridSpan w:val="4"/>
          </w:tcPr>
          <w:p w14:paraId="0AF1D596" w14:textId="77777777" w:rsidR="00065317" w:rsidRDefault="005C7BF7">
            <w:pPr>
              <w:pStyle w:val="Compact"/>
            </w:pPr>
            <w:r>
              <w:rPr>
                <w:rStyle w:val="VerbatimChar"/>
              </w:rPr>
              <w:t>P108_a_produit (a_été_produit_par)</w:t>
            </w:r>
          </w:p>
        </w:tc>
        <w:tc>
          <w:tcPr>
            <w:tcW w:w="2620" w:type="dxa"/>
          </w:tcPr>
          <w:p w14:paraId="7A9B879F" w14:textId="77777777" w:rsidR="00065317" w:rsidRDefault="005C7BF7">
            <w:pPr>
              <w:pStyle w:val="Compact"/>
            </w:pPr>
            <w:r>
              <w:rPr>
                <w:rStyle w:val="VerbatimChar"/>
              </w:rPr>
              <w:t>E12_Production</w:t>
            </w:r>
          </w:p>
        </w:tc>
        <w:tc>
          <w:tcPr>
            <w:tcW w:w="2268" w:type="dxa"/>
          </w:tcPr>
          <w:p w14:paraId="3BAEDE71" w14:textId="2E46C83D" w:rsidR="00065317" w:rsidRDefault="005C7BF7">
            <w:pPr>
              <w:pStyle w:val="Compact"/>
            </w:pPr>
            <w:r>
              <w:rPr>
                <w:rStyle w:val="VerbatimChar"/>
              </w:rPr>
              <w:t>E24_Chose_matérielle_élaborée_par_l</w:t>
            </w:r>
            <w:r w:rsidR="00E84B0E">
              <w:rPr>
                <w:rStyle w:val="VerbatimChar"/>
              </w:rPr>
              <w:t>’</w:t>
            </w:r>
            <w:r>
              <w:rPr>
                <w:rStyle w:val="VerbatimChar"/>
              </w:rPr>
              <w:t>humain</w:t>
            </w:r>
          </w:p>
        </w:tc>
      </w:tr>
      <w:tr w:rsidR="00065317" w14:paraId="4C1AF48C" w14:textId="77777777" w:rsidTr="000041DB">
        <w:tc>
          <w:tcPr>
            <w:tcW w:w="800" w:type="dxa"/>
          </w:tcPr>
          <w:p w14:paraId="761A1292" w14:textId="77777777" w:rsidR="00065317" w:rsidRDefault="005C7BF7">
            <w:pPr>
              <w:pStyle w:val="Compact"/>
            </w:pPr>
            <w:r>
              <w:t>P123</w:t>
            </w:r>
          </w:p>
        </w:tc>
        <w:tc>
          <w:tcPr>
            <w:tcW w:w="256" w:type="dxa"/>
          </w:tcPr>
          <w:p w14:paraId="61475D01" w14:textId="77777777" w:rsidR="00065317" w:rsidRDefault="005C7BF7">
            <w:pPr>
              <w:pStyle w:val="Compact"/>
            </w:pPr>
            <w:r>
              <w:t>-</w:t>
            </w:r>
          </w:p>
        </w:tc>
        <w:tc>
          <w:tcPr>
            <w:tcW w:w="267" w:type="dxa"/>
          </w:tcPr>
          <w:p w14:paraId="09C7D3D9" w14:textId="77777777" w:rsidR="00065317" w:rsidRDefault="005C7BF7">
            <w:pPr>
              <w:pStyle w:val="Compact"/>
            </w:pPr>
            <w:r>
              <w:t>-</w:t>
            </w:r>
          </w:p>
        </w:tc>
        <w:tc>
          <w:tcPr>
            <w:tcW w:w="3985" w:type="dxa"/>
            <w:gridSpan w:val="4"/>
          </w:tcPr>
          <w:p w14:paraId="5216CF33" w14:textId="77777777" w:rsidR="00065317" w:rsidRDefault="005C7BF7">
            <w:pPr>
              <w:pStyle w:val="Compact"/>
            </w:pPr>
            <w:r>
              <w:rPr>
                <w:rStyle w:val="VerbatimChar"/>
              </w:rPr>
              <w:t>P123_a_eu_pour_résultat (a_résulté_de)</w:t>
            </w:r>
          </w:p>
        </w:tc>
        <w:tc>
          <w:tcPr>
            <w:tcW w:w="2620" w:type="dxa"/>
          </w:tcPr>
          <w:p w14:paraId="5017A72D" w14:textId="77777777" w:rsidR="00065317" w:rsidRDefault="005C7BF7">
            <w:pPr>
              <w:pStyle w:val="Compact"/>
            </w:pPr>
            <w:r>
              <w:rPr>
                <w:rStyle w:val="VerbatimChar"/>
              </w:rPr>
              <w:t>E81_Transformation</w:t>
            </w:r>
          </w:p>
        </w:tc>
        <w:tc>
          <w:tcPr>
            <w:tcW w:w="2268" w:type="dxa"/>
          </w:tcPr>
          <w:p w14:paraId="36754669" w14:textId="77777777" w:rsidR="00065317" w:rsidRDefault="005C7BF7">
            <w:pPr>
              <w:pStyle w:val="Compact"/>
            </w:pPr>
            <w:r>
              <w:rPr>
                <w:rStyle w:val="VerbatimChar"/>
              </w:rPr>
              <w:t>E77_Entité_persistante</w:t>
            </w:r>
          </w:p>
        </w:tc>
      </w:tr>
      <w:tr w:rsidR="00065317" w14:paraId="64EC8C09" w14:textId="77777777" w:rsidTr="000041DB">
        <w:tc>
          <w:tcPr>
            <w:tcW w:w="800" w:type="dxa"/>
          </w:tcPr>
          <w:p w14:paraId="412486DC" w14:textId="77777777" w:rsidR="00065317" w:rsidRDefault="005C7BF7">
            <w:pPr>
              <w:pStyle w:val="Compact"/>
            </w:pPr>
            <w:r>
              <w:t>P93</w:t>
            </w:r>
          </w:p>
        </w:tc>
        <w:tc>
          <w:tcPr>
            <w:tcW w:w="256" w:type="dxa"/>
          </w:tcPr>
          <w:p w14:paraId="31568442" w14:textId="77777777" w:rsidR="00065317" w:rsidRDefault="005C7BF7">
            <w:pPr>
              <w:pStyle w:val="Compact"/>
            </w:pPr>
            <w:r>
              <w:t>-</w:t>
            </w:r>
          </w:p>
        </w:tc>
        <w:tc>
          <w:tcPr>
            <w:tcW w:w="4252" w:type="dxa"/>
            <w:gridSpan w:val="5"/>
          </w:tcPr>
          <w:p w14:paraId="5F1CA5C0" w14:textId="7AE0A872" w:rsidR="00065317" w:rsidRDefault="005C7BF7">
            <w:pPr>
              <w:pStyle w:val="Compact"/>
            </w:pPr>
            <w:r>
              <w:rPr>
                <w:rStyle w:val="VerbatimChar"/>
              </w:rPr>
              <w:t>P93_a_mis_fin_à_l</w:t>
            </w:r>
            <w:r w:rsidR="00E84B0E">
              <w:rPr>
                <w:rStyle w:val="VerbatimChar"/>
              </w:rPr>
              <w:t>’</w:t>
            </w:r>
            <w:r>
              <w:rPr>
                <w:rStyle w:val="VerbatimChar"/>
              </w:rPr>
              <w:t>existence_de (a_cessé_d</w:t>
            </w:r>
            <w:r w:rsidR="00E84B0E">
              <w:rPr>
                <w:rStyle w:val="VerbatimChar"/>
              </w:rPr>
              <w:t>’</w:t>
            </w:r>
            <w:r>
              <w:rPr>
                <w:rStyle w:val="VerbatimChar"/>
              </w:rPr>
              <w:t>exister_par)</w:t>
            </w:r>
          </w:p>
        </w:tc>
        <w:tc>
          <w:tcPr>
            <w:tcW w:w="2620" w:type="dxa"/>
          </w:tcPr>
          <w:p w14:paraId="690FA56B" w14:textId="19F82F98" w:rsidR="00065317" w:rsidRDefault="005C7BF7">
            <w:pPr>
              <w:pStyle w:val="Compact"/>
            </w:pPr>
            <w:r>
              <w:rPr>
                <w:rStyle w:val="VerbatimChar"/>
              </w:rPr>
              <w:t>E64_Fin_d</w:t>
            </w:r>
            <w:r w:rsidR="00E84B0E">
              <w:rPr>
                <w:rStyle w:val="VerbatimChar"/>
              </w:rPr>
              <w:t>’</w:t>
            </w:r>
            <w:r>
              <w:rPr>
                <w:rStyle w:val="VerbatimChar"/>
              </w:rPr>
              <w:t>existence</w:t>
            </w:r>
          </w:p>
        </w:tc>
        <w:tc>
          <w:tcPr>
            <w:tcW w:w="2268" w:type="dxa"/>
          </w:tcPr>
          <w:p w14:paraId="1849DE94" w14:textId="77777777" w:rsidR="00065317" w:rsidRDefault="005C7BF7">
            <w:pPr>
              <w:pStyle w:val="Compact"/>
            </w:pPr>
            <w:r>
              <w:rPr>
                <w:rStyle w:val="VerbatimChar"/>
              </w:rPr>
              <w:t>E77_Entité_persistante</w:t>
            </w:r>
          </w:p>
        </w:tc>
      </w:tr>
      <w:tr w:rsidR="00065317" w14:paraId="6FFEA291" w14:textId="77777777" w:rsidTr="000041DB">
        <w:tc>
          <w:tcPr>
            <w:tcW w:w="800" w:type="dxa"/>
          </w:tcPr>
          <w:p w14:paraId="61C51EEB" w14:textId="77777777" w:rsidR="00065317" w:rsidRDefault="005C7BF7">
            <w:pPr>
              <w:pStyle w:val="Compact"/>
            </w:pPr>
            <w:r>
              <w:t>P13</w:t>
            </w:r>
          </w:p>
        </w:tc>
        <w:tc>
          <w:tcPr>
            <w:tcW w:w="256" w:type="dxa"/>
          </w:tcPr>
          <w:p w14:paraId="623FFB8E" w14:textId="77777777" w:rsidR="00065317" w:rsidRDefault="005C7BF7">
            <w:pPr>
              <w:pStyle w:val="Compact"/>
            </w:pPr>
            <w:r>
              <w:t>-</w:t>
            </w:r>
          </w:p>
        </w:tc>
        <w:tc>
          <w:tcPr>
            <w:tcW w:w="267" w:type="dxa"/>
          </w:tcPr>
          <w:p w14:paraId="4BA25CCA" w14:textId="77777777" w:rsidR="00065317" w:rsidRDefault="005C7BF7">
            <w:pPr>
              <w:pStyle w:val="Compact"/>
            </w:pPr>
            <w:r>
              <w:t>-</w:t>
            </w:r>
          </w:p>
        </w:tc>
        <w:tc>
          <w:tcPr>
            <w:tcW w:w="3985" w:type="dxa"/>
            <w:gridSpan w:val="4"/>
          </w:tcPr>
          <w:p w14:paraId="2ECE81EF" w14:textId="77777777" w:rsidR="00065317" w:rsidRDefault="005C7BF7">
            <w:pPr>
              <w:pStyle w:val="Compact"/>
            </w:pPr>
            <w:r>
              <w:rPr>
                <w:rStyle w:val="VerbatimChar"/>
              </w:rPr>
              <w:t>P13_a_détruit (a_été_détruit_par)</w:t>
            </w:r>
          </w:p>
        </w:tc>
        <w:tc>
          <w:tcPr>
            <w:tcW w:w="2620" w:type="dxa"/>
          </w:tcPr>
          <w:p w14:paraId="435B6B6A" w14:textId="77777777" w:rsidR="00065317" w:rsidRDefault="005C7BF7">
            <w:pPr>
              <w:pStyle w:val="Compact"/>
            </w:pPr>
            <w:r>
              <w:rPr>
                <w:rStyle w:val="VerbatimChar"/>
              </w:rPr>
              <w:t>E6_Destruction</w:t>
            </w:r>
          </w:p>
        </w:tc>
        <w:tc>
          <w:tcPr>
            <w:tcW w:w="2268" w:type="dxa"/>
          </w:tcPr>
          <w:p w14:paraId="2534A730" w14:textId="77777777" w:rsidR="00065317" w:rsidRDefault="005C7BF7">
            <w:pPr>
              <w:pStyle w:val="Compact"/>
            </w:pPr>
            <w:r>
              <w:rPr>
                <w:rStyle w:val="VerbatimChar"/>
              </w:rPr>
              <w:t>E18_Chose_matérielle</w:t>
            </w:r>
          </w:p>
        </w:tc>
      </w:tr>
      <w:tr w:rsidR="00065317" w14:paraId="51E0A65C" w14:textId="77777777" w:rsidTr="000041DB">
        <w:tc>
          <w:tcPr>
            <w:tcW w:w="800" w:type="dxa"/>
          </w:tcPr>
          <w:p w14:paraId="16AF957B" w14:textId="77777777" w:rsidR="00065317" w:rsidRDefault="005C7BF7">
            <w:pPr>
              <w:pStyle w:val="Compact"/>
            </w:pPr>
            <w:r>
              <w:t>P99</w:t>
            </w:r>
          </w:p>
        </w:tc>
        <w:tc>
          <w:tcPr>
            <w:tcW w:w="256" w:type="dxa"/>
          </w:tcPr>
          <w:p w14:paraId="69064C73" w14:textId="77777777" w:rsidR="00065317" w:rsidRDefault="005C7BF7">
            <w:pPr>
              <w:pStyle w:val="Compact"/>
            </w:pPr>
            <w:r>
              <w:t>-</w:t>
            </w:r>
          </w:p>
        </w:tc>
        <w:tc>
          <w:tcPr>
            <w:tcW w:w="267" w:type="dxa"/>
          </w:tcPr>
          <w:p w14:paraId="31AFBD88" w14:textId="77777777" w:rsidR="00065317" w:rsidRDefault="005C7BF7">
            <w:pPr>
              <w:pStyle w:val="Compact"/>
            </w:pPr>
            <w:r>
              <w:t>-</w:t>
            </w:r>
          </w:p>
        </w:tc>
        <w:tc>
          <w:tcPr>
            <w:tcW w:w="3985" w:type="dxa"/>
            <w:gridSpan w:val="4"/>
          </w:tcPr>
          <w:p w14:paraId="3E06D782" w14:textId="77777777" w:rsidR="00065317" w:rsidRDefault="005C7BF7">
            <w:pPr>
              <w:pStyle w:val="Compact"/>
            </w:pPr>
            <w:r>
              <w:rPr>
                <w:rStyle w:val="VerbatimChar"/>
              </w:rPr>
              <w:t>P99_a_dissous (a_été_dissous_par)</w:t>
            </w:r>
          </w:p>
        </w:tc>
        <w:tc>
          <w:tcPr>
            <w:tcW w:w="2620" w:type="dxa"/>
          </w:tcPr>
          <w:p w14:paraId="27866C8C" w14:textId="77777777" w:rsidR="00065317" w:rsidRDefault="005C7BF7">
            <w:pPr>
              <w:pStyle w:val="Compact"/>
            </w:pPr>
            <w:r>
              <w:rPr>
                <w:rStyle w:val="VerbatimChar"/>
              </w:rPr>
              <w:t>E68_Dissolution</w:t>
            </w:r>
          </w:p>
        </w:tc>
        <w:tc>
          <w:tcPr>
            <w:tcW w:w="2268" w:type="dxa"/>
          </w:tcPr>
          <w:p w14:paraId="6AFEF3EC" w14:textId="77777777" w:rsidR="00065317" w:rsidRDefault="005C7BF7">
            <w:pPr>
              <w:pStyle w:val="Compact"/>
            </w:pPr>
            <w:r>
              <w:rPr>
                <w:rStyle w:val="VerbatimChar"/>
              </w:rPr>
              <w:t>E74_Groupe</w:t>
            </w:r>
          </w:p>
        </w:tc>
      </w:tr>
      <w:tr w:rsidR="00065317" w14:paraId="5499FAD0" w14:textId="77777777" w:rsidTr="000041DB">
        <w:tc>
          <w:tcPr>
            <w:tcW w:w="800" w:type="dxa"/>
          </w:tcPr>
          <w:p w14:paraId="325AFA8E" w14:textId="77777777" w:rsidR="00065317" w:rsidRDefault="005C7BF7">
            <w:pPr>
              <w:pStyle w:val="Compact"/>
            </w:pPr>
            <w:r>
              <w:t>P100</w:t>
            </w:r>
          </w:p>
        </w:tc>
        <w:tc>
          <w:tcPr>
            <w:tcW w:w="256" w:type="dxa"/>
          </w:tcPr>
          <w:p w14:paraId="674AD8F9" w14:textId="77777777" w:rsidR="00065317" w:rsidRDefault="005C7BF7">
            <w:pPr>
              <w:pStyle w:val="Compact"/>
            </w:pPr>
            <w:r>
              <w:t>-</w:t>
            </w:r>
          </w:p>
        </w:tc>
        <w:tc>
          <w:tcPr>
            <w:tcW w:w="267" w:type="dxa"/>
          </w:tcPr>
          <w:p w14:paraId="3D72BBEC" w14:textId="77777777" w:rsidR="00065317" w:rsidRDefault="005C7BF7">
            <w:pPr>
              <w:pStyle w:val="Compact"/>
            </w:pPr>
            <w:r>
              <w:t>-</w:t>
            </w:r>
          </w:p>
        </w:tc>
        <w:tc>
          <w:tcPr>
            <w:tcW w:w="3985" w:type="dxa"/>
            <w:gridSpan w:val="4"/>
          </w:tcPr>
          <w:p w14:paraId="75A0230C" w14:textId="77777777" w:rsidR="00065317" w:rsidRDefault="005C7BF7">
            <w:pPr>
              <w:pStyle w:val="Compact"/>
            </w:pPr>
            <w:r>
              <w:rPr>
                <w:rStyle w:val="VerbatimChar"/>
              </w:rPr>
              <w:t>P100_a_été_la_mort_de (est_mort_par)</w:t>
            </w:r>
          </w:p>
        </w:tc>
        <w:tc>
          <w:tcPr>
            <w:tcW w:w="2620" w:type="dxa"/>
          </w:tcPr>
          <w:p w14:paraId="1B6D8D28" w14:textId="77777777" w:rsidR="00065317" w:rsidRDefault="005C7BF7">
            <w:pPr>
              <w:pStyle w:val="Compact"/>
            </w:pPr>
            <w:r>
              <w:rPr>
                <w:rStyle w:val="VerbatimChar"/>
              </w:rPr>
              <w:t>E69_Mort</w:t>
            </w:r>
          </w:p>
        </w:tc>
        <w:tc>
          <w:tcPr>
            <w:tcW w:w="2268" w:type="dxa"/>
          </w:tcPr>
          <w:p w14:paraId="54CCEC81" w14:textId="77777777" w:rsidR="00065317" w:rsidRDefault="005C7BF7">
            <w:pPr>
              <w:pStyle w:val="Compact"/>
            </w:pPr>
            <w:r>
              <w:rPr>
                <w:rStyle w:val="VerbatimChar"/>
              </w:rPr>
              <w:t>E21_Personne</w:t>
            </w:r>
          </w:p>
        </w:tc>
      </w:tr>
      <w:tr w:rsidR="00065317" w14:paraId="022834A5" w14:textId="77777777" w:rsidTr="000041DB">
        <w:tc>
          <w:tcPr>
            <w:tcW w:w="800" w:type="dxa"/>
          </w:tcPr>
          <w:p w14:paraId="3237D142" w14:textId="77777777" w:rsidR="00065317" w:rsidRDefault="005C7BF7">
            <w:pPr>
              <w:pStyle w:val="Compact"/>
            </w:pPr>
            <w:r>
              <w:t>P124</w:t>
            </w:r>
          </w:p>
        </w:tc>
        <w:tc>
          <w:tcPr>
            <w:tcW w:w="256" w:type="dxa"/>
          </w:tcPr>
          <w:p w14:paraId="2263A6B2" w14:textId="77777777" w:rsidR="00065317" w:rsidRDefault="005C7BF7">
            <w:pPr>
              <w:pStyle w:val="Compact"/>
            </w:pPr>
            <w:r>
              <w:t>-</w:t>
            </w:r>
          </w:p>
        </w:tc>
        <w:tc>
          <w:tcPr>
            <w:tcW w:w="267" w:type="dxa"/>
          </w:tcPr>
          <w:p w14:paraId="63FECCB5" w14:textId="77777777" w:rsidR="00065317" w:rsidRDefault="005C7BF7">
            <w:pPr>
              <w:pStyle w:val="Compact"/>
            </w:pPr>
            <w:r>
              <w:t>-</w:t>
            </w:r>
          </w:p>
        </w:tc>
        <w:tc>
          <w:tcPr>
            <w:tcW w:w="3985" w:type="dxa"/>
            <w:gridSpan w:val="4"/>
          </w:tcPr>
          <w:p w14:paraId="410037FC" w14:textId="77777777" w:rsidR="00065317" w:rsidRDefault="005C7BF7">
            <w:pPr>
              <w:pStyle w:val="Compact"/>
            </w:pPr>
            <w:r>
              <w:rPr>
                <w:rStyle w:val="VerbatimChar"/>
              </w:rPr>
              <w:t>P124_a_transformé (a_été_transformé_par)</w:t>
            </w:r>
          </w:p>
        </w:tc>
        <w:tc>
          <w:tcPr>
            <w:tcW w:w="2620" w:type="dxa"/>
          </w:tcPr>
          <w:p w14:paraId="40709E88" w14:textId="77777777" w:rsidR="00065317" w:rsidRDefault="005C7BF7">
            <w:pPr>
              <w:pStyle w:val="Compact"/>
            </w:pPr>
            <w:r>
              <w:rPr>
                <w:rStyle w:val="VerbatimChar"/>
              </w:rPr>
              <w:t>E81_Transformation</w:t>
            </w:r>
          </w:p>
        </w:tc>
        <w:tc>
          <w:tcPr>
            <w:tcW w:w="2268" w:type="dxa"/>
          </w:tcPr>
          <w:p w14:paraId="3B7E9508" w14:textId="77777777" w:rsidR="00065317" w:rsidRDefault="005C7BF7">
            <w:pPr>
              <w:pStyle w:val="Compact"/>
            </w:pPr>
            <w:r>
              <w:rPr>
                <w:rStyle w:val="VerbatimChar"/>
              </w:rPr>
              <w:t>E77_Entité_persistante</w:t>
            </w:r>
          </w:p>
        </w:tc>
      </w:tr>
      <w:tr w:rsidR="00065317" w14:paraId="38299AA8" w14:textId="77777777" w:rsidTr="000041DB">
        <w:tc>
          <w:tcPr>
            <w:tcW w:w="800" w:type="dxa"/>
          </w:tcPr>
          <w:p w14:paraId="5B783E29" w14:textId="77777777" w:rsidR="00065317" w:rsidRDefault="005C7BF7">
            <w:pPr>
              <w:pStyle w:val="Compact"/>
            </w:pPr>
            <w:r>
              <w:t>P15</w:t>
            </w:r>
          </w:p>
        </w:tc>
        <w:tc>
          <w:tcPr>
            <w:tcW w:w="4508" w:type="dxa"/>
            <w:gridSpan w:val="6"/>
          </w:tcPr>
          <w:p w14:paraId="2EF588C9" w14:textId="77777777" w:rsidR="00065317" w:rsidRDefault="005C7BF7">
            <w:pPr>
              <w:pStyle w:val="Compact"/>
            </w:pPr>
            <w:r>
              <w:rPr>
                <w:rStyle w:val="VerbatimChar"/>
              </w:rPr>
              <w:t>P15_a_été_influencé_par (a_influencé)</w:t>
            </w:r>
          </w:p>
        </w:tc>
        <w:tc>
          <w:tcPr>
            <w:tcW w:w="2620" w:type="dxa"/>
          </w:tcPr>
          <w:p w14:paraId="1C8D41FE" w14:textId="77777777" w:rsidR="00065317" w:rsidRDefault="005C7BF7">
            <w:pPr>
              <w:pStyle w:val="Compact"/>
            </w:pPr>
            <w:r>
              <w:rPr>
                <w:rStyle w:val="VerbatimChar"/>
              </w:rPr>
              <w:t>E7_Activité</w:t>
            </w:r>
          </w:p>
        </w:tc>
        <w:tc>
          <w:tcPr>
            <w:tcW w:w="2268" w:type="dxa"/>
          </w:tcPr>
          <w:p w14:paraId="72295EE0" w14:textId="77777777" w:rsidR="00065317" w:rsidRDefault="005C7BF7">
            <w:pPr>
              <w:pStyle w:val="Compact"/>
            </w:pPr>
            <w:r>
              <w:rPr>
                <w:rStyle w:val="VerbatimChar"/>
              </w:rPr>
              <w:t>E1_Entité_CRM</w:t>
            </w:r>
          </w:p>
        </w:tc>
      </w:tr>
      <w:tr w:rsidR="00065317" w14:paraId="100EBCFD" w14:textId="77777777" w:rsidTr="000041DB">
        <w:tc>
          <w:tcPr>
            <w:tcW w:w="800" w:type="dxa"/>
          </w:tcPr>
          <w:p w14:paraId="2F1EEC6F" w14:textId="77777777" w:rsidR="00065317" w:rsidRDefault="005C7BF7">
            <w:pPr>
              <w:pStyle w:val="Compact"/>
            </w:pPr>
            <w:r>
              <w:t>P16</w:t>
            </w:r>
          </w:p>
        </w:tc>
        <w:tc>
          <w:tcPr>
            <w:tcW w:w="256" w:type="dxa"/>
          </w:tcPr>
          <w:p w14:paraId="50612A27" w14:textId="77777777" w:rsidR="00065317" w:rsidRDefault="005C7BF7">
            <w:pPr>
              <w:pStyle w:val="Compact"/>
            </w:pPr>
            <w:r>
              <w:t>-</w:t>
            </w:r>
          </w:p>
        </w:tc>
        <w:tc>
          <w:tcPr>
            <w:tcW w:w="4252" w:type="dxa"/>
            <w:gridSpan w:val="5"/>
          </w:tcPr>
          <w:p w14:paraId="3A9AED1D" w14:textId="6D7137E8" w:rsidR="00065317" w:rsidRDefault="005C7BF7">
            <w:pPr>
              <w:pStyle w:val="Compact"/>
            </w:pPr>
            <w:r>
              <w:rPr>
                <w:rStyle w:val="VerbatimChar"/>
              </w:rPr>
              <w:t>P16_a_mobilisé_l</w:t>
            </w:r>
            <w:r w:rsidR="00E84B0E">
              <w:rPr>
                <w:rStyle w:val="VerbatimChar"/>
              </w:rPr>
              <w:t>’</w:t>
            </w:r>
            <w:r>
              <w:rPr>
                <w:rStyle w:val="VerbatimChar"/>
              </w:rPr>
              <w:t>objet_spécifique (a_été_mobilisé_pour)</w:t>
            </w:r>
          </w:p>
        </w:tc>
        <w:tc>
          <w:tcPr>
            <w:tcW w:w="2620" w:type="dxa"/>
          </w:tcPr>
          <w:p w14:paraId="64874E4B" w14:textId="77777777" w:rsidR="00065317" w:rsidRDefault="005C7BF7">
            <w:pPr>
              <w:pStyle w:val="Compact"/>
            </w:pPr>
            <w:r>
              <w:rPr>
                <w:rStyle w:val="VerbatimChar"/>
              </w:rPr>
              <w:t>E7_Activité</w:t>
            </w:r>
          </w:p>
        </w:tc>
        <w:tc>
          <w:tcPr>
            <w:tcW w:w="2268" w:type="dxa"/>
          </w:tcPr>
          <w:p w14:paraId="35D38E81" w14:textId="77777777" w:rsidR="00065317" w:rsidRDefault="005C7BF7">
            <w:pPr>
              <w:pStyle w:val="Compact"/>
            </w:pPr>
            <w:r>
              <w:rPr>
                <w:rStyle w:val="VerbatimChar"/>
              </w:rPr>
              <w:t>E70_Chose</w:t>
            </w:r>
          </w:p>
        </w:tc>
      </w:tr>
      <w:tr w:rsidR="00065317" w14:paraId="348B4918" w14:textId="77777777" w:rsidTr="000041DB">
        <w:tc>
          <w:tcPr>
            <w:tcW w:w="800" w:type="dxa"/>
          </w:tcPr>
          <w:p w14:paraId="2074EC63" w14:textId="77777777" w:rsidR="00065317" w:rsidRDefault="005C7BF7">
            <w:pPr>
              <w:pStyle w:val="Compact"/>
            </w:pPr>
            <w:r>
              <w:t>P33</w:t>
            </w:r>
          </w:p>
        </w:tc>
        <w:tc>
          <w:tcPr>
            <w:tcW w:w="256" w:type="dxa"/>
          </w:tcPr>
          <w:p w14:paraId="409D4777" w14:textId="77777777" w:rsidR="00065317" w:rsidRDefault="005C7BF7">
            <w:pPr>
              <w:pStyle w:val="Compact"/>
            </w:pPr>
            <w:r>
              <w:t>-</w:t>
            </w:r>
          </w:p>
        </w:tc>
        <w:tc>
          <w:tcPr>
            <w:tcW w:w="267" w:type="dxa"/>
          </w:tcPr>
          <w:p w14:paraId="6CCB6E3A" w14:textId="77777777" w:rsidR="00065317" w:rsidRDefault="005C7BF7">
            <w:pPr>
              <w:pStyle w:val="Compact"/>
            </w:pPr>
            <w:r>
              <w:t>-</w:t>
            </w:r>
          </w:p>
        </w:tc>
        <w:tc>
          <w:tcPr>
            <w:tcW w:w="3985" w:type="dxa"/>
            <w:gridSpan w:val="4"/>
          </w:tcPr>
          <w:p w14:paraId="5350AAA5" w14:textId="77777777" w:rsidR="00065317" w:rsidRDefault="005C7BF7">
            <w:pPr>
              <w:pStyle w:val="Compact"/>
            </w:pPr>
            <w:r>
              <w:rPr>
                <w:rStyle w:val="VerbatimChar"/>
              </w:rPr>
              <w:t>P33_a_mobilisé_comme_technique_spécifique (a_été_la_technique_spécifique_mise_en_œuvre_dans)</w:t>
            </w:r>
          </w:p>
        </w:tc>
        <w:tc>
          <w:tcPr>
            <w:tcW w:w="2620" w:type="dxa"/>
          </w:tcPr>
          <w:p w14:paraId="58AF5448" w14:textId="77777777" w:rsidR="00065317" w:rsidRDefault="005C7BF7">
            <w:pPr>
              <w:pStyle w:val="Compact"/>
            </w:pPr>
            <w:r>
              <w:rPr>
                <w:rStyle w:val="VerbatimChar"/>
              </w:rPr>
              <w:t>E11_Modification</w:t>
            </w:r>
          </w:p>
        </w:tc>
        <w:tc>
          <w:tcPr>
            <w:tcW w:w="2268" w:type="dxa"/>
          </w:tcPr>
          <w:p w14:paraId="59412DEA" w14:textId="77777777" w:rsidR="00065317" w:rsidRDefault="005C7BF7">
            <w:pPr>
              <w:pStyle w:val="Compact"/>
            </w:pPr>
            <w:r>
              <w:rPr>
                <w:rStyle w:val="VerbatimChar"/>
              </w:rPr>
              <w:t>E29_Conceptualisation_ou_procédure</w:t>
            </w:r>
          </w:p>
        </w:tc>
      </w:tr>
      <w:tr w:rsidR="00065317" w14:paraId="5DAE9E3A" w14:textId="77777777" w:rsidTr="000041DB">
        <w:tc>
          <w:tcPr>
            <w:tcW w:w="800" w:type="dxa"/>
          </w:tcPr>
          <w:p w14:paraId="5E7FE473" w14:textId="77777777" w:rsidR="00065317" w:rsidRDefault="005C7BF7">
            <w:pPr>
              <w:pStyle w:val="Compact"/>
            </w:pPr>
            <w:r>
              <w:t>P111</w:t>
            </w:r>
          </w:p>
        </w:tc>
        <w:tc>
          <w:tcPr>
            <w:tcW w:w="256" w:type="dxa"/>
          </w:tcPr>
          <w:p w14:paraId="6B6BFB99" w14:textId="77777777" w:rsidR="00065317" w:rsidRDefault="005C7BF7">
            <w:pPr>
              <w:pStyle w:val="Compact"/>
            </w:pPr>
            <w:r>
              <w:t>-</w:t>
            </w:r>
          </w:p>
        </w:tc>
        <w:tc>
          <w:tcPr>
            <w:tcW w:w="267" w:type="dxa"/>
          </w:tcPr>
          <w:p w14:paraId="28A00509" w14:textId="77777777" w:rsidR="00065317" w:rsidRDefault="005C7BF7">
            <w:pPr>
              <w:pStyle w:val="Compact"/>
            </w:pPr>
            <w:r>
              <w:t>-</w:t>
            </w:r>
          </w:p>
        </w:tc>
        <w:tc>
          <w:tcPr>
            <w:tcW w:w="3985" w:type="dxa"/>
            <w:gridSpan w:val="4"/>
          </w:tcPr>
          <w:p w14:paraId="1DEDE5D7" w14:textId="77777777" w:rsidR="00065317" w:rsidRDefault="005C7BF7">
            <w:pPr>
              <w:pStyle w:val="Compact"/>
            </w:pPr>
            <w:r>
              <w:rPr>
                <w:rStyle w:val="VerbatimChar"/>
              </w:rPr>
              <w:t>P111_a_ajouté (a_été_ajouté_par)</w:t>
            </w:r>
          </w:p>
        </w:tc>
        <w:tc>
          <w:tcPr>
            <w:tcW w:w="2620" w:type="dxa"/>
          </w:tcPr>
          <w:p w14:paraId="4A972C17" w14:textId="1E67315A" w:rsidR="00065317" w:rsidRDefault="005C7BF7">
            <w:pPr>
              <w:pStyle w:val="Compact"/>
            </w:pPr>
            <w:r>
              <w:rPr>
                <w:rStyle w:val="VerbatimChar"/>
              </w:rPr>
              <w:t>E79_Ajout_d</w:t>
            </w:r>
            <w:r w:rsidR="00E84B0E">
              <w:rPr>
                <w:rStyle w:val="VerbatimChar"/>
              </w:rPr>
              <w:t>’</w:t>
            </w:r>
            <w:r>
              <w:rPr>
                <w:rStyle w:val="VerbatimChar"/>
              </w:rPr>
              <w:t>élément</w:t>
            </w:r>
          </w:p>
        </w:tc>
        <w:tc>
          <w:tcPr>
            <w:tcW w:w="2268" w:type="dxa"/>
          </w:tcPr>
          <w:p w14:paraId="24835708" w14:textId="77777777" w:rsidR="00065317" w:rsidRDefault="005C7BF7">
            <w:pPr>
              <w:pStyle w:val="Compact"/>
            </w:pPr>
            <w:r>
              <w:rPr>
                <w:rStyle w:val="VerbatimChar"/>
              </w:rPr>
              <w:t>E18_Chose_matérielle</w:t>
            </w:r>
          </w:p>
        </w:tc>
      </w:tr>
      <w:tr w:rsidR="00065317" w14:paraId="28C117FE" w14:textId="77777777" w:rsidTr="000041DB">
        <w:tc>
          <w:tcPr>
            <w:tcW w:w="800" w:type="dxa"/>
          </w:tcPr>
          <w:p w14:paraId="0EF90C7C" w14:textId="77777777" w:rsidR="00065317" w:rsidRDefault="005C7BF7">
            <w:pPr>
              <w:pStyle w:val="Compact"/>
            </w:pPr>
            <w:r>
              <w:t>P142</w:t>
            </w:r>
          </w:p>
        </w:tc>
        <w:tc>
          <w:tcPr>
            <w:tcW w:w="256" w:type="dxa"/>
          </w:tcPr>
          <w:p w14:paraId="0360BCBA" w14:textId="77777777" w:rsidR="00065317" w:rsidRDefault="005C7BF7">
            <w:pPr>
              <w:pStyle w:val="Compact"/>
            </w:pPr>
            <w:r>
              <w:t>-</w:t>
            </w:r>
          </w:p>
        </w:tc>
        <w:tc>
          <w:tcPr>
            <w:tcW w:w="267" w:type="dxa"/>
          </w:tcPr>
          <w:p w14:paraId="3134F095" w14:textId="77777777" w:rsidR="00065317" w:rsidRDefault="005C7BF7">
            <w:pPr>
              <w:pStyle w:val="Compact"/>
            </w:pPr>
            <w:r>
              <w:t>-</w:t>
            </w:r>
          </w:p>
        </w:tc>
        <w:tc>
          <w:tcPr>
            <w:tcW w:w="3985" w:type="dxa"/>
            <w:gridSpan w:val="4"/>
          </w:tcPr>
          <w:p w14:paraId="56FE42C5" w14:textId="77777777" w:rsidR="00065317" w:rsidRDefault="005C7BF7">
            <w:pPr>
              <w:pStyle w:val="Compact"/>
            </w:pPr>
            <w:r>
              <w:rPr>
                <w:rStyle w:val="VerbatimChar"/>
              </w:rPr>
              <w:t>P142_a_mobilisé_comme_élément (a_été_mobilisé_dans)</w:t>
            </w:r>
          </w:p>
        </w:tc>
        <w:tc>
          <w:tcPr>
            <w:tcW w:w="2620" w:type="dxa"/>
          </w:tcPr>
          <w:p w14:paraId="735453B5" w14:textId="75C95D0E" w:rsidR="00065317" w:rsidRDefault="005C7BF7">
            <w:pPr>
              <w:pStyle w:val="Compact"/>
            </w:pPr>
            <w:r>
              <w:rPr>
                <w:rStyle w:val="VerbatimChar"/>
              </w:rPr>
              <w:t>E15_Assignation_d</w:t>
            </w:r>
            <w:r w:rsidR="00E84B0E">
              <w:rPr>
                <w:rStyle w:val="VerbatimChar"/>
              </w:rPr>
              <w:t>’</w:t>
            </w:r>
            <w:r>
              <w:rPr>
                <w:rStyle w:val="VerbatimChar"/>
              </w:rPr>
              <w:t>identifiant</w:t>
            </w:r>
          </w:p>
        </w:tc>
        <w:tc>
          <w:tcPr>
            <w:tcW w:w="2268" w:type="dxa"/>
          </w:tcPr>
          <w:p w14:paraId="051C4649" w14:textId="77777777" w:rsidR="00065317" w:rsidRDefault="005C7BF7">
            <w:pPr>
              <w:pStyle w:val="Compact"/>
            </w:pPr>
            <w:r>
              <w:rPr>
                <w:rStyle w:val="VerbatimChar"/>
              </w:rPr>
              <w:t>E90_Objet_symbolique</w:t>
            </w:r>
          </w:p>
        </w:tc>
      </w:tr>
      <w:tr w:rsidR="00065317" w14:paraId="09440682" w14:textId="77777777" w:rsidTr="000041DB">
        <w:tc>
          <w:tcPr>
            <w:tcW w:w="800" w:type="dxa"/>
          </w:tcPr>
          <w:p w14:paraId="12C22AF7" w14:textId="77777777" w:rsidR="00065317" w:rsidRDefault="005C7BF7">
            <w:pPr>
              <w:pStyle w:val="Compact"/>
            </w:pPr>
            <w:r>
              <w:t>P17</w:t>
            </w:r>
          </w:p>
        </w:tc>
        <w:tc>
          <w:tcPr>
            <w:tcW w:w="256" w:type="dxa"/>
          </w:tcPr>
          <w:p w14:paraId="3DF70858" w14:textId="77777777" w:rsidR="00065317" w:rsidRDefault="005C7BF7">
            <w:pPr>
              <w:pStyle w:val="Compact"/>
            </w:pPr>
            <w:r>
              <w:t>-</w:t>
            </w:r>
          </w:p>
        </w:tc>
        <w:tc>
          <w:tcPr>
            <w:tcW w:w="4252" w:type="dxa"/>
            <w:gridSpan w:val="5"/>
          </w:tcPr>
          <w:p w14:paraId="4907DDCD" w14:textId="77777777" w:rsidR="00065317" w:rsidRDefault="005C7BF7">
            <w:pPr>
              <w:pStyle w:val="Compact"/>
            </w:pPr>
            <w:r>
              <w:rPr>
                <w:rStyle w:val="VerbatimChar"/>
              </w:rPr>
              <w:t>P17_a_été_motivé_par (a_motivé)</w:t>
            </w:r>
          </w:p>
        </w:tc>
        <w:tc>
          <w:tcPr>
            <w:tcW w:w="2620" w:type="dxa"/>
          </w:tcPr>
          <w:p w14:paraId="4DD4E667" w14:textId="77777777" w:rsidR="00065317" w:rsidRDefault="005C7BF7">
            <w:pPr>
              <w:pStyle w:val="Compact"/>
            </w:pPr>
            <w:r>
              <w:rPr>
                <w:rStyle w:val="VerbatimChar"/>
              </w:rPr>
              <w:t>E7_Activité</w:t>
            </w:r>
          </w:p>
        </w:tc>
        <w:tc>
          <w:tcPr>
            <w:tcW w:w="2268" w:type="dxa"/>
          </w:tcPr>
          <w:p w14:paraId="7B97CA97" w14:textId="77777777" w:rsidR="00065317" w:rsidRDefault="005C7BF7">
            <w:pPr>
              <w:pStyle w:val="Compact"/>
            </w:pPr>
            <w:r>
              <w:rPr>
                <w:rStyle w:val="VerbatimChar"/>
              </w:rPr>
              <w:t>E1_Entité_CRM</w:t>
            </w:r>
          </w:p>
        </w:tc>
      </w:tr>
      <w:tr w:rsidR="00065317" w14:paraId="46DF4EB9" w14:textId="77777777" w:rsidTr="000041DB">
        <w:tc>
          <w:tcPr>
            <w:tcW w:w="800" w:type="dxa"/>
          </w:tcPr>
          <w:p w14:paraId="11BA6240" w14:textId="77777777" w:rsidR="00065317" w:rsidRDefault="005C7BF7">
            <w:pPr>
              <w:pStyle w:val="Compact"/>
            </w:pPr>
            <w:r>
              <w:lastRenderedPageBreak/>
              <w:t>P134</w:t>
            </w:r>
          </w:p>
        </w:tc>
        <w:tc>
          <w:tcPr>
            <w:tcW w:w="256" w:type="dxa"/>
          </w:tcPr>
          <w:p w14:paraId="3657ED7E" w14:textId="77777777" w:rsidR="00065317" w:rsidRDefault="005C7BF7">
            <w:pPr>
              <w:pStyle w:val="Compact"/>
            </w:pPr>
            <w:r>
              <w:t>-</w:t>
            </w:r>
          </w:p>
        </w:tc>
        <w:tc>
          <w:tcPr>
            <w:tcW w:w="4252" w:type="dxa"/>
            <w:gridSpan w:val="5"/>
          </w:tcPr>
          <w:p w14:paraId="663ED61C" w14:textId="77777777" w:rsidR="00065317" w:rsidRDefault="005C7BF7">
            <w:pPr>
              <w:pStyle w:val="Compact"/>
            </w:pPr>
            <w:r>
              <w:rPr>
                <w:rStyle w:val="VerbatimChar"/>
              </w:rPr>
              <w:t>P134_a_continué (a_été_continué_par)</w:t>
            </w:r>
          </w:p>
        </w:tc>
        <w:tc>
          <w:tcPr>
            <w:tcW w:w="2620" w:type="dxa"/>
          </w:tcPr>
          <w:p w14:paraId="13A8DA20" w14:textId="77777777" w:rsidR="00065317" w:rsidRDefault="005C7BF7">
            <w:pPr>
              <w:pStyle w:val="Compact"/>
            </w:pPr>
            <w:r>
              <w:rPr>
                <w:rStyle w:val="VerbatimChar"/>
              </w:rPr>
              <w:t>E7_Activité</w:t>
            </w:r>
          </w:p>
        </w:tc>
        <w:tc>
          <w:tcPr>
            <w:tcW w:w="2268" w:type="dxa"/>
          </w:tcPr>
          <w:p w14:paraId="4FC4AAF5" w14:textId="77777777" w:rsidR="00065317" w:rsidRDefault="005C7BF7">
            <w:pPr>
              <w:pStyle w:val="Compact"/>
            </w:pPr>
            <w:r>
              <w:rPr>
                <w:rStyle w:val="VerbatimChar"/>
              </w:rPr>
              <w:t>E7_Activité</w:t>
            </w:r>
          </w:p>
        </w:tc>
      </w:tr>
      <w:tr w:rsidR="00065317" w14:paraId="4A4CF753" w14:textId="77777777" w:rsidTr="000041DB">
        <w:tc>
          <w:tcPr>
            <w:tcW w:w="800" w:type="dxa"/>
          </w:tcPr>
          <w:p w14:paraId="7FDBE140" w14:textId="77777777" w:rsidR="00065317" w:rsidRDefault="005C7BF7">
            <w:pPr>
              <w:pStyle w:val="Compact"/>
            </w:pPr>
            <w:r>
              <w:t>P136</w:t>
            </w:r>
          </w:p>
        </w:tc>
        <w:tc>
          <w:tcPr>
            <w:tcW w:w="256" w:type="dxa"/>
          </w:tcPr>
          <w:p w14:paraId="315D507B" w14:textId="77777777" w:rsidR="00065317" w:rsidRDefault="005C7BF7">
            <w:pPr>
              <w:pStyle w:val="Compact"/>
            </w:pPr>
            <w:r>
              <w:t>-</w:t>
            </w:r>
          </w:p>
        </w:tc>
        <w:tc>
          <w:tcPr>
            <w:tcW w:w="4252" w:type="dxa"/>
            <w:gridSpan w:val="5"/>
          </w:tcPr>
          <w:p w14:paraId="63E55ED1" w14:textId="77777777" w:rsidR="00065317" w:rsidRDefault="005C7BF7">
            <w:pPr>
              <w:pStyle w:val="Compact"/>
            </w:pPr>
            <w:r>
              <w:rPr>
                <w:rStyle w:val="VerbatimChar"/>
              </w:rPr>
              <w:t>P136_a_été_fondé_sur (a_fondé_la_création_du_type)</w:t>
            </w:r>
          </w:p>
        </w:tc>
        <w:tc>
          <w:tcPr>
            <w:tcW w:w="2620" w:type="dxa"/>
          </w:tcPr>
          <w:p w14:paraId="7173537C" w14:textId="77777777" w:rsidR="00065317" w:rsidRDefault="005C7BF7">
            <w:pPr>
              <w:pStyle w:val="Compact"/>
            </w:pPr>
            <w:r>
              <w:rPr>
                <w:rStyle w:val="VerbatimChar"/>
              </w:rPr>
              <w:t>E83_Création_de_type</w:t>
            </w:r>
          </w:p>
        </w:tc>
        <w:tc>
          <w:tcPr>
            <w:tcW w:w="2268" w:type="dxa"/>
          </w:tcPr>
          <w:p w14:paraId="7056BAE6" w14:textId="77777777" w:rsidR="00065317" w:rsidRDefault="005C7BF7">
            <w:pPr>
              <w:pStyle w:val="Compact"/>
            </w:pPr>
            <w:r>
              <w:rPr>
                <w:rStyle w:val="VerbatimChar"/>
              </w:rPr>
              <w:t>E1_Entité_CRM</w:t>
            </w:r>
          </w:p>
        </w:tc>
      </w:tr>
      <w:tr w:rsidR="00065317" w14:paraId="121101FE" w14:textId="77777777" w:rsidTr="000041DB">
        <w:tc>
          <w:tcPr>
            <w:tcW w:w="800" w:type="dxa"/>
          </w:tcPr>
          <w:p w14:paraId="05B9090B" w14:textId="77777777" w:rsidR="00065317" w:rsidRDefault="005C7BF7">
            <w:pPr>
              <w:pStyle w:val="Compact"/>
            </w:pPr>
            <w:r>
              <w:t>P19</w:t>
            </w:r>
          </w:p>
        </w:tc>
        <w:tc>
          <w:tcPr>
            <w:tcW w:w="4508" w:type="dxa"/>
            <w:gridSpan w:val="6"/>
          </w:tcPr>
          <w:p w14:paraId="269C8EF7" w14:textId="3557BF45" w:rsidR="00065317" w:rsidRDefault="005C7BF7">
            <w:pPr>
              <w:pStyle w:val="Compact"/>
            </w:pPr>
            <w:r>
              <w:rPr>
                <w:rStyle w:val="VerbatimChar"/>
              </w:rPr>
              <w:t>P19_a_été_l</w:t>
            </w:r>
            <w:r w:rsidR="00E84B0E">
              <w:rPr>
                <w:rStyle w:val="VerbatimChar"/>
              </w:rPr>
              <w:t>’</w:t>
            </w:r>
            <w:r>
              <w:rPr>
                <w:rStyle w:val="VerbatimChar"/>
              </w:rPr>
              <w:t>usage_prévu_de (a_été_élaboré_pour)</w:t>
            </w:r>
          </w:p>
        </w:tc>
        <w:tc>
          <w:tcPr>
            <w:tcW w:w="2620" w:type="dxa"/>
          </w:tcPr>
          <w:p w14:paraId="5F255466" w14:textId="77777777" w:rsidR="00065317" w:rsidRDefault="005C7BF7">
            <w:pPr>
              <w:pStyle w:val="Compact"/>
            </w:pPr>
            <w:r>
              <w:rPr>
                <w:rStyle w:val="VerbatimChar"/>
              </w:rPr>
              <w:t>E7_Activité</w:t>
            </w:r>
          </w:p>
        </w:tc>
        <w:tc>
          <w:tcPr>
            <w:tcW w:w="2268" w:type="dxa"/>
          </w:tcPr>
          <w:p w14:paraId="3623AF83" w14:textId="0B0F0636" w:rsidR="00065317" w:rsidRDefault="005C7BF7">
            <w:pPr>
              <w:pStyle w:val="Compact"/>
            </w:pPr>
            <w:r>
              <w:rPr>
                <w:rStyle w:val="VerbatimChar"/>
              </w:rPr>
              <w:t>E71_Chose_élaborée_par_l</w:t>
            </w:r>
            <w:r w:rsidR="00E84B0E">
              <w:rPr>
                <w:rStyle w:val="VerbatimChar"/>
              </w:rPr>
              <w:t>’</w:t>
            </w:r>
            <w:r>
              <w:rPr>
                <w:rStyle w:val="VerbatimChar"/>
              </w:rPr>
              <w:t>humain</w:t>
            </w:r>
          </w:p>
        </w:tc>
      </w:tr>
      <w:tr w:rsidR="00065317" w14:paraId="6833B672" w14:textId="77777777" w:rsidTr="000041DB">
        <w:tc>
          <w:tcPr>
            <w:tcW w:w="800" w:type="dxa"/>
          </w:tcPr>
          <w:p w14:paraId="3186391A" w14:textId="77777777" w:rsidR="00065317" w:rsidRDefault="005C7BF7">
            <w:pPr>
              <w:pStyle w:val="Compact"/>
            </w:pPr>
            <w:r>
              <w:t>P20</w:t>
            </w:r>
          </w:p>
        </w:tc>
        <w:tc>
          <w:tcPr>
            <w:tcW w:w="4508" w:type="dxa"/>
            <w:gridSpan w:val="6"/>
          </w:tcPr>
          <w:p w14:paraId="05496D65" w14:textId="77777777" w:rsidR="00065317" w:rsidRDefault="005C7BF7">
            <w:pPr>
              <w:pStyle w:val="Compact"/>
            </w:pPr>
            <w:r>
              <w:rPr>
                <w:rStyle w:val="VerbatimChar"/>
              </w:rPr>
              <w:t>P20_a_eu_pour_finalité_spécifique (a_été_la_finalité_de)</w:t>
            </w:r>
          </w:p>
        </w:tc>
        <w:tc>
          <w:tcPr>
            <w:tcW w:w="2620" w:type="dxa"/>
          </w:tcPr>
          <w:p w14:paraId="6CF67216" w14:textId="77777777" w:rsidR="00065317" w:rsidRDefault="005C7BF7">
            <w:pPr>
              <w:pStyle w:val="Compact"/>
            </w:pPr>
            <w:r>
              <w:rPr>
                <w:rStyle w:val="VerbatimChar"/>
              </w:rPr>
              <w:t>E7_Activité</w:t>
            </w:r>
          </w:p>
        </w:tc>
        <w:tc>
          <w:tcPr>
            <w:tcW w:w="2268" w:type="dxa"/>
          </w:tcPr>
          <w:p w14:paraId="4583B140" w14:textId="77777777" w:rsidR="00065317" w:rsidRDefault="005C7BF7">
            <w:pPr>
              <w:pStyle w:val="Compact"/>
            </w:pPr>
            <w:r>
              <w:rPr>
                <w:rStyle w:val="VerbatimChar"/>
              </w:rPr>
              <w:t>E5_Évènement</w:t>
            </w:r>
          </w:p>
        </w:tc>
      </w:tr>
      <w:tr w:rsidR="00065317" w14:paraId="06BF2BD8" w14:textId="77777777" w:rsidTr="000041DB">
        <w:tc>
          <w:tcPr>
            <w:tcW w:w="800" w:type="dxa"/>
          </w:tcPr>
          <w:p w14:paraId="22EB1738" w14:textId="77777777" w:rsidR="00065317" w:rsidRDefault="005C7BF7">
            <w:pPr>
              <w:pStyle w:val="Compact"/>
            </w:pPr>
            <w:r>
              <w:t>P21</w:t>
            </w:r>
          </w:p>
        </w:tc>
        <w:tc>
          <w:tcPr>
            <w:tcW w:w="4508" w:type="dxa"/>
            <w:gridSpan w:val="6"/>
          </w:tcPr>
          <w:p w14:paraId="2FE69716" w14:textId="77777777" w:rsidR="00065317" w:rsidRDefault="005C7BF7">
            <w:pPr>
              <w:pStyle w:val="Compact"/>
            </w:pPr>
            <w:r>
              <w:rPr>
                <w:rStyle w:val="VerbatimChar"/>
              </w:rPr>
              <w:t>P21_a_eu_pour_finalité_générale (a_été_la_finalité_de)</w:t>
            </w:r>
          </w:p>
        </w:tc>
        <w:tc>
          <w:tcPr>
            <w:tcW w:w="2620" w:type="dxa"/>
          </w:tcPr>
          <w:p w14:paraId="3C3EF55E" w14:textId="77777777" w:rsidR="00065317" w:rsidRDefault="005C7BF7">
            <w:pPr>
              <w:pStyle w:val="Compact"/>
            </w:pPr>
            <w:r>
              <w:rPr>
                <w:rStyle w:val="VerbatimChar"/>
              </w:rPr>
              <w:t>E7_Activité</w:t>
            </w:r>
          </w:p>
        </w:tc>
        <w:tc>
          <w:tcPr>
            <w:tcW w:w="2268" w:type="dxa"/>
          </w:tcPr>
          <w:p w14:paraId="5657F0D6" w14:textId="77777777" w:rsidR="00065317" w:rsidRDefault="005C7BF7">
            <w:pPr>
              <w:pStyle w:val="Compact"/>
            </w:pPr>
            <w:r>
              <w:rPr>
                <w:rStyle w:val="VerbatimChar"/>
              </w:rPr>
              <w:t>E55_Type</w:t>
            </w:r>
          </w:p>
        </w:tc>
      </w:tr>
      <w:tr w:rsidR="00065317" w14:paraId="440B746D" w14:textId="77777777" w:rsidTr="000041DB">
        <w:tc>
          <w:tcPr>
            <w:tcW w:w="800" w:type="dxa"/>
          </w:tcPr>
          <w:p w14:paraId="6F01B8BC" w14:textId="77777777" w:rsidR="00065317" w:rsidRDefault="005C7BF7">
            <w:pPr>
              <w:pStyle w:val="Compact"/>
            </w:pPr>
            <w:r>
              <w:t>P24</w:t>
            </w:r>
          </w:p>
        </w:tc>
        <w:tc>
          <w:tcPr>
            <w:tcW w:w="4508" w:type="dxa"/>
            <w:gridSpan w:val="6"/>
          </w:tcPr>
          <w:p w14:paraId="3018F823" w14:textId="77777777" w:rsidR="00065317" w:rsidRDefault="005C7BF7">
            <w:pPr>
              <w:pStyle w:val="Compact"/>
            </w:pPr>
            <w:r>
              <w:rPr>
                <w:rStyle w:val="VerbatimChar"/>
              </w:rPr>
              <w:t>P24_a_transféré_le_titre_de_propriété_de (a_changé_de_propriétaire_par)</w:t>
            </w:r>
          </w:p>
        </w:tc>
        <w:tc>
          <w:tcPr>
            <w:tcW w:w="2620" w:type="dxa"/>
          </w:tcPr>
          <w:p w14:paraId="48F429A9" w14:textId="77777777" w:rsidR="00065317" w:rsidRDefault="005C7BF7">
            <w:pPr>
              <w:pStyle w:val="Compact"/>
            </w:pPr>
            <w:r>
              <w:rPr>
                <w:rStyle w:val="VerbatimChar"/>
              </w:rPr>
              <w:t>E8_Acquisition</w:t>
            </w:r>
          </w:p>
        </w:tc>
        <w:tc>
          <w:tcPr>
            <w:tcW w:w="2268" w:type="dxa"/>
          </w:tcPr>
          <w:p w14:paraId="59EF1528" w14:textId="77777777" w:rsidR="00065317" w:rsidRDefault="005C7BF7">
            <w:pPr>
              <w:pStyle w:val="Compact"/>
            </w:pPr>
            <w:r>
              <w:rPr>
                <w:rStyle w:val="VerbatimChar"/>
              </w:rPr>
              <w:t>E18_Chose_matérielle</w:t>
            </w:r>
          </w:p>
        </w:tc>
      </w:tr>
      <w:tr w:rsidR="00065317" w14:paraId="3C51D621" w14:textId="77777777" w:rsidTr="000041DB">
        <w:tc>
          <w:tcPr>
            <w:tcW w:w="800" w:type="dxa"/>
          </w:tcPr>
          <w:p w14:paraId="067E4BB9" w14:textId="77777777" w:rsidR="00065317" w:rsidRDefault="005C7BF7">
            <w:pPr>
              <w:pStyle w:val="Compact"/>
            </w:pPr>
            <w:r>
              <w:t>P26</w:t>
            </w:r>
          </w:p>
        </w:tc>
        <w:tc>
          <w:tcPr>
            <w:tcW w:w="4508" w:type="dxa"/>
            <w:gridSpan w:val="6"/>
          </w:tcPr>
          <w:p w14:paraId="362BAEAE" w14:textId="77777777" w:rsidR="00065317" w:rsidRDefault="005C7BF7">
            <w:pPr>
              <w:pStyle w:val="Compact"/>
            </w:pPr>
            <w:r>
              <w:rPr>
                <w:rStyle w:val="VerbatimChar"/>
              </w:rPr>
              <w:t>P26_a_déplacé_à (a_été_la_destination_de)</w:t>
            </w:r>
          </w:p>
        </w:tc>
        <w:tc>
          <w:tcPr>
            <w:tcW w:w="2620" w:type="dxa"/>
          </w:tcPr>
          <w:p w14:paraId="44D92513" w14:textId="77777777" w:rsidR="00065317" w:rsidRDefault="005C7BF7">
            <w:pPr>
              <w:pStyle w:val="Compact"/>
            </w:pPr>
            <w:r>
              <w:rPr>
                <w:rStyle w:val="VerbatimChar"/>
              </w:rPr>
              <w:t>E9_Déplacement</w:t>
            </w:r>
          </w:p>
        </w:tc>
        <w:tc>
          <w:tcPr>
            <w:tcW w:w="2268" w:type="dxa"/>
          </w:tcPr>
          <w:p w14:paraId="597017E7" w14:textId="77777777" w:rsidR="00065317" w:rsidRDefault="005C7BF7">
            <w:pPr>
              <w:pStyle w:val="Compact"/>
            </w:pPr>
            <w:r>
              <w:rPr>
                <w:rStyle w:val="VerbatimChar"/>
              </w:rPr>
              <w:t>E53_Lieu</w:t>
            </w:r>
          </w:p>
        </w:tc>
      </w:tr>
      <w:tr w:rsidR="00065317" w14:paraId="07B84D66" w14:textId="77777777" w:rsidTr="000041DB">
        <w:tc>
          <w:tcPr>
            <w:tcW w:w="800" w:type="dxa"/>
          </w:tcPr>
          <w:p w14:paraId="2A908855" w14:textId="77777777" w:rsidR="00065317" w:rsidRDefault="005C7BF7">
            <w:pPr>
              <w:pStyle w:val="Compact"/>
            </w:pPr>
            <w:r>
              <w:t>P27</w:t>
            </w:r>
          </w:p>
        </w:tc>
        <w:tc>
          <w:tcPr>
            <w:tcW w:w="4508" w:type="dxa"/>
            <w:gridSpan w:val="6"/>
          </w:tcPr>
          <w:p w14:paraId="05CADE47" w14:textId="77777777" w:rsidR="00065317" w:rsidRDefault="005C7BF7">
            <w:pPr>
              <w:pStyle w:val="Compact"/>
            </w:pPr>
            <w:r>
              <w:rPr>
                <w:rStyle w:val="VerbatimChar"/>
              </w:rPr>
              <w:t>P27_a_déplacé_depuis (a_été_le_point_de_départ_de)</w:t>
            </w:r>
          </w:p>
        </w:tc>
        <w:tc>
          <w:tcPr>
            <w:tcW w:w="2620" w:type="dxa"/>
          </w:tcPr>
          <w:p w14:paraId="52BE0283" w14:textId="77777777" w:rsidR="00065317" w:rsidRDefault="005C7BF7">
            <w:pPr>
              <w:pStyle w:val="Compact"/>
            </w:pPr>
            <w:r>
              <w:rPr>
                <w:rStyle w:val="VerbatimChar"/>
              </w:rPr>
              <w:t>E9_Déplacement</w:t>
            </w:r>
          </w:p>
        </w:tc>
        <w:tc>
          <w:tcPr>
            <w:tcW w:w="2268" w:type="dxa"/>
          </w:tcPr>
          <w:p w14:paraId="5E7348AF" w14:textId="77777777" w:rsidR="00065317" w:rsidRDefault="005C7BF7">
            <w:pPr>
              <w:pStyle w:val="Compact"/>
            </w:pPr>
            <w:r>
              <w:rPr>
                <w:rStyle w:val="VerbatimChar"/>
              </w:rPr>
              <w:t>E53_Lieu</w:t>
            </w:r>
          </w:p>
        </w:tc>
      </w:tr>
      <w:tr w:rsidR="00065317" w14:paraId="7A7787C1" w14:textId="77777777" w:rsidTr="000041DB">
        <w:tc>
          <w:tcPr>
            <w:tcW w:w="800" w:type="dxa"/>
          </w:tcPr>
          <w:p w14:paraId="447E0424" w14:textId="77777777" w:rsidR="00065317" w:rsidRDefault="005C7BF7">
            <w:pPr>
              <w:pStyle w:val="Compact"/>
            </w:pPr>
            <w:r>
              <w:t>P30</w:t>
            </w:r>
          </w:p>
        </w:tc>
        <w:tc>
          <w:tcPr>
            <w:tcW w:w="4508" w:type="dxa"/>
            <w:gridSpan w:val="6"/>
          </w:tcPr>
          <w:p w14:paraId="3171BADC" w14:textId="5469FEE0" w:rsidR="00065317" w:rsidRDefault="005C7BF7">
            <w:pPr>
              <w:pStyle w:val="Compact"/>
            </w:pPr>
            <w:r>
              <w:rPr>
                <w:rStyle w:val="VerbatimChar"/>
              </w:rPr>
              <w:t>P30_a_transféré_la_garde_de (a_été_l</w:t>
            </w:r>
            <w:r w:rsidR="00E84B0E">
              <w:rPr>
                <w:rStyle w:val="VerbatimChar"/>
              </w:rPr>
              <w:t>’</w:t>
            </w:r>
            <w:r>
              <w:rPr>
                <w:rStyle w:val="VerbatimChar"/>
              </w:rPr>
              <w:t>objet_d</w:t>
            </w:r>
            <w:r w:rsidR="00E84B0E">
              <w:rPr>
                <w:rStyle w:val="VerbatimChar"/>
              </w:rPr>
              <w:t>’</w:t>
            </w:r>
            <w:r>
              <w:rPr>
                <w:rStyle w:val="VerbatimChar"/>
              </w:rPr>
              <w:t>un_transfert_de_garde_par)</w:t>
            </w:r>
          </w:p>
        </w:tc>
        <w:tc>
          <w:tcPr>
            <w:tcW w:w="2620" w:type="dxa"/>
          </w:tcPr>
          <w:p w14:paraId="731A6555" w14:textId="77777777" w:rsidR="00065317" w:rsidRDefault="005C7BF7">
            <w:pPr>
              <w:pStyle w:val="Compact"/>
            </w:pPr>
            <w:r>
              <w:rPr>
                <w:rStyle w:val="VerbatimChar"/>
              </w:rPr>
              <w:t>E10_Transfert_de_la_garde</w:t>
            </w:r>
          </w:p>
        </w:tc>
        <w:tc>
          <w:tcPr>
            <w:tcW w:w="2268" w:type="dxa"/>
          </w:tcPr>
          <w:p w14:paraId="56AE5ECB" w14:textId="77777777" w:rsidR="00065317" w:rsidRDefault="005C7BF7">
            <w:pPr>
              <w:pStyle w:val="Compact"/>
            </w:pPr>
            <w:r>
              <w:rPr>
                <w:rStyle w:val="VerbatimChar"/>
              </w:rPr>
              <w:t>E18_Chose_matérielle</w:t>
            </w:r>
          </w:p>
        </w:tc>
      </w:tr>
      <w:tr w:rsidR="00065317" w14:paraId="03AB9C1A" w14:textId="77777777" w:rsidTr="000041DB">
        <w:tc>
          <w:tcPr>
            <w:tcW w:w="800" w:type="dxa"/>
          </w:tcPr>
          <w:p w14:paraId="569FFA89" w14:textId="77777777" w:rsidR="00065317" w:rsidRDefault="005C7BF7">
            <w:pPr>
              <w:pStyle w:val="Compact"/>
            </w:pPr>
            <w:r>
              <w:t>P43</w:t>
            </w:r>
          </w:p>
        </w:tc>
        <w:tc>
          <w:tcPr>
            <w:tcW w:w="4508" w:type="dxa"/>
            <w:gridSpan w:val="6"/>
          </w:tcPr>
          <w:p w14:paraId="525B4AB0" w14:textId="77777777" w:rsidR="00065317" w:rsidRDefault="005C7BF7">
            <w:pPr>
              <w:pStyle w:val="Compact"/>
            </w:pPr>
            <w:r>
              <w:rPr>
                <w:rStyle w:val="VerbatimChar"/>
              </w:rPr>
              <w:t>P43_a_pour_dimension (est_la_dimension_de)</w:t>
            </w:r>
          </w:p>
        </w:tc>
        <w:tc>
          <w:tcPr>
            <w:tcW w:w="2620" w:type="dxa"/>
          </w:tcPr>
          <w:p w14:paraId="134D1184" w14:textId="77777777" w:rsidR="00065317" w:rsidRDefault="005C7BF7">
            <w:pPr>
              <w:pStyle w:val="Compact"/>
            </w:pPr>
            <w:r>
              <w:rPr>
                <w:rStyle w:val="VerbatimChar"/>
              </w:rPr>
              <w:t>E70_Chose</w:t>
            </w:r>
          </w:p>
        </w:tc>
        <w:tc>
          <w:tcPr>
            <w:tcW w:w="2268" w:type="dxa"/>
          </w:tcPr>
          <w:p w14:paraId="0EA5A4B0" w14:textId="77777777" w:rsidR="00065317" w:rsidRDefault="005C7BF7">
            <w:pPr>
              <w:pStyle w:val="Compact"/>
            </w:pPr>
            <w:r>
              <w:rPr>
                <w:rStyle w:val="VerbatimChar"/>
              </w:rPr>
              <w:t>E54_Dimension</w:t>
            </w:r>
          </w:p>
        </w:tc>
      </w:tr>
      <w:tr w:rsidR="00065317" w14:paraId="51F25344" w14:textId="77777777" w:rsidTr="000041DB">
        <w:tc>
          <w:tcPr>
            <w:tcW w:w="800" w:type="dxa"/>
          </w:tcPr>
          <w:p w14:paraId="699052B5" w14:textId="77777777" w:rsidR="00065317" w:rsidRDefault="005C7BF7">
            <w:pPr>
              <w:pStyle w:val="Compact"/>
            </w:pPr>
            <w:r>
              <w:t>P44</w:t>
            </w:r>
          </w:p>
        </w:tc>
        <w:tc>
          <w:tcPr>
            <w:tcW w:w="4508" w:type="dxa"/>
            <w:gridSpan w:val="6"/>
          </w:tcPr>
          <w:p w14:paraId="60C1CB9C" w14:textId="6B8EFA40" w:rsidR="00065317" w:rsidRDefault="005C7BF7">
            <w:pPr>
              <w:pStyle w:val="Compact"/>
            </w:pPr>
            <w:r>
              <w:rPr>
                <w:rStyle w:val="VerbatimChar"/>
              </w:rPr>
              <w:t>P44_a_pour_état_matériel (est_l</w:t>
            </w:r>
            <w:r w:rsidR="00E84B0E">
              <w:rPr>
                <w:rStyle w:val="VerbatimChar"/>
              </w:rPr>
              <w:t>’</w:t>
            </w:r>
            <w:r>
              <w:rPr>
                <w:rStyle w:val="VerbatimChar"/>
              </w:rPr>
              <w:t>état_matériel_de)</w:t>
            </w:r>
          </w:p>
        </w:tc>
        <w:tc>
          <w:tcPr>
            <w:tcW w:w="2620" w:type="dxa"/>
          </w:tcPr>
          <w:p w14:paraId="05AD020E" w14:textId="77777777" w:rsidR="00065317" w:rsidRDefault="005C7BF7">
            <w:pPr>
              <w:pStyle w:val="Compact"/>
            </w:pPr>
            <w:r>
              <w:rPr>
                <w:rStyle w:val="VerbatimChar"/>
              </w:rPr>
              <w:t>E18_Chose_matérielle</w:t>
            </w:r>
          </w:p>
        </w:tc>
        <w:tc>
          <w:tcPr>
            <w:tcW w:w="2268" w:type="dxa"/>
          </w:tcPr>
          <w:p w14:paraId="59349984" w14:textId="77777777" w:rsidR="00065317" w:rsidRDefault="005C7BF7">
            <w:pPr>
              <w:pStyle w:val="Compact"/>
            </w:pPr>
            <w:r>
              <w:rPr>
                <w:rStyle w:val="VerbatimChar"/>
              </w:rPr>
              <w:t>E3_État_matériel</w:t>
            </w:r>
          </w:p>
        </w:tc>
      </w:tr>
      <w:tr w:rsidR="00065317" w14:paraId="5B9B1362" w14:textId="77777777" w:rsidTr="000041DB">
        <w:tc>
          <w:tcPr>
            <w:tcW w:w="800" w:type="dxa"/>
          </w:tcPr>
          <w:p w14:paraId="58712A46" w14:textId="77777777" w:rsidR="00065317" w:rsidRDefault="005C7BF7">
            <w:pPr>
              <w:pStyle w:val="Compact"/>
            </w:pPr>
            <w:r>
              <w:t>P45</w:t>
            </w:r>
          </w:p>
        </w:tc>
        <w:tc>
          <w:tcPr>
            <w:tcW w:w="4508" w:type="dxa"/>
            <w:gridSpan w:val="6"/>
          </w:tcPr>
          <w:p w14:paraId="086F9FB7" w14:textId="77777777" w:rsidR="00065317" w:rsidRDefault="005C7BF7">
            <w:pPr>
              <w:pStyle w:val="Compact"/>
            </w:pPr>
            <w:r>
              <w:rPr>
                <w:rStyle w:val="VerbatimChar"/>
              </w:rPr>
              <w:t>P45_comprend (est_inclus_dans)</w:t>
            </w:r>
          </w:p>
        </w:tc>
        <w:tc>
          <w:tcPr>
            <w:tcW w:w="2620" w:type="dxa"/>
          </w:tcPr>
          <w:p w14:paraId="3D4EF29E" w14:textId="77777777" w:rsidR="00065317" w:rsidRDefault="005C7BF7">
            <w:pPr>
              <w:pStyle w:val="Compact"/>
            </w:pPr>
            <w:r>
              <w:rPr>
                <w:rStyle w:val="VerbatimChar"/>
              </w:rPr>
              <w:t>E18_Chose_matérielle</w:t>
            </w:r>
          </w:p>
        </w:tc>
        <w:tc>
          <w:tcPr>
            <w:tcW w:w="2268" w:type="dxa"/>
          </w:tcPr>
          <w:p w14:paraId="18BE67A6" w14:textId="77777777" w:rsidR="00065317" w:rsidRDefault="005C7BF7">
            <w:pPr>
              <w:pStyle w:val="Compact"/>
            </w:pPr>
            <w:r>
              <w:rPr>
                <w:rStyle w:val="VerbatimChar"/>
              </w:rPr>
              <w:t>E57_Matériau</w:t>
            </w:r>
          </w:p>
        </w:tc>
      </w:tr>
      <w:tr w:rsidR="00065317" w14:paraId="38BE936F" w14:textId="77777777" w:rsidTr="000041DB">
        <w:tc>
          <w:tcPr>
            <w:tcW w:w="800" w:type="dxa"/>
          </w:tcPr>
          <w:p w14:paraId="67438CC3" w14:textId="77777777" w:rsidR="00065317" w:rsidRDefault="005C7BF7">
            <w:pPr>
              <w:pStyle w:val="Compact"/>
            </w:pPr>
            <w:r>
              <w:t>P49</w:t>
            </w:r>
          </w:p>
        </w:tc>
        <w:tc>
          <w:tcPr>
            <w:tcW w:w="4508" w:type="dxa"/>
            <w:gridSpan w:val="6"/>
          </w:tcPr>
          <w:p w14:paraId="257BFFD7" w14:textId="51330B39" w:rsidR="00065317" w:rsidRDefault="005C7BF7">
            <w:pPr>
              <w:pStyle w:val="Compact"/>
            </w:pPr>
            <w:r>
              <w:rPr>
                <w:rStyle w:val="VerbatimChar"/>
              </w:rPr>
              <w:t>P49_a_pour_actant_détenteur_actuel_ou_antérieur (est_l</w:t>
            </w:r>
            <w:r w:rsidR="00E84B0E">
              <w:rPr>
                <w:rStyle w:val="VerbatimChar"/>
              </w:rPr>
              <w:t>’</w:t>
            </w:r>
            <w:r>
              <w:rPr>
                <w:rStyle w:val="VerbatimChar"/>
              </w:rPr>
              <w:t>actant_détenteur_actuel_ou_antérieur_de)</w:t>
            </w:r>
          </w:p>
        </w:tc>
        <w:tc>
          <w:tcPr>
            <w:tcW w:w="2620" w:type="dxa"/>
          </w:tcPr>
          <w:p w14:paraId="21129D45" w14:textId="77777777" w:rsidR="00065317" w:rsidRDefault="005C7BF7">
            <w:pPr>
              <w:pStyle w:val="Compact"/>
            </w:pPr>
            <w:r>
              <w:rPr>
                <w:rStyle w:val="VerbatimChar"/>
              </w:rPr>
              <w:t>E18_Chose_matérielle</w:t>
            </w:r>
          </w:p>
        </w:tc>
        <w:tc>
          <w:tcPr>
            <w:tcW w:w="2268" w:type="dxa"/>
          </w:tcPr>
          <w:p w14:paraId="62282273" w14:textId="77777777" w:rsidR="00065317" w:rsidRDefault="005C7BF7">
            <w:pPr>
              <w:pStyle w:val="Compact"/>
            </w:pPr>
            <w:r>
              <w:rPr>
                <w:rStyle w:val="VerbatimChar"/>
              </w:rPr>
              <w:t>E39_Actant</w:t>
            </w:r>
          </w:p>
        </w:tc>
      </w:tr>
      <w:tr w:rsidR="00065317" w14:paraId="656214F0" w14:textId="77777777" w:rsidTr="000041DB">
        <w:tc>
          <w:tcPr>
            <w:tcW w:w="800" w:type="dxa"/>
          </w:tcPr>
          <w:p w14:paraId="022AD442" w14:textId="77777777" w:rsidR="00065317" w:rsidRDefault="005C7BF7">
            <w:pPr>
              <w:pStyle w:val="Compact"/>
            </w:pPr>
            <w:r>
              <w:t>P50</w:t>
            </w:r>
          </w:p>
        </w:tc>
        <w:tc>
          <w:tcPr>
            <w:tcW w:w="256" w:type="dxa"/>
          </w:tcPr>
          <w:p w14:paraId="401D8DAA" w14:textId="77777777" w:rsidR="00065317" w:rsidRDefault="005C7BF7">
            <w:pPr>
              <w:pStyle w:val="Compact"/>
            </w:pPr>
            <w:r>
              <w:t>-</w:t>
            </w:r>
          </w:p>
        </w:tc>
        <w:tc>
          <w:tcPr>
            <w:tcW w:w="4252" w:type="dxa"/>
            <w:gridSpan w:val="5"/>
          </w:tcPr>
          <w:p w14:paraId="48D09A9C" w14:textId="46110B17" w:rsidR="00065317" w:rsidRDefault="005C7BF7">
            <w:pPr>
              <w:pStyle w:val="Compact"/>
            </w:pPr>
            <w:r>
              <w:rPr>
                <w:rStyle w:val="VerbatimChar"/>
              </w:rPr>
              <w:t>P50_a_pour_actant_détenteur_actuel (est_l</w:t>
            </w:r>
            <w:r w:rsidR="00E84B0E">
              <w:rPr>
                <w:rStyle w:val="VerbatimChar"/>
              </w:rPr>
              <w:t>’</w:t>
            </w:r>
            <w:r>
              <w:rPr>
                <w:rStyle w:val="VerbatimChar"/>
              </w:rPr>
              <w:t>actant_détenteur_actuel_de)</w:t>
            </w:r>
          </w:p>
        </w:tc>
        <w:tc>
          <w:tcPr>
            <w:tcW w:w="2620" w:type="dxa"/>
          </w:tcPr>
          <w:p w14:paraId="05C83A14" w14:textId="77777777" w:rsidR="00065317" w:rsidRDefault="005C7BF7">
            <w:pPr>
              <w:pStyle w:val="Compact"/>
            </w:pPr>
            <w:r>
              <w:rPr>
                <w:rStyle w:val="VerbatimChar"/>
              </w:rPr>
              <w:t>E18_Chose_matérielle</w:t>
            </w:r>
          </w:p>
        </w:tc>
        <w:tc>
          <w:tcPr>
            <w:tcW w:w="2268" w:type="dxa"/>
          </w:tcPr>
          <w:p w14:paraId="6D68B7DA" w14:textId="77777777" w:rsidR="00065317" w:rsidRDefault="005C7BF7">
            <w:pPr>
              <w:pStyle w:val="Compact"/>
            </w:pPr>
            <w:r>
              <w:rPr>
                <w:rStyle w:val="VerbatimChar"/>
              </w:rPr>
              <w:t>E39_Actant</w:t>
            </w:r>
          </w:p>
        </w:tc>
      </w:tr>
      <w:tr w:rsidR="00065317" w14:paraId="1E1BEA84" w14:textId="77777777" w:rsidTr="000041DB">
        <w:tc>
          <w:tcPr>
            <w:tcW w:w="800" w:type="dxa"/>
          </w:tcPr>
          <w:p w14:paraId="7ECA2701" w14:textId="77777777" w:rsidR="00065317" w:rsidRDefault="005C7BF7">
            <w:pPr>
              <w:pStyle w:val="Compact"/>
            </w:pPr>
            <w:r>
              <w:t>P109</w:t>
            </w:r>
          </w:p>
        </w:tc>
        <w:tc>
          <w:tcPr>
            <w:tcW w:w="256" w:type="dxa"/>
          </w:tcPr>
          <w:p w14:paraId="2C47602E" w14:textId="77777777" w:rsidR="00065317" w:rsidRDefault="005C7BF7">
            <w:pPr>
              <w:pStyle w:val="Compact"/>
            </w:pPr>
            <w:r>
              <w:t>-</w:t>
            </w:r>
          </w:p>
        </w:tc>
        <w:tc>
          <w:tcPr>
            <w:tcW w:w="4252" w:type="dxa"/>
            <w:gridSpan w:val="5"/>
          </w:tcPr>
          <w:p w14:paraId="49418047" w14:textId="77777777" w:rsidR="00065317" w:rsidRDefault="005C7BF7">
            <w:pPr>
              <w:pStyle w:val="Compact"/>
            </w:pPr>
            <w:r>
              <w:rPr>
                <w:rStyle w:val="VerbatimChar"/>
              </w:rPr>
              <w:t xml:space="preserve">P109_a_pour_responsable_actuel_ou_antérieur_de_la_collection </w:t>
            </w:r>
            <w:r>
              <w:rPr>
                <w:rStyle w:val="VerbatimChar"/>
              </w:rPr>
              <w:lastRenderedPageBreak/>
              <w:t>(est_responsable_actuel_ou_antérieur_de_la_collection)</w:t>
            </w:r>
          </w:p>
        </w:tc>
        <w:tc>
          <w:tcPr>
            <w:tcW w:w="2620" w:type="dxa"/>
          </w:tcPr>
          <w:p w14:paraId="70E30D24" w14:textId="77777777" w:rsidR="00065317" w:rsidRDefault="005C7BF7">
            <w:pPr>
              <w:pStyle w:val="Compact"/>
            </w:pPr>
            <w:r>
              <w:rPr>
                <w:rStyle w:val="VerbatimChar"/>
              </w:rPr>
              <w:lastRenderedPageBreak/>
              <w:t>E78_Collection</w:t>
            </w:r>
          </w:p>
        </w:tc>
        <w:tc>
          <w:tcPr>
            <w:tcW w:w="2268" w:type="dxa"/>
          </w:tcPr>
          <w:p w14:paraId="517C06C1" w14:textId="77777777" w:rsidR="00065317" w:rsidRDefault="005C7BF7">
            <w:pPr>
              <w:pStyle w:val="Compact"/>
            </w:pPr>
            <w:r>
              <w:rPr>
                <w:rStyle w:val="VerbatimChar"/>
              </w:rPr>
              <w:t>E39_Actant</w:t>
            </w:r>
          </w:p>
        </w:tc>
      </w:tr>
      <w:tr w:rsidR="00065317" w14:paraId="65E70FAF" w14:textId="77777777" w:rsidTr="000041DB">
        <w:tc>
          <w:tcPr>
            <w:tcW w:w="800" w:type="dxa"/>
          </w:tcPr>
          <w:p w14:paraId="3000799C" w14:textId="77777777" w:rsidR="00065317" w:rsidRDefault="005C7BF7">
            <w:pPr>
              <w:pStyle w:val="Compact"/>
            </w:pPr>
            <w:r>
              <w:t>P51</w:t>
            </w:r>
          </w:p>
        </w:tc>
        <w:tc>
          <w:tcPr>
            <w:tcW w:w="4508" w:type="dxa"/>
            <w:gridSpan w:val="6"/>
          </w:tcPr>
          <w:p w14:paraId="1D461D3B" w14:textId="26F9C3A9" w:rsidR="00065317" w:rsidRDefault="005C7BF7">
            <w:pPr>
              <w:pStyle w:val="Compact"/>
            </w:pPr>
            <w:r>
              <w:rPr>
                <w:rStyle w:val="VerbatimChar"/>
              </w:rPr>
              <w:t>P51_a_pour_propriétaire_actuel_ou_antérieur (est_l</w:t>
            </w:r>
            <w:r w:rsidR="00E84B0E">
              <w:rPr>
                <w:rStyle w:val="VerbatimChar"/>
              </w:rPr>
              <w:t>’</w:t>
            </w:r>
            <w:r>
              <w:rPr>
                <w:rStyle w:val="VerbatimChar"/>
              </w:rPr>
              <w:t>actant_propriétaire_actuel_ou_antérieur_de)</w:t>
            </w:r>
          </w:p>
        </w:tc>
        <w:tc>
          <w:tcPr>
            <w:tcW w:w="2620" w:type="dxa"/>
          </w:tcPr>
          <w:p w14:paraId="25DC25D2" w14:textId="77777777" w:rsidR="00065317" w:rsidRDefault="005C7BF7">
            <w:pPr>
              <w:pStyle w:val="Compact"/>
            </w:pPr>
            <w:r>
              <w:rPr>
                <w:rStyle w:val="VerbatimChar"/>
              </w:rPr>
              <w:t>E18_Chose_matérielle</w:t>
            </w:r>
          </w:p>
        </w:tc>
        <w:tc>
          <w:tcPr>
            <w:tcW w:w="2268" w:type="dxa"/>
          </w:tcPr>
          <w:p w14:paraId="09A3A469" w14:textId="77777777" w:rsidR="00065317" w:rsidRDefault="005C7BF7">
            <w:pPr>
              <w:pStyle w:val="Compact"/>
            </w:pPr>
            <w:r>
              <w:rPr>
                <w:rStyle w:val="VerbatimChar"/>
              </w:rPr>
              <w:t>E39_Actant</w:t>
            </w:r>
          </w:p>
        </w:tc>
      </w:tr>
      <w:tr w:rsidR="00065317" w14:paraId="56940C0C" w14:textId="77777777" w:rsidTr="000041DB">
        <w:tc>
          <w:tcPr>
            <w:tcW w:w="800" w:type="dxa"/>
          </w:tcPr>
          <w:p w14:paraId="6C51879C" w14:textId="77777777" w:rsidR="00065317" w:rsidRDefault="005C7BF7">
            <w:pPr>
              <w:pStyle w:val="Compact"/>
            </w:pPr>
            <w:r>
              <w:t>P52</w:t>
            </w:r>
          </w:p>
        </w:tc>
        <w:tc>
          <w:tcPr>
            <w:tcW w:w="256" w:type="dxa"/>
          </w:tcPr>
          <w:p w14:paraId="0ECC601D" w14:textId="77777777" w:rsidR="00065317" w:rsidRDefault="005C7BF7">
            <w:pPr>
              <w:pStyle w:val="Compact"/>
            </w:pPr>
            <w:r>
              <w:t>-</w:t>
            </w:r>
          </w:p>
        </w:tc>
        <w:tc>
          <w:tcPr>
            <w:tcW w:w="4252" w:type="dxa"/>
            <w:gridSpan w:val="5"/>
          </w:tcPr>
          <w:p w14:paraId="518FF680" w14:textId="1A9452EF" w:rsidR="00065317" w:rsidRDefault="005C7BF7">
            <w:pPr>
              <w:pStyle w:val="Compact"/>
            </w:pPr>
            <w:r>
              <w:rPr>
                <w:rStyle w:val="VerbatimChar"/>
              </w:rPr>
              <w:t>P52_a_pour_propriétaire_actuel (est_l</w:t>
            </w:r>
            <w:r w:rsidR="00E84B0E">
              <w:rPr>
                <w:rStyle w:val="VerbatimChar"/>
              </w:rPr>
              <w:t>’</w:t>
            </w:r>
            <w:r>
              <w:rPr>
                <w:rStyle w:val="VerbatimChar"/>
              </w:rPr>
              <w:t>actant_propriétaire_actuel_de)</w:t>
            </w:r>
          </w:p>
        </w:tc>
        <w:tc>
          <w:tcPr>
            <w:tcW w:w="2620" w:type="dxa"/>
          </w:tcPr>
          <w:p w14:paraId="1AF06EA9" w14:textId="77777777" w:rsidR="00065317" w:rsidRDefault="005C7BF7">
            <w:pPr>
              <w:pStyle w:val="Compact"/>
            </w:pPr>
            <w:r>
              <w:rPr>
                <w:rStyle w:val="VerbatimChar"/>
              </w:rPr>
              <w:t>E18_Chose_matérielle</w:t>
            </w:r>
          </w:p>
        </w:tc>
        <w:tc>
          <w:tcPr>
            <w:tcW w:w="2268" w:type="dxa"/>
          </w:tcPr>
          <w:p w14:paraId="14D1FAED" w14:textId="77777777" w:rsidR="00065317" w:rsidRDefault="005C7BF7">
            <w:pPr>
              <w:pStyle w:val="Compact"/>
            </w:pPr>
            <w:r>
              <w:rPr>
                <w:rStyle w:val="VerbatimChar"/>
              </w:rPr>
              <w:t>E39_Actant</w:t>
            </w:r>
          </w:p>
        </w:tc>
      </w:tr>
      <w:tr w:rsidR="00065317" w14:paraId="65896601" w14:textId="77777777" w:rsidTr="000041DB">
        <w:tc>
          <w:tcPr>
            <w:tcW w:w="800" w:type="dxa"/>
          </w:tcPr>
          <w:p w14:paraId="089EF9CF" w14:textId="77777777" w:rsidR="00065317" w:rsidRDefault="005C7BF7">
            <w:pPr>
              <w:pStyle w:val="Compact"/>
            </w:pPr>
            <w:r>
              <w:t>P53</w:t>
            </w:r>
          </w:p>
        </w:tc>
        <w:tc>
          <w:tcPr>
            <w:tcW w:w="4508" w:type="dxa"/>
            <w:gridSpan w:val="6"/>
          </w:tcPr>
          <w:p w14:paraId="55E23EAF" w14:textId="77777777" w:rsidR="00065317" w:rsidRDefault="005C7BF7">
            <w:pPr>
              <w:pStyle w:val="Compact"/>
            </w:pPr>
            <w:r>
              <w:rPr>
                <w:rStyle w:val="VerbatimChar"/>
              </w:rPr>
              <w:t>P53_a_pour_localisation_actuelle_ou_antérieure (est_la_localisation_actuelle_ou_antérieure_de)</w:t>
            </w:r>
          </w:p>
        </w:tc>
        <w:tc>
          <w:tcPr>
            <w:tcW w:w="2620" w:type="dxa"/>
          </w:tcPr>
          <w:p w14:paraId="638B9A29" w14:textId="77777777" w:rsidR="00065317" w:rsidRDefault="005C7BF7">
            <w:pPr>
              <w:pStyle w:val="Compact"/>
            </w:pPr>
            <w:r>
              <w:rPr>
                <w:rStyle w:val="VerbatimChar"/>
              </w:rPr>
              <w:t>E18_Chose_matérielle</w:t>
            </w:r>
          </w:p>
        </w:tc>
        <w:tc>
          <w:tcPr>
            <w:tcW w:w="2268" w:type="dxa"/>
          </w:tcPr>
          <w:p w14:paraId="7DA607E2" w14:textId="77777777" w:rsidR="00065317" w:rsidRDefault="005C7BF7">
            <w:pPr>
              <w:pStyle w:val="Compact"/>
            </w:pPr>
            <w:r>
              <w:rPr>
                <w:rStyle w:val="VerbatimChar"/>
              </w:rPr>
              <w:t>E53_Lieu</w:t>
            </w:r>
          </w:p>
        </w:tc>
      </w:tr>
      <w:tr w:rsidR="00065317" w14:paraId="3A28ECF9" w14:textId="77777777" w:rsidTr="000041DB">
        <w:tc>
          <w:tcPr>
            <w:tcW w:w="800" w:type="dxa"/>
          </w:tcPr>
          <w:p w14:paraId="631B2CC5" w14:textId="77777777" w:rsidR="00065317" w:rsidRDefault="005C7BF7">
            <w:pPr>
              <w:pStyle w:val="Compact"/>
            </w:pPr>
            <w:r>
              <w:t>P55</w:t>
            </w:r>
          </w:p>
        </w:tc>
        <w:tc>
          <w:tcPr>
            <w:tcW w:w="256" w:type="dxa"/>
          </w:tcPr>
          <w:p w14:paraId="24917DCD" w14:textId="77777777" w:rsidR="00065317" w:rsidRDefault="005C7BF7">
            <w:pPr>
              <w:pStyle w:val="Compact"/>
            </w:pPr>
            <w:r>
              <w:t>-</w:t>
            </w:r>
          </w:p>
        </w:tc>
        <w:tc>
          <w:tcPr>
            <w:tcW w:w="4252" w:type="dxa"/>
            <w:gridSpan w:val="5"/>
          </w:tcPr>
          <w:p w14:paraId="7C93DB17" w14:textId="77777777" w:rsidR="00065317" w:rsidRDefault="005C7BF7">
            <w:pPr>
              <w:pStyle w:val="Compact"/>
            </w:pPr>
            <w:r>
              <w:rPr>
                <w:rStyle w:val="VerbatimChar"/>
              </w:rPr>
              <w:t>P55_a_actuellement_pour_localisation (est_actuellement_la_localisation_de)</w:t>
            </w:r>
          </w:p>
        </w:tc>
        <w:tc>
          <w:tcPr>
            <w:tcW w:w="2620" w:type="dxa"/>
          </w:tcPr>
          <w:p w14:paraId="4F48F558" w14:textId="77777777" w:rsidR="00065317" w:rsidRDefault="005C7BF7">
            <w:pPr>
              <w:pStyle w:val="Compact"/>
            </w:pPr>
            <w:r>
              <w:rPr>
                <w:rStyle w:val="VerbatimChar"/>
              </w:rPr>
              <w:t>E19_Objet_matériel</w:t>
            </w:r>
          </w:p>
        </w:tc>
        <w:tc>
          <w:tcPr>
            <w:tcW w:w="2268" w:type="dxa"/>
          </w:tcPr>
          <w:p w14:paraId="3CF911B4" w14:textId="77777777" w:rsidR="00065317" w:rsidRDefault="005C7BF7">
            <w:pPr>
              <w:pStyle w:val="Compact"/>
            </w:pPr>
            <w:r>
              <w:rPr>
                <w:rStyle w:val="VerbatimChar"/>
              </w:rPr>
              <w:t>E53_Lieu</w:t>
            </w:r>
          </w:p>
        </w:tc>
      </w:tr>
      <w:tr w:rsidR="00065317" w14:paraId="3CD61650" w14:textId="77777777" w:rsidTr="000041DB">
        <w:tc>
          <w:tcPr>
            <w:tcW w:w="800" w:type="dxa"/>
          </w:tcPr>
          <w:p w14:paraId="4F17EA57" w14:textId="77777777" w:rsidR="00065317" w:rsidRDefault="005C7BF7">
            <w:pPr>
              <w:pStyle w:val="Compact"/>
            </w:pPr>
            <w:r>
              <w:t>P156</w:t>
            </w:r>
          </w:p>
        </w:tc>
        <w:tc>
          <w:tcPr>
            <w:tcW w:w="256" w:type="dxa"/>
          </w:tcPr>
          <w:p w14:paraId="6385FC4C" w14:textId="77777777" w:rsidR="00065317" w:rsidRDefault="005C7BF7">
            <w:pPr>
              <w:pStyle w:val="Compact"/>
            </w:pPr>
            <w:r>
              <w:t>-</w:t>
            </w:r>
          </w:p>
        </w:tc>
        <w:tc>
          <w:tcPr>
            <w:tcW w:w="4252" w:type="dxa"/>
            <w:gridSpan w:val="5"/>
          </w:tcPr>
          <w:p w14:paraId="262CD0A5" w14:textId="77777777" w:rsidR="00065317" w:rsidRDefault="005C7BF7">
            <w:pPr>
              <w:pStyle w:val="Compact"/>
            </w:pPr>
            <w:r>
              <w:rPr>
                <w:rStyle w:val="VerbatimChar"/>
              </w:rPr>
              <w:t>P156_occupe (est_occupé_par)</w:t>
            </w:r>
          </w:p>
        </w:tc>
        <w:tc>
          <w:tcPr>
            <w:tcW w:w="2620" w:type="dxa"/>
          </w:tcPr>
          <w:p w14:paraId="204D0609" w14:textId="77777777" w:rsidR="00065317" w:rsidRDefault="005C7BF7">
            <w:pPr>
              <w:pStyle w:val="Compact"/>
            </w:pPr>
            <w:r>
              <w:rPr>
                <w:rStyle w:val="VerbatimChar"/>
              </w:rPr>
              <w:t>E18_Chose_matérielle</w:t>
            </w:r>
          </w:p>
        </w:tc>
        <w:tc>
          <w:tcPr>
            <w:tcW w:w="2268" w:type="dxa"/>
          </w:tcPr>
          <w:p w14:paraId="45ED54AC" w14:textId="77777777" w:rsidR="00065317" w:rsidRDefault="005C7BF7">
            <w:pPr>
              <w:pStyle w:val="Compact"/>
            </w:pPr>
            <w:r>
              <w:rPr>
                <w:rStyle w:val="VerbatimChar"/>
              </w:rPr>
              <w:t>E53_Lieu</w:t>
            </w:r>
          </w:p>
        </w:tc>
      </w:tr>
      <w:tr w:rsidR="00065317" w14:paraId="2F8C7E1F" w14:textId="77777777" w:rsidTr="000041DB">
        <w:tc>
          <w:tcPr>
            <w:tcW w:w="800" w:type="dxa"/>
          </w:tcPr>
          <w:p w14:paraId="7C22CE01" w14:textId="77777777" w:rsidR="00065317" w:rsidRDefault="005C7BF7">
            <w:pPr>
              <w:pStyle w:val="Compact"/>
            </w:pPr>
            <w:r>
              <w:t>P54</w:t>
            </w:r>
          </w:p>
        </w:tc>
        <w:tc>
          <w:tcPr>
            <w:tcW w:w="4508" w:type="dxa"/>
            <w:gridSpan w:val="6"/>
          </w:tcPr>
          <w:p w14:paraId="5E45FF7C" w14:textId="77777777" w:rsidR="00065317" w:rsidRDefault="005C7BF7">
            <w:pPr>
              <w:pStyle w:val="Compact"/>
            </w:pPr>
            <w:r>
              <w:rPr>
                <w:rStyle w:val="VerbatimChar"/>
              </w:rPr>
              <w:t>P54_a_actuellement_pour_localisation_fixe (est_actuellement_la_localisation_fixe_de)</w:t>
            </w:r>
          </w:p>
        </w:tc>
        <w:tc>
          <w:tcPr>
            <w:tcW w:w="2620" w:type="dxa"/>
          </w:tcPr>
          <w:p w14:paraId="3E673374" w14:textId="77777777" w:rsidR="00065317" w:rsidRDefault="005C7BF7">
            <w:pPr>
              <w:pStyle w:val="Compact"/>
            </w:pPr>
            <w:r>
              <w:rPr>
                <w:rStyle w:val="VerbatimChar"/>
              </w:rPr>
              <w:t>E19_Objet_matériel</w:t>
            </w:r>
          </w:p>
        </w:tc>
        <w:tc>
          <w:tcPr>
            <w:tcW w:w="2268" w:type="dxa"/>
          </w:tcPr>
          <w:p w14:paraId="182DC934" w14:textId="77777777" w:rsidR="00065317" w:rsidRDefault="005C7BF7">
            <w:pPr>
              <w:pStyle w:val="Compact"/>
            </w:pPr>
            <w:r>
              <w:rPr>
                <w:rStyle w:val="VerbatimChar"/>
              </w:rPr>
              <w:t>E53_Lieu</w:t>
            </w:r>
          </w:p>
        </w:tc>
      </w:tr>
      <w:tr w:rsidR="00065317" w14:paraId="6ED84F93" w14:textId="77777777" w:rsidTr="000041DB">
        <w:tc>
          <w:tcPr>
            <w:tcW w:w="800" w:type="dxa"/>
          </w:tcPr>
          <w:p w14:paraId="3BCF47E0" w14:textId="77777777" w:rsidR="00065317" w:rsidRDefault="005C7BF7">
            <w:pPr>
              <w:pStyle w:val="Compact"/>
            </w:pPr>
            <w:r>
              <w:t>P57</w:t>
            </w:r>
          </w:p>
        </w:tc>
        <w:tc>
          <w:tcPr>
            <w:tcW w:w="4508" w:type="dxa"/>
            <w:gridSpan w:val="6"/>
          </w:tcPr>
          <w:p w14:paraId="1A052356" w14:textId="3EAD365B" w:rsidR="00065317" w:rsidRDefault="005C7BF7">
            <w:pPr>
              <w:pStyle w:val="Compact"/>
            </w:pPr>
            <w:r>
              <w:rPr>
                <w:rStyle w:val="VerbatimChar"/>
              </w:rPr>
              <w:t>P57_a_pour_nombre_d</w:t>
            </w:r>
            <w:r w:rsidR="00E84B0E">
              <w:rPr>
                <w:rStyle w:val="VerbatimChar"/>
              </w:rPr>
              <w:t>’</w:t>
            </w:r>
            <w:r>
              <w:rPr>
                <w:rStyle w:val="VerbatimChar"/>
              </w:rPr>
              <w:t>éléments</w:t>
            </w:r>
          </w:p>
        </w:tc>
        <w:tc>
          <w:tcPr>
            <w:tcW w:w="2620" w:type="dxa"/>
          </w:tcPr>
          <w:p w14:paraId="52294E3E" w14:textId="77777777" w:rsidR="00065317" w:rsidRDefault="005C7BF7">
            <w:pPr>
              <w:pStyle w:val="Compact"/>
            </w:pPr>
            <w:r>
              <w:rPr>
                <w:rStyle w:val="VerbatimChar"/>
              </w:rPr>
              <w:t>E19_Objet_matériel</w:t>
            </w:r>
          </w:p>
        </w:tc>
        <w:tc>
          <w:tcPr>
            <w:tcW w:w="2268" w:type="dxa"/>
          </w:tcPr>
          <w:p w14:paraId="15AB7C9D" w14:textId="77777777" w:rsidR="00065317" w:rsidRDefault="005C7BF7">
            <w:pPr>
              <w:pStyle w:val="Compact"/>
            </w:pPr>
            <w:r>
              <w:rPr>
                <w:rStyle w:val="VerbatimChar"/>
              </w:rPr>
              <w:t>E60_Nombre</w:t>
            </w:r>
          </w:p>
        </w:tc>
      </w:tr>
      <w:tr w:rsidR="00065317" w14:paraId="294FCA0E" w14:textId="77777777" w:rsidTr="000041DB">
        <w:tc>
          <w:tcPr>
            <w:tcW w:w="800" w:type="dxa"/>
          </w:tcPr>
          <w:p w14:paraId="7B71B19C" w14:textId="77777777" w:rsidR="00065317" w:rsidRDefault="005C7BF7">
            <w:pPr>
              <w:pStyle w:val="Compact"/>
            </w:pPr>
            <w:r>
              <w:t>P59</w:t>
            </w:r>
          </w:p>
        </w:tc>
        <w:tc>
          <w:tcPr>
            <w:tcW w:w="4508" w:type="dxa"/>
            <w:gridSpan w:val="6"/>
          </w:tcPr>
          <w:p w14:paraId="53B7AD93" w14:textId="77777777" w:rsidR="00065317" w:rsidRDefault="005C7BF7">
            <w:pPr>
              <w:pStyle w:val="Compact"/>
            </w:pPr>
            <w:r>
              <w:rPr>
                <w:rStyle w:val="VerbatimChar"/>
              </w:rPr>
              <w:t>P59_a_pour_section (se_situe_sur_ou_dans)</w:t>
            </w:r>
          </w:p>
        </w:tc>
        <w:tc>
          <w:tcPr>
            <w:tcW w:w="2620" w:type="dxa"/>
          </w:tcPr>
          <w:p w14:paraId="488ABCA4" w14:textId="77777777" w:rsidR="00065317" w:rsidRDefault="005C7BF7">
            <w:pPr>
              <w:pStyle w:val="Compact"/>
            </w:pPr>
            <w:r>
              <w:rPr>
                <w:rStyle w:val="VerbatimChar"/>
              </w:rPr>
              <w:t>E18_Chose_matérielle</w:t>
            </w:r>
          </w:p>
        </w:tc>
        <w:tc>
          <w:tcPr>
            <w:tcW w:w="2268" w:type="dxa"/>
          </w:tcPr>
          <w:p w14:paraId="0D73AA0F" w14:textId="77777777" w:rsidR="00065317" w:rsidRDefault="005C7BF7">
            <w:pPr>
              <w:pStyle w:val="Compact"/>
            </w:pPr>
            <w:r>
              <w:rPr>
                <w:rStyle w:val="VerbatimChar"/>
              </w:rPr>
              <w:t>E53_Lieu</w:t>
            </w:r>
          </w:p>
        </w:tc>
      </w:tr>
      <w:tr w:rsidR="00065317" w14:paraId="7A069DEB" w14:textId="77777777" w:rsidTr="000041DB">
        <w:tc>
          <w:tcPr>
            <w:tcW w:w="800" w:type="dxa"/>
          </w:tcPr>
          <w:p w14:paraId="7507554C" w14:textId="77777777" w:rsidR="00065317" w:rsidRDefault="005C7BF7">
            <w:pPr>
              <w:pStyle w:val="Compact"/>
            </w:pPr>
            <w:r>
              <w:t>P62</w:t>
            </w:r>
          </w:p>
        </w:tc>
        <w:tc>
          <w:tcPr>
            <w:tcW w:w="4508" w:type="dxa"/>
            <w:gridSpan w:val="6"/>
          </w:tcPr>
          <w:p w14:paraId="35603920" w14:textId="77777777" w:rsidR="00065317" w:rsidRDefault="005C7BF7">
            <w:pPr>
              <w:pStyle w:val="Compact"/>
            </w:pPr>
            <w:r>
              <w:rPr>
                <w:rStyle w:val="VerbatimChar"/>
              </w:rPr>
              <w:t>P62_illustre (est_illustré_par)</w:t>
            </w:r>
          </w:p>
        </w:tc>
        <w:tc>
          <w:tcPr>
            <w:tcW w:w="2620" w:type="dxa"/>
          </w:tcPr>
          <w:p w14:paraId="477C457C" w14:textId="44EE05E3" w:rsidR="00065317" w:rsidRDefault="005C7BF7">
            <w:pPr>
              <w:pStyle w:val="Compact"/>
            </w:pPr>
            <w:r>
              <w:rPr>
                <w:rStyle w:val="VerbatimChar"/>
              </w:rPr>
              <w:t>E24_Chose_matérielle_élaborée_par_l</w:t>
            </w:r>
            <w:r w:rsidR="00E84B0E">
              <w:rPr>
                <w:rStyle w:val="VerbatimChar"/>
              </w:rPr>
              <w:t>’</w:t>
            </w:r>
            <w:r>
              <w:rPr>
                <w:rStyle w:val="VerbatimChar"/>
              </w:rPr>
              <w:t>humain</w:t>
            </w:r>
          </w:p>
        </w:tc>
        <w:tc>
          <w:tcPr>
            <w:tcW w:w="2268" w:type="dxa"/>
          </w:tcPr>
          <w:p w14:paraId="05827D1E" w14:textId="77777777" w:rsidR="00065317" w:rsidRDefault="005C7BF7">
            <w:pPr>
              <w:pStyle w:val="Compact"/>
            </w:pPr>
            <w:r>
              <w:rPr>
                <w:rStyle w:val="VerbatimChar"/>
              </w:rPr>
              <w:t>E1_Entité_CRM</w:t>
            </w:r>
          </w:p>
        </w:tc>
      </w:tr>
      <w:tr w:rsidR="00065317" w14:paraId="36B27976" w14:textId="77777777" w:rsidTr="000041DB">
        <w:tc>
          <w:tcPr>
            <w:tcW w:w="800" w:type="dxa"/>
          </w:tcPr>
          <w:p w14:paraId="6AE53F26" w14:textId="77777777" w:rsidR="00065317" w:rsidRDefault="005C7BF7">
            <w:pPr>
              <w:pStyle w:val="Compact"/>
            </w:pPr>
            <w:r>
              <w:t>P67</w:t>
            </w:r>
          </w:p>
        </w:tc>
        <w:tc>
          <w:tcPr>
            <w:tcW w:w="4508" w:type="dxa"/>
            <w:gridSpan w:val="6"/>
          </w:tcPr>
          <w:p w14:paraId="77B47B87" w14:textId="45A4C35E" w:rsidR="00065317" w:rsidRDefault="005C7BF7">
            <w:pPr>
              <w:pStyle w:val="Compact"/>
            </w:pP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p>
        </w:tc>
        <w:tc>
          <w:tcPr>
            <w:tcW w:w="2620" w:type="dxa"/>
          </w:tcPr>
          <w:p w14:paraId="61F3EB71" w14:textId="77777777" w:rsidR="00065317" w:rsidRDefault="005C7BF7">
            <w:pPr>
              <w:pStyle w:val="Compact"/>
            </w:pPr>
            <w:r>
              <w:rPr>
                <w:rStyle w:val="VerbatimChar"/>
              </w:rPr>
              <w:t>E89_Objet_propositionnel</w:t>
            </w:r>
          </w:p>
        </w:tc>
        <w:tc>
          <w:tcPr>
            <w:tcW w:w="2268" w:type="dxa"/>
          </w:tcPr>
          <w:p w14:paraId="659C4290" w14:textId="77777777" w:rsidR="00065317" w:rsidRDefault="005C7BF7">
            <w:pPr>
              <w:pStyle w:val="Compact"/>
            </w:pPr>
            <w:r>
              <w:rPr>
                <w:rStyle w:val="VerbatimChar"/>
              </w:rPr>
              <w:t>E1_Entité_CRM</w:t>
            </w:r>
          </w:p>
        </w:tc>
      </w:tr>
      <w:tr w:rsidR="00065317" w14:paraId="2624917F" w14:textId="77777777" w:rsidTr="000041DB">
        <w:tc>
          <w:tcPr>
            <w:tcW w:w="800" w:type="dxa"/>
          </w:tcPr>
          <w:p w14:paraId="77EA73F6" w14:textId="77777777" w:rsidR="00065317" w:rsidRDefault="005C7BF7">
            <w:pPr>
              <w:pStyle w:val="Compact"/>
            </w:pPr>
            <w:r>
              <w:t>P68</w:t>
            </w:r>
          </w:p>
        </w:tc>
        <w:tc>
          <w:tcPr>
            <w:tcW w:w="256" w:type="dxa"/>
          </w:tcPr>
          <w:p w14:paraId="786FAB3C" w14:textId="77777777" w:rsidR="00065317" w:rsidRDefault="005C7BF7">
            <w:pPr>
              <w:pStyle w:val="Compact"/>
            </w:pPr>
            <w:r>
              <w:t>-</w:t>
            </w:r>
          </w:p>
        </w:tc>
        <w:tc>
          <w:tcPr>
            <w:tcW w:w="4252" w:type="dxa"/>
            <w:gridSpan w:val="5"/>
          </w:tcPr>
          <w:p w14:paraId="6F091B33" w14:textId="438D20CA" w:rsidR="00065317" w:rsidRDefault="005C7BF7">
            <w:pPr>
              <w:pStyle w:val="Compact"/>
            </w:pPr>
            <w:r>
              <w:rPr>
                <w:rStyle w:val="VerbatimChar"/>
              </w:rPr>
              <w:t>P68_prévoit_l</w:t>
            </w:r>
            <w:r w:rsidR="00E84B0E">
              <w:rPr>
                <w:rStyle w:val="VerbatimChar"/>
              </w:rPr>
              <w:t>’</w:t>
            </w:r>
            <w:r>
              <w:rPr>
                <w:rStyle w:val="VerbatimChar"/>
              </w:rPr>
              <w:t>usage_de (usage_prévu_de)</w:t>
            </w:r>
          </w:p>
        </w:tc>
        <w:tc>
          <w:tcPr>
            <w:tcW w:w="2620" w:type="dxa"/>
          </w:tcPr>
          <w:p w14:paraId="4B655DDA" w14:textId="77777777" w:rsidR="00065317" w:rsidRDefault="005C7BF7">
            <w:pPr>
              <w:pStyle w:val="Compact"/>
            </w:pPr>
            <w:r>
              <w:rPr>
                <w:rStyle w:val="VerbatimChar"/>
              </w:rPr>
              <w:t>E29_Conceptualisation_ou_procédure</w:t>
            </w:r>
          </w:p>
        </w:tc>
        <w:tc>
          <w:tcPr>
            <w:tcW w:w="2268" w:type="dxa"/>
          </w:tcPr>
          <w:p w14:paraId="0ACE4472" w14:textId="77777777" w:rsidR="00065317" w:rsidRDefault="005C7BF7">
            <w:pPr>
              <w:pStyle w:val="Compact"/>
            </w:pPr>
            <w:r>
              <w:rPr>
                <w:rStyle w:val="VerbatimChar"/>
              </w:rPr>
              <w:t>E57_Matériau</w:t>
            </w:r>
          </w:p>
        </w:tc>
      </w:tr>
      <w:tr w:rsidR="00065317" w14:paraId="549AE510" w14:textId="77777777" w:rsidTr="000041DB">
        <w:tc>
          <w:tcPr>
            <w:tcW w:w="800" w:type="dxa"/>
          </w:tcPr>
          <w:p w14:paraId="63EE84EF" w14:textId="77777777" w:rsidR="00065317" w:rsidRDefault="005C7BF7">
            <w:pPr>
              <w:pStyle w:val="Compact"/>
            </w:pPr>
            <w:r>
              <w:t>P70</w:t>
            </w:r>
          </w:p>
        </w:tc>
        <w:tc>
          <w:tcPr>
            <w:tcW w:w="256" w:type="dxa"/>
          </w:tcPr>
          <w:p w14:paraId="506EAFD2" w14:textId="77777777" w:rsidR="00065317" w:rsidRDefault="005C7BF7">
            <w:pPr>
              <w:pStyle w:val="Compact"/>
            </w:pPr>
            <w:r>
              <w:t>-</w:t>
            </w:r>
          </w:p>
        </w:tc>
        <w:tc>
          <w:tcPr>
            <w:tcW w:w="4252" w:type="dxa"/>
            <w:gridSpan w:val="5"/>
          </w:tcPr>
          <w:p w14:paraId="415BF3D0" w14:textId="77777777" w:rsidR="00065317" w:rsidRDefault="005C7BF7">
            <w:pPr>
              <w:pStyle w:val="Compact"/>
            </w:pPr>
            <w:r>
              <w:rPr>
                <w:rStyle w:val="VerbatimChar"/>
              </w:rPr>
              <w:t>P70_documente (est_documenté_dans)</w:t>
            </w:r>
          </w:p>
        </w:tc>
        <w:tc>
          <w:tcPr>
            <w:tcW w:w="2620" w:type="dxa"/>
          </w:tcPr>
          <w:p w14:paraId="7FA55B4F" w14:textId="77777777" w:rsidR="00065317" w:rsidRDefault="005C7BF7">
            <w:pPr>
              <w:pStyle w:val="Compact"/>
            </w:pPr>
            <w:r>
              <w:rPr>
                <w:rStyle w:val="VerbatimChar"/>
              </w:rPr>
              <w:t>E31_Document</w:t>
            </w:r>
          </w:p>
        </w:tc>
        <w:tc>
          <w:tcPr>
            <w:tcW w:w="2268" w:type="dxa"/>
          </w:tcPr>
          <w:p w14:paraId="05ACE35C" w14:textId="77777777" w:rsidR="00065317" w:rsidRDefault="005C7BF7">
            <w:pPr>
              <w:pStyle w:val="Compact"/>
            </w:pPr>
            <w:r>
              <w:rPr>
                <w:rStyle w:val="VerbatimChar"/>
              </w:rPr>
              <w:t>E1_Entité_CRM</w:t>
            </w:r>
          </w:p>
        </w:tc>
      </w:tr>
      <w:tr w:rsidR="00065317" w14:paraId="21911B20" w14:textId="77777777" w:rsidTr="000041DB">
        <w:tc>
          <w:tcPr>
            <w:tcW w:w="800" w:type="dxa"/>
          </w:tcPr>
          <w:p w14:paraId="555269D5" w14:textId="77777777" w:rsidR="00065317" w:rsidRDefault="005C7BF7">
            <w:pPr>
              <w:pStyle w:val="Compact"/>
            </w:pPr>
            <w:r>
              <w:t>P71</w:t>
            </w:r>
          </w:p>
        </w:tc>
        <w:tc>
          <w:tcPr>
            <w:tcW w:w="256" w:type="dxa"/>
          </w:tcPr>
          <w:p w14:paraId="55B2F41C" w14:textId="77777777" w:rsidR="00065317" w:rsidRDefault="005C7BF7">
            <w:pPr>
              <w:pStyle w:val="Compact"/>
            </w:pPr>
            <w:r>
              <w:t>-</w:t>
            </w:r>
          </w:p>
        </w:tc>
        <w:tc>
          <w:tcPr>
            <w:tcW w:w="4252" w:type="dxa"/>
            <w:gridSpan w:val="5"/>
          </w:tcPr>
          <w:p w14:paraId="4D4BA6F2" w14:textId="77777777" w:rsidR="00065317" w:rsidRDefault="005C7BF7">
            <w:pPr>
              <w:pStyle w:val="Compact"/>
            </w:pPr>
            <w:r>
              <w:rPr>
                <w:rStyle w:val="VerbatimChar"/>
              </w:rPr>
              <w:t>P71_énumère (est_énuméré_par)</w:t>
            </w:r>
          </w:p>
        </w:tc>
        <w:tc>
          <w:tcPr>
            <w:tcW w:w="2620" w:type="dxa"/>
          </w:tcPr>
          <w:p w14:paraId="6A506468" w14:textId="77777777" w:rsidR="00065317" w:rsidRDefault="005C7BF7">
            <w:pPr>
              <w:pStyle w:val="Compact"/>
            </w:pPr>
            <w:r>
              <w:rPr>
                <w:rStyle w:val="VerbatimChar"/>
              </w:rPr>
              <w:t>E32_Document_de_référence</w:t>
            </w:r>
          </w:p>
        </w:tc>
        <w:tc>
          <w:tcPr>
            <w:tcW w:w="2268" w:type="dxa"/>
          </w:tcPr>
          <w:p w14:paraId="2928E976" w14:textId="77777777" w:rsidR="00065317" w:rsidRDefault="005C7BF7">
            <w:pPr>
              <w:pStyle w:val="Compact"/>
            </w:pPr>
            <w:r>
              <w:rPr>
                <w:rStyle w:val="VerbatimChar"/>
              </w:rPr>
              <w:t>E1_Entité_CRM</w:t>
            </w:r>
          </w:p>
        </w:tc>
      </w:tr>
      <w:tr w:rsidR="00065317" w14:paraId="2712689E" w14:textId="77777777" w:rsidTr="000041DB">
        <w:tc>
          <w:tcPr>
            <w:tcW w:w="800" w:type="dxa"/>
          </w:tcPr>
          <w:p w14:paraId="56CA6A7F" w14:textId="77777777" w:rsidR="00065317" w:rsidRDefault="005C7BF7">
            <w:pPr>
              <w:pStyle w:val="Compact"/>
            </w:pPr>
            <w:r>
              <w:lastRenderedPageBreak/>
              <w:t>P129</w:t>
            </w:r>
          </w:p>
        </w:tc>
        <w:tc>
          <w:tcPr>
            <w:tcW w:w="256" w:type="dxa"/>
          </w:tcPr>
          <w:p w14:paraId="2E647C1B" w14:textId="77777777" w:rsidR="00065317" w:rsidRDefault="005C7BF7">
            <w:pPr>
              <w:pStyle w:val="Compact"/>
            </w:pPr>
            <w:r>
              <w:t>-</w:t>
            </w:r>
          </w:p>
        </w:tc>
        <w:tc>
          <w:tcPr>
            <w:tcW w:w="4252" w:type="dxa"/>
            <w:gridSpan w:val="5"/>
          </w:tcPr>
          <w:p w14:paraId="5FF9D5D9" w14:textId="77777777" w:rsidR="00065317" w:rsidRDefault="005C7BF7">
            <w:pPr>
              <w:pStyle w:val="Compact"/>
            </w:pPr>
            <w:r>
              <w:rPr>
                <w:rStyle w:val="VerbatimChar"/>
              </w:rPr>
              <w:t>P129_a_pour_sujet (est_le_sujet_de)</w:t>
            </w:r>
          </w:p>
        </w:tc>
        <w:tc>
          <w:tcPr>
            <w:tcW w:w="2620" w:type="dxa"/>
          </w:tcPr>
          <w:p w14:paraId="0E8DCEF6" w14:textId="77777777" w:rsidR="00065317" w:rsidRDefault="005C7BF7">
            <w:pPr>
              <w:pStyle w:val="Compact"/>
            </w:pPr>
            <w:r>
              <w:rPr>
                <w:rStyle w:val="VerbatimChar"/>
              </w:rPr>
              <w:t>E89_Objet_propositionnel</w:t>
            </w:r>
          </w:p>
        </w:tc>
        <w:tc>
          <w:tcPr>
            <w:tcW w:w="2268" w:type="dxa"/>
          </w:tcPr>
          <w:p w14:paraId="714960C5" w14:textId="77777777" w:rsidR="00065317" w:rsidRDefault="005C7BF7">
            <w:pPr>
              <w:pStyle w:val="Compact"/>
            </w:pPr>
            <w:r>
              <w:rPr>
                <w:rStyle w:val="VerbatimChar"/>
              </w:rPr>
              <w:t>E1_Entité_CRM</w:t>
            </w:r>
          </w:p>
        </w:tc>
      </w:tr>
      <w:tr w:rsidR="00065317" w14:paraId="5822E843" w14:textId="77777777" w:rsidTr="000041DB">
        <w:tc>
          <w:tcPr>
            <w:tcW w:w="800" w:type="dxa"/>
          </w:tcPr>
          <w:p w14:paraId="08444367" w14:textId="77777777" w:rsidR="00065317" w:rsidRDefault="005C7BF7">
            <w:pPr>
              <w:pStyle w:val="Compact"/>
            </w:pPr>
            <w:r>
              <w:t>P138</w:t>
            </w:r>
          </w:p>
        </w:tc>
        <w:tc>
          <w:tcPr>
            <w:tcW w:w="256" w:type="dxa"/>
          </w:tcPr>
          <w:p w14:paraId="3DDA7D44" w14:textId="77777777" w:rsidR="00065317" w:rsidRDefault="005C7BF7">
            <w:pPr>
              <w:pStyle w:val="Compact"/>
            </w:pPr>
            <w:r>
              <w:t>-</w:t>
            </w:r>
          </w:p>
        </w:tc>
        <w:tc>
          <w:tcPr>
            <w:tcW w:w="4252" w:type="dxa"/>
            <w:gridSpan w:val="5"/>
          </w:tcPr>
          <w:p w14:paraId="0204720C" w14:textId="77777777" w:rsidR="00065317" w:rsidRDefault="005C7BF7">
            <w:pPr>
              <w:pStyle w:val="Compact"/>
            </w:pPr>
            <w:r>
              <w:rPr>
                <w:rStyle w:val="VerbatimChar"/>
              </w:rPr>
              <w:t>P138_représente (est_représenté_par)</w:t>
            </w:r>
          </w:p>
        </w:tc>
        <w:tc>
          <w:tcPr>
            <w:tcW w:w="2620" w:type="dxa"/>
          </w:tcPr>
          <w:p w14:paraId="7F97EFC0" w14:textId="77777777" w:rsidR="00065317" w:rsidRDefault="005C7BF7">
            <w:pPr>
              <w:pStyle w:val="Compact"/>
            </w:pPr>
            <w:r>
              <w:rPr>
                <w:rStyle w:val="VerbatimChar"/>
              </w:rPr>
              <w:t>E36_Entité_visuelle</w:t>
            </w:r>
          </w:p>
        </w:tc>
        <w:tc>
          <w:tcPr>
            <w:tcW w:w="2268" w:type="dxa"/>
          </w:tcPr>
          <w:p w14:paraId="02D59E34" w14:textId="77777777" w:rsidR="00065317" w:rsidRDefault="005C7BF7">
            <w:pPr>
              <w:pStyle w:val="Compact"/>
            </w:pPr>
            <w:r>
              <w:rPr>
                <w:rStyle w:val="VerbatimChar"/>
              </w:rPr>
              <w:t>E1_Entité_CRM</w:t>
            </w:r>
          </w:p>
        </w:tc>
      </w:tr>
      <w:tr w:rsidR="00065317" w14:paraId="548C2D69" w14:textId="77777777" w:rsidTr="000041DB">
        <w:tc>
          <w:tcPr>
            <w:tcW w:w="800" w:type="dxa"/>
          </w:tcPr>
          <w:p w14:paraId="4E353519" w14:textId="77777777" w:rsidR="00065317" w:rsidRDefault="005C7BF7">
            <w:pPr>
              <w:pStyle w:val="Compact"/>
            </w:pPr>
            <w:r>
              <w:t>P69</w:t>
            </w:r>
          </w:p>
        </w:tc>
        <w:tc>
          <w:tcPr>
            <w:tcW w:w="4508" w:type="dxa"/>
            <w:gridSpan w:val="6"/>
          </w:tcPr>
          <w:p w14:paraId="6A42D9FE" w14:textId="77777777" w:rsidR="00065317" w:rsidRDefault="005C7BF7">
            <w:pPr>
              <w:pStyle w:val="Compact"/>
            </w:pPr>
            <w:r>
              <w:rPr>
                <w:rStyle w:val="VerbatimChar"/>
              </w:rPr>
              <w:t>P69_est_associé_à (est_associé_à)</w:t>
            </w:r>
          </w:p>
        </w:tc>
        <w:tc>
          <w:tcPr>
            <w:tcW w:w="2620" w:type="dxa"/>
          </w:tcPr>
          <w:p w14:paraId="21B1E447" w14:textId="77777777" w:rsidR="00065317" w:rsidRDefault="005C7BF7">
            <w:pPr>
              <w:pStyle w:val="Compact"/>
            </w:pPr>
            <w:r>
              <w:rPr>
                <w:rStyle w:val="VerbatimChar"/>
              </w:rPr>
              <w:t>E29_Conceptualisation_ou_procédure</w:t>
            </w:r>
          </w:p>
        </w:tc>
        <w:tc>
          <w:tcPr>
            <w:tcW w:w="2268" w:type="dxa"/>
          </w:tcPr>
          <w:p w14:paraId="408F4D10" w14:textId="77777777" w:rsidR="00065317" w:rsidRDefault="005C7BF7">
            <w:pPr>
              <w:pStyle w:val="Compact"/>
            </w:pPr>
            <w:r>
              <w:rPr>
                <w:rStyle w:val="VerbatimChar"/>
              </w:rPr>
              <w:t>E29_Conceptualisation_ou_procédure</w:t>
            </w:r>
          </w:p>
        </w:tc>
      </w:tr>
      <w:tr w:rsidR="00065317" w14:paraId="195DD7A6" w14:textId="77777777" w:rsidTr="000041DB">
        <w:tc>
          <w:tcPr>
            <w:tcW w:w="800" w:type="dxa"/>
          </w:tcPr>
          <w:p w14:paraId="20B703BE" w14:textId="77777777" w:rsidR="00065317" w:rsidRDefault="005C7BF7">
            <w:pPr>
              <w:pStyle w:val="Compact"/>
            </w:pPr>
            <w:r>
              <w:t>P72</w:t>
            </w:r>
          </w:p>
        </w:tc>
        <w:tc>
          <w:tcPr>
            <w:tcW w:w="4508" w:type="dxa"/>
            <w:gridSpan w:val="6"/>
          </w:tcPr>
          <w:p w14:paraId="28174766" w14:textId="77777777" w:rsidR="00065317" w:rsidRDefault="005C7BF7">
            <w:pPr>
              <w:pStyle w:val="Compact"/>
            </w:pPr>
            <w:r>
              <w:rPr>
                <w:rStyle w:val="VerbatimChar"/>
              </w:rPr>
              <w:t>P72_a_pour_langue (est_la_langue_de)</w:t>
            </w:r>
          </w:p>
        </w:tc>
        <w:tc>
          <w:tcPr>
            <w:tcW w:w="2620" w:type="dxa"/>
          </w:tcPr>
          <w:p w14:paraId="201AD073" w14:textId="77777777" w:rsidR="00065317" w:rsidRDefault="005C7BF7">
            <w:pPr>
              <w:pStyle w:val="Compact"/>
            </w:pPr>
            <w:r>
              <w:rPr>
                <w:rStyle w:val="VerbatimChar"/>
              </w:rPr>
              <w:t>E33_Objet_linguistique</w:t>
            </w:r>
          </w:p>
        </w:tc>
        <w:tc>
          <w:tcPr>
            <w:tcW w:w="2268" w:type="dxa"/>
          </w:tcPr>
          <w:p w14:paraId="3FBB8EB0" w14:textId="77777777" w:rsidR="00065317" w:rsidRDefault="005C7BF7">
            <w:pPr>
              <w:pStyle w:val="Compact"/>
            </w:pPr>
            <w:r>
              <w:rPr>
                <w:rStyle w:val="VerbatimChar"/>
              </w:rPr>
              <w:t>E56_Langue</w:t>
            </w:r>
          </w:p>
        </w:tc>
      </w:tr>
      <w:tr w:rsidR="00065317" w14:paraId="2FFEE56A" w14:textId="77777777" w:rsidTr="000041DB">
        <w:tc>
          <w:tcPr>
            <w:tcW w:w="800" w:type="dxa"/>
          </w:tcPr>
          <w:p w14:paraId="4026A963" w14:textId="77777777" w:rsidR="00065317" w:rsidRDefault="005C7BF7">
            <w:pPr>
              <w:pStyle w:val="Compact"/>
            </w:pPr>
            <w:r>
              <w:t>P74</w:t>
            </w:r>
          </w:p>
        </w:tc>
        <w:tc>
          <w:tcPr>
            <w:tcW w:w="4508" w:type="dxa"/>
            <w:gridSpan w:val="6"/>
          </w:tcPr>
          <w:p w14:paraId="263D09A4" w14:textId="77777777" w:rsidR="00065317" w:rsidRDefault="005C7BF7">
            <w:pPr>
              <w:pStyle w:val="Compact"/>
            </w:pPr>
            <w:r>
              <w:rPr>
                <w:rStyle w:val="VerbatimChar"/>
              </w:rPr>
              <w:t>P74_a_pour_résidence_actuelle_ou_antérieure (est_la_résidence_actuelle_ou_antérieure_de)</w:t>
            </w:r>
          </w:p>
        </w:tc>
        <w:tc>
          <w:tcPr>
            <w:tcW w:w="2620" w:type="dxa"/>
          </w:tcPr>
          <w:p w14:paraId="0EA7A7C8" w14:textId="77777777" w:rsidR="00065317" w:rsidRDefault="005C7BF7">
            <w:pPr>
              <w:pStyle w:val="Compact"/>
            </w:pPr>
            <w:r>
              <w:rPr>
                <w:rStyle w:val="VerbatimChar"/>
              </w:rPr>
              <w:t>E39_Actant</w:t>
            </w:r>
          </w:p>
        </w:tc>
        <w:tc>
          <w:tcPr>
            <w:tcW w:w="2268" w:type="dxa"/>
          </w:tcPr>
          <w:p w14:paraId="50DC56E8" w14:textId="77777777" w:rsidR="00065317" w:rsidRDefault="005C7BF7">
            <w:pPr>
              <w:pStyle w:val="Compact"/>
            </w:pPr>
            <w:r>
              <w:rPr>
                <w:rStyle w:val="VerbatimChar"/>
              </w:rPr>
              <w:t>E53_Lieu</w:t>
            </w:r>
          </w:p>
        </w:tc>
      </w:tr>
      <w:tr w:rsidR="00065317" w14:paraId="038EEA1B" w14:textId="77777777" w:rsidTr="000041DB">
        <w:tc>
          <w:tcPr>
            <w:tcW w:w="800" w:type="dxa"/>
          </w:tcPr>
          <w:p w14:paraId="60B3D2E5" w14:textId="77777777" w:rsidR="00065317" w:rsidRDefault="005C7BF7">
            <w:pPr>
              <w:pStyle w:val="Compact"/>
            </w:pPr>
            <w:r>
              <w:t>P75</w:t>
            </w:r>
          </w:p>
        </w:tc>
        <w:tc>
          <w:tcPr>
            <w:tcW w:w="4508" w:type="dxa"/>
            <w:gridSpan w:val="6"/>
          </w:tcPr>
          <w:p w14:paraId="6DAE8EA7" w14:textId="77777777" w:rsidR="00065317" w:rsidRDefault="005C7BF7">
            <w:pPr>
              <w:pStyle w:val="Compact"/>
            </w:pPr>
            <w:r>
              <w:rPr>
                <w:rStyle w:val="VerbatimChar"/>
              </w:rPr>
              <w:t>P75_possède (est_possédé_par)</w:t>
            </w:r>
          </w:p>
        </w:tc>
        <w:tc>
          <w:tcPr>
            <w:tcW w:w="2620" w:type="dxa"/>
          </w:tcPr>
          <w:p w14:paraId="5CA39959" w14:textId="77777777" w:rsidR="00065317" w:rsidRDefault="005C7BF7">
            <w:pPr>
              <w:pStyle w:val="Compact"/>
            </w:pPr>
            <w:r>
              <w:rPr>
                <w:rStyle w:val="VerbatimChar"/>
              </w:rPr>
              <w:t>E39_Actant</w:t>
            </w:r>
          </w:p>
        </w:tc>
        <w:tc>
          <w:tcPr>
            <w:tcW w:w="2268" w:type="dxa"/>
          </w:tcPr>
          <w:p w14:paraId="0B3ECEC4" w14:textId="77777777" w:rsidR="00065317" w:rsidRDefault="005C7BF7">
            <w:pPr>
              <w:pStyle w:val="Compact"/>
            </w:pPr>
            <w:r>
              <w:rPr>
                <w:rStyle w:val="VerbatimChar"/>
              </w:rPr>
              <w:t>E30_Droit</w:t>
            </w:r>
          </w:p>
        </w:tc>
      </w:tr>
      <w:tr w:rsidR="00065317" w14:paraId="4F641D50" w14:textId="77777777" w:rsidTr="000041DB">
        <w:tc>
          <w:tcPr>
            <w:tcW w:w="800" w:type="dxa"/>
          </w:tcPr>
          <w:p w14:paraId="1CB7CA6E" w14:textId="77777777" w:rsidR="00065317" w:rsidRDefault="005C7BF7">
            <w:pPr>
              <w:pStyle w:val="Compact"/>
            </w:pPr>
            <w:r>
              <w:t>P76</w:t>
            </w:r>
          </w:p>
        </w:tc>
        <w:tc>
          <w:tcPr>
            <w:tcW w:w="4508" w:type="dxa"/>
            <w:gridSpan w:val="6"/>
          </w:tcPr>
          <w:p w14:paraId="51DD8F6A" w14:textId="77777777" w:rsidR="00065317" w:rsidRDefault="005C7BF7">
            <w:pPr>
              <w:pStyle w:val="Compact"/>
            </w:pPr>
            <w:r>
              <w:rPr>
                <w:rStyle w:val="VerbatimChar"/>
              </w:rPr>
              <w:t>P76_a_pour_coordonnées (permet_de_contacter)</w:t>
            </w:r>
          </w:p>
        </w:tc>
        <w:tc>
          <w:tcPr>
            <w:tcW w:w="2620" w:type="dxa"/>
          </w:tcPr>
          <w:p w14:paraId="3BD3AADA" w14:textId="77777777" w:rsidR="00065317" w:rsidRDefault="005C7BF7">
            <w:pPr>
              <w:pStyle w:val="Compact"/>
            </w:pPr>
            <w:r>
              <w:rPr>
                <w:rStyle w:val="VerbatimChar"/>
              </w:rPr>
              <w:t>E39_Actant</w:t>
            </w:r>
          </w:p>
        </w:tc>
        <w:tc>
          <w:tcPr>
            <w:tcW w:w="2268" w:type="dxa"/>
          </w:tcPr>
          <w:p w14:paraId="424E42C3" w14:textId="77777777" w:rsidR="00065317" w:rsidRDefault="005C7BF7">
            <w:pPr>
              <w:pStyle w:val="Compact"/>
            </w:pPr>
            <w:r>
              <w:rPr>
                <w:rStyle w:val="VerbatimChar"/>
              </w:rPr>
              <w:t>E41_Appellation</w:t>
            </w:r>
          </w:p>
        </w:tc>
      </w:tr>
      <w:tr w:rsidR="00065317" w14:paraId="6B3D7F51" w14:textId="77777777" w:rsidTr="000041DB">
        <w:tc>
          <w:tcPr>
            <w:tcW w:w="800" w:type="dxa"/>
          </w:tcPr>
          <w:p w14:paraId="4EC5642C" w14:textId="77777777" w:rsidR="00065317" w:rsidRDefault="005C7BF7">
            <w:pPr>
              <w:pStyle w:val="Compact"/>
            </w:pPr>
            <w:r>
              <w:t>P81</w:t>
            </w:r>
          </w:p>
        </w:tc>
        <w:tc>
          <w:tcPr>
            <w:tcW w:w="4508" w:type="dxa"/>
            <w:gridSpan w:val="6"/>
          </w:tcPr>
          <w:p w14:paraId="05A0CB39" w14:textId="77777777" w:rsidR="00065317" w:rsidRDefault="005C7BF7">
            <w:pPr>
              <w:pStyle w:val="Compact"/>
            </w:pPr>
            <w:r>
              <w:rPr>
                <w:rStyle w:val="VerbatimChar"/>
              </w:rPr>
              <w:t>P81_a_couvert</w:t>
            </w:r>
          </w:p>
        </w:tc>
        <w:tc>
          <w:tcPr>
            <w:tcW w:w="2620" w:type="dxa"/>
          </w:tcPr>
          <w:p w14:paraId="04A0F804" w14:textId="77777777" w:rsidR="00065317" w:rsidRDefault="005C7BF7">
            <w:pPr>
              <w:pStyle w:val="Compact"/>
            </w:pPr>
            <w:r>
              <w:rPr>
                <w:rStyle w:val="VerbatimChar"/>
              </w:rPr>
              <w:t xml:space="preserve">E52_Intervalle_temporel </w:t>
            </w:r>
          </w:p>
        </w:tc>
        <w:tc>
          <w:tcPr>
            <w:tcW w:w="2268" w:type="dxa"/>
          </w:tcPr>
          <w:p w14:paraId="2E576EAC" w14:textId="77777777" w:rsidR="00065317" w:rsidRDefault="005C7BF7">
            <w:pPr>
              <w:pStyle w:val="Compact"/>
            </w:pPr>
            <w:r>
              <w:rPr>
                <w:rStyle w:val="VerbatimChar"/>
              </w:rPr>
              <w:t>E61_Primitive_temporelle</w:t>
            </w:r>
          </w:p>
        </w:tc>
      </w:tr>
      <w:tr w:rsidR="00065317" w14:paraId="4FD927C5" w14:textId="77777777" w:rsidTr="000041DB">
        <w:tc>
          <w:tcPr>
            <w:tcW w:w="800" w:type="dxa"/>
          </w:tcPr>
          <w:p w14:paraId="314A4787" w14:textId="77777777" w:rsidR="00065317" w:rsidRDefault="005C7BF7">
            <w:pPr>
              <w:pStyle w:val="Compact"/>
            </w:pPr>
            <w:r>
              <w:t>P82</w:t>
            </w:r>
          </w:p>
        </w:tc>
        <w:tc>
          <w:tcPr>
            <w:tcW w:w="4508" w:type="dxa"/>
            <w:gridSpan w:val="6"/>
          </w:tcPr>
          <w:p w14:paraId="09A6DEB0" w14:textId="77777777" w:rsidR="00065317" w:rsidRDefault="005C7BF7">
            <w:pPr>
              <w:pStyle w:val="Compact"/>
            </w:pPr>
            <w:r>
              <w:rPr>
                <w:rStyle w:val="VerbatimChar"/>
              </w:rPr>
              <w:t>P82_a_eu_lieu_durant</w:t>
            </w:r>
          </w:p>
        </w:tc>
        <w:tc>
          <w:tcPr>
            <w:tcW w:w="2620" w:type="dxa"/>
          </w:tcPr>
          <w:p w14:paraId="61B9B4D7" w14:textId="77777777" w:rsidR="00065317" w:rsidRDefault="005C7BF7">
            <w:pPr>
              <w:pStyle w:val="Compact"/>
            </w:pPr>
            <w:r>
              <w:rPr>
                <w:rStyle w:val="VerbatimChar"/>
              </w:rPr>
              <w:t xml:space="preserve">E52_Intervalle_temporel </w:t>
            </w:r>
          </w:p>
        </w:tc>
        <w:tc>
          <w:tcPr>
            <w:tcW w:w="2268" w:type="dxa"/>
          </w:tcPr>
          <w:p w14:paraId="2C5B9112" w14:textId="77777777" w:rsidR="00065317" w:rsidRDefault="005C7BF7">
            <w:pPr>
              <w:pStyle w:val="Compact"/>
            </w:pPr>
            <w:r>
              <w:rPr>
                <w:rStyle w:val="VerbatimChar"/>
              </w:rPr>
              <w:t>E61_Primitive_temporelle</w:t>
            </w:r>
          </w:p>
        </w:tc>
      </w:tr>
      <w:tr w:rsidR="00065317" w14:paraId="7AA7E4CA" w14:textId="77777777" w:rsidTr="000041DB">
        <w:tc>
          <w:tcPr>
            <w:tcW w:w="800" w:type="dxa"/>
          </w:tcPr>
          <w:p w14:paraId="58D78E4D" w14:textId="77777777" w:rsidR="00065317" w:rsidRDefault="005C7BF7">
            <w:pPr>
              <w:pStyle w:val="Compact"/>
            </w:pPr>
            <w:r>
              <w:t>P86</w:t>
            </w:r>
          </w:p>
        </w:tc>
        <w:tc>
          <w:tcPr>
            <w:tcW w:w="4508" w:type="dxa"/>
            <w:gridSpan w:val="6"/>
          </w:tcPr>
          <w:p w14:paraId="607B02BA" w14:textId="78F61454" w:rsidR="00065317" w:rsidRDefault="005C7BF7">
            <w:pPr>
              <w:pStyle w:val="Compact"/>
            </w:pPr>
            <w:r>
              <w:rPr>
                <w:rStyle w:val="VerbatimChar"/>
              </w:rPr>
              <w:t>P86_s</w:t>
            </w:r>
            <w:r w:rsidR="00E84B0E">
              <w:rPr>
                <w:rStyle w:val="VerbatimChar"/>
              </w:rPr>
              <w:t>’</w:t>
            </w:r>
            <w:r>
              <w:rPr>
                <w:rStyle w:val="VerbatimChar"/>
              </w:rPr>
              <w:t>insère_dans (contient)</w:t>
            </w:r>
          </w:p>
        </w:tc>
        <w:tc>
          <w:tcPr>
            <w:tcW w:w="2620" w:type="dxa"/>
          </w:tcPr>
          <w:p w14:paraId="6A2482D8" w14:textId="77777777" w:rsidR="00065317" w:rsidRDefault="005C7BF7">
            <w:pPr>
              <w:pStyle w:val="Compact"/>
            </w:pPr>
            <w:r>
              <w:rPr>
                <w:rStyle w:val="VerbatimChar"/>
              </w:rPr>
              <w:t xml:space="preserve">E52_Intervalle_temporel </w:t>
            </w:r>
          </w:p>
        </w:tc>
        <w:tc>
          <w:tcPr>
            <w:tcW w:w="2268" w:type="dxa"/>
          </w:tcPr>
          <w:p w14:paraId="15BC7A2E" w14:textId="77777777" w:rsidR="00065317" w:rsidRDefault="005C7BF7">
            <w:pPr>
              <w:pStyle w:val="Compact"/>
            </w:pPr>
            <w:r>
              <w:rPr>
                <w:rStyle w:val="VerbatimChar"/>
              </w:rPr>
              <w:t xml:space="preserve">E52_Intervalle_temporel </w:t>
            </w:r>
          </w:p>
        </w:tc>
      </w:tr>
      <w:tr w:rsidR="00065317" w14:paraId="4140D296" w14:textId="77777777" w:rsidTr="000041DB">
        <w:tc>
          <w:tcPr>
            <w:tcW w:w="800" w:type="dxa"/>
          </w:tcPr>
          <w:p w14:paraId="16010E6C" w14:textId="77777777" w:rsidR="00065317" w:rsidRDefault="005C7BF7">
            <w:pPr>
              <w:pStyle w:val="Compact"/>
            </w:pPr>
            <w:r>
              <w:t>P89</w:t>
            </w:r>
          </w:p>
        </w:tc>
        <w:tc>
          <w:tcPr>
            <w:tcW w:w="4508" w:type="dxa"/>
            <w:gridSpan w:val="6"/>
          </w:tcPr>
          <w:p w14:paraId="41931495" w14:textId="4E30BEF1" w:rsidR="00065317" w:rsidRDefault="005C7BF7">
            <w:pPr>
              <w:pStyle w:val="Compact"/>
            </w:pPr>
            <w:r>
              <w:rPr>
                <w:rStyle w:val="VerbatimChar"/>
              </w:rPr>
              <w:t>P89_s</w:t>
            </w:r>
            <w:r w:rsidR="00E84B0E">
              <w:rPr>
                <w:rStyle w:val="VerbatimChar"/>
              </w:rPr>
              <w:t>’</w:t>
            </w:r>
            <w:r>
              <w:rPr>
                <w:rStyle w:val="VerbatimChar"/>
              </w:rPr>
              <w:t>insère_dans (contient)</w:t>
            </w:r>
          </w:p>
        </w:tc>
        <w:tc>
          <w:tcPr>
            <w:tcW w:w="2620" w:type="dxa"/>
          </w:tcPr>
          <w:p w14:paraId="42897FAE" w14:textId="77777777" w:rsidR="00065317" w:rsidRDefault="005C7BF7">
            <w:pPr>
              <w:pStyle w:val="Compact"/>
            </w:pPr>
            <w:r>
              <w:rPr>
                <w:rStyle w:val="VerbatimChar"/>
              </w:rPr>
              <w:t>E53_Lieu</w:t>
            </w:r>
          </w:p>
        </w:tc>
        <w:tc>
          <w:tcPr>
            <w:tcW w:w="2268" w:type="dxa"/>
          </w:tcPr>
          <w:p w14:paraId="2FF4111A" w14:textId="77777777" w:rsidR="00065317" w:rsidRDefault="005C7BF7">
            <w:pPr>
              <w:pStyle w:val="Compact"/>
            </w:pPr>
            <w:r>
              <w:rPr>
                <w:rStyle w:val="VerbatimChar"/>
              </w:rPr>
              <w:t>E53_Lieu</w:t>
            </w:r>
          </w:p>
        </w:tc>
      </w:tr>
      <w:tr w:rsidR="00065317" w14:paraId="72265F54" w14:textId="77777777" w:rsidTr="000041DB">
        <w:tc>
          <w:tcPr>
            <w:tcW w:w="800" w:type="dxa"/>
          </w:tcPr>
          <w:p w14:paraId="6EDB8A8C" w14:textId="77777777" w:rsidR="00065317" w:rsidRDefault="005C7BF7">
            <w:pPr>
              <w:pStyle w:val="Compact"/>
            </w:pPr>
            <w:r>
              <w:t>P90</w:t>
            </w:r>
          </w:p>
        </w:tc>
        <w:tc>
          <w:tcPr>
            <w:tcW w:w="4508" w:type="dxa"/>
            <w:gridSpan w:val="6"/>
          </w:tcPr>
          <w:p w14:paraId="775F16B1" w14:textId="77777777" w:rsidR="00065317" w:rsidRDefault="005C7BF7">
            <w:pPr>
              <w:pStyle w:val="Compact"/>
            </w:pPr>
            <w:r>
              <w:rPr>
                <w:rStyle w:val="VerbatimChar"/>
              </w:rPr>
              <w:t>P90_a_pour_valeur</w:t>
            </w:r>
          </w:p>
        </w:tc>
        <w:tc>
          <w:tcPr>
            <w:tcW w:w="2620" w:type="dxa"/>
          </w:tcPr>
          <w:p w14:paraId="15F66BA1" w14:textId="77777777" w:rsidR="00065317" w:rsidRDefault="005C7BF7">
            <w:pPr>
              <w:pStyle w:val="Compact"/>
            </w:pPr>
            <w:r>
              <w:rPr>
                <w:rStyle w:val="VerbatimChar"/>
              </w:rPr>
              <w:t>E54_Dimension</w:t>
            </w:r>
          </w:p>
        </w:tc>
        <w:tc>
          <w:tcPr>
            <w:tcW w:w="2268" w:type="dxa"/>
          </w:tcPr>
          <w:p w14:paraId="298BC58C" w14:textId="77777777" w:rsidR="00065317" w:rsidRDefault="005C7BF7">
            <w:pPr>
              <w:pStyle w:val="Compact"/>
            </w:pPr>
            <w:r>
              <w:rPr>
                <w:rStyle w:val="VerbatimChar"/>
              </w:rPr>
              <w:t>E60_Nombre</w:t>
            </w:r>
          </w:p>
        </w:tc>
      </w:tr>
      <w:tr w:rsidR="00065317" w14:paraId="4999A8E0" w14:textId="77777777" w:rsidTr="000041DB">
        <w:tc>
          <w:tcPr>
            <w:tcW w:w="800" w:type="dxa"/>
          </w:tcPr>
          <w:p w14:paraId="452400B1" w14:textId="77777777" w:rsidR="00065317" w:rsidRDefault="005C7BF7">
            <w:pPr>
              <w:pStyle w:val="Compact"/>
            </w:pPr>
            <w:r>
              <w:t>P91</w:t>
            </w:r>
          </w:p>
        </w:tc>
        <w:tc>
          <w:tcPr>
            <w:tcW w:w="4508" w:type="dxa"/>
            <w:gridSpan w:val="6"/>
          </w:tcPr>
          <w:p w14:paraId="113B64CA" w14:textId="614BEBD2" w:rsidR="00065317" w:rsidRDefault="005C7BF7">
            <w:pPr>
              <w:pStyle w:val="Compact"/>
            </w:pPr>
            <w:r>
              <w:rPr>
                <w:rStyle w:val="VerbatimChar"/>
              </w:rPr>
              <w:t>P91_a_pour_unité_de_mesure (est_l</w:t>
            </w:r>
            <w:r w:rsidR="00E84B0E">
              <w:rPr>
                <w:rStyle w:val="VerbatimChar"/>
              </w:rPr>
              <w:t>’</w:t>
            </w:r>
            <w:r>
              <w:rPr>
                <w:rStyle w:val="VerbatimChar"/>
              </w:rPr>
              <w:t>unité_de_mesure_de)</w:t>
            </w:r>
          </w:p>
        </w:tc>
        <w:tc>
          <w:tcPr>
            <w:tcW w:w="2620" w:type="dxa"/>
          </w:tcPr>
          <w:p w14:paraId="2E964EBC" w14:textId="77777777" w:rsidR="00065317" w:rsidRDefault="005C7BF7">
            <w:pPr>
              <w:pStyle w:val="Compact"/>
            </w:pPr>
            <w:r>
              <w:rPr>
                <w:rStyle w:val="VerbatimChar"/>
              </w:rPr>
              <w:t>E54_Dimension</w:t>
            </w:r>
          </w:p>
        </w:tc>
        <w:tc>
          <w:tcPr>
            <w:tcW w:w="2268" w:type="dxa"/>
          </w:tcPr>
          <w:p w14:paraId="5757425C" w14:textId="77777777" w:rsidR="00065317" w:rsidRDefault="005C7BF7">
            <w:pPr>
              <w:pStyle w:val="Compact"/>
            </w:pPr>
            <w:r>
              <w:rPr>
                <w:rStyle w:val="VerbatimChar"/>
              </w:rPr>
              <w:t>E58_Unité_de_mesure</w:t>
            </w:r>
          </w:p>
        </w:tc>
      </w:tr>
      <w:tr w:rsidR="00065317" w14:paraId="373F959F" w14:textId="77777777" w:rsidTr="000041DB">
        <w:tc>
          <w:tcPr>
            <w:tcW w:w="800" w:type="dxa"/>
          </w:tcPr>
          <w:p w14:paraId="26F070F8" w14:textId="77777777" w:rsidR="00065317" w:rsidRDefault="005C7BF7">
            <w:pPr>
              <w:pStyle w:val="Compact"/>
            </w:pPr>
            <w:r>
              <w:t>P180</w:t>
            </w:r>
          </w:p>
        </w:tc>
        <w:tc>
          <w:tcPr>
            <w:tcW w:w="256" w:type="dxa"/>
          </w:tcPr>
          <w:p w14:paraId="712A9A88" w14:textId="77777777" w:rsidR="00065317" w:rsidRDefault="005C7BF7">
            <w:pPr>
              <w:pStyle w:val="Compact"/>
            </w:pPr>
            <w:r>
              <w:t>-</w:t>
            </w:r>
          </w:p>
        </w:tc>
        <w:tc>
          <w:tcPr>
            <w:tcW w:w="4252" w:type="dxa"/>
            <w:gridSpan w:val="5"/>
          </w:tcPr>
          <w:p w14:paraId="0A773557" w14:textId="5612DDE8" w:rsidR="00065317" w:rsidRDefault="005C7BF7">
            <w:pPr>
              <w:pStyle w:val="Compact"/>
            </w:pPr>
            <w:r>
              <w:rPr>
                <w:rStyle w:val="VerbatimChar"/>
              </w:rPr>
              <w:t>P180a_pour_unité_monétaire (était_l</w:t>
            </w:r>
            <w:r w:rsidR="00E84B0E">
              <w:rPr>
                <w:rStyle w:val="VerbatimChar"/>
              </w:rPr>
              <w:t>’</w:t>
            </w:r>
            <w:r>
              <w:rPr>
                <w:rStyle w:val="VerbatimChar"/>
              </w:rPr>
              <w:t>unité_monétaire_de)</w:t>
            </w:r>
          </w:p>
        </w:tc>
        <w:tc>
          <w:tcPr>
            <w:tcW w:w="2620" w:type="dxa"/>
          </w:tcPr>
          <w:p w14:paraId="1A460DAB" w14:textId="77777777" w:rsidR="00065317" w:rsidRDefault="005C7BF7">
            <w:pPr>
              <w:pStyle w:val="Compact"/>
            </w:pPr>
            <w:r>
              <w:rPr>
                <w:rStyle w:val="VerbatimChar"/>
              </w:rPr>
              <w:t>E97_Valeur_monétaire</w:t>
            </w:r>
          </w:p>
        </w:tc>
        <w:tc>
          <w:tcPr>
            <w:tcW w:w="2268" w:type="dxa"/>
          </w:tcPr>
          <w:p w14:paraId="0C872268" w14:textId="77777777" w:rsidR="00065317" w:rsidRDefault="005C7BF7">
            <w:pPr>
              <w:pStyle w:val="Compact"/>
            </w:pPr>
            <w:r>
              <w:rPr>
                <w:rStyle w:val="VerbatimChar"/>
              </w:rPr>
              <w:t>E98_Unité_monétaire</w:t>
            </w:r>
          </w:p>
        </w:tc>
      </w:tr>
      <w:tr w:rsidR="00065317" w14:paraId="7F530035" w14:textId="77777777" w:rsidTr="000041DB">
        <w:tc>
          <w:tcPr>
            <w:tcW w:w="800" w:type="dxa"/>
          </w:tcPr>
          <w:p w14:paraId="1D5BC430" w14:textId="77777777" w:rsidR="00065317" w:rsidRDefault="005C7BF7">
            <w:pPr>
              <w:pStyle w:val="Compact"/>
            </w:pPr>
            <w:r>
              <w:t>P97</w:t>
            </w:r>
          </w:p>
        </w:tc>
        <w:tc>
          <w:tcPr>
            <w:tcW w:w="4508" w:type="dxa"/>
            <w:gridSpan w:val="6"/>
          </w:tcPr>
          <w:p w14:paraId="64822D97" w14:textId="77777777" w:rsidR="00065317" w:rsidRDefault="005C7BF7">
            <w:pPr>
              <w:pStyle w:val="Compact"/>
            </w:pPr>
            <w:r>
              <w:rPr>
                <w:rStyle w:val="VerbatimChar"/>
              </w:rPr>
              <w:t>P97_de_père (a_été_le_père_pour)</w:t>
            </w:r>
          </w:p>
        </w:tc>
        <w:tc>
          <w:tcPr>
            <w:tcW w:w="2620" w:type="dxa"/>
          </w:tcPr>
          <w:p w14:paraId="711BF6FC" w14:textId="77777777" w:rsidR="00065317" w:rsidRDefault="005C7BF7">
            <w:pPr>
              <w:pStyle w:val="Compact"/>
            </w:pPr>
            <w:r>
              <w:rPr>
                <w:rStyle w:val="VerbatimChar"/>
              </w:rPr>
              <w:t>E67_Naissance</w:t>
            </w:r>
          </w:p>
        </w:tc>
        <w:tc>
          <w:tcPr>
            <w:tcW w:w="2268" w:type="dxa"/>
          </w:tcPr>
          <w:p w14:paraId="58DF086C" w14:textId="77777777" w:rsidR="00065317" w:rsidRDefault="005C7BF7">
            <w:pPr>
              <w:pStyle w:val="Compact"/>
            </w:pPr>
            <w:r>
              <w:rPr>
                <w:rStyle w:val="VerbatimChar"/>
              </w:rPr>
              <w:t>E21_Personne</w:t>
            </w:r>
          </w:p>
        </w:tc>
      </w:tr>
      <w:tr w:rsidR="00065317" w14:paraId="74C9E2B1" w14:textId="77777777" w:rsidTr="000041DB">
        <w:tc>
          <w:tcPr>
            <w:tcW w:w="800" w:type="dxa"/>
          </w:tcPr>
          <w:p w14:paraId="2E3BDD74" w14:textId="77777777" w:rsidR="00065317" w:rsidRDefault="005C7BF7">
            <w:pPr>
              <w:pStyle w:val="Compact"/>
            </w:pPr>
            <w:r>
              <w:t>P101</w:t>
            </w:r>
          </w:p>
        </w:tc>
        <w:tc>
          <w:tcPr>
            <w:tcW w:w="4508" w:type="dxa"/>
            <w:gridSpan w:val="6"/>
          </w:tcPr>
          <w:p w14:paraId="49AB69B5" w14:textId="7428E6A5" w:rsidR="00065317" w:rsidRDefault="005C7BF7">
            <w:pPr>
              <w:pStyle w:val="Compact"/>
            </w:pPr>
            <w:r>
              <w:rPr>
                <w:rStyle w:val="VerbatimChar"/>
              </w:rPr>
              <w:t>P101_a_eu_pour_usage_général (a_été_l</w:t>
            </w:r>
            <w:r w:rsidR="00E84B0E">
              <w:rPr>
                <w:rStyle w:val="VerbatimChar"/>
              </w:rPr>
              <w:t>’</w:t>
            </w:r>
            <w:r>
              <w:rPr>
                <w:rStyle w:val="VerbatimChar"/>
              </w:rPr>
              <w:t>usage_général_de)</w:t>
            </w:r>
          </w:p>
        </w:tc>
        <w:tc>
          <w:tcPr>
            <w:tcW w:w="2620" w:type="dxa"/>
          </w:tcPr>
          <w:p w14:paraId="500311EE" w14:textId="77777777" w:rsidR="00065317" w:rsidRDefault="005C7BF7">
            <w:pPr>
              <w:pStyle w:val="Compact"/>
            </w:pPr>
            <w:r>
              <w:rPr>
                <w:rStyle w:val="VerbatimChar"/>
              </w:rPr>
              <w:t>E70_Chose</w:t>
            </w:r>
          </w:p>
        </w:tc>
        <w:tc>
          <w:tcPr>
            <w:tcW w:w="2268" w:type="dxa"/>
          </w:tcPr>
          <w:p w14:paraId="20D3B4C0" w14:textId="77777777" w:rsidR="00065317" w:rsidRDefault="005C7BF7">
            <w:pPr>
              <w:pStyle w:val="Compact"/>
            </w:pPr>
            <w:r>
              <w:rPr>
                <w:rStyle w:val="VerbatimChar"/>
              </w:rPr>
              <w:t>E55_Type</w:t>
            </w:r>
          </w:p>
        </w:tc>
      </w:tr>
      <w:tr w:rsidR="00065317" w14:paraId="7CA0E888" w14:textId="77777777" w:rsidTr="000041DB">
        <w:tc>
          <w:tcPr>
            <w:tcW w:w="800" w:type="dxa"/>
          </w:tcPr>
          <w:p w14:paraId="000AA24E" w14:textId="77777777" w:rsidR="00065317" w:rsidRDefault="005C7BF7">
            <w:pPr>
              <w:pStyle w:val="Compact"/>
            </w:pPr>
            <w:r>
              <w:t>P103</w:t>
            </w:r>
          </w:p>
        </w:tc>
        <w:tc>
          <w:tcPr>
            <w:tcW w:w="4508" w:type="dxa"/>
            <w:gridSpan w:val="6"/>
          </w:tcPr>
          <w:p w14:paraId="33014382" w14:textId="1152D5F7" w:rsidR="00065317" w:rsidRDefault="005C7BF7">
            <w:pPr>
              <w:pStyle w:val="Compact"/>
            </w:pPr>
            <w:r>
              <w:rPr>
                <w:rStyle w:val="VerbatimChar"/>
              </w:rPr>
              <w:t>P103_a_eu_pour_raison_d</w:t>
            </w:r>
            <w:r w:rsidR="00E84B0E">
              <w:rPr>
                <w:rStyle w:val="VerbatimChar"/>
              </w:rPr>
              <w:t>’</w:t>
            </w:r>
            <w:r>
              <w:rPr>
                <w:rStyle w:val="VerbatimChar"/>
              </w:rPr>
              <w:t>être (a_été_la_raison_d</w:t>
            </w:r>
            <w:r w:rsidR="00E84B0E">
              <w:rPr>
                <w:rStyle w:val="VerbatimChar"/>
              </w:rPr>
              <w:t>’</w:t>
            </w:r>
            <w:r>
              <w:rPr>
                <w:rStyle w:val="VerbatimChar"/>
              </w:rPr>
              <w:t>être_de)</w:t>
            </w:r>
          </w:p>
        </w:tc>
        <w:tc>
          <w:tcPr>
            <w:tcW w:w="2620" w:type="dxa"/>
          </w:tcPr>
          <w:p w14:paraId="52879C68" w14:textId="0C671A99" w:rsidR="00065317" w:rsidRDefault="005C7BF7">
            <w:pPr>
              <w:pStyle w:val="Compact"/>
            </w:pPr>
            <w:r>
              <w:rPr>
                <w:rStyle w:val="VerbatimChar"/>
              </w:rPr>
              <w:t>E71_Chose_élaborée_par_l</w:t>
            </w:r>
            <w:r w:rsidR="00E84B0E">
              <w:rPr>
                <w:rStyle w:val="VerbatimChar"/>
              </w:rPr>
              <w:t>’</w:t>
            </w:r>
            <w:r>
              <w:rPr>
                <w:rStyle w:val="VerbatimChar"/>
              </w:rPr>
              <w:t>humain</w:t>
            </w:r>
          </w:p>
        </w:tc>
        <w:tc>
          <w:tcPr>
            <w:tcW w:w="2268" w:type="dxa"/>
          </w:tcPr>
          <w:p w14:paraId="37882284" w14:textId="77777777" w:rsidR="00065317" w:rsidRDefault="005C7BF7">
            <w:pPr>
              <w:pStyle w:val="Compact"/>
            </w:pPr>
            <w:r>
              <w:rPr>
                <w:rStyle w:val="VerbatimChar"/>
              </w:rPr>
              <w:t>E55_Type</w:t>
            </w:r>
          </w:p>
        </w:tc>
      </w:tr>
      <w:tr w:rsidR="00065317" w14:paraId="7AEB492F" w14:textId="77777777" w:rsidTr="000041DB">
        <w:tc>
          <w:tcPr>
            <w:tcW w:w="800" w:type="dxa"/>
          </w:tcPr>
          <w:p w14:paraId="4405ADA8" w14:textId="77777777" w:rsidR="00065317" w:rsidRDefault="005C7BF7">
            <w:pPr>
              <w:pStyle w:val="Compact"/>
            </w:pPr>
            <w:r>
              <w:lastRenderedPageBreak/>
              <w:t>P104</w:t>
            </w:r>
          </w:p>
        </w:tc>
        <w:tc>
          <w:tcPr>
            <w:tcW w:w="4508" w:type="dxa"/>
            <w:gridSpan w:val="6"/>
          </w:tcPr>
          <w:p w14:paraId="28E3D070" w14:textId="02CF6F55" w:rsidR="00065317" w:rsidRDefault="005C7BF7">
            <w:pPr>
              <w:pStyle w:val="Compact"/>
            </w:pPr>
            <w:r>
              <w:rPr>
                <w:rStyle w:val="VerbatimChar"/>
              </w:rPr>
              <w:t>P104_est_soumis_à (s</w:t>
            </w:r>
            <w:r w:rsidR="00E84B0E">
              <w:rPr>
                <w:rStyle w:val="VerbatimChar"/>
              </w:rPr>
              <w:t>’</w:t>
            </w:r>
            <w:r>
              <w:rPr>
                <w:rStyle w:val="VerbatimChar"/>
              </w:rPr>
              <w:t>applique_à)</w:t>
            </w:r>
          </w:p>
        </w:tc>
        <w:tc>
          <w:tcPr>
            <w:tcW w:w="2620" w:type="dxa"/>
          </w:tcPr>
          <w:p w14:paraId="46C01A53" w14:textId="77777777" w:rsidR="00065317" w:rsidRDefault="005C7BF7">
            <w:pPr>
              <w:pStyle w:val="Compact"/>
            </w:pPr>
            <w:r>
              <w:rPr>
                <w:rStyle w:val="VerbatimChar"/>
              </w:rPr>
              <w:t>E72_Objet_juridique</w:t>
            </w:r>
          </w:p>
        </w:tc>
        <w:tc>
          <w:tcPr>
            <w:tcW w:w="2268" w:type="dxa"/>
          </w:tcPr>
          <w:p w14:paraId="52BEC07C" w14:textId="77777777" w:rsidR="00065317" w:rsidRDefault="005C7BF7">
            <w:pPr>
              <w:pStyle w:val="Compact"/>
            </w:pPr>
            <w:r>
              <w:rPr>
                <w:rStyle w:val="VerbatimChar"/>
              </w:rPr>
              <w:t>E30_Droit</w:t>
            </w:r>
          </w:p>
        </w:tc>
      </w:tr>
      <w:tr w:rsidR="00065317" w14:paraId="28511D86" w14:textId="77777777" w:rsidTr="000041DB">
        <w:tc>
          <w:tcPr>
            <w:tcW w:w="800" w:type="dxa"/>
          </w:tcPr>
          <w:p w14:paraId="2F637EBF" w14:textId="77777777" w:rsidR="00065317" w:rsidRDefault="005C7BF7">
            <w:pPr>
              <w:pStyle w:val="Compact"/>
            </w:pPr>
            <w:r>
              <w:t>P105</w:t>
            </w:r>
          </w:p>
        </w:tc>
        <w:tc>
          <w:tcPr>
            <w:tcW w:w="4508" w:type="dxa"/>
            <w:gridSpan w:val="6"/>
          </w:tcPr>
          <w:p w14:paraId="170223CE" w14:textId="77777777" w:rsidR="00065317" w:rsidRDefault="005C7BF7">
            <w:pPr>
              <w:pStyle w:val="Compact"/>
            </w:pPr>
            <w:r>
              <w:rPr>
                <w:rStyle w:val="VerbatimChar"/>
              </w:rPr>
              <w:t>P105_droit_détenu_par (détient_le_droit_sur)</w:t>
            </w:r>
          </w:p>
        </w:tc>
        <w:tc>
          <w:tcPr>
            <w:tcW w:w="2620" w:type="dxa"/>
          </w:tcPr>
          <w:p w14:paraId="48245513" w14:textId="77777777" w:rsidR="00065317" w:rsidRDefault="005C7BF7">
            <w:pPr>
              <w:pStyle w:val="Compact"/>
            </w:pPr>
            <w:r>
              <w:rPr>
                <w:rStyle w:val="VerbatimChar"/>
              </w:rPr>
              <w:t>E72_Objet_juridique</w:t>
            </w:r>
          </w:p>
        </w:tc>
        <w:tc>
          <w:tcPr>
            <w:tcW w:w="2268" w:type="dxa"/>
          </w:tcPr>
          <w:p w14:paraId="34E09F6E" w14:textId="77777777" w:rsidR="00065317" w:rsidRDefault="005C7BF7">
            <w:pPr>
              <w:pStyle w:val="Compact"/>
            </w:pPr>
            <w:r>
              <w:rPr>
                <w:rStyle w:val="VerbatimChar"/>
              </w:rPr>
              <w:t>E39_Actant</w:t>
            </w:r>
          </w:p>
        </w:tc>
      </w:tr>
      <w:tr w:rsidR="00065317" w14:paraId="0BF3C64C" w14:textId="77777777" w:rsidTr="000041DB">
        <w:tc>
          <w:tcPr>
            <w:tcW w:w="800" w:type="dxa"/>
          </w:tcPr>
          <w:p w14:paraId="4AE659FF" w14:textId="77777777" w:rsidR="00065317" w:rsidRDefault="005C7BF7">
            <w:pPr>
              <w:pStyle w:val="Compact"/>
            </w:pPr>
            <w:r>
              <w:t>P52</w:t>
            </w:r>
          </w:p>
        </w:tc>
        <w:tc>
          <w:tcPr>
            <w:tcW w:w="256" w:type="dxa"/>
          </w:tcPr>
          <w:p w14:paraId="02176DF2" w14:textId="77777777" w:rsidR="00065317" w:rsidRDefault="005C7BF7">
            <w:pPr>
              <w:pStyle w:val="Compact"/>
            </w:pPr>
            <w:r>
              <w:t>-</w:t>
            </w:r>
          </w:p>
        </w:tc>
        <w:tc>
          <w:tcPr>
            <w:tcW w:w="4252" w:type="dxa"/>
            <w:gridSpan w:val="5"/>
          </w:tcPr>
          <w:p w14:paraId="57E19C61" w14:textId="62F7A0AF" w:rsidR="00065317" w:rsidRDefault="005C7BF7">
            <w:pPr>
              <w:pStyle w:val="Compact"/>
            </w:pPr>
            <w:r>
              <w:rPr>
                <w:rStyle w:val="VerbatimChar"/>
              </w:rPr>
              <w:t>P52_a_pour_propriétaire_actuel (est_l</w:t>
            </w:r>
            <w:r w:rsidR="00E84B0E">
              <w:rPr>
                <w:rStyle w:val="VerbatimChar"/>
              </w:rPr>
              <w:t>’</w:t>
            </w:r>
            <w:r>
              <w:rPr>
                <w:rStyle w:val="VerbatimChar"/>
              </w:rPr>
              <w:t>actant_propriétaire_actuel_de)</w:t>
            </w:r>
          </w:p>
        </w:tc>
        <w:tc>
          <w:tcPr>
            <w:tcW w:w="2620" w:type="dxa"/>
          </w:tcPr>
          <w:p w14:paraId="05390950" w14:textId="77777777" w:rsidR="00065317" w:rsidRDefault="005C7BF7">
            <w:pPr>
              <w:pStyle w:val="Compact"/>
            </w:pPr>
            <w:r>
              <w:rPr>
                <w:rStyle w:val="VerbatimChar"/>
              </w:rPr>
              <w:t>E18_Chose_matérielle</w:t>
            </w:r>
          </w:p>
        </w:tc>
        <w:tc>
          <w:tcPr>
            <w:tcW w:w="2268" w:type="dxa"/>
          </w:tcPr>
          <w:p w14:paraId="782704E5" w14:textId="77777777" w:rsidR="00065317" w:rsidRDefault="005C7BF7">
            <w:pPr>
              <w:pStyle w:val="Compact"/>
            </w:pPr>
            <w:r>
              <w:rPr>
                <w:rStyle w:val="VerbatimChar"/>
              </w:rPr>
              <w:t>E39_Actant</w:t>
            </w:r>
          </w:p>
        </w:tc>
      </w:tr>
      <w:tr w:rsidR="00065317" w14:paraId="2E11D9C2" w14:textId="77777777" w:rsidTr="000041DB">
        <w:tc>
          <w:tcPr>
            <w:tcW w:w="800" w:type="dxa"/>
          </w:tcPr>
          <w:p w14:paraId="220B03E3" w14:textId="77777777" w:rsidR="00065317" w:rsidRDefault="005C7BF7">
            <w:pPr>
              <w:pStyle w:val="Compact"/>
            </w:pPr>
            <w:r>
              <w:t>P106</w:t>
            </w:r>
          </w:p>
        </w:tc>
        <w:tc>
          <w:tcPr>
            <w:tcW w:w="4508" w:type="dxa"/>
            <w:gridSpan w:val="6"/>
          </w:tcPr>
          <w:p w14:paraId="1BA0F0BC" w14:textId="77777777" w:rsidR="00065317" w:rsidRDefault="005C7BF7">
            <w:pPr>
              <w:pStyle w:val="Compact"/>
            </w:pPr>
            <w:r>
              <w:rPr>
                <w:rStyle w:val="VerbatimChar"/>
              </w:rPr>
              <w:t>P106_est_composé_de (fait_partie_de)</w:t>
            </w:r>
          </w:p>
        </w:tc>
        <w:tc>
          <w:tcPr>
            <w:tcW w:w="2620" w:type="dxa"/>
          </w:tcPr>
          <w:p w14:paraId="08402AE6" w14:textId="77777777" w:rsidR="00065317" w:rsidRDefault="005C7BF7">
            <w:pPr>
              <w:pStyle w:val="Compact"/>
            </w:pPr>
            <w:r>
              <w:rPr>
                <w:rStyle w:val="VerbatimChar"/>
              </w:rPr>
              <w:t>E90_Objet_symbolique</w:t>
            </w:r>
          </w:p>
        </w:tc>
        <w:tc>
          <w:tcPr>
            <w:tcW w:w="2268" w:type="dxa"/>
          </w:tcPr>
          <w:p w14:paraId="20BA81CA" w14:textId="77777777" w:rsidR="00065317" w:rsidRDefault="005C7BF7">
            <w:pPr>
              <w:pStyle w:val="Compact"/>
            </w:pPr>
            <w:r>
              <w:rPr>
                <w:rStyle w:val="VerbatimChar"/>
              </w:rPr>
              <w:t>E90_Objet_symbolique</w:t>
            </w:r>
          </w:p>
        </w:tc>
      </w:tr>
      <w:tr w:rsidR="00065317" w14:paraId="066C4CBB" w14:textId="77777777" w:rsidTr="000041DB">
        <w:tc>
          <w:tcPr>
            <w:tcW w:w="800" w:type="dxa"/>
          </w:tcPr>
          <w:p w14:paraId="7DDBA3DE" w14:textId="77777777" w:rsidR="00065317" w:rsidRDefault="005C7BF7">
            <w:pPr>
              <w:pStyle w:val="Compact"/>
            </w:pPr>
            <w:r>
              <w:t>P165</w:t>
            </w:r>
          </w:p>
        </w:tc>
        <w:tc>
          <w:tcPr>
            <w:tcW w:w="256" w:type="dxa"/>
          </w:tcPr>
          <w:p w14:paraId="6E2A64EC" w14:textId="77777777" w:rsidR="00065317" w:rsidRDefault="005C7BF7">
            <w:pPr>
              <w:pStyle w:val="Compact"/>
            </w:pPr>
            <w:r>
              <w:t>-</w:t>
            </w:r>
          </w:p>
        </w:tc>
        <w:tc>
          <w:tcPr>
            <w:tcW w:w="4252" w:type="dxa"/>
            <w:gridSpan w:val="5"/>
          </w:tcPr>
          <w:p w14:paraId="6B6E9383" w14:textId="77777777" w:rsidR="00065317" w:rsidRDefault="005C7BF7">
            <w:pPr>
              <w:pStyle w:val="Compact"/>
            </w:pPr>
            <w:r>
              <w:rPr>
                <w:rStyle w:val="VerbatimChar"/>
              </w:rPr>
              <w:t>P165_inclut (est_inclus_dans)</w:t>
            </w:r>
          </w:p>
        </w:tc>
        <w:tc>
          <w:tcPr>
            <w:tcW w:w="2620" w:type="dxa"/>
          </w:tcPr>
          <w:p w14:paraId="0C1E0A72" w14:textId="77777777" w:rsidR="00065317" w:rsidRDefault="005C7BF7">
            <w:pPr>
              <w:pStyle w:val="Compact"/>
            </w:pPr>
            <w:r>
              <w:rPr>
                <w:rStyle w:val="VerbatimChar"/>
              </w:rPr>
              <w:t>E73_Objet_informationnel</w:t>
            </w:r>
          </w:p>
        </w:tc>
        <w:tc>
          <w:tcPr>
            <w:tcW w:w="2268" w:type="dxa"/>
          </w:tcPr>
          <w:p w14:paraId="778362A5" w14:textId="77777777" w:rsidR="00065317" w:rsidRDefault="005C7BF7">
            <w:pPr>
              <w:pStyle w:val="Compact"/>
            </w:pPr>
            <w:r>
              <w:rPr>
                <w:rStyle w:val="VerbatimChar"/>
              </w:rPr>
              <w:t>E90_Objet_symbolique</w:t>
            </w:r>
          </w:p>
        </w:tc>
      </w:tr>
      <w:tr w:rsidR="00065317" w14:paraId="740B2785" w14:textId="77777777" w:rsidTr="000041DB">
        <w:tc>
          <w:tcPr>
            <w:tcW w:w="800" w:type="dxa"/>
          </w:tcPr>
          <w:p w14:paraId="03C84DEC" w14:textId="77777777" w:rsidR="00065317" w:rsidRDefault="005C7BF7">
            <w:pPr>
              <w:pStyle w:val="Compact"/>
            </w:pPr>
            <w:r>
              <w:t>P107</w:t>
            </w:r>
          </w:p>
        </w:tc>
        <w:tc>
          <w:tcPr>
            <w:tcW w:w="4508" w:type="dxa"/>
            <w:gridSpan w:val="6"/>
          </w:tcPr>
          <w:p w14:paraId="3661FBC0" w14:textId="77777777" w:rsidR="00065317" w:rsidRDefault="005C7BF7">
            <w:pPr>
              <w:pStyle w:val="Compact"/>
            </w:pPr>
            <w:r>
              <w:rPr>
                <w:rStyle w:val="VerbatimChar"/>
              </w:rPr>
              <w:t>P107_a_pour_membre_actuel_ou_antérieur (est_le_membre_actuel_ou_antérieur_de)</w:t>
            </w:r>
          </w:p>
        </w:tc>
        <w:tc>
          <w:tcPr>
            <w:tcW w:w="2620" w:type="dxa"/>
          </w:tcPr>
          <w:p w14:paraId="6803C43F" w14:textId="77777777" w:rsidR="00065317" w:rsidRDefault="005C7BF7">
            <w:pPr>
              <w:pStyle w:val="Compact"/>
            </w:pPr>
            <w:r>
              <w:rPr>
                <w:rStyle w:val="VerbatimChar"/>
              </w:rPr>
              <w:t>E74_Groupe</w:t>
            </w:r>
          </w:p>
        </w:tc>
        <w:tc>
          <w:tcPr>
            <w:tcW w:w="2268" w:type="dxa"/>
          </w:tcPr>
          <w:p w14:paraId="738C9A5F" w14:textId="77777777" w:rsidR="00065317" w:rsidRDefault="005C7BF7">
            <w:pPr>
              <w:pStyle w:val="Compact"/>
            </w:pPr>
            <w:r>
              <w:rPr>
                <w:rStyle w:val="VerbatimChar"/>
              </w:rPr>
              <w:t>E39_Actant</w:t>
            </w:r>
          </w:p>
        </w:tc>
      </w:tr>
      <w:tr w:rsidR="00065317" w14:paraId="0B4112DF" w14:textId="77777777" w:rsidTr="000041DB">
        <w:tc>
          <w:tcPr>
            <w:tcW w:w="800" w:type="dxa"/>
          </w:tcPr>
          <w:p w14:paraId="6AF800A4" w14:textId="77777777" w:rsidR="00065317" w:rsidRDefault="005C7BF7">
            <w:pPr>
              <w:pStyle w:val="Compact"/>
            </w:pPr>
            <w:r>
              <w:t>P121</w:t>
            </w:r>
          </w:p>
        </w:tc>
        <w:tc>
          <w:tcPr>
            <w:tcW w:w="4508" w:type="dxa"/>
            <w:gridSpan w:val="6"/>
          </w:tcPr>
          <w:p w14:paraId="473D8000" w14:textId="77777777" w:rsidR="00065317" w:rsidRDefault="005C7BF7">
            <w:pPr>
              <w:pStyle w:val="Compact"/>
            </w:pPr>
            <w:r>
              <w:rPr>
                <w:rStyle w:val="VerbatimChar"/>
              </w:rPr>
              <w:t>P121_se_superpose_partiellement_à</w:t>
            </w:r>
          </w:p>
        </w:tc>
        <w:tc>
          <w:tcPr>
            <w:tcW w:w="2620" w:type="dxa"/>
          </w:tcPr>
          <w:p w14:paraId="1D64538C" w14:textId="77777777" w:rsidR="00065317" w:rsidRDefault="005C7BF7">
            <w:pPr>
              <w:pStyle w:val="Compact"/>
            </w:pPr>
            <w:r>
              <w:rPr>
                <w:rStyle w:val="VerbatimChar"/>
              </w:rPr>
              <w:t>E53_Lieu</w:t>
            </w:r>
          </w:p>
        </w:tc>
        <w:tc>
          <w:tcPr>
            <w:tcW w:w="2268" w:type="dxa"/>
          </w:tcPr>
          <w:p w14:paraId="2CE5E9A4" w14:textId="77777777" w:rsidR="00065317" w:rsidRDefault="005C7BF7">
            <w:pPr>
              <w:pStyle w:val="Compact"/>
            </w:pPr>
            <w:r>
              <w:rPr>
                <w:rStyle w:val="VerbatimChar"/>
              </w:rPr>
              <w:t>E53_Lieu</w:t>
            </w:r>
          </w:p>
        </w:tc>
      </w:tr>
      <w:tr w:rsidR="00065317" w14:paraId="74402780" w14:textId="77777777" w:rsidTr="000041DB">
        <w:tc>
          <w:tcPr>
            <w:tcW w:w="800" w:type="dxa"/>
          </w:tcPr>
          <w:p w14:paraId="5A7DA3C4" w14:textId="77777777" w:rsidR="00065317" w:rsidRDefault="005C7BF7">
            <w:pPr>
              <w:pStyle w:val="Compact"/>
            </w:pPr>
            <w:r>
              <w:t>P122</w:t>
            </w:r>
          </w:p>
        </w:tc>
        <w:tc>
          <w:tcPr>
            <w:tcW w:w="4508" w:type="dxa"/>
            <w:gridSpan w:val="6"/>
          </w:tcPr>
          <w:p w14:paraId="21007D3B" w14:textId="77777777" w:rsidR="00065317" w:rsidRDefault="005C7BF7">
            <w:pPr>
              <w:pStyle w:val="Compact"/>
            </w:pPr>
            <w:r>
              <w:rPr>
                <w:rStyle w:val="VerbatimChar"/>
              </w:rPr>
              <w:t>P122_est_limitrophe_de</w:t>
            </w:r>
          </w:p>
        </w:tc>
        <w:tc>
          <w:tcPr>
            <w:tcW w:w="2620" w:type="dxa"/>
          </w:tcPr>
          <w:p w14:paraId="2AD110E8" w14:textId="77777777" w:rsidR="00065317" w:rsidRDefault="005C7BF7">
            <w:pPr>
              <w:pStyle w:val="Compact"/>
            </w:pPr>
            <w:r>
              <w:rPr>
                <w:rStyle w:val="VerbatimChar"/>
              </w:rPr>
              <w:t>E53_Lieu</w:t>
            </w:r>
          </w:p>
        </w:tc>
        <w:tc>
          <w:tcPr>
            <w:tcW w:w="2268" w:type="dxa"/>
          </w:tcPr>
          <w:p w14:paraId="31827145" w14:textId="77777777" w:rsidR="00065317" w:rsidRDefault="005C7BF7">
            <w:pPr>
              <w:pStyle w:val="Compact"/>
            </w:pPr>
            <w:r>
              <w:rPr>
                <w:rStyle w:val="VerbatimChar"/>
              </w:rPr>
              <w:t>E53_Lieu</w:t>
            </w:r>
          </w:p>
        </w:tc>
      </w:tr>
      <w:tr w:rsidR="00065317" w14:paraId="19DD8FB5" w14:textId="77777777" w:rsidTr="000041DB">
        <w:tc>
          <w:tcPr>
            <w:tcW w:w="800" w:type="dxa"/>
          </w:tcPr>
          <w:p w14:paraId="5C38459F" w14:textId="77777777" w:rsidR="00065317" w:rsidRDefault="005C7BF7">
            <w:pPr>
              <w:pStyle w:val="Compact"/>
            </w:pPr>
            <w:r>
              <w:t>P125</w:t>
            </w:r>
          </w:p>
        </w:tc>
        <w:tc>
          <w:tcPr>
            <w:tcW w:w="4508" w:type="dxa"/>
            <w:gridSpan w:val="6"/>
          </w:tcPr>
          <w:p w14:paraId="75D3C2CB" w14:textId="3DD1CBDC" w:rsidR="00065317" w:rsidRDefault="005C7BF7">
            <w:pPr>
              <w:pStyle w:val="Compact"/>
            </w:pPr>
            <w:r>
              <w:rPr>
                <w:rStyle w:val="VerbatimChar"/>
              </w:rPr>
              <w:t>P125_a_mobilisé_l</w:t>
            </w:r>
            <w:r w:rsidR="00E84B0E">
              <w:rPr>
                <w:rStyle w:val="VerbatimChar"/>
              </w:rPr>
              <w:t>’</w:t>
            </w:r>
            <w:r>
              <w:rPr>
                <w:rStyle w:val="VerbatimChar"/>
              </w:rPr>
              <w:t>objet_du_type (a_été_le_type_d</w:t>
            </w:r>
            <w:r w:rsidR="00E84B0E">
              <w:rPr>
                <w:rStyle w:val="VerbatimChar"/>
              </w:rPr>
              <w:t>’</w:t>
            </w:r>
            <w:r>
              <w:rPr>
                <w:rStyle w:val="VerbatimChar"/>
              </w:rPr>
              <w:t>objet_employé_pour)</w:t>
            </w:r>
          </w:p>
        </w:tc>
        <w:tc>
          <w:tcPr>
            <w:tcW w:w="2620" w:type="dxa"/>
          </w:tcPr>
          <w:p w14:paraId="57E4E460" w14:textId="77777777" w:rsidR="00065317" w:rsidRDefault="005C7BF7">
            <w:pPr>
              <w:pStyle w:val="Compact"/>
            </w:pPr>
            <w:r>
              <w:rPr>
                <w:rStyle w:val="VerbatimChar"/>
              </w:rPr>
              <w:t>E7_Activité</w:t>
            </w:r>
          </w:p>
        </w:tc>
        <w:tc>
          <w:tcPr>
            <w:tcW w:w="2268" w:type="dxa"/>
          </w:tcPr>
          <w:p w14:paraId="031A0FD2" w14:textId="77777777" w:rsidR="00065317" w:rsidRDefault="005C7BF7">
            <w:pPr>
              <w:pStyle w:val="Compact"/>
            </w:pPr>
            <w:r>
              <w:rPr>
                <w:rStyle w:val="VerbatimChar"/>
              </w:rPr>
              <w:t>E55_Type</w:t>
            </w:r>
          </w:p>
        </w:tc>
      </w:tr>
      <w:tr w:rsidR="00065317" w14:paraId="1B71E447" w14:textId="77777777" w:rsidTr="000041DB">
        <w:tc>
          <w:tcPr>
            <w:tcW w:w="800" w:type="dxa"/>
          </w:tcPr>
          <w:p w14:paraId="63DED0DF" w14:textId="77777777" w:rsidR="00065317" w:rsidRDefault="005C7BF7">
            <w:pPr>
              <w:pStyle w:val="Compact"/>
            </w:pPr>
            <w:r>
              <w:t>P32</w:t>
            </w:r>
          </w:p>
        </w:tc>
        <w:tc>
          <w:tcPr>
            <w:tcW w:w="256" w:type="dxa"/>
          </w:tcPr>
          <w:p w14:paraId="75FFDBBE" w14:textId="77777777" w:rsidR="00065317" w:rsidRDefault="005C7BF7">
            <w:pPr>
              <w:pStyle w:val="Compact"/>
            </w:pPr>
            <w:r>
              <w:t>-</w:t>
            </w:r>
          </w:p>
        </w:tc>
        <w:tc>
          <w:tcPr>
            <w:tcW w:w="4252" w:type="dxa"/>
            <w:gridSpan w:val="5"/>
          </w:tcPr>
          <w:p w14:paraId="739DF4F7" w14:textId="77777777" w:rsidR="00065317" w:rsidRDefault="005C7BF7">
            <w:pPr>
              <w:pStyle w:val="Compact"/>
            </w:pPr>
            <w:r>
              <w:rPr>
                <w:rStyle w:val="VerbatimChar"/>
              </w:rPr>
              <w:t>P32_a_mobilisé_comme_technique_générale (a_été_la_technique_générale_mise_en_œuvre_dans)</w:t>
            </w:r>
          </w:p>
        </w:tc>
        <w:tc>
          <w:tcPr>
            <w:tcW w:w="2620" w:type="dxa"/>
          </w:tcPr>
          <w:p w14:paraId="0DCBAC22" w14:textId="77777777" w:rsidR="00065317" w:rsidRDefault="005C7BF7">
            <w:pPr>
              <w:pStyle w:val="Compact"/>
            </w:pPr>
            <w:r>
              <w:rPr>
                <w:rStyle w:val="VerbatimChar"/>
              </w:rPr>
              <w:t>E7_Activité</w:t>
            </w:r>
          </w:p>
        </w:tc>
        <w:tc>
          <w:tcPr>
            <w:tcW w:w="2268" w:type="dxa"/>
          </w:tcPr>
          <w:p w14:paraId="59974654" w14:textId="77777777" w:rsidR="00065317" w:rsidRDefault="005C7BF7">
            <w:pPr>
              <w:pStyle w:val="Compact"/>
            </w:pPr>
            <w:r>
              <w:rPr>
                <w:rStyle w:val="VerbatimChar"/>
              </w:rPr>
              <w:t>E55_Type</w:t>
            </w:r>
          </w:p>
        </w:tc>
      </w:tr>
      <w:tr w:rsidR="00065317" w14:paraId="797A48DB" w14:textId="77777777" w:rsidTr="000041DB">
        <w:tc>
          <w:tcPr>
            <w:tcW w:w="800" w:type="dxa"/>
          </w:tcPr>
          <w:p w14:paraId="7B4F3083" w14:textId="77777777" w:rsidR="00065317" w:rsidRDefault="005C7BF7">
            <w:pPr>
              <w:pStyle w:val="Compact"/>
            </w:pPr>
            <w:r>
              <w:t>P126</w:t>
            </w:r>
          </w:p>
        </w:tc>
        <w:tc>
          <w:tcPr>
            <w:tcW w:w="4508" w:type="dxa"/>
            <w:gridSpan w:val="6"/>
          </w:tcPr>
          <w:p w14:paraId="2804FEB0" w14:textId="77777777" w:rsidR="00065317" w:rsidRDefault="005C7BF7">
            <w:pPr>
              <w:pStyle w:val="Compact"/>
            </w:pPr>
            <w:r>
              <w:rPr>
                <w:rStyle w:val="VerbatimChar"/>
              </w:rPr>
              <w:t>P126_a_employé (a_été_employé_dans)</w:t>
            </w:r>
          </w:p>
        </w:tc>
        <w:tc>
          <w:tcPr>
            <w:tcW w:w="2620" w:type="dxa"/>
          </w:tcPr>
          <w:p w14:paraId="62AB6B65" w14:textId="77777777" w:rsidR="00065317" w:rsidRDefault="005C7BF7">
            <w:pPr>
              <w:pStyle w:val="Compact"/>
            </w:pPr>
            <w:r>
              <w:rPr>
                <w:rStyle w:val="VerbatimChar"/>
              </w:rPr>
              <w:t>E11_Modification</w:t>
            </w:r>
          </w:p>
        </w:tc>
        <w:tc>
          <w:tcPr>
            <w:tcW w:w="2268" w:type="dxa"/>
          </w:tcPr>
          <w:p w14:paraId="6543EA24" w14:textId="77777777" w:rsidR="00065317" w:rsidRDefault="005C7BF7">
            <w:pPr>
              <w:pStyle w:val="Compact"/>
            </w:pPr>
            <w:r>
              <w:rPr>
                <w:rStyle w:val="VerbatimChar"/>
              </w:rPr>
              <w:t>E57_Matériau</w:t>
            </w:r>
          </w:p>
        </w:tc>
      </w:tr>
      <w:tr w:rsidR="00065317" w14:paraId="604856A5" w14:textId="77777777" w:rsidTr="000041DB">
        <w:tc>
          <w:tcPr>
            <w:tcW w:w="800" w:type="dxa"/>
          </w:tcPr>
          <w:p w14:paraId="6349FB55" w14:textId="77777777" w:rsidR="00065317" w:rsidRDefault="005C7BF7">
            <w:pPr>
              <w:pStyle w:val="Compact"/>
            </w:pPr>
            <w:r>
              <w:t>P127</w:t>
            </w:r>
          </w:p>
        </w:tc>
        <w:tc>
          <w:tcPr>
            <w:tcW w:w="4508" w:type="dxa"/>
            <w:gridSpan w:val="6"/>
          </w:tcPr>
          <w:p w14:paraId="283BDCCC" w14:textId="77777777" w:rsidR="00065317" w:rsidRDefault="005C7BF7">
            <w:pPr>
              <w:pStyle w:val="Compact"/>
            </w:pPr>
            <w:r>
              <w:rPr>
                <w:rStyle w:val="VerbatimChar"/>
              </w:rPr>
              <w:t>P127_a_pour_terme_général (a_pour_terme_spécifique)</w:t>
            </w:r>
          </w:p>
        </w:tc>
        <w:tc>
          <w:tcPr>
            <w:tcW w:w="2620" w:type="dxa"/>
          </w:tcPr>
          <w:p w14:paraId="1B924DB0" w14:textId="77777777" w:rsidR="00065317" w:rsidRDefault="005C7BF7">
            <w:pPr>
              <w:pStyle w:val="Compact"/>
            </w:pPr>
            <w:r>
              <w:rPr>
                <w:rStyle w:val="VerbatimChar"/>
              </w:rPr>
              <w:t>E55_Type</w:t>
            </w:r>
          </w:p>
        </w:tc>
        <w:tc>
          <w:tcPr>
            <w:tcW w:w="2268" w:type="dxa"/>
          </w:tcPr>
          <w:p w14:paraId="56BB08AA" w14:textId="77777777" w:rsidR="00065317" w:rsidRDefault="005C7BF7">
            <w:pPr>
              <w:pStyle w:val="Compact"/>
            </w:pPr>
            <w:r>
              <w:rPr>
                <w:rStyle w:val="VerbatimChar"/>
              </w:rPr>
              <w:t>E55_Type</w:t>
            </w:r>
          </w:p>
        </w:tc>
      </w:tr>
      <w:tr w:rsidR="00065317" w14:paraId="7F31D6DF" w14:textId="77777777" w:rsidTr="000041DB">
        <w:tc>
          <w:tcPr>
            <w:tcW w:w="800" w:type="dxa"/>
          </w:tcPr>
          <w:p w14:paraId="5230DF91" w14:textId="77777777" w:rsidR="00065317" w:rsidRDefault="005C7BF7">
            <w:pPr>
              <w:pStyle w:val="Compact"/>
            </w:pPr>
            <w:r>
              <w:t>P130</w:t>
            </w:r>
          </w:p>
        </w:tc>
        <w:tc>
          <w:tcPr>
            <w:tcW w:w="4508" w:type="dxa"/>
            <w:gridSpan w:val="6"/>
          </w:tcPr>
          <w:p w14:paraId="37FD9F88" w14:textId="77777777" w:rsidR="00065317" w:rsidRDefault="005C7BF7">
            <w:pPr>
              <w:pStyle w:val="Compact"/>
            </w:pPr>
            <w:r>
              <w:rPr>
                <w:rStyle w:val="VerbatimChar"/>
              </w:rPr>
              <w:t>P130_présente_les_caractéristiques_de (a_les_caractéristiques_aussi_présentes_sur)</w:t>
            </w:r>
          </w:p>
        </w:tc>
        <w:tc>
          <w:tcPr>
            <w:tcW w:w="2620" w:type="dxa"/>
          </w:tcPr>
          <w:p w14:paraId="17DE06CA" w14:textId="77777777" w:rsidR="00065317" w:rsidRDefault="005C7BF7">
            <w:pPr>
              <w:pStyle w:val="Compact"/>
            </w:pPr>
            <w:r>
              <w:rPr>
                <w:rStyle w:val="VerbatimChar"/>
              </w:rPr>
              <w:t>E70_Chose</w:t>
            </w:r>
          </w:p>
        </w:tc>
        <w:tc>
          <w:tcPr>
            <w:tcW w:w="2268" w:type="dxa"/>
          </w:tcPr>
          <w:p w14:paraId="3BB739D1" w14:textId="77777777" w:rsidR="00065317" w:rsidRDefault="005C7BF7">
            <w:pPr>
              <w:pStyle w:val="Compact"/>
            </w:pPr>
            <w:r>
              <w:rPr>
                <w:rStyle w:val="VerbatimChar"/>
              </w:rPr>
              <w:t>E70_Chose</w:t>
            </w:r>
          </w:p>
        </w:tc>
      </w:tr>
      <w:tr w:rsidR="00065317" w14:paraId="2AB3D5BD" w14:textId="77777777" w:rsidTr="000041DB">
        <w:tc>
          <w:tcPr>
            <w:tcW w:w="800" w:type="dxa"/>
          </w:tcPr>
          <w:p w14:paraId="360D21F2" w14:textId="77777777" w:rsidR="00065317" w:rsidRDefault="005C7BF7">
            <w:pPr>
              <w:pStyle w:val="Compact"/>
            </w:pPr>
            <w:r>
              <w:t>P73i</w:t>
            </w:r>
          </w:p>
        </w:tc>
        <w:tc>
          <w:tcPr>
            <w:tcW w:w="256" w:type="dxa"/>
          </w:tcPr>
          <w:p w14:paraId="30DC2159" w14:textId="77777777" w:rsidR="00065317" w:rsidRDefault="005C7BF7">
            <w:pPr>
              <w:pStyle w:val="Compact"/>
            </w:pPr>
            <w:r>
              <w:t>-</w:t>
            </w:r>
          </w:p>
        </w:tc>
        <w:tc>
          <w:tcPr>
            <w:tcW w:w="4252" w:type="dxa"/>
            <w:gridSpan w:val="5"/>
          </w:tcPr>
          <w:p w14:paraId="07F82468" w14:textId="77777777" w:rsidR="00065317" w:rsidRDefault="005C7BF7">
            <w:pPr>
              <w:pStyle w:val="Compact"/>
            </w:pPr>
            <w:r>
              <w:rPr>
                <w:rStyle w:val="VerbatimChar"/>
              </w:rPr>
              <w:t>P73i_est_traduction_de</w:t>
            </w:r>
          </w:p>
        </w:tc>
        <w:tc>
          <w:tcPr>
            <w:tcW w:w="2620" w:type="dxa"/>
          </w:tcPr>
          <w:p w14:paraId="559971C9" w14:textId="77777777" w:rsidR="00065317" w:rsidRDefault="005C7BF7">
            <w:pPr>
              <w:pStyle w:val="Compact"/>
            </w:pPr>
            <w:r>
              <w:rPr>
                <w:rStyle w:val="VerbatimChar"/>
              </w:rPr>
              <w:t>E33_Objet_linguistique</w:t>
            </w:r>
          </w:p>
        </w:tc>
        <w:tc>
          <w:tcPr>
            <w:tcW w:w="2268" w:type="dxa"/>
          </w:tcPr>
          <w:p w14:paraId="7AAF1B36" w14:textId="77777777" w:rsidR="00065317" w:rsidRDefault="005C7BF7">
            <w:pPr>
              <w:pStyle w:val="Compact"/>
            </w:pPr>
            <w:r>
              <w:rPr>
                <w:rStyle w:val="VerbatimChar"/>
              </w:rPr>
              <w:t>E33_Objet_linguistique</w:t>
            </w:r>
          </w:p>
        </w:tc>
      </w:tr>
      <w:tr w:rsidR="00065317" w14:paraId="6FF45284" w14:textId="77777777" w:rsidTr="000041DB">
        <w:tc>
          <w:tcPr>
            <w:tcW w:w="800" w:type="dxa"/>
          </w:tcPr>
          <w:p w14:paraId="501B7585" w14:textId="77777777" w:rsidR="00065317" w:rsidRDefault="005C7BF7">
            <w:pPr>
              <w:pStyle w:val="Compact"/>
            </w:pPr>
            <w:r>
              <w:t>P128</w:t>
            </w:r>
          </w:p>
        </w:tc>
        <w:tc>
          <w:tcPr>
            <w:tcW w:w="256" w:type="dxa"/>
          </w:tcPr>
          <w:p w14:paraId="4878628E" w14:textId="77777777" w:rsidR="00065317" w:rsidRDefault="005C7BF7">
            <w:pPr>
              <w:pStyle w:val="Compact"/>
            </w:pPr>
            <w:r>
              <w:t>-</w:t>
            </w:r>
          </w:p>
        </w:tc>
        <w:tc>
          <w:tcPr>
            <w:tcW w:w="4252" w:type="dxa"/>
            <w:gridSpan w:val="5"/>
          </w:tcPr>
          <w:p w14:paraId="4D69C95C" w14:textId="77777777" w:rsidR="00065317" w:rsidRDefault="005C7BF7">
            <w:pPr>
              <w:pStyle w:val="Compact"/>
            </w:pPr>
            <w:r>
              <w:rPr>
                <w:rStyle w:val="VerbatimChar"/>
              </w:rPr>
              <w:t>P128_est_le_support_de (a_pour_support)</w:t>
            </w:r>
          </w:p>
        </w:tc>
        <w:tc>
          <w:tcPr>
            <w:tcW w:w="2620" w:type="dxa"/>
          </w:tcPr>
          <w:p w14:paraId="6E5EBE36" w14:textId="77777777" w:rsidR="00065317" w:rsidRDefault="005C7BF7">
            <w:pPr>
              <w:pStyle w:val="Compact"/>
            </w:pPr>
            <w:r>
              <w:rPr>
                <w:rStyle w:val="VerbatimChar"/>
              </w:rPr>
              <w:t>E18_Chose_matérielle</w:t>
            </w:r>
          </w:p>
        </w:tc>
        <w:tc>
          <w:tcPr>
            <w:tcW w:w="2268" w:type="dxa"/>
          </w:tcPr>
          <w:p w14:paraId="43B41E1F" w14:textId="77777777" w:rsidR="00065317" w:rsidRDefault="005C7BF7">
            <w:pPr>
              <w:pStyle w:val="Compact"/>
            </w:pPr>
            <w:r>
              <w:rPr>
                <w:rStyle w:val="VerbatimChar"/>
              </w:rPr>
              <w:t>E90_Objet_symbolique</w:t>
            </w:r>
          </w:p>
        </w:tc>
      </w:tr>
      <w:tr w:rsidR="00065317" w14:paraId="04CC7F6D" w14:textId="77777777" w:rsidTr="000041DB">
        <w:tc>
          <w:tcPr>
            <w:tcW w:w="800" w:type="dxa"/>
          </w:tcPr>
          <w:p w14:paraId="0B0E8832" w14:textId="77777777" w:rsidR="00065317" w:rsidRDefault="005C7BF7">
            <w:pPr>
              <w:pStyle w:val="Compact"/>
            </w:pPr>
            <w:r>
              <w:lastRenderedPageBreak/>
              <w:t>P65</w:t>
            </w:r>
          </w:p>
        </w:tc>
        <w:tc>
          <w:tcPr>
            <w:tcW w:w="256" w:type="dxa"/>
          </w:tcPr>
          <w:p w14:paraId="478B8B8E" w14:textId="77777777" w:rsidR="00065317" w:rsidRDefault="005C7BF7">
            <w:pPr>
              <w:pStyle w:val="Compact"/>
            </w:pPr>
            <w:r>
              <w:t>-</w:t>
            </w:r>
          </w:p>
        </w:tc>
        <w:tc>
          <w:tcPr>
            <w:tcW w:w="267" w:type="dxa"/>
          </w:tcPr>
          <w:p w14:paraId="4F759290" w14:textId="77777777" w:rsidR="00065317" w:rsidRDefault="005C7BF7">
            <w:pPr>
              <w:pStyle w:val="Compact"/>
            </w:pPr>
            <w:r>
              <w:t> </w:t>
            </w:r>
          </w:p>
        </w:tc>
        <w:tc>
          <w:tcPr>
            <w:tcW w:w="3985" w:type="dxa"/>
            <w:gridSpan w:val="4"/>
          </w:tcPr>
          <w:p w14:paraId="6C847F31" w14:textId="296C5A83" w:rsidR="00065317" w:rsidRDefault="005C7BF7">
            <w:pPr>
              <w:pStyle w:val="Compact"/>
            </w:pPr>
            <w:r>
              <w:rPr>
                <w:rStyle w:val="VerbatimChar"/>
              </w:rPr>
              <w:t>P65_représente_l</w:t>
            </w:r>
            <w:r w:rsidR="00E84B0E">
              <w:rPr>
                <w:rStyle w:val="VerbatimChar"/>
              </w:rPr>
              <w:t>’</w:t>
            </w:r>
            <w:r>
              <w:rPr>
                <w:rStyle w:val="VerbatimChar"/>
              </w:rPr>
              <w:t>entité_visuelle (est_représenté_par)</w:t>
            </w:r>
          </w:p>
        </w:tc>
        <w:tc>
          <w:tcPr>
            <w:tcW w:w="2620" w:type="dxa"/>
          </w:tcPr>
          <w:p w14:paraId="321075AF" w14:textId="729F6768" w:rsidR="00065317" w:rsidRDefault="005C7BF7">
            <w:pPr>
              <w:pStyle w:val="Compact"/>
            </w:pPr>
            <w:r>
              <w:rPr>
                <w:rStyle w:val="VerbatimChar"/>
              </w:rPr>
              <w:t>E24_Chose_matérielle_élaborée_par_l</w:t>
            </w:r>
            <w:r w:rsidR="00E84B0E">
              <w:rPr>
                <w:rStyle w:val="VerbatimChar"/>
              </w:rPr>
              <w:t>’</w:t>
            </w:r>
            <w:r>
              <w:rPr>
                <w:rStyle w:val="VerbatimChar"/>
              </w:rPr>
              <w:t xml:space="preserve">humain </w:t>
            </w:r>
          </w:p>
        </w:tc>
        <w:tc>
          <w:tcPr>
            <w:tcW w:w="2268" w:type="dxa"/>
          </w:tcPr>
          <w:p w14:paraId="3C7F9038" w14:textId="77777777" w:rsidR="00065317" w:rsidRDefault="005C7BF7">
            <w:pPr>
              <w:pStyle w:val="Compact"/>
            </w:pPr>
            <w:r>
              <w:rPr>
                <w:rStyle w:val="VerbatimChar"/>
              </w:rPr>
              <w:t>E36_Entité_visuelle</w:t>
            </w:r>
          </w:p>
        </w:tc>
      </w:tr>
      <w:tr w:rsidR="00065317" w14:paraId="63669DF2" w14:textId="77777777" w:rsidTr="000041DB">
        <w:tc>
          <w:tcPr>
            <w:tcW w:w="800" w:type="dxa"/>
          </w:tcPr>
          <w:p w14:paraId="34412C39" w14:textId="77777777" w:rsidR="00065317" w:rsidRDefault="005C7BF7">
            <w:pPr>
              <w:pStyle w:val="Compact"/>
            </w:pPr>
            <w:r>
              <w:t>P132</w:t>
            </w:r>
          </w:p>
        </w:tc>
        <w:tc>
          <w:tcPr>
            <w:tcW w:w="4508" w:type="dxa"/>
            <w:gridSpan w:val="6"/>
          </w:tcPr>
          <w:p w14:paraId="434A6651" w14:textId="77777777" w:rsidR="00065317" w:rsidRDefault="005C7BF7">
            <w:pPr>
              <w:pStyle w:val="Compact"/>
            </w:pPr>
            <w:r>
              <w:rPr>
                <w:rStyle w:val="VerbatimChar"/>
              </w:rPr>
              <w:t>P132_recoupe_spatio-temporellement</w:t>
            </w:r>
          </w:p>
        </w:tc>
        <w:tc>
          <w:tcPr>
            <w:tcW w:w="2620" w:type="dxa"/>
          </w:tcPr>
          <w:p w14:paraId="18440293" w14:textId="77777777" w:rsidR="00065317" w:rsidRDefault="005C7BF7">
            <w:pPr>
              <w:pStyle w:val="Compact"/>
            </w:pPr>
            <w:r>
              <w:rPr>
                <w:rStyle w:val="VerbatimChar"/>
              </w:rPr>
              <w:t>E92_Volume_spatio-temporel</w:t>
            </w:r>
          </w:p>
        </w:tc>
        <w:tc>
          <w:tcPr>
            <w:tcW w:w="2268" w:type="dxa"/>
          </w:tcPr>
          <w:p w14:paraId="04239061" w14:textId="77777777" w:rsidR="00065317" w:rsidRDefault="005C7BF7">
            <w:pPr>
              <w:pStyle w:val="Compact"/>
            </w:pPr>
            <w:r>
              <w:rPr>
                <w:rStyle w:val="VerbatimChar"/>
              </w:rPr>
              <w:t>E92_Volume_spatio-temporel</w:t>
            </w:r>
          </w:p>
        </w:tc>
      </w:tr>
      <w:tr w:rsidR="00065317" w14:paraId="3A2F69D8" w14:textId="77777777" w:rsidTr="000041DB">
        <w:tc>
          <w:tcPr>
            <w:tcW w:w="800" w:type="dxa"/>
          </w:tcPr>
          <w:p w14:paraId="72C63C68" w14:textId="77777777" w:rsidR="00065317" w:rsidRDefault="005C7BF7">
            <w:pPr>
              <w:pStyle w:val="Compact"/>
            </w:pPr>
            <w:r>
              <w:t>P10</w:t>
            </w:r>
          </w:p>
        </w:tc>
        <w:tc>
          <w:tcPr>
            <w:tcW w:w="256" w:type="dxa"/>
          </w:tcPr>
          <w:p w14:paraId="3A084669" w14:textId="77777777" w:rsidR="00065317" w:rsidRDefault="005C7BF7">
            <w:pPr>
              <w:pStyle w:val="Compact"/>
            </w:pPr>
            <w:r>
              <w:t>-</w:t>
            </w:r>
          </w:p>
        </w:tc>
        <w:tc>
          <w:tcPr>
            <w:tcW w:w="4252" w:type="dxa"/>
            <w:gridSpan w:val="5"/>
          </w:tcPr>
          <w:p w14:paraId="6A8201E2" w14:textId="37C92D9C" w:rsidR="00065317" w:rsidRDefault="005C7BF7">
            <w:pPr>
              <w:pStyle w:val="Compact"/>
            </w:pPr>
            <w:r>
              <w:rPr>
                <w:rStyle w:val="VerbatimChar"/>
              </w:rPr>
              <w:t>P10_s</w:t>
            </w:r>
            <w:r w:rsidR="00E84B0E">
              <w:rPr>
                <w:rStyle w:val="VerbatimChar"/>
              </w:rPr>
              <w:t>’</w:t>
            </w:r>
            <w:r>
              <w:rPr>
                <w:rStyle w:val="VerbatimChar"/>
              </w:rPr>
              <w:t>insère_dans (contient)</w:t>
            </w:r>
          </w:p>
        </w:tc>
        <w:tc>
          <w:tcPr>
            <w:tcW w:w="2620" w:type="dxa"/>
          </w:tcPr>
          <w:p w14:paraId="188F2FD8" w14:textId="77777777" w:rsidR="00065317" w:rsidRDefault="005C7BF7">
            <w:pPr>
              <w:pStyle w:val="Compact"/>
            </w:pPr>
            <w:r>
              <w:rPr>
                <w:rStyle w:val="VerbatimChar"/>
              </w:rPr>
              <w:t>E92_Volume_spatio-temporel</w:t>
            </w:r>
          </w:p>
        </w:tc>
        <w:tc>
          <w:tcPr>
            <w:tcW w:w="2268" w:type="dxa"/>
          </w:tcPr>
          <w:p w14:paraId="482B24CB" w14:textId="77777777" w:rsidR="00065317" w:rsidRDefault="005C7BF7">
            <w:pPr>
              <w:pStyle w:val="Compact"/>
            </w:pPr>
            <w:r>
              <w:rPr>
                <w:rStyle w:val="VerbatimChar"/>
              </w:rPr>
              <w:t>E92_Volume_spatio-temporel</w:t>
            </w:r>
          </w:p>
        </w:tc>
      </w:tr>
      <w:tr w:rsidR="00065317" w14:paraId="2DC16506" w14:textId="77777777" w:rsidTr="000041DB">
        <w:tc>
          <w:tcPr>
            <w:tcW w:w="800" w:type="dxa"/>
          </w:tcPr>
          <w:p w14:paraId="47FC651A" w14:textId="77777777" w:rsidR="00065317" w:rsidRDefault="005C7BF7">
            <w:pPr>
              <w:pStyle w:val="Compact"/>
            </w:pPr>
            <w:r>
              <w:t>P166</w:t>
            </w:r>
          </w:p>
        </w:tc>
        <w:tc>
          <w:tcPr>
            <w:tcW w:w="256" w:type="dxa"/>
          </w:tcPr>
          <w:p w14:paraId="38BF63EC" w14:textId="77777777" w:rsidR="00065317" w:rsidRDefault="005C7BF7">
            <w:pPr>
              <w:pStyle w:val="Compact"/>
            </w:pPr>
            <w:r>
              <w:t>-</w:t>
            </w:r>
          </w:p>
        </w:tc>
        <w:tc>
          <w:tcPr>
            <w:tcW w:w="267" w:type="dxa"/>
          </w:tcPr>
          <w:p w14:paraId="21692788" w14:textId="77777777" w:rsidR="00065317" w:rsidRDefault="005C7BF7">
            <w:pPr>
              <w:pStyle w:val="Compact"/>
            </w:pPr>
            <w:r>
              <w:t>-</w:t>
            </w:r>
          </w:p>
        </w:tc>
        <w:tc>
          <w:tcPr>
            <w:tcW w:w="3985" w:type="dxa"/>
            <w:gridSpan w:val="4"/>
          </w:tcPr>
          <w:p w14:paraId="5A1E5B3B" w14:textId="77777777" w:rsidR="00065317" w:rsidRDefault="005C7BF7">
            <w:pPr>
              <w:pStyle w:val="Compact"/>
            </w:pPr>
            <w:r>
              <w:rPr>
                <w:rStyle w:val="VerbatimChar"/>
              </w:rPr>
              <w:t>P166_a_été_une_présence_de (a_eu_pour_présence)</w:t>
            </w:r>
          </w:p>
        </w:tc>
        <w:tc>
          <w:tcPr>
            <w:tcW w:w="2620" w:type="dxa"/>
          </w:tcPr>
          <w:p w14:paraId="599EC391" w14:textId="77777777" w:rsidR="00065317" w:rsidRDefault="005C7BF7">
            <w:pPr>
              <w:pStyle w:val="Compact"/>
            </w:pPr>
            <w:r>
              <w:rPr>
                <w:rStyle w:val="VerbatimChar"/>
              </w:rPr>
              <w:t>E93_Présence</w:t>
            </w:r>
          </w:p>
        </w:tc>
        <w:tc>
          <w:tcPr>
            <w:tcW w:w="2268" w:type="dxa"/>
          </w:tcPr>
          <w:p w14:paraId="3AC18969" w14:textId="77777777" w:rsidR="00065317" w:rsidRDefault="005C7BF7">
            <w:pPr>
              <w:pStyle w:val="Compact"/>
            </w:pPr>
            <w:r>
              <w:rPr>
                <w:rStyle w:val="VerbatimChar"/>
              </w:rPr>
              <w:t>E92_Volume_spatio-temporel</w:t>
            </w:r>
          </w:p>
        </w:tc>
      </w:tr>
      <w:tr w:rsidR="00065317" w14:paraId="5F43AFA7" w14:textId="77777777" w:rsidTr="000041DB">
        <w:tc>
          <w:tcPr>
            <w:tcW w:w="800" w:type="dxa"/>
          </w:tcPr>
          <w:p w14:paraId="6F4D75E3" w14:textId="77777777" w:rsidR="00065317" w:rsidRDefault="005C7BF7">
            <w:pPr>
              <w:pStyle w:val="Compact"/>
            </w:pPr>
            <w:r>
              <w:t>P46</w:t>
            </w:r>
          </w:p>
        </w:tc>
        <w:tc>
          <w:tcPr>
            <w:tcW w:w="4508" w:type="dxa"/>
            <w:gridSpan w:val="6"/>
          </w:tcPr>
          <w:p w14:paraId="09B07616" w14:textId="77777777" w:rsidR="00065317" w:rsidRDefault="005C7BF7">
            <w:pPr>
              <w:pStyle w:val="Compact"/>
            </w:pPr>
            <w:r>
              <w:rPr>
                <w:rStyle w:val="VerbatimChar"/>
              </w:rPr>
              <w:t>P46_est_composé_de (fait_partie_de)</w:t>
            </w:r>
          </w:p>
        </w:tc>
        <w:tc>
          <w:tcPr>
            <w:tcW w:w="2620" w:type="dxa"/>
          </w:tcPr>
          <w:p w14:paraId="51AEDDC4" w14:textId="77777777" w:rsidR="00065317" w:rsidRDefault="005C7BF7">
            <w:pPr>
              <w:pStyle w:val="Compact"/>
            </w:pPr>
            <w:r>
              <w:rPr>
                <w:rStyle w:val="VerbatimChar"/>
              </w:rPr>
              <w:t>E18_Chose_matérielle</w:t>
            </w:r>
          </w:p>
        </w:tc>
        <w:tc>
          <w:tcPr>
            <w:tcW w:w="2268" w:type="dxa"/>
          </w:tcPr>
          <w:p w14:paraId="3C7E95C0" w14:textId="77777777" w:rsidR="00065317" w:rsidRDefault="005C7BF7">
            <w:pPr>
              <w:pStyle w:val="Compact"/>
            </w:pPr>
            <w:r>
              <w:rPr>
                <w:rStyle w:val="VerbatimChar"/>
              </w:rPr>
              <w:t>E18_Chose_matérielle</w:t>
            </w:r>
          </w:p>
        </w:tc>
      </w:tr>
      <w:tr w:rsidR="00065317" w14:paraId="1C99B7DE" w14:textId="77777777" w:rsidTr="000041DB">
        <w:tc>
          <w:tcPr>
            <w:tcW w:w="800" w:type="dxa"/>
          </w:tcPr>
          <w:p w14:paraId="42B68FC1" w14:textId="77777777" w:rsidR="00065317" w:rsidRDefault="005C7BF7">
            <w:pPr>
              <w:pStyle w:val="Compact"/>
            </w:pPr>
            <w:r>
              <w:t>P56</w:t>
            </w:r>
          </w:p>
        </w:tc>
        <w:tc>
          <w:tcPr>
            <w:tcW w:w="256" w:type="dxa"/>
          </w:tcPr>
          <w:p w14:paraId="70B5C324" w14:textId="77777777" w:rsidR="00065317" w:rsidRDefault="005C7BF7">
            <w:pPr>
              <w:pStyle w:val="Compact"/>
            </w:pPr>
            <w:r>
              <w:t>-</w:t>
            </w:r>
          </w:p>
        </w:tc>
        <w:tc>
          <w:tcPr>
            <w:tcW w:w="4252" w:type="dxa"/>
            <w:gridSpan w:val="5"/>
          </w:tcPr>
          <w:p w14:paraId="080C28BA" w14:textId="77777777" w:rsidR="00065317" w:rsidRDefault="005C7BF7">
            <w:pPr>
              <w:pStyle w:val="Compact"/>
            </w:pPr>
            <w:r>
              <w:rPr>
                <w:rStyle w:val="VerbatimChar"/>
              </w:rPr>
              <w:t>P56_a_pour_caractéristique (se_trouve_sur)</w:t>
            </w:r>
          </w:p>
        </w:tc>
        <w:tc>
          <w:tcPr>
            <w:tcW w:w="2620" w:type="dxa"/>
          </w:tcPr>
          <w:p w14:paraId="558329BB" w14:textId="77777777" w:rsidR="00065317" w:rsidRDefault="005C7BF7">
            <w:pPr>
              <w:pStyle w:val="Compact"/>
            </w:pPr>
            <w:r>
              <w:rPr>
                <w:rStyle w:val="VerbatimChar"/>
              </w:rPr>
              <w:t>E19_Objet_matériel</w:t>
            </w:r>
          </w:p>
        </w:tc>
        <w:tc>
          <w:tcPr>
            <w:tcW w:w="2268" w:type="dxa"/>
          </w:tcPr>
          <w:p w14:paraId="23E4D3AF" w14:textId="77777777" w:rsidR="00065317" w:rsidRDefault="005C7BF7">
            <w:pPr>
              <w:pStyle w:val="Compact"/>
            </w:pPr>
            <w:r>
              <w:rPr>
                <w:rStyle w:val="VerbatimChar"/>
              </w:rPr>
              <w:t>E26_Caractéristique_physique</w:t>
            </w:r>
          </w:p>
        </w:tc>
      </w:tr>
      <w:tr w:rsidR="00065317" w14:paraId="3D0A7E52" w14:textId="77777777" w:rsidTr="000041DB">
        <w:tc>
          <w:tcPr>
            <w:tcW w:w="800" w:type="dxa"/>
          </w:tcPr>
          <w:p w14:paraId="502F8A93" w14:textId="77777777" w:rsidR="00065317" w:rsidRDefault="005C7BF7">
            <w:pPr>
              <w:pStyle w:val="Compact"/>
            </w:pPr>
            <w:r>
              <w:t>P133</w:t>
            </w:r>
          </w:p>
        </w:tc>
        <w:tc>
          <w:tcPr>
            <w:tcW w:w="4508" w:type="dxa"/>
            <w:gridSpan w:val="6"/>
          </w:tcPr>
          <w:p w14:paraId="4AE41BD1" w14:textId="77777777" w:rsidR="00065317" w:rsidRDefault="005C7BF7">
            <w:pPr>
              <w:pStyle w:val="Compact"/>
            </w:pPr>
            <w:r>
              <w:rPr>
                <w:rStyle w:val="VerbatimChar"/>
              </w:rPr>
              <w:t>P133_est_distinct_spatio-temporellement_de</w:t>
            </w:r>
          </w:p>
        </w:tc>
        <w:tc>
          <w:tcPr>
            <w:tcW w:w="2620" w:type="dxa"/>
          </w:tcPr>
          <w:p w14:paraId="2C0C08C7" w14:textId="77777777" w:rsidR="00065317" w:rsidRDefault="005C7BF7">
            <w:pPr>
              <w:pStyle w:val="Compact"/>
            </w:pPr>
            <w:r>
              <w:rPr>
                <w:rStyle w:val="VerbatimChar"/>
              </w:rPr>
              <w:t>E92_Volume_spatio-temporel</w:t>
            </w:r>
          </w:p>
        </w:tc>
        <w:tc>
          <w:tcPr>
            <w:tcW w:w="2268" w:type="dxa"/>
          </w:tcPr>
          <w:p w14:paraId="64B98AB0" w14:textId="77777777" w:rsidR="00065317" w:rsidRDefault="005C7BF7">
            <w:pPr>
              <w:pStyle w:val="Compact"/>
            </w:pPr>
            <w:r>
              <w:rPr>
                <w:rStyle w:val="VerbatimChar"/>
              </w:rPr>
              <w:t>E92_Volume_spatio-temporel</w:t>
            </w:r>
          </w:p>
        </w:tc>
      </w:tr>
      <w:tr w:rsidR="00065317" w14:paraId="43C18C1B" w14:textId="77777777" w:rsidTr="000041DB">
        <w:tc>
          <w:tcPr>
            <w:tcW w:w="800" w:type="dxa"/>
          </w:tcPr>
          <w:p w14:paraId="569CD758" w14:textId="77777777" w:rsidR="00065317" w:rsidRDefault="005C7BF7">
            <w:pPr>
              <w:pStyle w:val="Compact"/>
            </w:pPr>
            <w:r>
              <w:t>P139</w:t>
            </w:r>
          </w:p>
        </w:tc>
        <w:tc>
          <w:tcPr>
            <w:tcW w:w="4508" w:type="dxa"/>
            <w:gridSpan w:val="6"/>
          </w:tcPr>
          <w:p w14:paraId="59FE36B7" w14:textId="77777777" w:rsidR="00065317" w:rsidRDefault="005C7BF7">
            <w:pPr>
              <w:pStyle w:val="Compact"/>
            </w:pPr>
            <w:r>
              <w:rPr>
                <w:rStyle w:val="VerbatimChar"/>
              </w:rPr>
              <w:t>P139_a_pour_forme_alternative</w:t>
            </w:r>
          </w:p>
        </w:tc>
        <w:tc>
          <w:tcPr>
            <w:tcW w:w="2620" w:type="dxa"/>
          </w:tcPr>
          <w:p w14:paraId="0885EBF7" w14:textId="77777777" w:rsidR="00065317" w:rsidRDefault="005C7BF7">
            <w:pPr>
              <w:pStyle w:val="Compact"/>
            </w:pPr>
            <w:r>
              <w:rPr>
                <w:rStyle w:val="VerbatimChar"/>
              </w:rPr>
              <w:t>E41_Appellation</w:t>
            </w:r>
          </w:p>
        </w:tc>
        <w:tc>
          <w:tcPr>
            <w:tcW w:w="2268" w:type="dxa"/>
          </w:tcPr>
          <w:p w14:paraId="14BA2246" w14:textId="77777777" w:rsidR="00065317" w:rsidRDefault="005C7BF7">
            <w:pPr>
              <w:pStyle w:val="Compact"/>
            </w:pPr>
            <w:r>
              <w:rPr>
                <w:rStyle w:val="VerbatimChar"/>
              </w:rPr>
              <w:t>E41_Appellation</w:t>
            </w:r>
          </w:p>
        </w:tc>
      </w:tr>
      <w:tr w:rsidR="00065317" w14:paraId="7FE9661F" w14:textId="77777777" w:rsidTr="000041DB">
        <w:tc>
          <w:tcPr>
            <w:tcW w:w="800" w:type="dxa"/>
          </w:tcPr>
          <w:p w14:paraId="7328B5E2" w14:textId="77777777" w:rsidR="00065317" w:rsidRDefault="005C7BF7">
            <w:pPr>
              <w:pStyle w:val="Compact"/>
            </w:pPr>
            <w:r>
              <w:t>P140</w:t>
            </w:r>
          </w:p>
        </w:tc>
        <w:tc>
          <w:tcPr>
            <w:tcW w:w="4508" w:type="dxa"/>
            <w:gridSpan w:val="6"/>
          </w:tcPr>
          <w:p w14:paraId="7BD68347" w14:textId="7608A342" w:rsidR="00065317" w:rsidRDefault="005C7BF7">
            <w:pPr>
              <w:pStyle w:val="Compact"/>
            </w:pP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p>
        </w:tc>
        <w:tc>
          <w:tcPr>
            <w:tcW w:w="2620" w:type="dxa"/>
          </w:tcPr>
          <w:p w14:paraId="6F773573" w14:textId="7F4DA8A1" w:rsidR="00065317" w:rsidRDefault="005C7BF7">
            <w:pPr>
              <w:pStyle w:val="Compact"/>
            </w:pPr>
            <w:r>
              <w:rPr>
                <w:rStyle w:val="VerbatimChar"/>
              </w:rPr>
              <w:t>E13_Assignation_d</w:t>
            </w:r>
            <w:r w:rsidR="00E84B0E">
              <w:rPr>
                <w:rStyle w:val="VerbatimChar"/>
              </w:rPr>
              <w:t>’</w:t>
            </w:r>
            <w:r>
              <w:rPr>
                <w:rStyle w:val="VerbatimChar"/>
              </w:rPr>
              <w:t>attribut</w:t>
            </w:r>
          </w:p>
        </w:tc>
        <w:tc>
          <w:tcPr>
            <w:tcW w:w="2268" w:type="dxa"/>
          </w:tcPr>
          <w:p w14:paraId="4B4A63F4" w14:textId="77777777" w:rsidR="00065317" w:rsidRDefault="005C7BF7">
            <w:pPr>
              <w:pStyle w:val="Compact"/>
            </w:pPr>
            <w:r>
              <w:rPr>
                <w:rStyle w:val="VerbatimChar"/>
              </w:rPr>
              <w:t>E1_Entité_CRM</w:t>
            </w:r>
          </w:p>
        </w:tc>
      </w:tr>
      <w:tr w:rsidR="00065317" w14:paraId="40BF06D5" w14:textId="77777777" w:rsidTr="000041DB">
        <w:tc>
          <w:tcPr>
            <w:tcW w:w="800" w:type="dxa"/>
          </w:tcPr>
          <w:p w14:paraId="37FFB557" w14:textId="77777777" w:rsidR="00065317" w:rsidRDefault="005C7BF7">
            <w:pPr>
              <w:pStyle w:val="Compact"/>
            </w:pPr>
            <w:r>
              <w:t>P34</w:t>
            </w:r>
          </w:p>
        </w:tc>
        <w:tc>
          <w:tcPr>
            <w:tcW w:w="256" w:type="dxa"/>
          </w:tcPr>
          <w:p w14:paraId="67DC8AAB" w14:textId="77777777" w:rsidR="00065317" w:rsidRDefault="005C7BF7">
            <w:pPr>
              <w:pStyle w:val="Compact"/>
            </w:pPr>
            <w:r>
              <w:t> </w:t>
            </w:r>
          </w:p>
        </w:tc>
        <w:tc>
          <w:tcPr>
            <w:tcW w:w="4252" w:type="dxa"/>
            <w:gridSpan w:val="5"/>
          </w:tcPr>
          <w:p w14:paraId="12C0A794" w14:textId="77777777" w:rsidR="00065317" w:rsidRDefault="005C7BF7">
            <w:pPr>
              <w:pStyle w:val="Compact"/>
            </w:pPr>
            <w:r>
              <w:rPr>
                <w:rStyle w:val="VerbatimChar"/>
              </w:rPr>
              <w:t>P34_a_porté_sur (a_été_évalué_par)</w:t>
            </w:r>
          </w:p>
        </w:tc>
        <w:tc>
          <w:tcPr>
            <w:tcW w:w="2620" w:type="dxa"/>
          </w:tcPr>
          <w:p w14:paraId="03E989FF" w14:textId="1DA0E664" w:rsidR="00065317" w:rsidRDefault="005C7BF7">
            <w:pPr>
              <w:pStyle w:val="Compact"/>
            </w:pPr>
            <w:r>
              <w:rPr>
                <w:rStyle w:val="VerbatimChar"/>
              </w:rPr>
              <w:t>E14_Évaluation_d</w:t>
            </w:r>
            <w:r w:rsidR="00E84B0E">
              <w:rPr>
                <w:rStyle w:val="VerbatimChar"/>
              </w:rPr>
              <w:t>’</w:t>
            </w:r>
            <w:r>
              <w:rPr>
                <w:rStyle w:val="VerbatimChar"/>
              </w:rPr>
              <w:t>état_matériel</w:t>
            </w:r>
          </w:p>
        </w:tc>
        <w:tc>
          <w:tcPr>
            <w:tcW w:w="2268" w:type="dxa"/>
          </w:tcPr>
          <w:p w14:paraId="315FBC14" w14:textId="77777777" w:rsidR="00065317" w:rsidRDefault="005C7BF7">
            <w:pPr>
              <w:pStyle w:val="Compact"/>
            </w:pPr>
            <w:r>
              <w:rPr>
                <w:rStyle w:val="VerbatimChar"/>
              </w:rPr>
              <w:t>E18_Chose_matérielle</w:t>
            </w:r>
          </w:p>
        </w:tc>
      </w:tr>
      <w:tr w:rsidR="00065317" w14:paraId="4C7E1393" w14:textId="77777777" w:rsidTr="000041DB">
        <w:tc>
          <w:tcPr>
            <w:tcW w:w="800" w:type="dxa"/>
          </w:tcPr>
          <w:p w14:paraId="7B7602BA" w14:textId="77777777" w:rsidR="00065317" w:rsidRDefault="005C7BF7">
            <w:pPr>
              <w:pStyle w:val="Compact"/>
            </w:pPr>
            <w:r>
              <w:t>P39</w:t>
            </w:r>
          </w:p>
        </w:tc>
        <w:tc>
          <w:tcPr>
            <w:tcW w:w="256" w:type="dxa"/>
          </w:tcPr>
          <w:p w14:paraId="7953823E" w14:textId="77777777" w:rsidR="00065317" w:rsidRDefault="005C7BF7">
            <w:pPr>
              <w:pStyle w:val="Compact"/>
            </w:pPr>
            <w:r>
              <w:t> </w:t>
            </w:r>
          </w:p>
        </w:tc>
        <w:tc>
          <w:tcPr>
            <w:tcW w:w="4252" w:type="dxa"/>
            <w:gridSpan w:val="5"/>
          </w:tcPr>
          <w:p w14:paraId="13B87B4A" w14:textId="77777777" w:rsidR="00065317" w:rsidRDefault="005C7BF7">
            <w:pPr>
              <w:pStyle w:val="Compact"/>
            </w:pPr>
            <w:r>
              <w:rPr>
                <w:rStyle w:val="VerbatimChar"/>
              </w:rPr>
              <w:t>P39_a_mesuré (a_été_mesuré_par)</w:t>
            </w:r>
          </w:p>
        </w:tc>
        <w:tc>
          <w:tcPr>
            <w:tcW w:w="2620" w:type="dxa"/>
          </w:tcPr>
          <w:p w14:paraId="275E759D" w14:textId="77777777" w:rsidR="00065317" w:rsidRDefault="005C7BF7">
            <w:pPr>
              <w:pStyle w:val="Compact"/>
            </w:pPr>
            <w:r>
              <w:rPr>
                <w:rStyle w:val="VerbatimChar"/>
              </w:rPr>
              <w:t>E16_Mesurage</w:t>
            </w:r>
          </w:p>
        </w:tc>
        <w:tc>
          <w:tcPr>
            <w:tcW w:w="2268" w:type="dxa"/>
          </w:tcPr>
          <w:p w14:paraId="6DD2D68F" w14:textId="77777777" w:rsidR="00065317" w:rsidRDefault="005C7BF7">
            <w:pPr>
              <w:pStyle w:val="Compact"/>
            </w:pPr>
            <w:r>
              <w:rPr>
                <w:rStyle w:val="VerbatimChar"/>
              </w:rPr>
              <w:t>E1_Entité_CRM</w:t>
            </w:r>
          </w:p>
        </w:tc>
      </w:tr>
      <w:tr w:rsidR="00065317" w14:paraId="305E8231" w14:textId="77777777" w:rsidTr="000041DB">
        <w:tc>
          <w:tcPr>
            <w:tcW w:w="800" w:type="dxa"/>
          </w:tcPr>
          <w:p w14:paraId="1BC1D056" w14:textId="77777777" w:rsidR="00065317" w:rsidRDefault="005C7BF7">
            <w:pPr>
              <w:pStyle w:val="Compact"/>
            </w:pPr>
            <w:r>
              <w:t>P41</w:t>
            </w:r>
          </w:p>
        </w:tc>
        <w:tc>
          <w:tcPr>
            <w:tcW w:w="256" w:type="dxa"/>
          </w:tcPr>
          <w:p w14:paraId="7562363A" w14:textId="77777777" w:rsidR="00065317" w:rsidRDefault="005C7BF7">
            <w:pPr>
              <w:pStyle w:val="Compact"/>
            </w:pPr>
            <w:r>
              <w:t> </w:t>
            </w:r>
          </w:p>
        </w:tc>
        <w:tc>
          <w:tcPr>
            <w:tcW w:w="4252" w:type="dxa"/>
            <w:gridSpan w:val="5"/>
          </w:tcPr>
          <w:p w14:paraId="53C737BF" w14:textId="77777777" w:rsidR="00065317" w:rsidRDefault="005C7BF7">
            <w:pPr>
              <w:pStyle w:val="Compact"/>
            </w:pPr>
            <w:r>
              <w:rPr>
                <w:rStyle w:val="VerbatimChar"/>
              </w:rPr>
              <w:t>P41_a_classifié (a_été_classifié_par)</w:t>
            </w:r>
          </w:p>
        </w:tc>
        <w:tc>
          <w:tcPr>
            <w:tcW w:w="2620" w:type="dxa"/>
          </w:tcPr>
          <w:p w14:paraId="1CB26ACA" w14:textId="77777777" w:rsidR="00065317" w:rsidRDefault="005C7BF7">
            <w:pPr>
              <w:pStyle w:val="Compact"/>
            </w:pPr>
            <w:r>
              <w:rPr>
                <w:rStyle w:val="VerbatimChar"/>
              </w:rPr>
              <w:t>E17_Assignation_de_type</w:t>
            </w:r>
          </w:p>
        </w:tc>
        <w:tc>
          <w:tcPr>
            <w:tcW w:w="2268" w:type="dxa"/>
          </w:tcPr>
          <w:p w14:paraId="03B7770B" w14:textId="77777777" w:rsidR="00065317" w:rsidRDefault="005C7BF7">
            <w:pPr>
              <w:pStyle w:val="Compact"/>
            </w:pPr>
            <w:r>
              <w:rPr>
                <w:rStyle w:val="VerbatimChar"/>
              </w:rPr>
              <w:t>E1_Entité_CRM</w:t>
            </w:r>
          </w:p>
        </w:tc>
      </w:tr>
      <w:tr w:rsidR="00065317" w14:paraId="3BBA7FDA" w14:textId="77777777" w:rsidTr="000041DB">
        <w:tc>
          <w:tcPr>
            <w:tcW w:w="800" w:type="dxa"/>
          </w:tcPr>
          <w:p w14:paraId="34B5572F" w14:textId="77777777" w:rsidR="00065317" w:rsidRDefault="005C7BF7">
            <w:pPr>
              <w:pStyle w:val="Compact"/>
            </w:pPr>
            <w:r>
              <w:t>P141</w:t>
            </w:r>
          </w:p>
        </w:tc>
        <w:tc>
          <w:tcPr>
            <w:tcW w:w="4508" w:type="dxa"/>
            <w:gridSpan w:val="6"/>
          </w:tcPr>
          <w:p w14:paraId="2BDE878F" w14:textId="77777777" w:rsidR="00065317" w:rsidRDefault="005C7BF7">
            <w:pPr>
              <w:pStyle w:val="Compact"/>
            </w:pPr>
            <w:r>
              <w:rPr>
                <w:rStyle w:val="VerbatimChar"/>
              </w:rPr>
              <w:t>P141_a_assigné (a_été_assigné_par)</w:t>
            </w:r>
          </w:p>
        </w:tc>
        <w:tc>
          <w:tcPr>
            <w:tcW w:w="2620" w:type="dxa"/>
          </w:tcPr>
          <w:p w14:paraId="1303387E" w14:textId="37317B31" w:rsidR="00065317" w:rsidRDefault="005C7BF7">
            <w:pPr>
              <w:pStyle w:val="Compact"/>
            </w:pPr>
            <w:r>
              <w:rPr>
                <w:rStyle w:val="VerbatimChar"/>
              </w:rPr>
              <w:t>E13_Assignation_d</w:t>
            </w:r>
            <w:r w:rsidR="00E84B0E">
              <w:rPr>
                <w:rStyle w:val="VerbatimChar"/>
              </w:rPr>
              <w:t>’</w:t>
            </w:r>
            <w:r>
              <w:rPr>
                <w:rStyle w:val="VerbatimChar"/>
              </w:rPr>
              <w:t>attribut</w:t>
            </w:r>
          </w:p>
        </w:tc>
        <w:tc>
          <w:tcPr>
            <w:tcW w:w="2268" w:type="dxa"/>
          </w:tcPr>
          <w:p w14:paraId="7D9AEE72" w14:textId="77777777" w:rsidR="00065317" w:rsidRDefault="005C7BF7">
            <w:pPr>
              <w:pStyle w:val="Compact"/>
            </w:pPr>
            <w:r>
              <w:rPr>
                <w:rStyle w:val="VerbatimChar"/>
              </w:rPr>
              <w:t>E1_Entité_CRM</w:t>
            </w:r>
          </w:p>
        </w:tc>
      </w:tr>
      <w:tr w:rsidR="00065317" w14:paraId="1F3C58B9" w14:textId="77777777" w:rsidTr="000041DB">
        <w:tc>
          <w:tcPr>
            <w:tcW w:w="800" w:type="dxa"/>
          </w:tcPr>
          <w:p w14:paraId="7CC7B285" w14:textId="77777777" w:rsidR="00065317" w:rsidRDefault="005C7BF7">
            <w:pPr>
              <w:pStyle w:val="Compact"/>
            </w:pPr>
            <w:r>
              <w:t>P35</w:t>
            </w:r>
          </w:p>
        </w:tc>
        <w:tc>
          <w:tcPr>
            <w:tcW w:w="256" w:type="dxa"/>
          </w:tcPr>
          <w:p w14:paraId="1418A0D7" w14:textId="77777777" w:rsidR="00065317" w:rsidRDefault="005C7BF7">
            <w:pPr>
              <w:pStyle w:val="Compact"/>
            </w:pPr>
            <w:r>
              <w:t>-</w:t>
            </w:r>
          </w:p>
        </w:tc>
        <w:tc>
          <w:tcPr>
            <w:tcW w:w="4252" w:type="dxa"/>
            <w:gridSpan w:val="5"/>
          </w:tcPr>
          <w:p w14:paraId="0FDF09C9" w14:textId="77777777" w:rsidR="00065317" w:rsidRDefault="005C7BF7">
            <w:pPr>
              <w:pStyle w:val="Compact"/>
            </w:pPr>
            <w:r>
              <w:rPr>
                <w:rStyle w:val="VerbatimChar"/>
              </w:rPr>
              <w:t>P35_a_identifié (a_été_identifié_par)</w:t>
            </w:r>
          </w:p>
        </w:tc>
        <w:tc>
          <w:tcPr>
            <w:tcW w:w="2620" w:type="dxa"/>
          </w:tcPr>
          <w:p w14:paraId="7A8727E7" w14:textId="0FE04DFE" w:rsidR="00065317" w:rsidRDefault="005C7BF7">
            <w:pPr>
              <w:pStyle w:val="Compact"/>
            </w:pPr>
            <w:r>
              <w:rPr>
                <w:rStyle w:val="VerbatimChar"/>
              </w:rPr>
              <w:t>E14_Évaluation_d</w:t>
            </w:r>
            <w:r w:rsidR="00E84B0E">
              <w:rPr>
                <w:rStyle w:val="VerbatimChar"/>
              </w:rPr>
              <w:t>’</w:t>
            </w:r>
            <w:r>
              <w:rPr>
                <w:rStyle w:val="VerbatimChar"/>
              </w:rPr>
              <w:t>état_matériel</w:t>
            </w:r>
          </w:p>
        </w:tc>
        <w:tc>
          <w:tcPr>
            <w:tcW w:w="2268" w:type="dxa"/>
          </w:tcPr>
          <w:p w14:paraId="2E12B87D" w14:textId="77777777" w:rsidR="00065317" w:rsidRDefault="005C7BF7">
            <w:pPr>
              <w:pStyle w:val="Compact"/>
            </w:pPr>
            <w:r>
              <w:rPr>
                <w:rStyle w:val="VerbatimChar"/>
              </w:rPr>
              <w:t>E3_État_matériel</w:t>
            </w:r>
          </w:p>
        </w:tc>
      </w:tr>
      <w:tr w:rsidR="00065317" w14:paraId="5788092C" w14:textId="77777777" w:rsidTr="000041DB">
        <w:tc>
          <w:tcPr>
            <w:tcW w:w="800" w:type="dxa"/>
          </w:tcPr>
          <w:p w14:paraId="6924655B" w14:textId="77777777" w:rsidR="00065317" w:rsidRDefault="005C7BF7">
            <w:pPr>
              <w:pStyle w:val="Compact"/>
            </w:pPr>
            <w:r>
              <w:t>P37</w:t>
            </w:r>
          </w:p>
        </w:tc>
        <w:tc>
          <w:tcPr>
            <w:tcW w:w="256" w:type="dxa"/>
          </w:tcPr>
          <w:p w14:paraId="34513E15" w14:textId="77777777" w:rsidR="00065317" w:rsidRDefault="005C7BF7">
            <w:pPr>
              <w:pStyle w:val="Compact"/>
            </w:pPr>
            <w:r>
              <w:t>-</w:t>
            </w:r>
          </w:p>
        </w:tc>
        <w:tc>
          <w:tcPr>
            <w:tcW w:w="4252" w:type="dxa"/>
            <w:gridSpan w:val="5"/>
          </w:tcPr>
          <w:p w14:paraId="2BC7864B" w14:textId="77777777" w:rsidR="00065317" w:rsidRDefault="005C7BF7">
            <w:pPr>
              <w:pStyle w:val="Compact"/>
            </w:pPr>
            <w:r>
              <w:rPr>
                <w:rStyle w:val="VerbatimChar"/>
              </w:rPr>
              <w:t>P37_a_assigné (a_été_assigné_par)</w:t>
            </w:r>
          </w:p>
        </w:tc>
        <w:tc>
          <w:tcPr>
            <w:tcW w:w="2620" w:type="dxa"/>
          </w:tcPr>
          <w:p w14:paraId="2077BCD8" w14:textId="07821D4E" w:rsidR="00065317" w:rsidRDefault="005C7BF7">
            <w:pPr>
              <w:pStyle w:val="Compact"/>
            </w:pPr>
            <w:r>
              <w:rPr>
                <w:rStyle w:val="VerbatimChar"/>
              </w:rPr>
              <w:t>E15_Assignation_d</w:t>
            </w:r>
            <w:r w:rsidR="00E84B0E">
              <w:rPr>
                <w:rStyle w:val="VerbatimChar"/>
              </w:rPr>
              <w:t>’</w:t>
            </w:r>
            <w:r>
              <w:rPr>
                <w:rStyle w:val="VerbatimChar"/>
              </w:rPr>
              <w:t>identifiant</w:t>
            </w:r>
          </w:p>
        </w:tc>
        <w:tc>
          <w:tcPr>
            <w:tcW w:w="2268" w:type="dxa"/>
          </w:tcPr>
          <w:p w14:paraId="2C947CE4" w14:textId="77777777" w:rsidR="00065317" w:rsidRDefault="005C7BF7">
            <w:pPr>
              <w:pStyle w:val="Compact"/>
            </w:pPr>
            <w:r>
              <w:rPr>
                <w:rStyle w:val="VerbatimChar"/>
              </w:rPr>
              <w:t>E42_Identifiant</w:t>
            </w:r>
          </w:p>
        </w:tc>
      </w:tr>
      <w:tr w:rsidR="00065317" w14:paraId="1E638980" w14:textId="77777777" w:rsidTr="000041DB">
        <w:tc>
          <w:tcPr>
            <w:tcW w:w="800" w:type="dxa"/>
          </w:tcPr>
          <w:p w14:paraId="18D4CEBA" w14:textId="77777777" w:rsidR="00065317" w:rsidRDefault="005C7BF7">
            <w:pPr>
              <w:pStyle w:val="Compact"/>
            </w:pPr>
            <w:r>
              <w:t>P38</w:t>
            </w:r>
          </w:p>
        </w:tc>
        <w:tc>
          <w:tcPr>
            <w:tcW w:w="256" w:type="dxa"/>
          </w:tcPr>
          <w:p w14:paraId="370B8512" w14:textId="77777777" w:rsidR="00065317" w:rsidRDefault="005C7BF7">
            <w:pPr>
              <w:pStyle w:val="Compact"/>
            </w:pPr>
            <w:r>
              <w:t>-</w:t>
            </w:r>
          </w:p>
        </w:tc>
        <w:tc>
          <w:tcPr>
            <w:tcW w:w="4252" w:type="dxa"/>
            <w:gridSpan w:val="5"/>
          </w:tcPr>
          <w:p w14:paraId="4FFCD2AA" w14:textId="272991CF" w:rsidR="00065317" w:rsidRDefault="005C7BF7">
            <w:pPr>
              <w:pStyle w:val="Compact"/>
            </w:pPr>
            <w:r>
              <w:rPr>
                <w:rStyle w:val="VerbatimChar"/>
              </w:rPr>
              <w:t>P38_a_retiré_l</w:t>
            </w:r>
            <w:r w:rsidR="00E84B0E">
              <w:rPr>
                <w:rStyle w:val="VerbatimChar"/>
              </w:rPr>
              <w:t>’</w:t>
            </w:r>
            <w:r>
              <w:rPr>
                <w:rStyle w:val="VerbatimChar"/>
              </w:rPr>
              <w:t>assignation_de (a_été_retiré_par)</w:t>
            </w:r>
          </w:p>
        </w:tc>
        <w:tc>
          <w:tcPr>
            <w:tcW w:w="2620" w:type="dxa"/>
          </w:tcPr>
          <w:p w14:paraId="312A9668" w14:textId="1852D524" w:rsidR="00065317" w:rsidRDefault="005C7BF7">
            <w:pPr>
              <w:pStyle w:val="Compact"/>
            </w:pPr>
            <w:r>
              <w:rPr>
                <w:rStyle w:val="VerbatimChar"/>
              </w:rPr>
              <w:t>E15_Assignation_d</w:t>
            </w:r>
            <w:r w:rsidR="00E84B0E">
              <w:rPr>
                <w:rStyle w:val="VerbatimChar"/>
              </w:rPr>
              <w:t>’</w:t>
            </w:r>
            <w:r>
              <w:rPr>
                <w:rStyle w:val="VerbatimChar"/>
              </w:rPr>
              <w:t>identifiant</w:t>
            </w:r>
          </w:p>
        </w:tc>
        <w:tc>
          <w:tcPr>
            <w:tcW w:w="2268" w:type="dxa"/>
          </w:tcPr>
          <w:p w14:paraId="49D8D4AB" w14:textId="77777777" w:rsidR="00065317" w:rsidRDefault="005C7BF7">
            <w:pPr>
              <w:pStyle w:val="Compact"/>
            </w:pPr>
            <w:r>
              <w:rPr>
                <w:rStyle w:val="VerbatimChar"/>
              </w:rPr>
              <w:t>E42_Identifiant</w:t>
            </w:r>
          </w:p>
        </w:tc>
      </w:tr>
      <w:tr w:rsidR="00065317" w14:paraId="007DDD01" w14:textId="77777777" w:rsidTr="000041DB">
        <w:tc>
          <w:tcPr>
            <w:tcW w:w="800" w:type="dxa"/>
          </w:tcPr>
          <w:p w14:paraId="6B9EC41F" w14:textId="77777777" w:rsidR="00065317" w:rsidRDefault="005C7BF7">
            <w:pPr>
              <w:pStyle w:val="Compact"/>
            </w:pPr>
            <w:r>
              <w:t>P40</w:t>
            </w:r>
          </w:p>
        </w:tc>
        <w:tc>
          <w:tcPr>
            <w:tcW w:w="256" w:type="dxa"/>
          </w:tcPr>
          <w:p w14:paraId="44D6C42F" w14:textId="77777777" w:rsidR="00065317" w:rsidRDefault="005C7BF7">
            <w:pPr>
              <w:pStyle w:val="Compact"/>
            </w:pPr>
            <w:r>
              <w:t>-</w:t>
            </w:r>
          </w:p>
        </w:tc>
        <w:tc>
          <w:tcPr>
            <w:tcW w:w="4252" w:type="dxa"/>
            <w:gridSpan w:val="5"/>
          </w:tcPr>
          <w:p w14:paraId="7E3120B4" w14:textId="77777777" w:rsidR="00065317" w:rsidRDefault="005C7BF7">
            <w:pPr>
              <w:pStyle w:val="Compact"/>
            </w:pPr>
            <w:r>
              <w:rPr>
                <w:rStyle w:val="VerbatimChar"/>
              </w:rPr>
              <w:t>P40_a_relevé_comme_dimension (a_été_relevé_par)</w:t>
            </w:r>
          </w:p>
        </w:tc>
        <w:tc>
          <w:tcPr>
            <w:tcW w:w="2620" w:type="dxa"/>
          </w:tcPr>
          <w:p w14:paraId="3DC08D3B" w14:textId="77777777" w:rsidR="00065317" w:rsidRDefault="005C7BF7">
            <w:pPr>
              <w:pStyle w:val="Compact"/>
            </w:pPr>
            <w:r>
              <w:rPr>
                <w:rStyle w:val="VerbatimChar"/>
              </w:rPr>
              <w:t>E16_Mesurage</w:t>
            </w:r>
          </w:p>
        </w:tc>
        <w:tc>
          <w:tcPr>
            <w:tcW w:w="2268" w:type="dxa"/>
          </w:tcPr>
          <w:p w14:paraId="1EF6E362" w14:textId="77777777" w:rsidR="00065317" w:rsidRDefault="005C7BF7">
            <w:pPr>
              <w:pStyle w:val="Compact"/>
            </w:pPr>
            <w:r>
              <w:rPr>
                <w:rStyle w:val="VerbatimChar"/>
              </w:rPr>
              <w:t>E54_Dimension</w:t>
            </w:r>
          </w:p>
        </w:tc>
      </w:tr>
      <w:tr w:rsidR="00065317" w14:paraId="71C31972" w14:textId="77777777" w:rsidTr="000041DB">
        <w:tc>
          <w:tcPr>
            <w:tcW w:w="800" w:type="dxa"/>
          </w:tcPr>
          <w:p w14:paraId="77941DE4" w14:textId="77777777" w:rsidR="00065317" w:rsidRDefault="005C7BF7">
            <w:pPr>
              <w:pStyle w:val="Compact"/>
            </w:pPr>
            <w:r>
              <w:lastRenderedPageBreak/>
              <w:t>P42</w:t>
            </w:r>
          </w:p>
        </w:tc>
        <w:tc>
          <w:tcPr>
            <w:tcW w:w="256" w:type="dxa"/>
          </w:tcPr>
          <w:p w14:paraId="084BAC51" w14:textId="77777777" w:rsidR="00065317" w:rsidRDefault="005C7BF7">
            <w:pPr>
              <w:pStyle w:val="Compact"/>
            </w:pPr>
            <w:r>
              <w:t>-</w:t>
            </w:r>
          </w:p>
        </w:tc>
        <w:tc>
          <w:tcPr>
            <w:tcW w:w="4252" w:type="dxa"/>
            <w:gridSpan w:val="5"/>
          </w:tcPr>
          <w:p w14:paraId="5A1E6170" w14:textId="77777777" w:rsidR="00065317" w:rsidRDefault="005C7BF7">
            <w:pPr>
              <w:pStyle w:val="Compact"/>
            </w:pPr>
            <w:r>
              <w:rPr>
                <w:rStyle w:val="VerbatimChar"/>
              </w:rPr>
              <w:t>P42_a_assigné (a_été_assigné_par)</w:t>
            </w:r>
          </w:p>
        </w:tc>
        <w:tc>
          <w:tcPr>
            <w:tcW w:w="2620" w:type="dxa"/>
          </w:tcPr>
          <w:p w14:paraId="5A8CE080" w14:textId="77777777" w:rsidR="00065317" w:rsidRDefault="005C7BF7">
            <w:pPr>
              <w:pStyle w:val="Compact"/>
            </w:pPr>
            <w:r>
              <w:rPr>
                <w:rStyle w:val="VerbatimChar"/>
              </w:rPr>
              <w:t>E17_Assignation_de_type</w:t>
            </w:r>
          </w:p>
        </w:tc>
        <w:tc>
          <w:tcPr>
            <w:tcW w:w="2268" w:type="dxa"/>
          </w:tcPr>
          <w:p w14:paraId="698D6E08" w14:textId="77777777" w:rsidR="00065317" w:rsidRDefault="005C7BF7">
            <w:pPr>
              <w:pStyle w:val="Compact"/>
            </w:pPr>
            <w:r>
              <w:rPr>
                <w:rStyle w:val="VerbatimChar"/>
              </w:rPr>
              <w:t>E55_Type</w:t>
            </w:r>
          </w:p>
        </w:tc>
      </w:tr>
      <w:tr w:rsidR="00065317" w14:paraId="761144AE" w14:textId="77777777" w:rsidTr="000041DB">
        <w:tc>
          <w:tcPr>
            <w:tcW w:w="800" w:type="dxa"/>
          </w:tcPr>
          <w:p w14:paraId="64B423DF" w14:textId="77777777" w:rsidR="00065317" w:rsidRDefault="005C7BF7">
            <w:pPr>
              <w:pStyle w:val="Compact"/>
            </w:pPr>
            <w:r>
              <w:t>P147</w:t>
            </w:r>
          </w:p>
        </w:tc>
        <w:tc>
          <w:tcPr>
            <w:tcW w:w="4508" w:type="dxa"/>
            <w:gridSpan w:val="6"/>
          </w:tcPr>
          <w:p w14:paraId="6DD10CC8" w14:textId="77777777" w:rsidR="00065317" w:rsidRDefault="005C7BF7">
            <w:pPr>
              <w:pStyle w:val="Compact"/>
            </w:pPr>
            <w:r>
              <w:rPr>
                <w:rStyle w:val="VerbatimChar"/>
              </w:rPr>
              <w:t>P147_a_géré (a_été_géré_par)</w:t>
            </w:r>
          </w:p>
        </w:tc>
        <w:tc>
          <w:tcPr>
            <w:tcW w:w="2620" w:type="dxa"/>
          </w:tcPr>
          <w:p w14:paraId="07E44EA5" w14:textId="77777777" w:rsidR="00065317" w:rsidRDefault="005C7BF7">
            <w:pPr>
              <w:pStyle w:val="Compact"/>
            </w:pPr>
            <w:r>
              <w:rPr>
                <w:rStyle w:val="VerbatimChar"/>
              </w:rPr>
              <w:t>E87_Activité_curatoriale</w:t>
            </w:r>
          </w:p>
        </w:tc>
        <w:tc>
          <w:tcPr>
            <w:tcW w:w="2268" w:type="dxa"/>
          </w:tcPr>
          <w:p w14:paraId="5CA9B854" w14:textId="77777777" w:rsidR="00065317" w:rsidRDefault="005C7BF7">
            <w:pPr>
              <w:pStyle w:val="Compact"/>
            </w:pPr>
            <w:r>
              <w:rPr>
                <w:rStyle w:val="VerbatimChar"/>
              </w:rPr>
              <w:t>E78_Collection</w:t>
            </w:r>
          </w:p>
        </w:tc>
      </w:tr>
      <w:tr w:rsidR="00065317" w14:paraId="4D12470A" w14:textId="77777777" w:rsidTr="000041DB">
        <w:tc>
          <w:tcPr>
            <w:tcW w:w="800" w:type="dxa"/>
          </w:tcPr>
          <w:p w14:paraId="0F84C312" w14:textId="77777777" w:rsidR="00065317" w:rsidRDefault="005C7BF7">
            <w:pPr>
              <w:pStyle w:val="Compact"/>
            </w:pPr>
            <w:r>
              <w:t>P148</w:t>
            </w:r>
          </w:p>
        </w:tc>
        <w:tc>
          <w:tcPr>
            <w:tcW w:w="4508" w:type="dxa"/>
            <w:gridSpan w:val="6"/>
          </w:tcPr>
          <w:p w14:paraId="733C46C1" w14:textId="77777777" w:rsidR="00065317" w:rsidRDefault="005C7BF7">
            <w:pPr>
              <w:pStyle w:val="Compact"/>
            </w:pPr>
            <w:r>
              <w:rPr>
                <w:rStyle w:val="VerbatimChar"/>
              </w:rPr>
              <w:t>P148_a_pour_composant (est_le_composant_de)</w:t>
            </w:r>
          </w:p>
        </w:tc>
        <w:tc>
          <w:tcPr>
            <w:tcW w:w="2620" w:type="dxa"/>
          </w:tcPr>
          <w:p w14:paraId="6A73434F" w14:textId="77777777" w:rsidR="00065317" w:rsidRDefault="005C7BF7">
            <w:pPr>
              <w:pStyle w:val="Compact"/>
            </w:pPr>
            <w:r>
              <w:rPr>
                <w:rStyle w:val="VerbatimChar"/>
              </w:rPr>
              <w:t>E89_Objet_propositionnel</w:t>
            </w:r>
          </w:p>
        </w:tc>
        <w:tc>
          <w:tcPr>
            <w:tcW w:w="2268" w:type="dxa"/>
          </w:tcPr>
          <w:p w14:paraId="62EA2ECD" w14:textId="77777777" w:rsidR="00065317" w:rsidRDefault="005C7BF7">
            <w:pPr>
              <w:pStyle w:val="Compact"/>
            </w:pPr>
            <w:r>
              <w:rPr>
                <w:rStyle w:val="VerbatimChar"/>
              </w:rPr>
              <w:t>E89_Objet_propositionnel</w:t>
            </w:r>
          </w:p>
        </w:tc>
      </w:tr>
      <w:tr w:rsidR="00065317" w14:paraId="4BF935A8" w14:textId="77777777" w:rsidTr="000041DB">
        <w:tc>
          <w:tcPr>
            <w:tcW w:w="800" w:type="dxa"/>
          </w:tcPr>
          <w:p w14:paraId="513C18EF" w14:textId="77777777" w:rsidR="00065317" w:rsidRDefault="005C7BF7">
            <w:pPr>
              <w:pStyle w:val="Compact"/>
            </w:pPr>
            <w:r>
              <w:t>P150</w:t>
            </w:r>
          </w:p>
        </w:tc>
        <w:tc>
          <w:tcPr>
            <w:tcW w:w="4508" w:type="dxa"/>
            <w:gridSpan w:val="6"/>
          </w:tcPr>
          <w:p w14:paraId="09955B8C" w14:textId="4BFC54D8" w:rsidR="00065317" w:rsidRDefault="005C7BF7">
            <w:pPr>
              <w:pStyle w:val="Compact"/>
            </w:pPr>
            <w:r>
              <w:rPr>
                <w:rStyle w:val="VerbatimChar"/>
              </w:rPr>
              <w:t>P150_définit_les_éléments_typiques_de (définit_l</w:t>
            </w:r>
            <w:r w:rsidR="00E84B0E">
              <w:rPr>
                <w:rStyle w:val="VerbatimChar"/>
              </w:rPr>
              <w:t>’</w:t>
            </w:r>
            <w:r>
              <w:rPr>
                <w:rStyle w:val="VerbatimChar"/>
              </w:rPr>
              <w:t>ensemble_typique_pour)</w:t>
            </w:r>
          </w:p>
        </w:tc>
        <w:tc>
          <w:tcPr>
            <w:tcW w:w="2620" w:type="dxa"/>
          </w:tcPr>
          <w:p w14:paraId="41E5D1B7" w14:textId="77777777" w:rsidR="00065317" w:rsidRDefault="005C7BF7">
            <w:pPr>
              <w:pStyle w:val="Compact"/>
            </w:pPr>
            <w:r>
              <w:rPr>
                <w:rStyle w:val="VerbatimChar"/>
              </w:rPr>
              <w:t>E55_Type</w:t>
            </w:r>
          </w:p>
        </w:tc>
        <w:tc>
          <w:tcPr>
            <w:tcW w:w="2268" w:type="dxa"/>
          </w:tcPr>
          <w:p w14:paraId="28AB3ABD" w14:textId="77777777" w:rsidR="00065317" w:rsidRDefault="005C7BF7">
            <w:pPr>
              <w:pStyle w:val="Compact"/>
            </w:pPr>
            <w:r>
              <w:rPr>
                <w:rStyle w:val="VerbatimChar"/>
              </w:rPr>
              <w:t>E55_Type</w:t>
            </w:r>
          </w:p>
        </w:tc>
      </w:tr>
      <w:tr w:rsidR="00065317" w14:paraId="58DDFA8B" w14:textId="77777777" w:rsidTr="000041DB">
        <w:tc>
          <w:tcPr>
            <w:tcW w:w="800" w:type="dxa"/>
          </w:tcPr>
          <w:p w14:paraId="328C556F" w14:textId="77777777" w:rsidR="00065317" w:rsidRDefault="005C7BF7">
            <w:pPr>
              <w:pStyle w:val="Compact"/>
            </w:pPr>
            <w:r>
              <w:t>P152</w:t>
            </w:r>
          </w:p>
        </w:tc>
        <w:tc>
          <w:tcPr>
            <w:tcW w:w="4508" w:type="dxa"/>
            <w:gridSpan w:val="6"/>
          </w:tcPr>
          <w:p w14:paraId="4CB65046" w14:textId="77777777" w:rsidR="00065317" w:rsidRDefault="005C7BF7">
            <w:pPr>
              <w:pStyle w:val="Compact"/>
            </w:pPr>
            <w:r>
              <w:rPr>
                <w:rStyle w:val="VerbatimChar"/>
              </w:rPr>
              <w:t>P152_a_pour_parent (est_le_parent_de)</w:t>
            </w:r>
          </w:p>
        </w:tc>
        <w:tc>
          <w:tcPr>
            <w:tcW w:w="2620" w:type="dxa"/>
          </w:tcPr>
          <w:p w14:paraId="09327C2D" w14:textId="77777777" w:rsidR="00065317" w:rsidRDefault="005C7BF7">
            <w:pPr>
              <w:pStyle w:val="Compact"/>
            </w:pPr>
            <w:r>
              <w:rPr>
                <w:rStyle w:val="VerbatimChar"/>
              </w:rPr>
              <w:t>E21_Personne</w:t>
            </w:r>
          </w:p>
        </w:tc>
        <w:tc>
          <w:tcPr>
            <w:tcW w:w="2268" w:type="dxa"/>
          </w:tcPr>
          <w:p w14:paraId="70D28FA7" w14:textId="77777777" w:rsidR="00065317" w:rsidRDefault="005C7BF7">
            <w:pPr>
              <w:pStyle w:val="Compact"/>
            </w:pPr>
            <w:r>
              <w:rPr>
                <w:rStyle w:val="VerbatimChar"/>
              </w:rPr>
              <w:t>E21_Personne</w:t>
            </w:r>
          </w:p>
        </w:tc>
      </w:tr>
      <w:tr w:rsidR="00065317" w14:paraId="2686669E" w14:textId="77777777" w:rsidTr="000041DB">
        <w:tc>
          <w:tcPr>
            <w:tcW w:w="800" w:type="dxa"/>
          </w:tcPr>
          <w:p w14:paraId="56E19085" w14:textId="77777777" w:rsidR="00065317" w:rsidRDefault="005C7BF7">
            <w:pPr>
              <w:pStyle w:val="Compact"/>
            </w:pPr>
            <w:r>
              <w:t>P157</w:t>
            </w:r>
          </w:p>
        </w:tc>
        <w:tc>
          <w:tcPr>
            <w:tcW w:w="4508" w:type="dxa"/>
            <w:gridSpan w:val="6"/>
          </w:tcPr>
          <w:p w14:paraId="267218FB" w14:textId="42C8AEF3" w:rsidR="00065317" w:rsidRDefault="005C7BF7">
            <w:pPr>
              <w:pStyle w:val="Compact"/>
            </w:pPr>
            <w:r>
              <w:rPr>
                <w:rStyle w:val="VerbatimChar"/>
              </w:rPr>
              <w:t>P157_est_à_l</w:t>
            </w:r>
            <w:r w:rsidR="00E84B0E">
              <w:rPr>
                <w:rStyle w:val="VerbatimChar"/>
              </w:rPr>
              <w:t>’</w:t>
            </w:r>
            <w:r>
              <w:rPr>
                <w:rStyle w:val="VerbatimChar"/>
              </w:rPr>
              <w:t>arrêt_par_rapport_à (procure_l</w:t>
            </w:r>
            <w:r w:rsidR="00E84B0E">
              <w:rPr>
                <w:rStyle w:val="VerbatimChar"/>
              </w:rPr>
              <w:t>’</w:t>
            </w:r>
            <w:r>
              <w:rPr>
                <w:rStyle w:val="VerbatimChar"/>
              </w:rPr>
              <w:t>espace_de_référence_pour)</w:t>
            </w:r>
          </w:p>
        </w:tc>
        <w:tc>
          <w:tcPr>
            <w:tcW w:w="2620" w:type="dxa"/>
          </w:tcPr>
          <w:p w14:paraId="023526C9" w14:textId="77777777" w:rsidR="00065317" w:rsidRDefault="005C7BF7">
            <w:pPr>
              <w:pStyle w:val="Compact"/>
            </w:pPr>
            <w:r>
              <w:rPr>
                <w:rStyle w:val="VerbatimChar"/>
              </w:rPr>
              <w:t>E53_Lieu</w:t>
            </w:r>
          </w:p>
        </w:tc>
        <w:tc>
          <w:tcPr>
            <w:tcW w:w="2268" w:type="dxa"/>
          </w:tcPr>
          <w:p w14:paraId="4C1D9914" w14:textId="77777777" w:rsidR="00065317" w:rsidRDefault="005C7BF7">
            <w:pPr>
              <w:pStyle w:val="Compact"/>
            </w:pPr>
            <w:r>
              <w:rPr>
                <w:rStyle w:val="VerbatimChar"/>
              </w:rPr>
              <w:t>E18_Chose_matérielle</w:t>
            </w:r>
          </w:p>
        </w:tc>
      </w:tr>
      <w:tr w:rsidR="00065317" w14:paraId="0D3E4F9C" w14:textId="77777777" w:rsidTr="000041DB">
        <w:tc>
          <w:tcPr>
            <w:tcW w:w="800" w:type="dxa"/>
          </w:tcPr>
          <w:p w14:paraId="0D1B776B" w14:textId="77777777" w:rsidR="00065317" w:rsidRDefault="005C7BF7">
            <w:pPr>
              <w:pStyle w:val="Compact"/>
            </w:pPr>
            <w:r>
              <w:t>P59i</w:t>
            </w:r>
          </w:p>
        </w:tc>
        <w:tc>
          <w:tcPr>
            <w:tcW w:w="256" w:type="dxa"/>
          </w:tcPr>
          <w:p w14:paraId="71C10A4D" w14:textId="77777777" w:rsidR="00065317" w:rsidRDefault="005C7BF7">
            <w:pPr>
              <w:pStyle w:val="Compact"/>
            </w:pPr>
            <w:r>
              <w:t>-</w:t>
            </w:r>
          </w:p>
        </w:tc>
        <w:tc>
          <w:tcPr>
            <w:tcW w:w="4252" w:type="dxa"/>
            <w:gridSpan w:val="5"/>
          </w:tcPr>
          <w:p w14:paraId="15B5224A" w14:textId="77777777" w:rsidR="00065317" w:rsidRDefault="005C7BF7">
            <w:pPr>
              <w:pStyle w:val="Compact"/>
            </w:pPr>
            <w:r>
              <w:rPr>
                <w:rStyle w:val="VerbatimChar"/>
              </w:rPr>
              <w:t>P59i_se_situe_sur_ou_dans</w:t>
            </w:r>
          </w:p>
        </w:tc>
        <w:tc>
          <w:tcPr>
            <w:tcW w:w="2620" w:type="dxa"/>
          </w:tcPr>
          <w:p w14:paraId="60F11D2A" w14:textId="77777777" w:rsidR="00065317" w:rsidRDefault="005C7BF7">
            <w:pPr>
              <w:pStyle w:val="Compact"/>
            </w:pPr>
            <w:r>
              <w:rPr>
                <w:rStyle w:val="VerbatimChar"/>
              </w:rPr>
              <w:t>E53_Lieu</w:t>
            </w:r>
          </w:p>
        </w:tc>
        <w:tc>
          <w:tcPr>
            <w:tcW w:w="2268" w:type="dxa"/>
          </w:tcPr>
          <w:p w14:paraId="1CF8BB83" w14:textId="77777777" w:rsidR="00065317" w:rsidRDefault="005C7BF7">
            <w:pPr>
              <w:pStyle w:val="Compact"/>
            </w:pPr>
            <w:r>
              <w:rPr>
                <w:rStyle w:val="VerbatimChar"/>
              </w:rPr>
              <w:t>E18_Chose_matérielle</w:t>
            </w:r>
          </w:p>
        </w:tc>
      </w:tr>
      <w:tr w:rsidR="00065317" w14:paraId="018615B2" w14:textId="77777777" w:rsidTr="000041DB">
        <w:tc>
          <w:tcPr>
            <w:tcW w:w="800" w:type="dxa"/>
          </w:tcPr>
          <w:p w14:paraId="2A80BDEF" w14:textId="77777777" w:rsidR="00065317" w:rsidRDefault="005C7BF7">
            <w:pPr>
              <w:pStyle w:val="Compact"/>
            </w:pPr>
            <w:r>
              <w:t>P156i</w:t>
            </w:r>
          </w:p>
        </w:tc>
        <w:tc>
          <w:tcPr>
            <w:tcW w:w="256" w:type="dxa"/>
          </w:tcPr>
          <w:p w14:paraId="28033E63" w14:textId="77777777" w:rsidR="00065317" w:rsidRDefault="005C7BF7">
            <w:pPr>
              <w:pStyle w:val="Compact"/>
            </w:pPr>
            <w:r>
              <w:t>-</w:t>
            </w:r>
          </w:p>
        </w:tc>
        <w:tc>
          <w:tcPr>
            <w:tcW w:w="4252" w:type="dxa"/>
            <w:gridSpan w:val="5"/>
          </w:tcPr>
          <w:p w14:paraId="1F7D1729" w14:textId="77777777" w:rsidR="00065317" w:rsidRDefault="005C7BF7">
            <w:pPr>
              <w:pStyle w:val="Compact"/>
            </w:pPr>
            <w:r>
              <w:rPr>
                <w:rStyle w:val="VerbatimChar"/>
              </w:rPr>
              <w:t>P156i_est_occupé_par</w:t>
            </w:r>
          </w:p>
        </w:tc>
        <w:tc>
          <w:tcPr>
            <w:tcW w:w="2620" w:type="dxa"/>
          </w:tcPr>
          <w:p w14:paraId="1CEE4668" w14:textId="77777777" w:rsidR="00065317" w:rsidRDefault="005C7BF7">
            <w:pPr>
              <w:pStyle w:val="Compact"/>
            </w:pPr>
            <w:r>
              <w:rPr>
                <w:rStyle w:val="VerbatimChar"/>
              </w:rPr>
              <w:t>E53_Lieu</w:t>
            </w:r>
          </w:p>
        </w:tc>
        <w:tc>
          <w:tcPr>
            <w:tcW w:w="2268" w:type="dxa"/>
          </w:tcPr>
          <w:p w14:paraId="7C0FB455" w14:textId="77777777" w:rsidR="00065317" w:rsidRDefault="005C7BF7">
            <w:pPr>
              <w:pStyle w:val="Compact"/>
            </w:pPr>
            <w:r>
              <w:rPr>
                <w:rStyle w:val="VerbatimChar"/>
              </w:rPr>
              <w:t>E18_Chose_matérielle</w:t>
            </w:r>
          </w:p>
        </w:tc>
      </w:tr>
      <w:tr w:rsidR="00065317" w14:paraId="413B9D37" w14:textId="77777777" w:rsidTr="000041DB">
        <w:tc>
          <w:tcPr>
            <w:tcW w:w="800" w:type="dxa"/>
          </w:tcPr>
          <w:p w14:paraId="0FFB0809" w14:textId="77777777" w:rsidR="00065317" w:rsidRDefault="005C7BF7">
            <w:pPr>
              <w:pStyle w:val="Compact"/>
            </w:pPr>
            <w:r>
              <w:t>P160</w:t>
            </w:r>
          </w:p>
        </w:tc>
        <w:tc>
          <w:tcPr>
            <w:tcW w:w="4508" w:type="dxa"/>
            <w:gridSpan w:val="6"/>
          </w:tcPr>
          <w:p w14:paraId="2C7007DB" w14:textId="77777777" w:rsidR="00065317" w:rsidRDefault="005C7BF7">
            <w:pPr>
              <w:pStyle w:val="Compact"/>
            </w:pPr>
            <w:r>
              <w:rPr>
                <w:rStyle w:val="VerbatimChar"/>
              </w:rPr>
              <w:t>P160_a_pour_projection_temporelle (est_la_projection_temporelle_de)</w:t>
            </w:r>
          </w:p>
        </w:tc>
        <w:tc>
          <w:tcPr>
            <w:tcW w:w="2620" w:type="dxa"/>
          </w:tcPr>
          <w:p w14:paraId="60EA1F95" w14:textId="77777777" w:rsidR="00065317" w:rsidRDefault="005C7BF7">
            <w:pPr>
              <w:pStyle w:val="Compact"/>
            </w:pPr>
            <w:r>
              <w:rPr>
                <w:rStyle w:val="VerbatimChar"/>
              </w:rPr>
              <w:t>E92_Volume_spatio-temporel</w:t>
            </w:r>
          </w:p>
        </w:tc>
        <w:tc>
          <w:tcPr>
            <w:tcW w:w="2268" w:type="dxa"/>
          </w:tcPr>
          <w:p w14:paraId="10CA701C" w14:textId="77777777" w:rsidR="00065317" w:rsidRDefault="005C7BF7">
            <w:pPr>
              <w:pStyle w:val="Compact"/>
            </w:pPr>
            <w:r>
              <w:rPr>
                <w:rStyle w:val="VerbatimChar"/>
              </w:rPr>
              <w:t xml:space="preserve">E52_Intervalle_temporel </w:t>
            </w:r>
          </w:p>
        </w:tc>
      </w:tr>
      <w:tr w:rsidR="00065317" w14:paraId="78EFBEF2" w14:textId="77777777" w:rsidTr="000041DB">
        <w:tc>
          <w:tcPr>
            <w:tcW w:w="800" w:type="dxa"/>
          </w:tcPr>
          <w:p w14:paraId="270B25EB" w14:textId="77777777" w:rsidR="00065317" w:rsidRDefault="005C7BF7">
            <w:pPr>
              <w:pStyle w:val="Compact"/>
            </w:pPr>
            <w:r>
              <w:t>P164</w:t>
            </w:r>
          </w:p>
        </w:tc>
        <w:tc>
          <w:tcPr>
            <w:tcW w:w="256" w:type="dxa"/>
          </w:tcPr>
          <w:p w14:paraId="71BA612A" w14:textId="77777777" w:rsidR="00065317" w:rsidRDefault="005C7BF7">
            <w:pPr>
              <w:pStyle w:val="Compact"/>
            </w:pPr>
            <w:r>
              <w:t>-</w:t>
            </w:r>
          </w:p>
        </w:tc>
        <w:tc>
          <w:tcPr>
            <w:tcW w:w="4252" w:type="dxa"/>
            <w:gridSpan w:val="5"/>
          </w:tcPr>
          <w:p w14:paraId="162E7C53" w14:textId="77777777" w:rsidR="00065317" w:rsidRDefault="005C7BF7">
            <w:pPr>
              <w:pStyle w:val="Compact"/>
            </w:pPr>
            <w:r>
              <w:rPr>
                <w:rStyle w:val="VerbatimChar"/>
              </w:rPr>
              <w:t>P164_est_temporellement_spécifié_par (spécifie_temporellement)</w:t>
            </w:r>
          </w:p>
        </w:tc>
        <w:tc>
          <w:tcPr>
            <w:tcW w:w="2620" w:type="dxa"/>
          </w:tcPr>
          <w:p w14:paraId="10643D91" w14:textId="77777777" w:rsidR="00065317" w:rsidRDefault="005C7BF7">
            <w:pPr>
              <w:pStyle w:val="Compact"/>
            </w:pPr>
            <w:r>
              <w:rPr>
                <w:rStyle w:val="VerbatimChar"/>
              </w:rPr>
              <w:t>E93_Présence</w:t>
            </w:r>
          </w:p>
        </w:tc>
        <w:tc>
          <w:tcPr>
            <w:tcW w:w="2268" w:type="dxa"/>
          </w:tcPr>
          <w:p w14:paraId="709AAD1A" w14:textId="77777777" w:rsidR="00065317" w:rsidRDefault="005C7BF7">
            <w:pPr>
              <w:pStyle w:val="Compact"/>
            </w:pPr>
            <w:r>
              <w:rPr>
                <w:rStyle w:val="VerbatimChar"/>
              </w:rPr>
              <w:t xml:space="preserve">E52_Intervalle_temporel </w:t>
            </w:r>
          </w:p>
        </w:tc>
      </w:tr>
      <w:tr w:rsidR="00065317" w14:paraId="49B14F9F" w14:textId="77777777" w:rsidTr="000041DB">
        <w:tc>
          <w:tcPr>
            <w:tcW w:w="800" w:type="dxa"/>
          </w:tcPr>
          <w:p w14:paraId="207D3789" w14:textId="77777777" w:rsidR="00065317" w:rsidRDefault="005C7BF7">
            <w:pPr>
              <w:pStyle w:val="Compact"/>
            </w:pPr>
            <w:r>
              <w:t>P161</w:t>
            </w:r>
          </w:p>
        </w:tc>
        <w:tc>
          <w:tcPr>
            <w:tcW w:w="4508" w:type="dxa"/>
            <w:gridSpan w:val="6"/>
          </w:tcPr>
          <w:p w14:paraId="7EC852B7" w14:textId="77777777" w:rsidR="00065317" w:rsidRDefault="005C7BF7">
            <w:pPr>
              <w:pStyle w:val="Compact"/>
            </w:pPr>
            <w:r>
              <w:rPr>
                <w:rStyle w:val="VerbatimChar"/>
              </w:rPr>
              <w:t>P161_a_pour_projection_spatiale (est_la_projection_spatiale_de)</w:t>
            </w:r>
          </w:p>
        </w:tc>
        <w:tc>
          <w:tcPr>
            <w:tcW w:w="2620" w:type="dxa"/>
          </w:tcPr>
          <w:p w14:paraId="661A2F6A" w14:textId="77777777" w:rsidR="00065317" w:rsidRDefault="005C7BF7">
            <w:pPr>
              <w:pStyle w:val="Compact"/>
            </w:pPr>
            <w:r>
              <w:rPr>
                <w:rStyle w:val="VerbatimChar"/>
              </w:rPr>
              <w:t>E92_Volume_spatio-temporel</w:t>
            </w:r>
          </w:p>
        </w:tc>
        <w:tc>
          <w:tcPr>
            <w:tcW w:w="2268" w:type="dxa"/>
          </w:tcPr>
          <w:p w14:paraId="1599D5F2" w14:textId="77777777" w:rsidR="00065317" w:rsidRDefault="005C7BF7">
            <w:pPr>
              <w:pStyle w:val="Compact"/>
            </w:pPr>
            <w:r>
              <w:rPr>
                <w:rStyle w:val="VerbatimChar"/>
              </w:rPr>
              <w:t>E53_Lieu</w:t>
            </w:r>
          </w:p>
        </w:tc>
      </w:tr>
      <w:tr w:rsidR="00065317" w14:paraId="34AFA588" w14:textId="77777777" w:rsidTr="000041DB">
        <w:tc>
          <w:tcPr>
            <w:tcW w:w="800" w:type="dxa"/>
          </w:tcPr>
          <w:p w14:paraId="32487522" w14:textId="77777777" w:rsidR="00065317" w:rsidRDefault="005C7BF7">
            <w:pPr>
              <w:pStyle w:val="Compact"/>
            </w:pPr>
            <w:r>
              <w:t>P167</w:t>
            </w:r>
          </w:p>
        </w:tc>
        <w:tc>
          <w:tcPr>
            <w:tcW w:w="4508" w:type="dxa"/>
            <w:gridSpan w:val="6"/>
          </w:tcPr>
          <w:p w14:paraId="20C2622F" w14:textId="36E1B964" w:rsidR="00065317" w:rsidRDefault="005C7BF7">
            <w:pPr>
              <w:pStyle w:val="Compact"/>
            </w:pPr>
            <w:r>
              <w:rPr>
                <w:rStyle w:val="VerbatimChar"/>
              </w:rPr>
              <w:t>P167_s</w:t>
            </w:r>
            <w:r w:rsidR="00E84B0E">
              <w:rPr>
                <w:rStyle w:val="VerbatimChar"/>
              </w:rPr>
              <w:t>’</w:t>
            </w:r>
            <w:r>
              <w:rPr>
                <w:rStyle w:val="VerbatimChar"/>
              </w:rPr>
              <w:t>inscrivait_dans (comporte)</w:t>
            </w:r>
          </w:p>
        </w:tc>
        <w:tc>
          <w:tcPr>
            <w:tcW w:w="2620" w:type="dxa"/>
          </w:tcPr>
          <w:p w14:paraId="5C3D6DD4" w14:textId="77777777" w:rsidR="00065317" w:rsidRDefault="005C7BF7">
            <w:pPr>
              <w:pStyle w:val="Compact"/>
            </w:pPr>
            <w:r>
              <w:rPr>
                <w:rStyle w:val="VerbatimChar"/>
              </w:rPr>
              <w:t>E93_Présence</w:t>
            </w:r>
          </w:p>
        </w:tc>
        <w:tc>
          <w:tcPr>
            <w:tcW w:w="2268" w:type="dxa"/>
          </w:tcPr>
          <w:p w14:paraId="3BAB462B" w14:textId="77777777" w:rsidR="00065317" w:rsidRDefault="005C7BF7">
            <w:pPr>
              <w:pStyle w:val="Compact"/>
            </w:pPr>
            <w:r>
              <w:rPr>
                <w:rStyle w:val="VerbatimChar"/>
              </w:rPr>
              <w:t>E53_Lieu</w:t>
            </w:r>
          </w:p>
        </w:tc>
      </w:tr>
      <w:tr w:rsidR="00065317" w14:paraId="7A2FCA21" w14:textId="77777777" w:rsidTr="000041DB">
        <w:tc>
          <w:tcPr>
            <w:tcW w:w="800" w:type="dxa"/>
          </w:tcPr>
          <w:p w14:paraId="516E17F0" w14:textId="77777777" w:rsidR="00065317" w:rsidRDefault="005C7BF7">
            <w:pPr>
              <w:pStyle w:val="Compact"/>
            </w:pPr>
            <w:r>
              <w:t>P171</w:t>
            </w:r>
          </w:p>
        </w:tc>
        <w:tc>
          <w:tcPr>
            <w:tcW w:w="4508" w:type="dxa"/>
            <w:gridSpan w:val="6"/>
          </w:tcPr>
          <w:p w14:paraId="0799419C" w14:textId="77777777" w:rsidR="00065317" w:rsidRDefault="005C7BF7">
            <w:pPr>
              <w:pStyle w:val="Compact"/>
            </w:pPr>
            <w:r>
              <w:rPr>
                <w:rStyle w:val="VerbatimChar"/>
              </w:rPr>
              <w:t>P171_quelque_part_dans</w:t>
            </w:r>
          </w:p>
        </w:tc>
        <w:tc>
          <w:tcPr>
            <w:tcW w:w="2620" w:type="dxa"/>
          </w:tcPr>
          <w:p w14:paraId="1D76B4F9" w14:textId="77777777" w:rsidR="00065317" w:rsidRDefault="005C7BF7">
            <w:pPr>
              <w:pStyle w:val="Compact"/>
            </w:pPr>
            <w:r>
              <w:rPr>
                <w:rStyle w:val="VerbatimChar"/>
              </w:rPr>
              <w:t>E53_Lieu</w:t>
            </w:r>
          </w:p>
        </w:tc>
        <w:tc>
          <w:tcPr>
            <w:tcW w:w="2268" w:type="dxa"/>
          </w:tcPr>
          <w:p w14:paraId="6E0969E1" w14:textId="77777777" w:rsidR="00065317" w:rsidRDefault="005C7BF7">
            <w:pPr>
              <w:pStyle w:val="Compact"/>
            </w:pPr>
            <w:r>
              <w:rPr>
                <w:rStyle w:val="VerbatimChar"/>
              </w:rPr>
              <w:t>E94_Primitive_spatiale</w:t>
            </w:r>
          </w:p>
        </w:tc>
      </w:tr>
      <w:tr w:rsidR="00065317" w14:paraId="05C332CF" w14:textId="77777777" w:rsidTr="000041DB">
        <w:tc>
          <w:tcPr>
            <w:tcW w:w="800" w:type="dxa"/>
          </w:tcPr>
          <w:p w14:paraId="166A5BB0" w14:textId="77777777" w:rsidR="00065317" w:rsidRDefault="005C7BF7">
            <w:pPr>
              <w:pStyle w:val="Compact"/>
            </w:pPr>
            <w:r>
              <w:t>P172</w:t>
            </w:r>
          </w:p>
        </w:tc>
        <w:tc>
          <w:tcPr>
            <w:tcW w:w="4508" w:type="dxa"/>
            <w:gridSpan w:val="6"/>
          </w:tcPr>
          <w:p w14:paraId="094C209E" w14:textId="77777777" w:rsidR="00065317" w:rsidRDefault="005C7BF7">
            <w:pPr>
              <w:pStyle w:val="Compact"/>
            </w:pPr>
            <w:r>
              <w:rPr>
                <w:rStyle w:val="VerbatimChar"/>
              </w:rPr>
              <w:t>P172_contient</w:t>
            </w:r>
          </w:p>
        </w:tc>
        <w:tc>
          <w:tcPr>
            <w:tcW w:w="2620" w:type="dxa"/>
          </w:tcPr>
          <w:p w14:paraId="488C1149" w14:textId="77777777" w:rsidR="00065317" w:rsidRDefault="005C7BF7">
            <w:pPr>
              <w:pStyle w:val="Compact"/>
            </w:pPr>
            <w:r>
              <w:rPr>
                <w:rStyle w:val="VerbatimChar"/>
              </w:rPr>
              <w:t>E53_Lieu</w:t>
            </w:r>
          </w:p>
        </w:tc>
        <w:tc>
          <w:tcPr>
            <w:tcW w:w="2268" w:type="dxa"/>
          </w:tcPr>
          <w:p w14:paraId="407FE6BA" w14:textId="77777777" w:rsidR="00065317" w:rsidRDefault="005C7BF7">
            <w:pPr>
              <w:pStyle w:val="Compact"/>
            </w:pPr>
            <w:r>
              <w:rPr>
                <w:rStyle w:val="VerbatimChar"/>
              </w:rPr>
              <w:t>E94_Primitive_spatiale</w:t>
            </w:r>
          </w:p>
        </w:tc>
      </w:tr>
      <w:tr w:rsidR="00065317" w14:paraId="081A4DF2" w14:textId="77777777" w:rsidTr="000041DB">
        <w:tc>
          <w:tcPr>
            <w:tcW w:w="800" w:type="dxa"/>
          </w:tcPr>
          <w:p w14:paraId="2C80DC62" w14:textId="77777777" w:rsidR="00065317" w:rsidRDefault="005C7BF7">
            <w:pPr>
              <w:pStyle w:val="Compact"/>
            </w:pPr>
            <w:r>
              <w:t>P173</w:t>
            </w:r>
          </w:p>
        </w:tc>
        <w:tc>
          <w:tcPr>
            <w:tcW w:w="4508" w:type="dxa"/>
            <w:gridSpan w:val="6"/>
          </w:tcPr>
          <w:p w14:paraId="66936361" w14:textId="77777777" w:rsidR="00065317" w:rsidRDefault="005C7BF7">
            <w:pPr>
              <w:pStyle w:val="Compact"/>
            </w:pPr>
            <w:r>
              <w:rPr>
                <w:rStyle w:val="VerbatimChar"/>
              </w:rPr>
              <w:t>P173_commence_avant_ou_au_moment_de_la_fin_de (se_termine_après_ou_au_moment_du_début_de)</w:t>
            </w:r>
          </w:p>
        </w:tc>
        <w:tc>
          <w:tcPr>
            <w:tcW w:w="2620" w:type="dxa"/>
          </w:tcPr>
          <w:p w14:paraId="3F5880E4" w14:textId="77777777" w:rsidR="00065317" w:rsidRDefault="005C7BF7">
            <w:pPr>
              <w:pStyle w:val="Compact"/>
            </w:pPr>
            <w:r>
              <w:rPr>
                <w:rStyle w:val="VerbatimChar"/>
              </w:rPr>
              <w:t>E2_Entité_temporelle</w:t>
            </w:r>
          </w:p>
        </w:tc>
        <w:tc>
          <w:tcPr>
            <w:tcW w:w="2268" w:type="dxa"/>
          </w:tcPr>
          <w:p w14:paraId="41557FF2" w14:textId="77777777" w:rsidR="00065317" w:rsidRDefault="005C7BF7">
            <w:pPr>
              <w:pStyle w:val="Compact"/>
            </w:pPr>
            <w:r>
              <w:rPr>
                <w:rStyle w:val="VerbatimChar"/>
              </w:rPr>
              <w:t>E2_Entité_temporelle</w:t>
            </w:r>
          </w:p>
        </w:tc>
      </w:tr>
      <w:tr w:rsidR="00065317" w14:paraId="4B1C005F" w14:textId="77777777" w:rsidTr="000041DB">
        <w:tc>
          <w:tcPr>
            <w:tcW w:w="800" w:type="dxa"/>
          </w:tcPr>
          <w:p w14:paraId="742CE705" w14:textId="77777777" w:rsidR="00065317" w:rsidRDefault="005C7BF7">
            <w:pPr>
              <w:pStyle w:val="Compact"/>
            </w:pPr>
            <w:r>
              <w:t>P174</w:t>
            </w:r>
          </w:p>
        </w:tc>
        <w:tc>
          <w:tcPr>
            <w:tcW w:w="256" w:type="dxa"/>
          </w:tcPr>
          <w:p w14:paraId="79A7AE2A" w14:textId="77777777" w:rsidR="00065317" w:rsidRDefault="005C7BF7">
            <w:pPr>
              <w:pStyle w:val="Compact"/>
            </w:pPr>
            <w:r>
              <w:t>-</w:t>
            </w:r>
          </w:p>
        </w:tc>
        <w:tc>
          <w:tcPr>
            <w:tcW w:w="4252" w:type="dxa"/>
            <w:gridSpan w:val="5"/>
          </w:tcPr>
          <w:p w14:paraId="30D16B22" w14:textId="77777777" w:rsidR="00065317" w:rsidRDefault="005C7BF7">
            <w:pPr>
              <w:pStyle w:val="Compact"/>
            </w:pPr>
            <w:r>
              <w:rPr>
                <w:rStyle w:val="VerbatimChar"/>
              </w:rPr>
              <w:t>P174_commence_avant_la_fin_de (se_termine_après_le_début_de)</w:t>
            </w:r>
          </w:p>
        </w:tc>
        <w:tc>
          <w:tcPr>
            <w:tcW w:w="2620" w:type="dxa"/>
          </w:tcPr>
          <w:p w14:paraId="6D07C427" w14:textId="77777777" w:rsidR="00065317" w:rsidRDefault="005C7BF7">
            <w:pPr>
              <w:pStyle w:val="Compact"/>
            </w:pPr>
            <w:r>
              <w:rPr>
                <w:rStyle w:val="VerbatimChar"/>
              </w:rPr>
              <w:t>E2_Entité_temporelle</w:t>
            </w:r>
          </w:p>
        </w:tc>
        <w:tc>
          <w:tcPr>
            <w:tcW w:w="2268" w:type="dxa"/>
          </w:tcPr>
          <w:p w14:paraId="5DFCECF9" w14:textId="77777777" w:rsidR="00065317" w:rsidRDefault="005C7BF7">
            <w:pPr>
              <w:pStyle w:val="Compact"/>
            </w:pPr>
            <w:r>
              <w:rPr>
                <w:rStyle w:val="VerbatimChar"/>
              </w:rPr>
              <w:t>E2_Entité_temporelle</w:t>
            </w:r>
          </w:p>
        </w:tc>
      </w:tr>
      <w:tr w:rsidR="00065317" w14:paraId="68E100C5" w14:textId="77777777" w:rsidTr="000041DB">
        <w:tc>
          <w:tcPr>
            <w:tcW w:w="800" w:type="dxa"/>
          </w:tcPr>
          <w:p w14:paraId="0C471647" w14:textId="77777777" w:rsidR="00065317" w:rsidRDefault="005C7BF7">
            <w:pPr>
              <w:pStyle w:val="Compact"/>
            </w:pPr>
            <w:r>
              <w:lastRenderedPageBreak/>
              <w:t>P184</w:t>
            </w:r>
          </w:p>
        </w:tc>
        <w:tc>
          <w:tcPr>
            <w:tcW w:w="256" w:type="dxa"/>
          </w:tcPr>
          <w:p w14:paraId="1E2E6C80" w14:textId="77777777" w:rsidR="00065317" w:rsidRDefault="005C7BF7">
            <w:pPr>
              <w:pStyle w:val="Compact"/>
            </w:pPr>
            <w:r>
              <w:t>-</w:t>
            </w:r>
          </w:p>
        </w:tc>
        <w:tc>
          <w:tcPr>
            <w:tcW w:w="267" w:type="dxa"/>
          </w:tcPr>
          <w:p w14:paraId="760521A5" w14:textId="77777777" w:rsidR="00065317" w:rsidRDefault="005C7BF7">
            <w:pPr>
              <w:pStyle w:val="Compact"/>
            </w:pPr>
            <w:r>
              <w:t>-</w:t>
            </w:r>
          </w:p>
        </w:tc>
        <w:tc>
          <w:tcPr>
            <w:tcW w:w="3985" w:type="dxa"/>
            <w:gridSpan w:val="4"/>
          </w:tcPr>
          <w:p w14:paraId="3DE8AB28" w14:textId="77777777" w:rsidR="00065317" w:rsidRDefault="005C7BF7">
            <w:pPr>
              <w:pStyle w:val="Compact"/>
            </w:pPr>
            <w:r>
              <w:rPr>
                <w:rStyle w:val="VerbatimChar"/>
              </w:rPr>
              <w:t>P184_se_termine_avant_ou_au_moment_de_la_fin_de (se_termine_au_moment_ou_après_la_fin_de)</w:t>
            </w:r>
          </w:p>
        </w:tc>
        <w:tc>
          <w:tcPr>
            <w:tcW w:w="2620" w:type="dxa"/>
          </w:tcPr>
          <w:p w14:paraId="21FAECE2" w14:textId="77777777" w:rsidR="00065317" w:rsidRDefault="005C7BF7">
            <w:pPr>
              <w:pStyle w:val="Compact"/>
            </w:pPr>
            <w:r>
              <w:rPr>
                <w:rStyle w:val="VerbatimChar"/>
              </w:rPr>
              <w:t>E2_Entité_temporelle</w:t>
            </w:r>
          </w:p>
        </w:tc>
        <w:tc>
          <w:tcPr>
            <w:tcW w:w="2268" w:type="dxa"/>
          </w:tcPr>
          <w:p w14:paraId="325E5B4A" w14:textId="77777777" w:rsidR="00065317" w:rsidRDefault="005C7BF7">
            <w:pPr>
              <w:pStyle w:val="Compact"/>
            </w:pPr>
            <w:r>
              <w:rPr>
                <w:rStyle w:val="VerbatimChar"/>
              </w:rPr>
              <w:t>E2_Entité_temporelle</w:t>
            </w:r>
          </w:p>
        </w:tc>
      </w:tr>
      <w:tr w:rsidR="00065317" w14:paraId="5EB820D0" w14:textId="77777777" w:rsidTr="000041DB">
        <w:tc>
          <w:tcPr>
            <w:tcW w:w="800" w:type="dxa"/>
          </w:tcPr>
          <w:p w14:paraId="1AE76C12" w14:textId="77777777" w:rsidR="00065317" w:rsidRDefault="005C7BF7">
            <w:pPr>
              <w:pStyle w:val="Compact"/>
            </w:pPr>
            <w:r>
              <w:t>P185</w:t>
            </w:r>
          </w:p>
        </w:tc>
        <w:tc>
          <w:tcPr>
            <w:tcW w:w="256" w:type="dxa"/>
          </w:tcPr>
          <w:p w14:paraId="3B29B499" w14:textId="77777777" w:rsidR="00065317" w:rsidRDefault="005C7BF7">
            <w:pPr>
              <w:pStyle w:val="Compact"/>
            </w:pPr>
            <w:r>
              <w:t>-</w:t>
            </w:r>
          </w:p>
        </w:tc>
        <w:tc>
          <w:tcPr>
            <w:tcW w:w="267" w:type="dxa"/>
          </w:tcPr>
          <w:p w14:paraId="4A02250D" w14:textId="77777777" w:rsidR="00065317" w:rsidRDefault="005C7BF7">
            <w:pPr>
              <w:pStyle w:val="Compact"/>
            </w:pPr>
            <w:r>
              <w:t>-</w:t>
            </w:r>
          </w:p>
        </w:tc>
        <w:tc>
          <w:tcPr>
            <w:tcW w:w="293" w:type="dxa"/>
          </w:tcPr>
          <w:p w14:paraId="4F544AE6" w14:textId="77777777" w:rsidR="00065317" w:rsidRDefault="005C7BF7">
            <w:pPr>
              <w:pStyle w:val="Compact"/>
            </w:pPr>
            <w:r>
              <w:t>-</w:t>
            </w:r>
          </w:p>
        </w:tc>
        <w:tc>
          <w:tcPr>
            <w:tcW w:w="3692" w:type="dxa"/>
            <w:gridSpan w:val="3"/>
          </w:tcPr>
          <w:p w14:paraId="6FCA37F6" w14:textId="77777777" w:rsidR="00065317" w:rsidRDefault="005C7BF7">
            <w:pPr>
              <w:pStyle w:val="Compact"/>
            </w:pPr>
            <w:r>
              <w:rPr>
                <w:rStyle w:val="VerbatimChar"/>
              </w:rPr>
              <w:t xml:space="preserve">P185_se_termine_avant_la_fin_de (se_termine_après_la_fin_de) </w:t>
            </w:r>
          </w:p>
        </w:tc>
        <w:tc>
          <w:tcPr>
            <w:tcW w:w="2620" w:type="dxa"/>
          </w:tcPr>
          <w:p w14:paraId="3BD1D37A" w14:textId="77777777" w:rsidR="00065317" w:rsidRDefault="005C7BF7">
            <w:pPr>
              <w:pStyle w:val="Compact"/>
            </w:pPr>
            <w:r>
              <w:rPr>
                <w:rStyle w:val="VerbatimChar"/>
              </w:rPr>
              <w:t>E2_Entité_temporelle</w:t>
            </w:r>
          </w:p>
        </w:tc>
        <w:tc>
          <w:tcPr>
            <w:tcW w:w="2268" w:type="dxa"/>
          </w:tcPr>
          <w:p w14:paraId="7BAAB394" w14:textId="77777777" w:rsidR="00065317" w:rsidRDefault="005C7BF7">
            <w:pPr>
              <w:pStyle w:val="Compact"/>
            </w:pPr>
            <w:r>
              <w:rPr>
                <w:rStyle w:val="VerbatimChar"/>
              </w:rPr>
              <w:t>E2_Entité_temporelle</w:t>
            </w:r>
          </w:p>
        </w:tc>
      </w:tr>
      <w:tr w:rsidR="00065317" w14:paraId="0C41716D" w14:textId="77777777" w:rsidTr="000041DB">
        <w:tc>
          <w:tcPr>
            <w:tcW w:w="800" w:type="dxa"/>
          </w:tcPr>
          <w:p w14:paraId="58CFA2B4" w14:textId="77777777" w:rsidR="00065317" w:rsidRDefault="005C7BF7">
            <w:pPr>
              <w:pStyle w:val="Compact"/>
            </w:pPr>
            <w:r>
              <w:t>P182</w:t>
            </w:r>
          </w:p>
        </w:tc>
        <w:tc>
          <w:tcPr>
            <w:tcW w:w="256" w:type="dxa"/>
          </w:tcPr>
          <w:p w14:paraId="30A1B6BF" w14:textId="77777777" w:rsidR="00065317" w:rsidRDefault="005C7BF7">
            <w:pPr>
              <w:pStyle w:val="Compact"/>
            </w:pPr>
            <w:r>
              <w:t>-</w:t>
            </w:r>
          </w:p>
        </w:tc>
        <w:tc>
          <w:tcPr>
            <w:tcW w:w="267" w:type="dxa"/>
          </w:tcPr>
          <w:p w14:paraId="46EC91AE" w14:textId="77777777" w:rsidR="00065317" w:rsidRDefault="005C7BF7">
            <w:pPr>
              <w:pStyle w:val="Compact"/>
            </w:pPr>
            <w:r>
              <w:t>-</w:t>
            </w:r>
          </w:p>
        </w:tc>
        <w:tc>
          <w:tcPr>
            <w:tcW w:w="293" w:type="dxa"/>
          </w:tcPr>
          <w:p w14:paraId="7C9DA74F" w14:textId="77777777" w:rsidR="00065317" w:rsidRDefault="005C7BF7">
            <w:pPr>
              <w:pStyle w:val="Compact"/>
            </w:pPr>
            <w:r>
              <w:t>-</w:t>
            </w:r>
          </w:p>
        </w:tc>
        <w:tc>
          <w:tcPr>
            <w:tcW w:w="309" w:type="dxa"/>
          </w:tcPr>
          <w:p w14:paraId="47287F81" w14:textId="77777777" w:rsidR="00065317" w:rsidRDefault="005C7BF7">
            <w:pPr>
              <w:pStyle w:val="Compact"/>
            </w:pPr>
            <w:r>
              <w:t>-</w:t>
            </w:r>
          </w:p>
        </w:tc>
        <w:tc>
          <w:tcPr>
            <w:tcW w:w="3383" w:type="dxa"/>
            <w:gridSpan w:val="2"/>
          </w:tcPr>
          <w:p w14:paraId="77B050CD" w14:textId="77777777" w:rsidR="00065317" w:rsidRDefault="005C7BF7">
            <w:pPr>
              <w:pStyle w:val="Compact"/>
            </w:pPr>
            <w:r>
              <w:rPr>
                <w:rStyle w:val="VerbatimChar"/>
              </w:rPr>
              <w:t>P182_se_termine_avant_ou_au_moment_du_début_de (commence_après_ou_au_moment_de_la_fin_de)</w:t>
            </w:r>
          </w:p>
        </w:tc>
        <w:tc>
          <w:tcPr>
            <w:tcW w:w="2620" w:type="dxa"/>
          </w:tcPr>
          <w:p w14:paraId="4218B99D" w14:textId="77777777" w:rsidR="00065317" w:rsidRDefault="005C7BF7">
            <w:pPr>
              <w:pStyle w:val="Compact"/>
            </w:pPr>
            <w:r>
              <w:rPr>
                <w:rStyle w:val="VerbatimChar"/>
              </w:rPr>
              <w:t>E2_Entité_temporelle</w:t>
            </w:r>
          </w:p>
        </w:tc>
        <w:tc>
          <w:tcPr>
            <w:tcW w:w="2268" w:type="dxa"/>
          </w:tcPr>
          <w:p w14:paraId="4995A0AA" w14:textId="77777777" w:rsidR="00065317" w:rsidRDefault="005C7BF7">
            <w:pPr>
              <w:pStyle w:val="Compact"/>
            </w:pPr>
            <w:r>
              <w:rPr>
                <w:rStyle w:val="VerbatimChar"/>
              </w:rPr>
              <w:t>E2_Entité_temporelle</w:t>
            </w:r>
          </w:p>
        </w:tc>
      </w:tr>
      <w:tr w:rsidR="00065317" w14:paraId="5AB4492F" w14:textId="77777777" w:rsidTr="000041DB">
        <w:tc>
          <w:tcPr>
            <w:tcW w:w="800" w:type="dxa"/>
          </w:tcPr>
          <w:p w14:paraId="45A92A01" w14:textId="77777777" w:rsidR="00065317" w:rsidRDefault="005C7BF7">
            <w:pPr>
              <w:pStyle w:val="Compact"/>
            </w:pPr>
            <w:r>
              <w:t>P175</w:t>
            </w:r>
          </w:p>
        </w:tc>
        <w:tc>
          <w:tcPr>
            <w:tcW w:w="256" w:type="dxa"/>
          </w:tcPr>
          <w:p w14:paraId="05BD462D" w14:textId="77777777" w:rsidR="00065317" w:rsidRDefault="005C7BF7">
            <w:pPr>
              <w:pStyle w:val="Compact"/>
            </w:pPr>
            <w:r>
              <w:t>-</w:t>
            </w:r>
          </w:p>
        </w:tc>
        <w:tc>
          <w:tcPr>
            <w:tcW w:w="267" w:type="dxa"/>
          </w:tcPr>
          <w:p w14:paraId="4939EFB5" w14:textId="77777777" w:rsidR="00065317" w:rsidRDefault="005C7BF7">
            <w:pPr>
              <w:pStyle w:val="Compact"/>
            </w:pPr>
            <w:r>
              <w:t>-</w:t>
            </w:r>
          </w:p>
        </w:tc>
        <w:tc>
          <w:tcPr>
            <w:tcW w:w="3985" w:type="dxa"/>
            <w:gridSpan w:val="4"/>
          </w:tcPr>
          <w:p w14:paraId="4EADD7E8" w14:textId="77777777" w:rsidR="00065317" w:rsidRDefault="005C7BF7">
            <w:pPr>
              <w:pStyle w:val="Compact"/>
            </w:pPr>
            <w:r>
              <w:rPr>
                <w:rStyle w:val="VerbatimChar"/>
              </w:rPr>
              <w:t>P175_commence_avant_ou_au_moment_du_début_de (commence_après_ou_au_moment_du_début_de)</w:t>
            </w:r>
          </w:p>
        </w:tc>
        <w:tc>
          <w:tcPr>
            <w:tcW w:w="2620" w:type="dxa"/>
          </w:tcPr>
          <w:p w14:paraId="7E40C15C" w14:textId="77777777" w:rsidR="00065317" w:rsidRDefault="005C7BF7">
            <w:pPr>
              <w:pStyle w:val="Compact"/>
            </w:pPr>
            <w:r>
              <w:rPr>
                <w:rStyle w:val="VerbatimChar"/>
              </w:rPr>
              <w:t>E2_Entité_temporelle</w:t>
            </w:r>
          </w:p>
        </w:tc>
        <w:tc>
          <w:tcPr>
            <w:tcW w:w="2268" w:type="dxa"/>
          </w:tcPr>
          <w:p w14:paraId="1546DDB6" w14:textId="77777777" w:rsidR="00065317" w:rsidRDefault="005C7BF7">
            <w:pPr>
              <w:pStyle w:val="Compact"/>
            </w:pPr>
            <w:r>
              <w:rPr>
                <w:rStyle w:val="VerbatimChar"/>
              </w:rPr>
              <w:t>E2_Entité_temporelle</w:t>
            </w:r>
          </w:p>
        </w:tc>
      </w:tr>
      <w:tr w:rsidR="00065317" w14:paraId="0062C41A" w14:textId="77777777" w:rsidTr="000041DB">
        <w:tc>
          <w:tcPr>
            <w:tcW w:w="800" w:type="dxa"/>
          </w:tcPr>
          <w:p w14:paraId="51688782" w14:textId="77777777" w:rsidR="00065317" w:rsidRDefault="005C7BF7">
            <w:pPr>
              <w:pStyle w:val="Compact"/>
            </w:pPr>
            <w:r>
              <w:t>P176</w:t>
            </w:r>
          </w:p>
        </w:tc>
        <w:tc>
          <w:tcPr>
            <w:tcW w:w="256" w:type="dxa"/>
          </w:tcPr>
          <w:p w14:paraId="32237499" w14:textId="77777777" w:rsidR="00065317" w:rsidRDefault="005C7BF7">
            <w:pPr>
              <w:pStyle w:val="Compact"/>
            </w:pPr>
            <w:r>
              <w:t>-</w:t>
            </w:r>
          </w:p>
        </w:tc>
        <w:tc>
          <w:tcPr>
            <w:tcW w:w="267" w:type="dxa"/>
          </w:tcPr>
          <w:p w14:paraId="153CDA6A" w14:textId="77777777" w:rsidR="00065317" w:rsidRDefault="005C7BF7">
            <w:pPr>
              <w:pStyle w:val="Compact"/>
            </w:pPr>
            <w:r>
              <w:t>-</w:t>
            </w:r>
          </w:p>
        </w:tc>
        <w:tc>
          <w:tcPr>
            <w:tcW w:w="293" w:type="dxa"/>
          </w:tcPr>
          <w:p w14:paraId="5A93DD43" w14:textId="77777777" w:rsidR="00065317" w:rsidRDefault="005C7BF7">
            <w:pPr>
              <w:pStyle w:val="Compact"/>
            </w:pPr>
            <w:r>
              <w:t>-</w:t>
            </w:r>
          </w:p>
        </w:tc>
        <w:tc>
          <w:tcPr>
            <w:tcW w:w="3692" w:type="dxa"/>
            <w:gridSpan w:val="3"/>
          </w:tcPr>
          <w:p w14:paraId="759C3B7D" w14:textId="77777777" w:rsidR="00065317" w:rsidRDefault="005C7BF7">
            <w:pPr>
              <w:pStyle w:val="Compact"/>
            </w:pPr>
            <w:r>
              <w:rPr>
                <w:rStyle w:val="VerbatimChar"/>
              </w:rPr>
              <w:t>P176_commence_avant_le_début_de (commence_après_le_début_de)</w:t>
            </w:r>
          </w:p>
        </w:tc>
        <w:tc>
          <w:tcPr>
            <w:tcW w:w="2620" w:type="dxa"/>
          </w:tcPr>
          <w:p w14:paraId="05A316AF" w14:textId="77777777" w:rsidR="00065317" w:rsidRDefault="005C7BF7">
            <w:pPr>
              <w:pStyle w:val="Compact"/>
            </w:pPr>
            <w:r>
              <w:rPr>
                <w:rStyle w:val="VerbatimChar"/>
              </w:rPr>
              <w:t>E2_Entité_temporelle</w:t>
            </w:r>
          </w:p>
        </w:tc>
        <w:tc>
          <w:tcPr>
            <w:tcW w:w="2268" w:type="dxa"/>
          </w:tcPr>
          <w:p w14:paraId="5CA9FD2E" w14:textId="77777777" w:rsidR="00065317" w:rsidRDefault="005C7BF7">
            <w:pPr>
              <w:pStyle w:val="Compact"/>
            </w:pPr>
            <w:r>
              <w:rPr>
                <w:rStyle w:val="VerbatimChar"/>
              </w:rPr>
              <w:t>E2_Entité_temporelle</w:t>
            </w:r>
          </w:p>
        </w:tc>
      </w:tr>
      <w:tr w:rsidR="00065317" w14:paraId="64965B41" w14:textId="77777777" w:rsidTr="000041DB">
        <w:tc>
          <w:tcPr>
            <w:tcW w:w="800" w:type="dxa"/>
          </w:tcPr>
          <w:p w14:paraId="6809CC9F" w14:textId="77777777" w:rsidR="00065317" w:rsidRDefault="005C7BF7">
            <w:pPr>
              <w:pStyle w:val="Compact"/>
            </w:pPr>
            <w:r>
              <w:t>P134i</w:t>
            </w:r>
          </w:p>
        </w:tc>
        <w:tc>
          <w:tcPr>
            <w:tcW w:w="256" w:type="dxa"/>
          </w:tcPr>
          <w:p w14:paraId="5AFBCBEC" w14:textId="77777777" w:rsidR="00065317" w:rsidRDefault="005C7BF7">
            <w:pPr>
              <w:pStyle w:val="Compact"/>
            </w:pPr>
            <w:r>
              <w:t>-</w:t>
            </w:r>
          </w:p>
        </w:tc>
        <w:tc>
          <w:tcPr>
            <w:tcW w:w="267" w:type="dxa"/>
          </w:tcPr>
          <w:p w14:paraId="08CB14FF" w14:textId="77777777" w:rsidR="00065317" w:rsidRDefault="005C7BF7">
            <w:pPr>
              <w:pStyle w:val="Compact"/>
            </w:pPr>
            <w:r>
              <w:t>-</w:t>
            </w:r>
          </w:p>
        </w:tc>
        <w:tc>
          <w:tcPr>
            <w:tcW w:w="293" w:type="dxa"/>
          </w:tcPr>
          <w:p w14:paraId="71F14291" w14:textId="77777777" w:rsidR="00065317" w:rsidRDefault="005C7BF7">
            <w:pPr>
              <w:pStyle w:val="Compact"/>
            </w:pPr>
            <w:r>
              <w:t>-</w:t>
            </w:r>
          </w:p>
        </w:tc>
        <w:tc>
          <w:tcPr>
            <w:tcW w:w="309" w:type="dxa"/>
          </w:tcPr>
          <w:p w14:paraId="4F939CE7" w14:textId="77777777" w:rsidR="00065317" w:rsidRDefault="005C7BF7">
            <w:pPr>
              <w:pStyle w:val="Compact"/>
            </w:pPr>
            <w:r>
              <w:t>-</w:t>
            </w:r>
          </w:p>
        </w:tc>
        <w:tc>
          <w:tcPr>
            <w:tcW w:w="3383" w:type="dxa"/>
            <w:gridSpan w:val="2"/>
          </w:tcPr>
          <w:p w14:paraId="6CF716DE" w14:textId="77777777" w:rsidR="00065317" w:rsidRDefault="005C7BF7">
            <w:pPr>
              <w:pStyle w:val="Compact"/>
            </w:pPr>
            <w:r>
              <w:rPr>
                <w:rStyle w:val="VerbatimChar"/>
                <w:i/>
                <w:iCs/>
              </w:rPr>
              <w:t>P134_a_été_continué_par</w:t>
            </w:r>
          </w:p>
        </w:tc>
        <w:tc>
          <w:tcPr>
            <w:tcW w:w="2620" w:type="dxa"/>
          </w:tcPr>
          <w:p w14:paraId="5E353164" w14:textId="77777777" w:rsidR="00065317" w:rsidRDefault="005C7BF7">
            <w:pPr>
              <w:pStyle w:val="Compact"/>
            </w:pPr>
            <w:r>
              <w:rPr>
                <w:rStyle w:val="VerbatimChar"/>
                <w:i/>
                <w:iCs/>
              </w:rPr>
              <w:t>E7_Activité</w:t>
            </w:r>
          </w:p>
        </w:tc>
        <w:tc>
          <w:tcPr>
            <w:tcW w:w="2268" w:type="dxa"/>
          </w:tcPr>
          <w:p w14:paraId="39B4B527" w14:textId="77777777" w:rsidR="00065317" w:rsidRDefault="005C7BF7">
            <w:pPr>
              <w:pStyle w:val="Compact"/>
            </w:pPr>
            <w:r>
              <w:rPr>
                <w:rStyle w:val="VerbatimChar"/>
                <w:i/>
                <w:iCs/>
              </w:rPr>
              <w:t>E7_Activité</w:t>
            </w:r>
          </w:p>
        </w:tc>
      </w:tr>
      <w:tr w:rsidR="00065317" w14:paraId="5D4779F2" w14:textId="77777777" w:rsidTr="000041DB">
        <w:tc>
          <w:tcPr>
            <w:tcW w:w="800" w:type="dxa"/>
          </w:tcPr>
          <w:p w14:paraId="7737AE64" w14:textId="77777777" w:rsidR="00065317" w:rsidRDefault="005C7BF7">
            <w:pPr>
              <w:pStyle w:val="Compact"/>
            </w:pPr>
            <w:r>
              <w:t>P182</w:t>
            </w:r>
          </w:p>
        </w:tc>
        <w:tc>
          <w:tcPr>
            <w:tcW w:w="256" w:type="dxa"/>
          </w:tcPr>
          <w:p w14:paraId="2E2A341B" w14:textId="77777777" w:rsidR="00065317" w:rsidRDefault="005C7BF7">
            <w:pPr>
              <w:pStyle w:val="Compact"/>
            </w:pPr>
            <w:r>
              <w:t>-</w:t>
            </w:r>
          </w:p>
        </w:tc>
        <w:tc>
          <w:tcPr>
            <w:tcW w:w="267" w:type="dxa"/>
          </w:tcPr>
          <w:p w14:paraId="241DBA5D" w14:textId="77777777" w:rsidR="00065317" w:rsidRDefault="005C7BF7">
            <w:pPr>
              <w:pStyle w:val="Compact"/>
            </w:pPr>
            <w:r>
              <w:t>-</w:t>
            </w:r>
          </w:p>
        </w:tc>
        <w:tc>
          <w:tcPr>
            <w:tcW w:w="293" w:type="dxa"/>
          </w:tcPr>
          <w:p w14:paraId="2383515C" w14:textId="77777777" w:rsidR="00065317" w:rsidRDefault="005C7BF7">
            <w:pPr>
              <w:pStyle w:val="Compact"/>
            </w:pPr>
            <w:r>
              <w:t>-</w:t>
            </w:r>
          </w:p>
        </w:tc>
        <w:tc>
          <w:tcPr>
            <w:tcW w:w="309" w:type="dxa"/>
          </w:tcPr>
          <w:p w14:paraId="7FD50C83" w14:textId="77777777" w:rsidR="00065317" w:rsidRDefault="005C7BF7">
            <w:pPr>
              <w:pStyle w:val="Compact"/>
            </w:pPr>
            <w:r>
              <w:t>-</w:t>
            </w:r>
          </w:p>
        </w:tc>
        <w:tc>
          <w:tcPr>
            <w:tcW w:w="3383" w:type="dxa"/>
            <w:gridSpan w:val="2"/>
          </w:tcPr>
          <w:p w14:paraId="2B4DF27B" w14:textId="77777777" w:rsidR="00065317" w:rsidRDefault="005C7BF7">
            <w:pPr>
              <w:pStyle w:val="Compact"/>
            </w:pPr>
            <w:r>
              <w:rPr>
                <w:rStyle w:val="VerbatimChar"/>
                <w:i/>
                <w:iCs/>
              </w:rPr>
              <w:t>P182_se_termine_avant_ou_au_moment_du_début_de (commence_après_ou_au_moment_de_la_fin_de)</w:t>
            </w:r>
          </w:p>
        </w:tc>
        <w:tc>
          <w:tcPr>
            <w:tcW w:w="2620" w:type="dxa"/>
          </w:tcPr>
          <w:p w14:paraId="685C19F2" w14:textId="77777777" w:rsidR="00065317" w:rsidRDefault="005C7BF7">
            <w:pPr>
              <w:pStyle w:val="Compact"/>
            </w:pPr>
            <w:r>
              <w:rPr>
                <w:rStyle w:val="VerbatimChar"/>
                <w:i/>
                <w:iCs/>
              </w:rPr>
              <w:t>E2_Entité_temporelle</w:t>
            </w:r>
          </w:p>
        </w:tc>
        <w:tc>
          <w:tcPr>
            <w:tcW w:w="2268" w:type="dxa"/>
          </w:tcPr>
          <w:p w14:paraId="305C3AC6" w14:textId="77777777" w:rsidR="00065317" w:rsidRDefault="005C7BF7">
            <w:pPr>
              <w:pStyle w:val="Compact"/>
            </w:pPr>
            <w:r>
              <w:rPr>
                <w:rStyle w:val="VerbatimChar"/>
                <w:i/>
                <w:iCs/>
              </w:rPr>
              <w:t>E2_Entité_temporelle</w:t>
            </w:r>
          </w:p>
        </w:tc>
      </w:tr>
      <w:tr w:rsidR="00065317" w14:paraId="6EC0FCF9" w14:textId="77777777" w:rsidTr="000041DB">
        <w:tc>
          <w:tcPr>
            <w:tcW w:w="800" w:type="dxa"/>
          </w:tcPr>
          <w:p w14:paraId="1A1E25B6" w14:textId="77777777" w:rsidR="00065317" w:rsidRDefault="005C7BF7">
            <w:pPr>
              <w:pStyle w:val="Compact"/>
            </w:pPr>
            <w:r>
              <w:t>P183</w:t>
            </w:r>
          </w:p>
        </w:tc>
        <w:tc>
          <w:tcPr>
            <w:tcW w:w="256" w:type="dxa"/>
          </w:tcPr>
          <w:p w14:paraId="11998712" w14:textId="77777777" w:rsidR="00065317" w:rsidRDefault="005C7BF7">
            <w:pPr>
              <w:pStyle w:val="Compact"/>
            </w:pPr>
            <w:r>
              <w:t>-</w:t>
            </w:r>
          </w:p>
        </w:tc>
        <w:tc>
          <w:tcPr>
            <w:tcW w:w="267" w:type="dxa"/>
          </w:tcPr>
          <w:p w14:paraId="49DF69BF" w14:textId="77777777" w:rsidR="00065317" w:rsidRDefault="005C7BF7">
            <w:pPr>
              <w:pStyle w:val="Compact"/>
            </w:pPr>
            <w:r>
              <w:t>-</w:t>
            </w:r>
          </w:p>
        </w:tc>
        <w:tc>
          <w:tcPr>
            <w:tcW w:w="293" w:type="dxa"/>
          </w:tcPr>
          <w:p w14:paraId="1AE8A4AC" w14:textId="77777777" w:rsidR="00065317" w:rsidRDefault="005C7BF7">
            <w:pPr>
              <w:pStyle w:val="Compact"/>
            </w:pPr>
            <w:r>
              <w:t>-</w:t>
            </w:r>
          </w:p>
        </w:tc>
        <w:tc>
          <w:tcPr>
            <w:tcW w:w="309" w:type="dxa"/>
          </w:tcPr>
          <w:p w14:paraId="6A021D9E" w14:textId="77777777" w:rsidR="00065317" w:rsidRDefault="005C7BF7">
            <w:pPr>
              <w:pStyle w:val="Compact"/>
            </w:pPr>
            <w:r>
              <w:t>-</w:t>
            </w:r>
          </w:p>
        </w:tc>
        <w:tc>
          <w:tcPr>
            <w:tcW w:w="309" w:type="dxa"/>
          </w:tcPr>
          <w:p w14:paraId="6E372D02" w14:textId="77777777" w:rsidR="00065317" w:rsidRDefault="005C7BF7">
            <w:pPr>
              <w:pStyle w:val="Compact"/>
            </w:pPr>
            <w:r>
              <w:t>-</w:t>
            </w:r>
          </w:p>
        </w:tc>
        <w:tc>
          <w:tcPr>
            <w:tcW w:w="3074" w:type="dxa"/>
          </w:tcPr>
          <w:p w14:paraId="55C6942B" w14:textId="77777777" w:rsidR="00065317" w:rsidRDefault="005C7BF7">
            <w:pPr>
              <w:pStyle w:val="Compact"/>
            </w:pPr>
            <w:r>
              <w:rPr>
                <w:rStyle w:val="VerbatimChar"/>
                <w:i/>
                <w:iCs/>
              </w:rPr>
              <w:t>P183_se_termine_avant_le_début_de (commence_après_la_fin_de)</w:t>
            </w:r>
          </w:p>
        </w:tc>
        <w:tc>
          <w:tcPr>
            <w:tcW w:w="2620" w:type="dxa"/>
          </w:tcPr>
          <w:p w14:paraId="3E2F2BEF" w14:textId="77777777" w:rsidR="00065317" w:rsidRDefault="005C7BF7">
            <w:pPr>
              <w:pStyle w:val="Compact"/>
            </w:pPr>
            <w:r>
              <w:rPr>
                <w:rStyle w:val="VerbatimChar"/>
                <w:i/>
                <w:iCs/>
              </w:rPr>
              <w:t>E2_Entité_temporelle</w:t>
            </w:r>
          </w:p>
        </w:tc>
        <w:tc>
          <w:tcPr>
            <w:tcW w:w="2268" w:type="dxa"/>
          </w:tcPr>
          <w:p w14:paraId="32B54265" w14:textId="77777777" w:rsidR="00065317" w:rsidRDefault="005C7BF7">
            <w:pPr>
              <w:pStyle w:val="Compact"/>
            </w:pPr>
            <w:r>
              <w:rPr>
                <w:rStyle w:val="VerbatimChar"/>
                <w:i/>
                <w:iCs/>
              </w:rPr>
              <w:t>E2_Entité_temporelle</w:t>
            </w:r>
          </w:p>
        </w:tc>
      </w:tr>
      <w:tr w:rsidR="00065317" w14:paraId="741CF4E7" w14:textId="77777777" w:rsidTr="000041DB">
        <w:tc>
          <w:tcPr>
            <w:tcW w:w="800" w:type="dxa"/>
          </w:tcPr>
          <w:p w14:paraId="7CB5C5F4" w14:textId="77777777" w:rsidR="00065317" w:rsidRDefault="005C7BF7">
            <w:pPr>
              <w:pStyle w:val="Compact"/>
            </w:pPr>
            <w:r>
              <w:t>P179</w:t>
            </w:r>
          </w:p>
        </w:tc>
        <w:tc>
          <w:tcPr>
            <w:tcW w:w="4508" w:type="dxa"/>
            <w:gridSpan w:val="6"/>
          </w:tcPr>
          <w:p w14:paraId="64781840" w14:textId="77777777" w:rsidR="00065317" w:rsidRDefault="005C7BF7">
            <w:pPr>
              <w:pStyle w:val="Compact"/>
            </w:pPr>
            <w:r>
              <w:rPr>
                <w:rStyle w:val="VerbatimChar"/>
              </w:rPr>
              <w:t>P179_a_eu_pour_prix_de_vente (a_été_le_prix_de_vente_de)</w:t>
            </w:r>
          </w:p>
        </w:tc>
        <w:tc>
          <w:tcPr>
            <w:tcW w:w="2620" w:type="dxa"/>
          </w:tcPr>
          <w:p w14:paraId="6E473DC4" w14:textId="77777777" w:rsidR="00065317" w:rsidRDefault="005C7BF7">
            <w:pPr>
              <w:pStyle w:val="Compact"/>
            </w:pPr>
            <w:r>
              <w:rPr>
                <w:rStyle w:val="VerbatimChar"/>
              </w:rPr>
              <w:t>E96_Achat</w:t>
            </w:r>
          </w:p>
        </w:tc>
        <w:tc>
          <w:tcPr>
            <w:tcW w:w="2268" w:type="dxa"/>
          </w:tcPr>
          <w:p w14:paraId="3E198555" w14:textId="77777777" w:rsidR="00065317" w:rsidRDefault="005C7BF7">
            <w:pPr>
              <w:pStyle w:val="Compact"/>
            </w:pPr>
            <w:r>
              <w:rPr>
                <w:rStyle w:val="VerbatimChar"/>
              </w:rPr>
              <w:t>E97_Valeur_monétaire</w:t>
            </w:r>
          </w:p>
        </w:tc>
      </w:tr>
      <w:tr w:rsidR="00065317" w14:paraId="1A403A4A" w14:textId="77777777" w:rsidTr="000041DB">
        <w:tc>
          <w:tcPr>
            <w:tcW w:w="800" w:type="dxa"/>
          </w:tcPr>
          <w:p w14:paraId="15EC38C2" w14:textId="77777777" w:rsidR="00065317" w:rsidRDefault="005C7BF7">
            <w:pPr>
              <w:pStyle w:val="Compact"/>
            </w:pPr>
            <w:r>
              <w:t>P186</w:t>
            </w:r>
          </w:p>
        </w:tc>
        <w:tc>
          <w:tcPr>
            <w:tcW w:w="4508" w:type="dxa"/>
            <w:gridSpan w:val="6"/>
          </w:tcPr>
          <w:p w14:paraId="224A2140" w14:textId="77777777" w:rsidR="00065317" w:rsidRDefault="005C7BF7">
            <w:pPr>
              <w:pStyle w:val="Compact"/>
            </w:pPr>
            <w:r>
              <w:rPr>
                <w:rStyle w:val="VerbatimChar"/>
              </w:rPr>
              <w:t>P186_a_produit_la_chose_du_type (est_produit_par)</w:t>
            </w:r>
          </w:p>
        </w:tc>
        <w:tc>
          <w:tcPr>
            <w:tcW w:w="2620" w:type="dxa"/>
          </w:tcPr>
          <w:p w14:paraId="10EA65A0" w14:textId="77777777" w:rsidR="00065317" w:rsidRDefault="005C7BF7">
            <w:pPr>
              <w:pStyle w:val="Compact"/>
            </w:pPr>
            <w:r>
              <w:rPr>
                <w:rStyle w:val="VerbatimChar"/>
              </w:rPr>
              <w:t>E12_Production</w:t>
            </w:r>
          </w:p>
        </w:tc>
        <w:tc>
          <w:tcPr>
            <w:tcW w:w="2268" w:type="dxa"/>
          </w:tcPr>
          <w:p w14:paraId="0B4968A5" w14:textId="77777777" w:rsidR="00065317" w:rsidRDefault="005C7BF7">
            <w:pPr>
              <w:pStyle w:val="Compact"/>
            </w:pPr>
            <w:r>
              <w:rPr>
                <w:rStyle w:val="VerbatimChar"/>
              </w:rPr>
              <w:t>E99_Modèle_de_produit</w:t>
            </w:r>
          </w:p>
        </w:tc>
      </w:tr>
      <w:tr w:rsidR="00065317" w14:paraId="2DB8F9FC" w14:textId="77777777" w:rsidTr="000041DB">
        <w:tc>
          <w:tcPr>
            <w:tcW w:w="800" w:type="dxa"/>
          </w:tcPr>
          <w:p w14:paraId="2D08F323" w14:textId="77777777" w:rsidR="00065317" w:rsidRDefault="005C7BF7">
            <w:pPr>
              <w:pStyle w:val="Compact"/>
            </w:pPr>
            <w:r>
              <w:t>P187</w:t>
            </w:r>
          </w:p>
        </w:tc>
        <w:tc>
          <w:tcPr>
            <w:tcW w:w="4508" w:type="dxa"/>
            <w:gridSpan w:val="6"/>
          </w:tcPr>
          <w:p w14:paraId="4B645FC7" w14:textId="77777777" w:rsidR="00065317" w:rsidRDefault="005C7BF7">
            <w:pPr>
              <w:pStyle w:val="Compact"/>
            </w:pPr>
            <w:r>
              <w:rPr>
                <w:rStyle w:val="VerbatimChar"/>
              </w:rPr>
              <w:t>P187_a_pour_plan_de_production (est_le_plan_de_production_de)</w:t>
            </w:r>
          </w:p>
        </w:tc>
        <w:tc>
          <w:tcPr>
            <w:tcW w:w="2620" w:type="dxa"/>
          </w:tcPr>
          <w:p w14:paraId="64BB3BDE" w14:textId="77777777" w:rsidR="00065317" w:rsidRDefault="005C7BF7">
            <w:pPr>
              <w:pStyle w:val="Compact"/>
            </w:pPr>
            <w:r>
              <w:rPr>
                <w:rStyle w:val="VerbatimChar"/>
              </w:rPr>
              <w:t>E99_Modèle_de_produit</w:t>
            </w:r>
          </w:p>
        </w:tc>
        <w:tc>
          <w:tcPr>
            <w:tcW w:w="2268" w:type="dxa"/>
          </w:tcPr>
          <w:p w14:paraId="7DF4A709" w14:textId="77777777" w:rsidR="00065317" w:rsidRDefault="005C7BF7">
            <w:pPr>
              <w:pStyle w:val="Compact"/>
            </w:pPr>
            <w:r>
              <w:rPr>
                <w:rStyle w:val="VerbatimChar"/>
              </w:rPr>
              <w:t>E29_Conceptualisation_ou_procédure</w:t>
            </w:r>
          </w:p>
        </w:tc>
      </w:tr>
      <w:tr w:rsidR="00065317" w14:paraId="42E0357E" w14:textId="77777777" w:rsidTr="000041DB">
        <w:tc>
          <w:tcPr>
            <w:tcW w:w="800" w:type="dxa"/>
          </w:tcPr>
          <w:p w14:paraId="2C5AF9D0" w14:textId="77777777" w:rsidR="00065317" w:rsidRDefault="005C7BF7">
            <w:pPr>
              <w:pStyle w:val="Compact"/>
            </w:pPr>
            <w:r>
              <w:t>P188</w:t>
            </w:r>
          </w:p>
        </w:tc>
        <w:tc>
          <w:tcPr>
            <w:tcW w:w="4508" w:type="dxa"/>
            <w:gridSpan w:val="6"/>
          </w:tcPr>
          <w:p w14:paraId="392E5C0E" w14:textId="2FB79923" w:rsidR="00065317" w:rsidRDefault="005C7BF7">
            <w:pPr>
              <w:pStyle w:val="Compact"/>
            </w:pPr>
            <w:r>
              <w:rPr>
                <w:rStyle w:val="VerbatimChar"/>
              </w:rPr>
              <w:t>P188_nécessite_l</w:t>
            </w:r>
            <w:r w:rsidR="00E84B0E">
              <w:rPr>
                <w:rStyle w:val="VerbatimChar"/>
              </w:rPr>
              <w:t>’</w:t>
            </w:r>
            <w:r>
              <w:rPr>
                <w:rStyle w:val="VerbatimChar"/>
              </w:rPr>
              <w:t>outil (est_l</w:t>
            </w:r>
            <w:r w:rsidR="00E84B0E">
              <w:rPr>
                <w:rStyle w:val="VerbatimChar"/>
              </w:rPr>
              <w:t>’</w:t>
            </w:r>
            <w:r>
              <w:rPr>
                <w:rStyle w:val="VerbatimChar"/>
              </w:rPr>
              <w:t xml:space="preserve">outil_de_production_de) </w:t>
            </w:r>
          </w:p>
        </w:tc>
        <w:tc>
          <w:tcPr>
            <w:tcW w:w="2620" w:type="dxa"/>
          </w:tcPr>
          <w:p w14:paraId="428E6778" w14:textId="77777777" w:rsidR="00065317" w:rsidRDefault="005C7BF7">
            <w:pPr>
              <w:pStyle w:val="Compact"/>
            </w:pPr>
            <w:r>
              <w:rPr>
                <w:rStyle w:val="VerbatimChar"/>
              </w:rPr>
              <w:t>E99_Modèle_de_produit</w:t>
            </w:r>
          </w:p>
        </w:tc>
        <w:tc>
          <w:tcPr>
            <w:tcW w:w="2268" w:type="dxa"/>
          </w:tcPr>
          <w:p w14:paraId="6C242D06" w14:textId="77777777" w:rsidR="00065317" w:rsidRDefault="005C7BF7">
            <w:pPr>
              <w:pStyle w:val="Compact"/>
            </w:pPr>
            <w:r>
              <w:rPr>
                <w:rStyle w:val="VerbatimChar"/>
              </w:rPr>
              <w:t>E19_Objet_matériel</w:t>
            </w:r>
          </w:p>
        </w:tc>
      </w:tr>
      <w:tr w:rsidR="00065317" w14:paraId="1E04F274" w14:textId="77777777" w:rsidTr="000041DB">
        <w:tc>
          <w:tcPr>
            <w:tcW w:w="800" w:type="dxa"/>
          </w:tcPr>
          <w:p w14:paraId="2E70F56C" w14:textId="77777777" w:rsidR="00065317" w:rsidRDefault="005C7BF7">
            <w:pPr>
              <w:pStyle w:val="Compact"/>
            </w:pPr>
            <w:r>
              <w:t>P189</w:t>
            </w:r>
          </w:p>
        </w:tc>
        <w:tc>
          <w:tcPr>
            <w:tcW w:w="4508" w:type="dxa"/>
            <w:gridSpan w:val="6"/>
          </w:tcPr>
          <w:p w14:paraId="3E83F11F" w14:textId="77777777" w:rsidR="00065317" w:rsidRDefault="005C7BF7">
            <w:pPr>
              <w:pStyle w:val="Compact"/>
            </w:pPr>
            <w:r>
              <w:rPr>
                <w:rStyle w:val="VerbatimChar"/>
              </w:rPr>
              <w:t>P189_approxime (est_approximé_par)</w:t>
            </w:r>
          </w:p>
        </w:tc>
        <w:tc>
          <w:tcPr>
            <w:tcW w:w="2620" w:type="dxa"/>
          </w:tcPr>
          <w:p w14:paraId="66C617A3" w14:textId="77777777" w:rsidR="00065317" w:rsidRDefault="005C7BF7">
            <w:pPr>
              <w:pStyle w:val="Compact"/>
            </w:pPr>
            <w:r>
              <w:rPr>
                <w:rStyle w:val="VerbatimChar"/>
              </w:rPr>
              <w:t>E53_Lieu</w:t>
            </w:r>
          </w:p>
        </w:tc>
        <w:tc>
          <w:tcPr>
            <w:tcW w:w="2268" w:type="dxa"/>
          </w:tcPr>
          <w:p w14:paraId="5885BF33" w14:textId="77777777" w:rsidR="00065317" w:rsidRDefault="005C7BF7">
            <w:pPr>
              <w:pStyle w:val="Compact"/>
            </w:pPr>
            <w:r>
              <w:rPr>
                <w:rStyle w:val="VerbatimChar"/>
              </w:rPr>
              <w:t>E53_Lieu</w:t>
            </w:r>
          </w:p>
        </w:tc>
      </w:tr>
      <w:tr w:rsidR="00065317" w14:paraId="445937B2" w14:textId="77777777" w:rsidTr="000041DB">
        <w:tc>
          <w:tcPr>
            <w:tcW w:w="800" w:type="dxa"/>
          </w:tcPr>
          <w:p w14:paraId="3ED60756" w14:textId="77777777" w:rsidR="00065317" w:rsidRDefault="005C7BF7">
            <w:pPr>
              <w:pStyle w:val="Compact"/>
            </w:pPr>
            <w:r>
              <w:lastRenderedPageBreak/>
              <w:t>P191</w:t>
            </w:r>
          </w:p>
        </w:tc>
        <w:tc>
          <w:tcPr>
            <w:tcW w:w="4508" w:type="dxa"/>
            <w:gridSpan w:val="6"/>
          </w:tcPr>
          <w:p w14:paraId="33E434C0" w14:textId="77777777" w:rsidR="00065317" w:rsidRDefault="005C7BF7">
            <w:pPr>
              <w:pStyle w:val="Compact"/>
            </w:pPr>
            <w:r>
              <w:rPr>
                <w:rStyle w:val="VerbatimChar"/>
              </w:rPr>
              <w:t>P191_a_eu_pour_durée (était_la_durée_de)</w:t>
            </w:r>
          </w:p>
        </w:tc>
        <w:tc>
          <w:tcPr>
            <w:tcW w:w="2620" w:type="dxa"/>
          </w:tcPr>
          <w:p w14:paraId="54C880AA" w14:textId="77777777" w:rsidR="00065317" w:rsidRDefault="005C7BF7">
            <w:pPr>
              <w:pStyle w:val="Compact"/>
            </w:pPr>
            <w:r>
              <w:rPr>
                <w:rStyle w:val="VerbatimChar"/>
              </w:rPr>
              <w:t xml:space="preserve">E52_Intervalle_temporel </w:t>
            </w:r>
          </w:p>
        </w:tc>
        <w:tc>
          <w:tcPr>
            <w:tcW w:w="2268" w:type="dxa"/>
          </w:tcPr>
          <w:p w14:paraId="2AFCEE93" w14:textId="77777777" w:rsidR="00065317" w:rsidRDefault="005C7BF7">
            <w:pPr>
              <w:pStyle w:val="Compact"/>
            </w:pPr>
            <w:r>
              <w:rPr>
                <w:rStyle w:val="VerbatimChar"/>
              </w:rPr>
              <w:t>E54_Dimension</w:t>
            </w:r>
          </w:p>
        </w:tc>
      </w:tr>
      <w:tr w:rsidR="00065317" w14:paraId="3A1B39CB" w14:textId="77777777" w:rsidTr="000041DB">
        <w:tc>
          <w:tcPr>
            <w:tcW w:w="800" w:type="dxa"/>
          </w:tcPr>
          <w:p w14:paraId="2DBA8DA5" w14:textId="77777777" w:rsidR="00065317" w:rsidRDefault="005C7BF7">
            <w:pPr>
              <w:pStyle w:val="Compact"/>
            </w:pPr>
            <w:r>
              <w:t>P195</w:t>
            </w:r>
          </w:p>
        </w:tc>
        <w:tc>
          <w:tcPr>
            <w:tcW w:w="4508" w:type="dxa"/>
            <w:gridSpan w:val="6"/>
          </w:tcPr>
          <w:p w14:paraId="68D8AE95" w14:textId="77777777" w:rsidR="00065317" w:rsidRDefault="005C7BF7">
            <w:pPr>
              <w:pStyle w:val="Compact"/>
            </w:pPr>
            <w:r>
              <w:rPr>
                <w:rStyle w:val="VerbatimChar"/>
              </w:rPr>
              <w:t xml:space="preserve">P195_a_été_une_présence_de (a_eu_pour_présence) </w:t>
            </w:r>
          </w:p>
        </w:tc>
        <w:tc>
          <w:tcPr>
            <w:tcW w:w="2620" w:type="dxa"/>
          </w:tcPr>
          <w:p w14:paraId="5BAE7A72" w14:textId="77777777" w:rsidR="00065317" w:rsidRDefault="005C7BF7">
            <w:pPr>
              <w:pStyle w:val="Compact"/>
            </w:pPr>
            <w:r>
              <w:rPr>
                <w:rStyle w:val="VerbatimChar"/>
              </w:rPr>
              <w:t>E93_Présence</w:t>
            </w:r>
          </w:p>
        </w:tc>
        <w:tc>
          <w:tcPr>
            <w:tcW w:w="2268" w:type="dxa"/>
          </w:tcPr>
          <w:p w14:paraId="4F9C4BF8" w14:textId="77777777" w:rsidR="00065317" w:rsidRDefault="005C7BF7">
            <w:pPr>
              <w:pStyle w:val="Compact"/>
            </w:pPr>
            <w:r>
              <w:rPr>
                <w:rStyle w:val="VerbatimChar"/>
              </w:rPr>
              <w:t>E18_Chose_matérielle</w:t>
            </w:r>
          </w:p>
        </w:tc>
      </w:tr>
      <w:tr w:rsidR="00065317" w14:paraId="5A768DAE" w14:textId="77777777" w:rsidTr="000041DB">
        <w:tc>
          <w:tcPr>
            <w:tcW w:w="800" w:type="dxa"/>
          </w:tcPr>
          <w:p w14:paraId="4184EC46" w14:textId="77777777" w:rsidR="00065317" w:rsidRDefault="005C7BF7">
            <w:pPr>
              <w:pStyle w:val="Compact"/>
            </w:pPr>
            <w:r>
              <w:t>P196</w:t>
            </w:r>
          </w:p>
        </w:tc>
        <w:tc>
          <w:tcPr>
            <w:tcW w:w="4508" w:type="dxa"/>
            <w:gridSpan w:val="6"/>
          </w:tcPr>
          <w:p w14:paraId="236916DE" w14:textId="77777777" w:rsidR="00065317" w:rsidRDefault="005C7BF7">
            <w:pPr>
              <w:pStyle w:val="Compact"/>
            </w:pPr>
            <w:r>
              <w:rPr>
                <w:rStyle w:val="VerbatimChar"/>
              </w:rPr>
              <w:t>P196_définit (est_défini_par)</w:t>
            </w:r>
          </w:p>
        </w:tc>
        <w:tc>
          <w:tcPr>
            <w:tcW w:w="2620" w:type="dxa"/>
          </w:tcPr>
          <w:p w14:paraId="119F0989" w14:textId="77777777" w:rsidR="00065317" w:rsidRDefault="005C7BF7">
            <w:pPr>
              <w:pStyle w:val="Compact"/>
            </w:pPr>
            <w:r>
              <w:rPr>
                <w:rStyle w:val="VerbatimChar"/>
              </w:rPr>
              <w:t>E18_Chose_matérielle</w:t>
            </w:r>
          </w:p>
        </w:tc>
        <w:tc>
          <w:tcPr>
            <w:tcW w:w="2268" w:type="dxa"/>
          </w:tcPr>
          <w:p w14:paraId="1D3D79CE" w14:textId="77777777" w:rsidR="00065317" w:rsidRDefault="005C7BF7">
            <w:pPr>
              <w:pStyle w:val="Compact"/>
            </w:pPr>
            <w:r>
              <w:rPr>
                <w:rStyle w:val="VerbatimChar"/>
              </w:rPr>
              <w:t>E92_Volume_spatio-temporel</w:t>
            </w:r>
          </w:p>
        </w:tc>
      </w:tr>
      <w:tr w:rsidR="00065317" w14:paraId="7ACA3C9D" w14:textId="77777777" w:rsidTr="000041DB">
        <w:tc>
          <w:tcPr>
            <w:tcW w:w="800" w:type="dxa"/>
          </w:tcPr>
          <w:p w14:paraId="11262EBF" w14:textId="77777777" w:rsidR="00065317" w:rsidRDefault="005C7BF7">
            <w:pPr>
              <w:pStyle w:val="Compact"/>
            </w:pPr>
            <w:r>
              <w:t>P197</w:t>
            </w:r>
          </w:p>
        </w:tc>
        <w:tc>
          <w:tcPr>
            <w:tcW w:w="4508" w:type="dxa"/>
            <w:gridSpan w:val="6"/>
          </w:tcPr>
          <w:p w14:paraId="00DC0366" w14:textId="77777777" w:rsidR="00065317" w:rsidRDefault="005C7BF7">
            <w:pPr>
              <w:pStyle w:val="Compact"/>
            </w:pPr>
            <w:r>
              <w:rPr>
                <w:rStyle w:val="VerbatimChar"/>
              </w:rPr>
              <w:t>197_a_couvert_des_parties_de (a_été_partiellement_couvert_par)</w:t>
            </w:r>
          </w:p>
        </w:tc>
        <w:tc>
          <w:tcPr>
            <w:tcW w:w="2620" w:type="dxa"/>
          </w:tcPr>
          <w:p w14:paraId="137B0167" w14:textId="77777777" w:rsidR="00065317" w:rsidRDefault="005C7BF7">
            <w:pPr>
              <w:pStyle w:val="Compact"/>
            </w:pPr>
            <w:r>
              <w:rPr>
                <w:rStyle w:val="VerbatimChar"/>
              </w:rPr>
              <w:t>E93_Présence</w:t>
            </w:r>
          </w:p>
        </w:tc>
        <w:tc>
          <w:tcPr>
            <w:tcW w:w="2268" w:type="dxa"/>
          </w:tcPr>
          <w:p w14:paraId="70F17960" w14:textId="77777777" w:rsidR="00065317" w:rsidRDefault="005C7BF7">
            <w:pPr>
              <w:pStyle w:val="Compact"/>
            </w:pPr>
            <w:r>
              <w:rPr>
                <w:rStyle w:val="VerbatimChar"/>
              </w:rPr>
              <w:t>E53_Lieu</w:t>
            </w:r>
          </w:p>
        </w:tc>
      </w:tr>
      <w:tr w:rsidR="00065317" w14:paraId="7BCCF990" w14:textId="77777777" w:rsidTr="000041DB">
        <w:tc>
          <w:tcPr>
            <w:tcW w:w="800" w:type="dxa"/>
          </w:tcPr>
          <w:p w14:paraId="3B844873" w14:textId="77777777" w:rsidR="00065317" w:rsidRDefault="005C7BF7">
            <w:pPr>
              <w:pStyle w:val="Compact"/>
            </w:pPr>
            <w:r>
              <w:t>P198</w:t>
            </w:r>
          </w:p>
        </w:tc>
        <w:tc>
          <w:tcPr>
            <w:tcW w:w="4508" w:type="dxa"/>
            <w:gridSpan w:val="6"/>
          </w:tcPr>
          <w:p w14:paraId="5CDC2F87" w14:textId="77777777" w:rsidR="00065317" w:rsidRDefault="005C7BF7">
            <w:pPr>
              <w:pStyle w:val="Compact"/>
            </w:pPr>
            <w:r>
              <w:rPr>
                <w:rStyle w:val="VerbatimChar"/>
              </w:rPr>
              <w:t>P198_contient_ou_soutient (est_contenu_ou_soutenu_par)</w:t>
            </w:r>
          </w:p>
        </w:tc>
        <w:tc>
          <w:tcPr>
            <w:tcW w:w="2620" w:type="dxa"/>
          </w:tcPr>
          <w:p w14:paraId="06184063" w14:textId="77777777" w:rsidR="00065317" w:rsidRDefault="005C7BF7">
            <w:pPr>
              <w:pStyle w:val="Compact"/>
            </w:pPr>
            <w:r>
              <w:rPr>
                <w:rStyle w:val="VerbatimChar"/>
              </w:rPr>
              <w:t>E18_Chose_matérielle</w:t>
            </w:r>
          </w:p>
        </w:tc>
        <w:tc>
          <w:tcPr>
            <w:tcW w:w="2268" w:type="dxa"/>
          </w:tcPr>
          <w:p w14:paraId="6B6AD07B" w14:textId="77777777" w:rsidR="00065317" w:rsidRDefault="005C7BF7">
            <w:pPr>
              <w:pStyle w:val="Compact"/>
            </w:pPr>
            <w:r>
              <w:rPr>
                <w:rStyle w:val="VerbatimChar"/>
              </w:rPr>
              <w:t>E18_Chose_matérielle</w:t>
            </w:r>
          </w:p>
        </w:tc>
      </w:tr>
    </w:tbl>
    <w:p w14:paraId="5FB5E4CC" w14:textId="77777777" w:rsidR="00241DFB" w:rsidRDefault="00241DFB">
      <w:pPr>
        <w:spacing w:after="0"/>
        <w:rPr>
          <w:rFonts w:eastAsiaTheme="majorEastAsia" w:cstheme="majorBidi"/>
          <w:b/>
          <w:bCs/>
          <w:color w:val="000000"/>
          <w:sz w:val="28"/>
          <w:szCs w:val="28"/>
        </w:rPr>
      </w:pPr>
      <w:bookmarkStart w:id="102" w:name="X29d20853d50256de9fab1cbe7ae8c1250e07914"/>
      <w:r>
        <w:br w:type="page"/>
      </w:r>
    </w:p>
    <w:p w14:paraId="018F0553" w14:textId="254EB4F3" w:rsidR="00065317" w:rsidRDefault="005C7BF7" w:rsidP="005C4361">
      <w:pPr>
        <w:pStyle w:val="Titre4"/>
      </w:pPr>
      <w:bookmarkStart w:id="103" w:name="_Toc154048736"/>
      <w:r>
        <w:lastRenderedPageBreak/>
        <w:t xml:space="preserve">Propriétés de propriétés du </w:t>
      </w:r>
      <w:r w:rsidR="00C8288F">
        <w:t>CIDOC CRM</w:t>
      </w:r>
      <w:r>
        <w:t xml:space="preserve"> (propriétés .1)</w:t>
      </w:r>
      <w:bookmarkEnd w:id="103"/>
    </w:p>
    <w:tbl>
      <w:tblPr>
        <w:tblStyle w:val="Table"/>
        <w:tblW w:w="0" w:type="auto"/>
        <w:tblInd w:w="0" w:type="dxa"/>
        <w:tblLayout w:type="fixed"/>
        <w:tblLook w:val="0000" w:firstRow="0" w:lastRow="0" w:firstColumn="0" w:lastColumn="0" w:noHBand="0" w:noVBand="0"/>
      </w:tblPr>
      <w:tblGrid>
        <w:gridCol w:w="855"/>
        <w:gridCol w:w="308"/>
        <w:gridCol w:w="3590"/>
        <w:gridCol w:w="3175"/>
        <w:gridCol w:w="2852"/>
      </w:tblGrid>
      <w:tr w:rsidR="00065317" w14:paraId="6DD43216" w14:textId="77777777" w:rsidTr="000041DB">
        <w:trPr>
          <w:cantSplit/>
          <w:trHeight w:val="2317"/>
        </w:trPr>
        <w:tc>
          <w:tcPr>
            <w:tcW w:w="855" w:type="dxa"/>
            <w:textDirection w:val="btLr"/>
          </w:tcPr>
          <w:p w14:paraId="66CBE5F1" w14:textId="77777777" w:rsidR="00065317" w:rsidRDefault="005C7BF7" w:rsidP="000041DB">
            <w:pPr>
              <w:pStyle w:val="Compact"/>
              <w:ind w:left="113" w:right="113"/>
            </w:pPr>
            <w:r>
              <w:rPr>
                <w:b/>
                <w:bCs/>
              </w:rPr>
              <w:t>Identifiant unique de propriété</w:t>
            </w:r>
          </w:p>
        </w:tc>
        <w:tc>
          <w:tcPr>
            <w:tcW w:w="3898" w:type="dxa"/>
            <w:gridSpan w:val="2"/>
            <w:textDirection w:val="btLr"/>
          </w:tcPr>
          <w:p w14:paraId="37412F83" w14:textId="77777777" w:rsidR="00065317" w:rsidRDefault="005C7BF7" w:rsidP="000041DB">
            <w:pPr>
              <w:pStyle w:val="Compact"/>
              <w:ind w:left="113" w:right="113"/>
            </w:pPr>
            <w:r>
              <w:rPr>
                <w:b/>
                <w:bCs/>
              </w:rPr>
              <w:t>Nom de la propriété</w:t>
            </w:r>
          </w:p>
        </w:tc>
        <w:tc>
          <w:tcPr>
            <w:tcW w:w="3175" w:type="dxa"/>
            <w:textDirection w:val="btLr"/>
          </w:tcPr>
          <w:p w14:paraId="5AC8752D" w14:textId="77777777" w:rsidR="00065317" w:rsidRDefault="005C7BF7" w:rsidP="000041DB">
            <w:pPr>
              <w:pStyle w:val="Compact"/>
              <w:ind w:left="113" w:right="113"/>
            </w:pPr>
            <w:r>
              <w:rPr>
                <w:b/>
                <w:bCs/>
              </w:rPr>
              <w:t>Domaine</w:t>
            </w:r>
          </w:p>
        </w:tc>
        <w:tc>
          <w:tcPr>
            <w:tcW w:w="2852" w:type="dxa"/>
            <w:textDirection w:val="btLr"/>
          </w:tcPr>
          <w:p w14:paraId="57442F37" w14:textId="77777777" w:rsidR="00065317" w:rsidRDefault="005C7BF7" w:rsidP="000041DB">
            <w:pPr>
              <w:pStyle w:val="Compact"/>
              <w:ind w:left="113" w:right="113"/>
            </w:pPr>
            <w:r>
              <w:rPr>
                <w:b/>
                <w:bCs/>
              </w:rPr>
              <w:t>Portée</w:t>
            </w:r>
          </w:p>
        </w:tc>
      </w:tr>
      <w:tr w:rsidR="00065317" w14:paraId="3ABAB7B2" w14:textId="77777777" w:rsidTr="000041DB">
        <w:tc>
          <w:tcPr>
            <w:tcW w:w="855" w:type="dxa"/>
          </w:tcPr>
          <w:p w14:paraId="00925F6C" w14:textId="77777777" w:rsidR="00065317" w:rsidRDefault="005C7BF7">
            <w:pPr>
              <w:pStyle w:val="Compact"/>
            </w:pPr>
            <w:r>
              <w:t>P3.1</w:t>
            </w:r>
          </w:p>
        </w:tc>
        <w:tc>
          <w:tcPr>
            <w:tcW w:w="3898" w:type="dxa"/>
            <w:gridSpan w:val="2"/>
          </w:tcPr>
          <w:p w14:paraId="0A63553B" w14:textId="77777777" w:rsidR="00065317" w:rsidRDefault="005C7BF7">
            <w:pPr>
              <w:pStyle w:val="Compact"/>
            </w:pPr>
            <w:r>
              <w:rPr>
                <w:rStyle w:val="VerbatimChar"/>
              </w:rPr>
              <w:t>P3.1_a_pour_type</w:t>
            </w:r>
          </w:p>
        </w:tc>
        <w:tc>
          <w:tcPr>
            <w:tcW w:w="3175" w:type="dxa"/>
          </w:tcPr>
          <w:p w14:paraId="1FC9653F" w14:textId="77777777" w:rsidR="00065317" w:rsidRDefault="005C7BF7">
            <w:pPr>
              <w:pStyle w:val="Compact"/>
            </w:pPr>
            <w:r>
              <w:rPr>
                <w:rStyle w:val="VerbatimChar"/>
              </w:rPr>
              <w:t>E1_Entité_CRM</w:t>
            </w:r>
            <w:r>
              <w:t xml:space="preserve">. </w:t>
            </w:r>
            <w:r>
              <w:rPr>
                <w:rStyle w:val="VerbatimChar"/>
              </w:rPr>
              <w:t>P3_a_pour_note</w:t>
            </w:r>
            <w:r>
              <w:t xml:space="preserve"> : </w:t>
            </w:r>
            <w:r>
              <w:rPr>
                <w:rStyle w:val="VerbatimChar"/>
              </w:rPr>
              <w:t>E62_Chaîne_de_caractères</w:t>
            </w:r>
          </w:p>
        </w:tc>
        <w:tc>
          <w:tcPr>
            <w:tcW w:w="2852" w:type="dxa"/>
          </w:tcPr>
          <w:p w14:paraId="0C3DD255" w14:textId="77777777" w:rsidR="00065317" w:rsidRDefault="005C7BF7">
            <w:pPr>
              <w:pStyle w:val="Compact"/>
            </w:pPr>
            <w:r>
              <w:rPr>
                <w:rStyle w:val="VerbatimChar"/>
              </w:rPr>
              <w:t>E55_Type</w:t>
            </w:r>
          </w:p>
        </w:tc>
      </w:tr>
      <w:tr w:rsidR="00065317" w14:paraId="5967302C" w14:textId="77777777" w:rsidTr="000041DB">
        <w:tc>
          <w:tcPr>
            <w:tcW w:w="855" w:type="dxa"/>
          </w:tcPr>
          <w:p w14:paraId="2825FB53" w14:textId="77777777" w:rsidR="00065317" w:rsidRDefault="005C7BF7">
            <w:pPr>
              <w:pStyle w:val="Compact"/>
            </w:pPr>
            <w:r>
              <w:t>P14.1</w:t>
            </w:r>
          </w:p>
        </w:tc>
        <w:tc>
          <w:tcPr>
            <w:tcW w:w="3898" w:type="dxa"/>
            <w:gridSpan w:val="2"/>
          </w:tcPr>
          <w:p w14:paraId="54275E3E" w14:textId="77777777" w:rsidR="00065317" w:rsidRDefault="005C7BF7">
            <w:pPr>
              <w:pStyle w:val="Compact"/>
            </w:pPr>
            <w:r>
              <w:rPr>
                <w:rStyle w:val="VerbatimChar"/>
              </w:rPr>
              <w:t>P14.1_dans_le_rôle_de</w:t>
            </w:r>
          </w:p>
        </w:tc>
        <w:tc>
          <w:tcPr>
            <w:tcW w:w="3175" w:type="dxa"/>
          </w:tcPr>
          <w:p w14:paraId="0557481E" w14:textId="77777777" w:rsidR="00065317" w:rsidRDefault="005C7BF7">
            <w:pPr>
              <w:pStyle w:val="Compact"/>
            </w:pPr>
            <w:r>
              <w:rPr>
                <w:rStyle w:val="VerbatimChar"/>
              </w:rPr>
              <w:t>E7_Activité</w:t>
            </w:r>
            <w:r>
              <w:t xml:space="preserve">. </w:t>
            </w:r>
            <w:r>
              <w:rPr>
                <w:rStyle w:val="VerbatimChar"/>
              </w:rPr>
              <w:t>P14_a_été_effectué_par (a_effectué)</w:t>
            </w:r>
            <w:r>
              <w:t xml:space="preserve"> : </w:t>
            </w:r>
            <w:r>
              <w:rPr>
                <w:rStyle w:val="VerbatimChar"/>
              </w:rPr>
              <w:t>E39_Actant</w:t>
            </w:r>
          </w:p>
        </w:tc>
        <w:tc>
          <w:tcPr>
            <w:tcW w:w="2852" w:type="dxa"/>
          </w:tcPr>
          <w:p w14:paraId="00766757" w14:textId="77777777" w:rsidR="00065317" w:rsidRDefault="005C7BF7">
            <w:pPr>
              <w:pStyle w:val="Compact"/>
            </w:pPr>
            <w:r>
              <w:rPr>
                <w:rStyle w:val="VerbatimChar"/>
              </w:rPr>
              <w:t>E55_Type</w:t>
            </w:r>
          </w:p>
        </w:tc>
      </w:tr>
      <w:tr w:rsidR="00065317" w14:paraId="7A51A55D" w14:textId="77777777" w:rsidTr="000041DB">
        <w:tc>
          <w:tcPr>
            <w:tcW w:w="855" w:type="dxa"/>
          </w:tcPr>
          <w:p w14:paraId="66AFF155" w14:textId="77777777" w:rsidR="00065317" w:rsidRDefault="005C7BF7">
            <w:pPr>
              <w:pStyle w:val="Compact"/>
            </w:pPr>
            <w:r>
              <w:t>P16.1</w:t>
            </w:r>
          </w:p>
        </w:tc>
        <w:tc>
          <w:tcPr>
            <w:tcW w:w="3898" w:type="dxa"/>
            <w:gridSpan w:val="2"/>
          </w:tcPr>
          <w:p w14:paraId="06CA3E06" w14:textId="485E6968" w:rsidR="00065317" w:rsidRDefault="005C7BF7">
            <w:pPr>
              <w:pStyle w:val="Compact"/>
            </w:pPr>
            <w:r>
              <w:rPr>
                <w:rStyle w:val="VerbatimChar"/>
              </w:rPr>
              <w:t>P16.1_mode_d</w:t>
            </w:r>
            <w:r w:rsidR="00E84B0E">
              <w:rPr>
                <w:rStyle w:val="VerbatimChar"/>
              </w:rPr>
              <w:t>’</w:t>
            </w:r>
            <w:r>
              <w:rPr>
                <w:rStyle w:val="VerbatimChar"/>
              </w:rPr>
              <w:t>utilisation</w:t>
            </w:r>
          </w:p>
        </w:tc>
        <w:tc>
          <w:tcPr>
            <w:tcW w:w="3175" w:type="dxa"/>
          </w:tcPr>
          <w:p w14:paraId="17BA0E20" w14:textId="0AD77B15" w:rsidR="00065317" w:rsidRDefault="005C7BF7">
            <w:pPr>
              <w:pStyle w:val="Compact"/>
            </w:pPr>
            <w:r>
              <w:rPr>
                <w:rStyle w:val="VerbatimChar"/>
              </w:rPr>
              <w:t>E7_Activité</w:t>
            </w:r>
            <w:r>
              <w:t xml:space="preserve">. </w:t>
            </w:r>
            <w:r>
              <w:rPr>
                <w:rStyle w:val="VerbatimChar"/>
              </w:rPr>
              <w:t>P16_a_mobilisé_l</w:t>
            </w:r>
            <w:r w:rsidR="00E84B0E">
              <w:rPr>
                <w:rStyle w:val="VerbatimChar"/>
              </w:rPr>
              <w:t>’</w:t>
            </w:r>
            <w:r>
              <w:rPr>
                <w:rStyle w:val="VerbatimChar"/>
              </w:rPr>
              <w:t>objet_spécifique (a_été_mobilisé_pour)</w:t>
            </w:r>
            <w:r>
              <w:t xml:space="preserve"> : </w:t>
            </w:r>
            <w:r>
              <w:rPr>
                <w:rStyle w:val="VerbatimChar"/>
              </w:rPr>
              <w:t>E70_Chose</w:t>
            </w:r>
          </w:p>
        </w:tc>
        <w:tc>
          <w:tcPr>
            <w:tcW w:w="2852" w:type="dxa"/>
          </w:tcPr>
          <w:p w14:paraId="57BC9FF7" w14:textId="77777777" w:rsidR="00065317" w:rsidRDefault="005C7BF7">
            <w:pPr>
              <w:pStyle w:val="Compact"/>
            </w:pPr>
            <w:r>
              <w:rPr>
                <w:rStyle w:val="VerbatimChar"/>
              </w:rPr>
              <w:t>E55_Type</w:t>
            </w:r>
          </w:p>
        </w:tc>
      </w:tr>
      <w:tr w:rsidR="00065317" w14:paraId="623E2E96" w14:textId="77777777" w:rsidTr="000041DB">
        <w:tc>
          <w:tcPr>
            <w:tcW w:w="855" w:type="dxa"/>
          </w:tcPr>
          <w:p w14:paraId="2941CA70" w14:textId="77777777" w:rsidR="00065317" w:rsidRDefault="005C7BF7">
            <w:pPr>
              <w:pStyle w:val="Compact"/>
            </w:pPr>
            <w:r>
              <w:t>P19.1</w:t>
            </w:r>
          </w:p>
        </w:tc>
        <w:tc>
          <w:tcPr>
            <w:tcW w:w="3898" w:type="dxa"/>
            <w:gridSpan w:val="2"/>
          </w:tcPr>
          <w:p w14:paraId="5BFFE2A8" w14:textId="28662137" w:rsidR="00065317" w:rsidRDefault="005C7BF7">
            <w:pPr>
              <w:pStyle w:val="Compact"/>
            </w:pPr>
            <w:r>
              <w:rPr>
                <w:rStyle w:val="VerbatimChar"/>
              </w:rPr>
              <w:t>P19.1_mode_d</w:t>
            </w:r>
            <w:r w:rsidR="00E84B0E">
              <w:rPr>
                <w:rStyle w:val="VerbatimChar"/>
              </w:rPr>
              <w:t>’</w:t>
            </w:r>
            <w:r>
              <w:rPr>
                <w:rStyle w:val="VerbatimChar"/>
              </w:rPr>
              <w:t>utilisation</w:t>
            </w:r>
          </w:p>
        </w:tc>
        <w:tc>
          <w:tcPr>
            <w:tcW w:w="3175" w:type="dxa"/>
          </w:tcPr>
          <w:p w14:paraId="02A73B2D" w14:textId="58FE49C8" w:rsidR="00065317" w:rsidRDefault="005C7BF7">
            <w:pPr>
              <w:pStyle w:val="Compact"/>
            </w:pPr>
            <w:r>
              <w:rPr>
                <w:rStyle w:val="VerbatimChar"/>
              </w:rPr>
              <w:t>E7_Activité</w:t>
            </w:r>
            <w:r>
              <w:t xml:space="preserve">. </w:t>
            </w:r>
            <w:r>
              <w:rPr>
                <w:rStyle w:val="VerbatimChar"/>
              </w:rPr>
              <w:t>P19_a_été_l</w:t>
            </w:r>
            <w:r w:rsidR="00E84B0E">
              <w:rPr>
                <w:rStyle w:val="VerbatimChar"/>
              </w:rPr>
              <w:t>’</w:t>
            </w:r>
            <w:r>
              <w:rPr>
                <w:rStyle w:val="VerbatimChar"/>
              </w:rPr>
              <w:t>usage_prévu_de (a_été_élaboré_pour)</w:t>
            </w:r>
            <w:r>
              <w:t xml:space="preserve"> : </w:t>
            </w:r>
            <w:r>
              <w:rPr>
                <w:rStyle w:val="VerbatimChar"/>
              </w:rPr>
              <w:t>E71_Chose_élaborée_par_l</w:t>
            </w:r>
            <w:r w:rsidR="00E84B0E">
              <w:rPr>
                <w:rStyle w:val="VerbatimChar"/>
              </w:rPr>
              <w:t>’</w:t>
            </w:r>
            <w:r>
              <w:rPr>
                <w:rStyle w:val="VerbatimChar"/>
              </w:rPr>
              <w:t>humain</w:t>
            </w:r>
          </w:p>
        </w:tc>
        <w:tc>
          <w:tcPr>
            <w:tcW w:w="2852" w:type="dxa"/>
          </w:tcPr>
          <w:p w14:paraId="6495CF4A" w14:textId="77777777" w:rsidR="00065317" w:rsidRDefault="005C7BF7">
            <w:pPr>
              <w:pStyle w:val="Compact"/>
            </w:pPr>
            <w:r>
              <w:rPr>
                <w:rStyle w:val="VerbatimChar"/>
              </w:rPr>
              <w:t>E55_Type</w:t>
            </w:r>
          </w:p>
        </w:tc>
      </w:tr>
      <w:tr w:rsidR="00065317" w14:paraId="28AB0EFE" w14:textId="77777777" w:rsidTr="000041DB">
        <w:tc>
          <w:tcPr>
            <w:tcW w:w="855" w:type="dxa"/>
          </w:tcPr>
          <w:p w14:paraId="068E2622" w14:textId="77777777" w:rsidR="00065317" w:rsidRDefault="005C7BF7">
            <w:pPr>
              <w:pStyle w:val="Compact"/>
            </w:pPr>
            <w:r>
              <w:t>P62.1</w:t>
            </w:r>
          </w:p>
        </w:tc>
        <w:tc>
          <w:tcPr>
            <w:tcW w:w="3898" w:type="dxa"/>
            <w:gridSpan w:val="2"/>
          </w:tcPr>
          <w:p w14:paraId="1659A093" w14:textId="77777777" w:rsidR="00065317" w:rsidRDefault="005C7BF7">
            <w:pPr>
              <w:pStyle w:val="Compact"/>
            </w:pPr>
            <w:r>
              <w:rPr>
                <w:rStyle w:val="VerbatimChar"/>
              </w:rPr>
              <w:t>P3.1_a_pour_type</w:t>
            </w:r>
          </w:p>
        </w:tc>
        <w:tc>
          <w:tcPr>
            <w:tcW w:w="3175" w:type="dxa"/>
          </w:tcPr>
          <w:p w14:paraId="0771E00D" w14:textId="6B5A4749" w:rsidR="00065317" w:rsidRDefault="005C7BF7">
            <w:pPr>
              <w:pStyle w:val="Compact"/>
            </w:pPr>
            <w:r>
              <w:rPr>
                <w:rStyle w:val="VerbatimChar"/>
              </w:rPr>
              <w:t>E24_Chose_matérielle_élaborée_par_l</w:t>
            </w:r>
            <w:r w:rsidR="00E84B0E">
              <w:rPr>
                <w:rStyle w:val="VerbatimChar"/>
              </w:rPr>
              <w:t>’</w:t>
            </w:r>
            <w:r>
              <w:rPr>
                <w:rStyle w:val="VerbatimChar"/>
              </w:rPr>
              <w:t>humain</w:t>
            </w:r>
            <w:r>
              <w:t xml:space="preserve">. </w:t>
            </w:r>
            <w:r>
              <w:rPr>
                <w:rStyle w:val="VerbatimChar"/>
              </w:rPr>
              <w:t>P62_illustre (est_illustré_par)</w:t>
            </w:r>
            <w:r>
              <w:t xml:space="preserve"> : </w:t>
            </w:r>
            <w:r>
              <w:rPr>
                <w:rStyle w:val="VerbatimChar"/>
              </w:rPr>
              <w:t>E1_Entité_CRM</w:t>
            </w:r>
          </w:p>
        </w:tc>
        <w:tc>
          <w:tcPr>
            <w:tcW w:w="2852" w:type="dxa"/>
          </w:tcPr>
          <w:p w14:paraId="36AD127D" w14:textId="77777777" w:rsidR="00065317" w:rsidRDefault="005C7BF7">
            <w:pPr>
              <w:pStyle w:val="Compact"/>
            </w:pPr>
            <w:r>
              <w:rPr>
                <w:rStyle w:val="VerbatimChar"/>
              </w:rPr>
              <w:t>E55_Type</w:t>
            </w:r>
          </w:p>
        </w:tc>
      </w:tr>
      <w:tr w:rsidR="00065317" w14:paraId="4D8C2C8E" w14:textId="77777777" w:rsidTr="000041DB">
        <w:tc>
          <w:tcPr>
            <w:tcW w:w="855" w:type="dxa"/>
          </w:tcPr>
          <w:p w14:paraId="456AE7FC" w14:textId="77777777" w:rsidR="00065317" w:rsidRDefault="005C7BF7">
            <w:pPr>
              <w:pStyle w:val="Compact"/>
            </w:pPr>
            <w:r>
              <w:t>P67.1</w:t>
            </w:r>
          </w:p>
        </w:tc>
        <w:tc>
          <w:tcPr>
            <w:tcW w:w="3898" w:type="dxa"/>
            <w:gridSpan w:val="2"/>
          </w:tcPr>
          <w:p w14:paraId="315293DA" w14:textId="77777777" w:rsidR="00065317" w:rsidRDefault="005C7BF7">
            <w:pPr>
              <w:pStyle w:val="Compact"/>
            </w:pPr>
            <w:r>
              <w:rPr>
                <w:rStyle w:val="VerbatimChar"/>
              </w:rPr>
              <w:t>P67.1_a_pour_type</w:t>
            </w:r>
          </w:p>
        </w:tc>
        <w:tc>
          <w:tcPr>
            <w:tcW w:w="3175" w:type="dxa"/>
          </w:tcPr>
          <w:p w14:paraId="47FEDBDA" w14:textId="7BEFADFF" w:rsidR="00065317" w:rsidRDefault="005C7BF7">
            <w:pPr>
              <w:pStyle w:val="Compact"/>
            </w:pPr>
            <w:r>
              <w:rPr>
                <w:rStyle w:val="VerbatimChar"/>
              </w:rPr>
              <w:t>E89_Objet_propositionnel</w:t>
            </w:r>
            <w:r>
              <w:t xml:space="preserve">. </w:t>
            </w: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 </w:t>
            </w:r>
            <w:r>
              <w:rPr>
                <w:rStyle w:val="VerbatimChar"/>
              </w:rPr>
              <w:t>E1_Entité_CRM</w:t>
            </w:r>
          </w:p>
        </w:tc>
        <w:tc>
          <w:tcPr>
            <w:tcW w:w="2852" w:type="dxa"/>
          </w:tcPr>
          <w:p w14:paraId="174502E1" w14:textId="77777777" w:rsidR="00065317" w:rsidRDefault="005C7BF7">
            <w:pPr>
              <w:pStyle w:val="Compact"/>
            </w:pPr>
            <w:r>
              <w:rPr>
                <w:rStyle w:val="VerbatimChar"/>
              </w:rPr>
              <w:t>E55_Type</w:t>
            </w:r>
          </w:p>
        </w:tc>
      </w:tr>
      <w:tr w:rsidR="00065317" w14:paraId="6443E9C0" w14:textId="77777777" w:rsidTr="000041DB">
        <w:tc>
          <w:tcPr>
            <w:tcW w:w="855" w:type="dxa"/>
          </w:tcPr>
          <w:p w14:paraId="159633FB" w14:textId="77777777" w:rsidR="00065317" w:rsidRDefault="005C7BF7">
            <w:pPr>
              <w:pStyle w:val="Compact"/>
            </w:pPr>
            <w:r>
              <w:t>P138.1</w:t>
            </w:r>
          </w:p>
        </w:tc>
        <w:tc>
          <w:tcPr>
            <w:tcW w:w="308" w:type="dxa"/>
          </w:tcPr>
          <w:p w14:paraId="3E54E958" w14:textId="77777777" w:rsidR="00065317" w:rsidRDefault="005C7BF7">
            <w:pPr>
              <w:pStyle w:val="Compact"/>
            </w:pPr>
            <w:r>
              <w:t>-</w:t>
            </w:r>
          </w:p>
        </w:tc>
        <w:tc>
          <w:tcPr>
            <w:tcW w:w="3590" w:type="dxa"/>
          </w:tcPr>
          <w:p w14:paraId="5A88A18B" w14:textId="77777777" w:rsidR="00065317" w:rsidRDefault="005C7BF7">
            <w:pPr>
              <w:pStyle w:val="Compact"/>
            </w:pPr>
            <w:r>
              <w:rPr>
                <w:rStyle w:val="VerbatimChar"/>
              </w:rPr>
              <w:t>P138.1_mode_de_représentation</w:t>
            </w:r>
          </w:p>
        </w:tc>
        <w:tc>
          <w:tcPr>
            <w:tcW w:w="3175" w:type="dxa"/>
          </w:tcPr>
          <w:p w14:paraId="46AA43C3" w14:textId="77777777" w:rsidR="00065317" w:rsidRDefault="005C7BF7">
            <w:pPr>
              <w:pStyle w:val="Compact"/>
            </w:pPr>
            <w:r>
              <w:rPr>
                <w:rStyle w:val="VerbatimChar"/>
              </w:rPr>
              <w:t>E36_Entité_visuelle</w:t>
            </w:r>
            <w:r>
              <w:t xml:space="preserve">. </w:t>
            </w:r>
            <w:r>
              <w:rPr>
                <w:rStyle w:val="VerbatimChar"/>
              </w:rPr>
              <w:t>P138_représente (est_représenté_par)</w:t>
            </w:r>
            <w:r>
              <w:t xml:space="preserve"> : </w:t>
            </w:r>
            <w:r>
              <w:rPr>
                <w:rStyle w:val="VerbatimChar"/>
              </w:rPr>
              <w:t>E1_Entité_CRM</w:t>
            </w:r>
          </w:p>
        </w:tc>
        <w:tc>
          <w:tcPr>
            <w:tcW w:w="2852" w:type="dxa"/>
          </w:tcPr>
          <w:p w14:paraId="0CF669C2" w14:textId="77777777" w:rsidR="00065317" w:rsidRDefault="005C7BF7">
            <w:pPr>
              <w:pStyle w:val="Compact"/>
            </w:pPr>
            <w:r>
              <w:rPr>
                <w:rStyle w:val="VerbatimChar"/>
              </w:rPr>
              <w:t>E55_Type</w:t>
            </w:r>
          </w:p>
        </w:tc>
      </w:tr>
      <w:tr w:rsidR="00065317" w14:paraId="303B7A65" w14:textId="77777777" w:rsidTr="000041DB">
        <w:tc>
          <w:tcPr>
            <w:tcW w:w="855" w:type="dxa"/>
          </w:tcPr>
          <w:p w14:paraId="1C6B6662" w14:textId="77777777" w:rsidR="00065317" w:rsidRDefault="005C7BF7">
            <w:pPr>
              <w:pStyle w:val="Compact"/>
            </w:pPr>
            <w:r>
              <w:t>P69.1</w:t>
            </w:r>
          </w:p>
        </w:tc>
        <w:tc>
          <w:tcPr>
            <w:tcW w:w="3898" w:type="dxa"/>
            <w:gridSpan w:val="2"/>
          </w:tcPr>
          <w:p w14:paraId="5F438C33" w14:textId="77777777" w:rsidR="00065317" w:rsidRDefault="005C7BF7">
            <w:pPr>
              <w:pStyle w:val="Compact"/>
            </w:pPr>
            <w:r>
              <w:rPr>
                <w:rStyle w:val="VerbatimChar"/>
              </w:rPr>
              <w:t>P69.1_a_pour_type</w:t>
            </w:r>
          </w:p>
        </w:tc>
        <w:tc>
          <w:tcPr>
            <w:tcW w:w="3175" w:type="dxa"/>
          </w:tcPr>
          <w:p w14:paraId="3D666F1F" w14:textId="77777777" w:rsidR="00065317" w:rsidRDefault="005C7BF7">
            <w:pPr>
              <w:pStyle w:val="Compact"/>
            </w:pPr>
            <w:r>
              <w:rPr>
                <w:rStyle w:val="VerbatimChar"/>
              </w:rPr>
              <w:t>E29_Conceptualisation_ou_procédure</w:t>
            </w:r>
            <w:r>
              <w:t xml:space="preserve">. </w:t>
            </w:r>
            <w:r>
              <w:rPr>
                <w:rStyle w:val="VerbatimChar"/>
              </w:rPr>
              <w:t>P69_est_associé_à (est_associé_à)</w:t>
            </w:r>
            <w:r>
              <w:t xml:space="preserve"> : </w:t>
            </w:r>
            <w:r>
              <w:rPr>
                <w:rStyle w:val="VerbatimChar"/>
              </w:rPr>
              <w:lastRenderedPageBreak/>
              <w:t>E29_Conceptualisation_ou_procédure</w:t>
            </w:r>
          </w:p>
        </w:tc>
        <w:tc>
          <w:tcPr>
            <w:tcW w:w="2852" w:type="dxa"/>
          </w:tcPr>
          <w:p w14:paraId="1DC1D600" w14:textId="77777777" w:rsidR="00065317" w:rsidRDefault="005C7BF7">
            <w:pPr>
              <w:pStyle w:val="Compact"/>
            </w:pPr>
            <w:r>
              <w:rPr>
                <w:rStyle w:val="VerbatimChar"/>
              </w:rPr>
              <w:lastRenderedPageBreak/>
              <w:t>E55_Type</w:t>
            </w:r>
          </w:p>
        </w:tc>
      </w:tr>
      <w:tr w:rsidR="00065317" w14:paraId="6E2EB4D1" w14:textId="77777777" w:rsidTr="000041DB">
        <w:tc>
          <w:tcPr>
            <w:tcW w:w="855" w:type="dxa"/>
          </w:tcPr>
          <w:p w14:paraId="74D33799" w14:textId="77777777" w:rsidR="00065317" w:rsidRDefault="005C7BF7">
            <w:pPr>
              <w:pStyle w:val="Compact"/>
            </w:pPr>
            <w:r>
              <w:t>P102.1</w:t>
            </w:r>
          </w:p>
        </w:tc>
        <w:tc>
          <w:tcPr>
            <w:tcW w:w="3898" w:type="dxa"/>
            <w:gridSpan w:val="2"/>
          </w:tcPr>
          <w:p w14:paraId="6608F0A6" w14:textId="77777777" w:rsidR="00065317" w:rsidRDefault="005C7BF7">
            <w:pPr>
              <w:pStyle w:val="Compact"/>
            </w:pPr>
            <w:r>
              <w:rPr>
                <w:rStyle w:val="VerbatimChar"/>
              </w:rPr>
              <w:t>P102.1_a_pour_type</w:t>
            </w:r>
          </w:p>
        </w:tc>
        <w:tc>
          <w:tcPr>
            <w:tcW w:w="3175" w:type="dxa"/>
          </w:tcPr>
          <w:p w14:paraId="00050B1E" w14:textId="2531D867" w:rsidR="00065317" w:rsidRDefault="005C7BF7">
            <w:pPr>
              <w:pStyle w:val="Compact"/>
            </w:pPr>
            <w:r>
              <w:rPr>
                <w:rStyle w:val="VerbatimChar"/>
              </w:rPr>
              <w:t>E71_Chose_élaborée_par_l</w:t>
            </w:r>
            <w:r w:rsidR="00E84B0E">
              <w:rPr>
                <w:rStyle w:val="VerbatimChar"/>
              </w:rPr>
              <w:t>’</w:t>
            </w:r>
            <w:r>
              <w:rPr>
                <w:rStyle w:val="VerbatimChar"/>
              </w:rPr>
              <w:t>humain</w:t>
            </w:r>
            <w:r>
              <w:t xml:space="preserve"> : </w:t>
            </w:r>
            <w:r>
              <w:rPr>
                <w:rStyle w:val="VerbatimChar"/>
              </w:rPr>
              <w:t>E35_Titre</w:t>
            </w:r>
          </w:p>
        </w:tc>
        <w:tc>
          <w:tcPr>
            <w:tcW w:w="2852" w:type="dxa"/>
          </w:tcPr>
          <w:p w14:paraId="5C882635" w14:textId="77777777" w:rsidR="00065317" w:rsidRDefault="005C7BF7">
            <w:pPr>
              <w:pStyle w:val="Compact"/>
            </w:pPr>
            <w:r>
              <w:rPr>
                <w:rStyle w:val="VerbatimChar"/>
              </w:rPr>
              <w:t>E55_Type</w:t>
            </w:r>
          </w:p>
        </w:tc>
      </w:tr>
      <w:tr w:rsidR="00065317" w14:paraId="2E91F713" w14:textId="77777777" w:rsidTr="000041DB">
        <w:tc>
          <w:tcPr>
            <w:tcW w:w="855" w:type="dxa"/>
          </w:tcPr>
          <w:p w14:paraId="10DB9D68" w14:textId="77777777" w:rsidR="00065317" w:rsidRDefault="005C7BF7">
            <w:pPr>
              <w:pStyle w:val="Compact"/>
            </w:pPr>
            <w:r>
              <w:t>P107.1</w:t>
            </w:r>
          </w:p>
        </w:tc>
        <w:tc>
          <w:tcPr>
            <w:tcW w:w="3898" w:type="dxa"/>
            <w:gridSpan w:val="2"/>
          </w:tcPr>
          <w:p w14:paraId="54324C69" w14:textId="77777777" w:rsidR="00065317" w:rsidRDefault="005C7BF7">
            <w:pPr>
              <w:pStyle w:val="Compact"/>
            </w:pPr>
            <w:r>
              <w:rPr>
                <w:rStyle w:val="VerbatimChar"/>
              </w:rPr>
              <w:t>P107.1_sorte_de_membre</w:t>
            </w:r>
          </w:p>
        </w:tc>
        <w:tc>
          <w:tcPr>
            <w:tcW w:w="3175" w:type="dxa"/>
          </w:tcPr>
          <w:p w14:paraId="28AA49BD" w14:textId="77777777" w:rsidR="00065317" w:rsidRDefault="005C7BF7">
            <w:pPr>
              <w:pStyle w:val="Compact"/>
            </w:pPr>
            <w:r>
              <w:rPr>
                <w:rStyle w:val="VerbatimChar"/>
              </w:rPr>
              <w:t>E74_Groupe</w:t>
            </w:r>
            <w:r>
              <w:t xml:space="preserve">. </w:t>
            </w:r>
            <w:r>
              <w:rPr>
                <w:rStyle w:val="VerbatimChar"/>
              </w:rPr>
              <w:t>P107_a_pour_membre_actuel_ou_antérieur (est_le_membre_actuel_ou_antérieur_de)</w:t>
            </w:r>
            <w:r>
              <w:t xml:space="preserve"> : </w:t>
            </w:r>
            <w:r>
              <w:rPr>
                <w:rStyle w:val="VerbatimChar"/>
              </w:rPr>
              <w:t>E39_Actant</w:t>
            </w:r>
          </w:p>
        </w:tc>
        <w:tc>
          <w:tcPr>
            <w:tcW w:w="2852" w:type="dxa"/>
          </w:tcPr>
          <w:p w14:paraId="27DB9939" w14:textId="77777777" w:rsidR="00065317" w:rsidRDefault="005C7BF7">
            <w:pPr>
              <w:pStyle w:val="Compact"/>
            </w:pPr>
            <w:r>
              <w:rPr>
                <w:rStyle w:val="VerbatimChar"/>
              </w:rPr>
              <w:t>E55_Type</w:t>
            </w:r>
          </w:p>
        </w:tc>
      </w:tr>
      <w:tr w:rsidR="00065317" w14:paraId="01BC2BB5" w14:textId="77777777" w:rsidTr="000041DB">
        <w:tc>
          <w:tcPr>
            <w:tcW w:w="855" w:type="dxa"/>
          </w:tcPr>
          <w:p w14:paraId="30C065CD" w14:textId="77777777" w:rsidR="00065317" w:rsidRDefault="005C7BF7">
            <w:pPr>
              <w:pStyle w:val="Compact"/>
            </w:pPr>
            <w:r>
              <w:t>P136.1</w:t>
            </w:r>
          </w:p>
        </w:tc>
        <w:tc>
          <w:tcPr>
            <w:tcW w:w="3898" w:type="dxa"/>
            <w:gridSpan w:val="2"/>
          </w:tcPr>
          <w:p w14:paraId="600E3167" w14:textId="77777777" w:rsidR="00065317" w:rsidRDefault="005C7BF7">
            <w:pPr>
              <w:pStyle w:val="Compact"/>
            </w:pPr>
            <w:r>
              <w:rPr>
                <w:rStyle w:val="VerbatimChar"/>
              </w:rPr>
              <w:t>P136.1_dans_le_rôle_taxonomique_de</w:t>
            </w:r>
          </w:p>
        </w:tc>
        <w:tc>
          <w:tcPr>
            <w:tcW w:w="3175" w:type="dxa"/>
          </w:tcPr>
          <w:p w14:paraId="1B8A24A5" w14:textId="77777777" w:rsidR="00065317" w:rsidRDefault="005C7BF7">
            <w:pPr>
              <w:pStyle w:val="Compact"/>
            </w:pPr>
            <w:r>
              <w:rPr>
                <w:rStyle w:val="VerbatimChar"/>
              </w:rPr>
              <w:t>E83_Création_de_type</w:t>
            </w:r>
            <w:r>
              <w:t xml:space="preserve">. </w:t>
            </w:r>
            <w:r>
              <w:rPr>
                <w:rStyle w:val="VerbatimChar"/>
              </w:rPr>
              <w:t>P136_a_été_fondé_sur (a_fondé_la_création_du_type)</w:t>
            </w:r>
            <w:r>
              <w:t xml:space="preserve"> : </w:t>
            </w:r>
            <w:r>
              <w:rPr>
                <w:rStyle w:val="VerbatimChar"/>
              </w:rPr>
              <w:t>E1_Entité_CRM</w:t>
            </w:r>
          </w:p>
        </w:tc>
        <w:tc>
          <w:tcPr>
            <w:tcW w:w="2852" w:type="dxa"/>
          </w:tcPr>
          <w:p w14:paraId="1DAC9AD2" w14:textId="77777777" w:rsidR="00065317" w:rsidRDefault="005C7BF7">
            <w:pPr>
              <w:pStyle w:val="Compact"/>
            </w:pPr>
            <w:r>
              <w:rPr>
                <w:rStyle w:val="VerbatimChar"/>
              </w:rPr>
              <w:t>E55_Type</w:t>
            </w:r>
          </w:p>
        </w:tc>
      </w:tr>
      <w:tr w:rsidR="00065317" w14:paraId="76550C7D" w14:textId="77777777" w:rsidTr="000041DB">
        <w:tc>
          <w:tcPr>
            <w:tcW w:w="855" w:type="dxa"/>
          </w:tcPr>
          <w:p w14:paraId="2AE561D2" w14:textId="77777777" w:rsidR="00065317" w:rsidRDefault="005C7BF7">
            <w:pPr>
              <w:pStyle w:val="Compact"/>
            </w:pPr>
            <w:r>
              <w:t>P130.1</w:t>
            </w:r>
          </w:p>
        </w:tc>
        <w:tc>
          <w:tcPr>
            <w:tcW w:w="3898" w:type="dxa"/>
            <w:gridSpan w:val="2"/>
          </w:tcPr>
          <w:p w14:paraId="3CE68F6E" w14:textId="77777777" w:rsidR="00065317" w:rsidRDefault="005C7BF7">
            <w:pPr>
              <w:pStyle w:val="Compact"/>
            </w:pPr>
            <w:r>
              <w:rPr>
                <w:rStyle w:val="VerbatimChar"/>
              </w:rPr>
              <w:t>P130.1_sorte_de_similarité</w:t>
            </w:r>
          </w:p>
        </w:tc>
        <w:tc>
          <w:tcPr>
            <w:tcW w:w="3175" w:type="dxa"/>
          </w:tcPr>
          <w:p w14:paraId="74194D25" w14:textId="77777777" w:rsidR="00065317" w:rsidRDefault="005C7BF7">
            <w:pPr>
              <w:pStyle w:val="Compact"/>
            </w:pPr>
            <w:r>
              <w:rPr>
                <w:rStyle w:val="VerbatimChar"/>
              </w:rPr>
              <w:t>E70_Chose</w:t>
            </w:r>
            <w:r>
              <w:t xml:space="preserve">. </w:t>
            </w:r>
            <w:r>
              <w:rPr>
                <w:rStyle w:val="VerbatimChar"/>
              </w:rPr>
              <w:t>P130_présente_les_caractéristiques de (a_les_caractéristiques_aussi_présentes_sur)</w:t>
            </w:r>
            <w:r>
              <w:t xml:space="preserve"> : </w:t>
            </w:r>
            <w:r>
              <w:rPr>
                <w:rStyle w:val="VerbatimChar"/>
              </w:rPr>
              <w:t>E70_Chose</w:t>
            </w:r>
          </w:p>
        </w:tc>
        <w:tc>
          <w:tcPr>
            <w:tcW w:w="2852" w:type="dxa"/>
          </w:tcPr>
          <w:p w14:paraId="09B16AA6" w14:textId="77777777" w:rsidR="00065317" w:rsidRDefault="005C7BF7">
            <w:pPr>
              <w:pStyle w:val="Compact"/>
            </w:pPr>
            <w:r>
              <w:rPr>
                <w:rStyle w:val="VerbatimChar"/>
              </w:rPr>
              <w:t>E55_Type</w:t>
            </w:r>
          </w:p>
        </w:tc>
      </w:tr>
      <w:tr w:rsidR="00065317" w14:paraId="7120372A" w14:textId="77777777" w:rsidTr="000041DB">
        <w:tc>
          <w:tcPr>
            <w:tcW w:w="855" w:type="dxa"/>
          </w:tcPr>
          <w:p w14:paraId="37CCFB5E" w14:textId="77777777" w:rsidR="00065317" w:rsidRDefault="005C7BF7">
            <w:pPr>
              <w:pStyle w:val="Compact"/>
            </w:pPr>
            <w:r>
              <w:t>P137.1</w:t>
            </w:r>
          </w:p>
        </w:tc>
        <w:tc>
          <w:tcPr>
            <w:tcW w:w="3898" w:type="dxa"/>
            <w:gridSpan w:val="2"/>
          </w:tcPr>
          <w:p w14:paraId="4DD4049D" w14:textId="77777777" w:rsidR="00065317" w:rsidRDefault="005C7BF7">
            <w:pPr>
              <w:pStyle w:val="Compact"/>
            </w:pPr>
            <w:r>
              <w:rPr>
                <w:rStyle w:val="VerbatimChar"/>
              </w:rPr>
              <w:t>P137.1_dans_le_rôle_taxonomique_de</w:t>
            </w:r>
          </w:p>
        </w:tc>
        <w:tc>
          <w:tcPr>
            <w:tcW w:w="3175" w:type="dxa"/>
          </w:tcPr>
          <w:p w14:paraId="59C1CF1A" w14:textId="77777777" w:rsidR="00065317" w:rsidRDefault="005C7BF7">
            <w:pPr>
              <w:pStyle w:val="Compact"/>
            </w:pPr>
            <w:r>
              <w:rPr>
                <w:rStyle w:val="VerbatimChar"/>
              </w:rPr>
              <w:t>E1_Entité_CRM</w:t>
            </w:r>
            <w:r>
              <w:t xml:space="preserve">. </w:t>
            </w:r>
            <w:r>
              <w:rPr>
                <w:rStyle w:val="VerbatimChar"/>
              </w:rPr>
              <w:t>P137_exemplifie (est_exemplifié_par)</w:t>
            </w:r>
            <w:r>
              <w:t xml:space="preserve"> : </w:t>
            </w:r>
            <w:r>
              <w:rPr>
                <w:rStyle w:val="VerbatimChar"/>
              </w:rPr>
              <w:t>E55_Type</w:t>
            </w:r>
          </w:p>
        </w:tc>
        <w:tc>
          <w:tcPr>
            <w:tcW w:w="2852" w:type="dxa"/>
          </w:tcPr>
          <w:p w14:paraId="7B331100" w14:textId="77777777" w:rsidR="00065317" w:rsidRDefault="005C7BF7">
            <w:pPr>
              <w:pStyle w:val="Compact"/>
            </w:pPr>
            <w:r>
              <w:rPr>
                <w:rStyle w:val="VerbatimChar"/>
              </w:rPr>
              <w:t>E55_Type</w:t>
            </w:r>
          </w:p>
        </w:tc>
      </w:tr>
      <w:tr w:rsidR="00065317" w14:paraId="35665AAB" w14:textId="77777777" w:rsidTr="000041DB">
        <w:tc>
          <w:tcPr>
            <w:tcW w:w="855" w:type="dxa"/>
          </w:tcPr>
          <w:p w14:paraId="7BF1445C" w14:textId="77777777" w:rsidR="00065317" w:rsidRDefault="005C7BF7">
            <w:pPr>
              <w:pStyle w:val="Compact"/>
            </w:pPr>
            <w:r>
              <w:t>P139.1</w:t>
            </w:r>
          </w:p>
        </w:tc>
        <w:tc>
          <w:tcPr>
            <w:tcW w:w="3898" w:type="dxa"/>
            <w:gridSpan w:val="2"/>
          </w:tcPr>
          <w:p w14:paraId="71D8723B" w14:textId="77777777" w:rsidR="00065317" w:rsidRDefault="005C7BF7">
            <w:pPr>
              <w:pStyle w:val="Compact"/>
            </w:pPr>
            <w:r>
              <w:rPr>
                <w:rStyle w:val="VerbatimChar"/>
              </w:rPr>
              <w:t>P139.1_a_pour_type</w:t>
            </w:r>
          </w:p>
        </w:tc>
        <w:tc>
          <w:tcPr>
            <w:tcW w:w="3175" w:type="dxa"/>
          </w:tcPr>
          <w:p w14:paraId="17A34888" w14:textId="77777777" w:rsidR="00065317" w:rsidRDefault="005C7BF7">
            <w:pPr>
              <w:pStyle w:val="Compact"/>
            </w:pPr>
            <w:r>
              <w:rPr>
                <w:rStyle w:val="VerbatimChar"/>
              </w:rPr>
              <w:t>E41_Appellation</w:t>
            </w:r>
            <w:r>
              <w:t xml:space="preserve">. </w:t>
            </w:r>
            <w:r>
              <w:rPr>
                <w:rStyle w:val="VerbatimChar"/>
              </w:rPr>
              <w:t>P139_a_pour_forme_alternative</w:t>
            </w:r>
            <w:r>
              <w:t xml:space="preserve"> : </w:t>
            </w:r>
            <w:r>
              <w:rPr>
                <w:rStyle w:val="VerbatimChar"/>
              </w:rPr>
              <w:t>E41_Appellation</w:t>
            </w:r>
          </w:p>
        </w:tc>
        <w:tc>
          <w:tcPr>
            <w:tcW w:w="2852" w:type="dxa"/>
          </w:tcPr>
          <w:p w14:paraId="6E225010" w14:textId="77777777" w:rsidR="00065317" w:rsidRDefault="005C7BF7">
            <w:pPr>
              <w:pStyle w:val="Compact"/>
            </w:pPr>
            <w:r>
              <w:rPr>
                <w:rStyle w:val="VerbatimChar"/>
              </w:rPr>
              <w:t>E55_Type</w:t>
            </w:r>
          </w:p>
        </w:tc>
      </w:tr>
      <w:tr w:rsidR="00065317" w14:paraId="1A0E7099" w14:textId="77777777" w:rsidTr="000041DB">
        <w:tc>
          <w:tcPr>
            <w:tcW w:w="855" w:type="dxa"/>
          </w:tcPr>
          <w:p w14:paraId="32B1187B" w14:textId="77777777" w:rsidR="00065317" w:rsidRDefault="005C7BF7">
            <w:pPr>
              <w:pStyle w:val="Compact"/>
            </w:pPr>
            <w:r>
              <w:t>P144.1</w:t>
            </w:r>
          </w:p>
        </w:tc>
        <w:tc>
          <w:tcPr>
            <w:tcW w:w="3898" w:type="dxa"/>
            <w:gridSpan w:val="2"/>
          </w:tcPr>
          <w:p w14:paraId="4F04EFAA" w14:textId="77777777" w:rsidR="00065317" w:rsidRDefault="005C7BF7">
            <w:pPr>
              <w:pStyle w:val="Compact"/>
            </w:pPr>
            <w:r>
              <w:rPr>
                <w:rStyle w:val="VerbatimChar"/>
              </w:rPr>
              <w:t>P144.1_sorte_de_membre</w:t>
            </w:r>
          </w:p>
        </w:tc>
        <w:tc>
          <w:tcPr>
            <w:tcW w:w="3175" w:type="dxa"/>
          </w:tcPr>
          <w:p w14:paraId="0B6B2374" w14:textId="77777777" w:rsidR="00065317" w:rsidRDefault="005C7BF7">
            <w:pPr>
              <w:pStyle w:val="Compact"/>
            </w:pPr>
            <w:r>
              <w:rPr>
                <w:rStyle w:val="VerbatimChar"/>
              </w:rPr>
              <w:t>E85_Adhésion</w:t>
            </w:r>
            <w:r>
              <w:t xml:space="preserve">. </w:t>
            </w:r>
            <w:r>
              <w:rPr>
                <w:rStyle w:val="VerbatimChar"/>
              </w:rPr>
              <w:t>P144_a_fait_adhérer_à (a_accueilli_le_membre_par)</w:t>
            </w:r>
            <w:r>
              <w:t xml:space="preserve"> : </w:t>
            </w:r>
            <w:r>
              <w:rPr>
                <w:rStyle w:val="VerbatimChar"/>
              </w:rPr>
              <w:t>E74_Groupe</w:t>
            </w:r>
          </w:p>
        </w:tc>
        <w:tc>
          <w:tcPr>
            <w:tcW w:w="2852" w:type="dxa"/>
          </w:tcPr>
          <w:p w14:paraId="283BD2B0" w14:textId="77777777" w:rsidR="00065317" w:rsidRDefault="005C7BF7">
            <w:pPr>
              <w:pStyle w:val="Compact"/>
            </w:pPr>
            <w:r>
              <w:rPr>
                <w:rStyle w:val="VerbatimChar"/>
              </w:rPr>
              <w:t>E55_Type</w:t>
            </w:r>
          </w:p>
        </w:tc>
      </w:tr>
      <w:tr w:rsidR="00065317" w14:paraId="5791302F" w14:textId="77777777" w:rsidTr="000041DB">
        <w:tc>
          <w:tcPr>
            <w:tcW w:w="855" w:type="dxa"/>
          </w:tcPr>
          <w:p w14:paraId="37025C13" w14:textId="77777777" w:rsidR="00065317" w:rsidRDefault="005C7BF7">
            <w:pPr>
              <w:pStyle w:val="Compact"/>
            </w:pPr>
            <w:r>
              <w:t>P189.1</w:t>
            </w:r>
          </w:p>
        </w:tc>
        <w:tc>
          <w:tcPr>
            <w:tcW w:w="3898" w:type="dxa"/>
            <w:gridSpan w:val="2"/>
          </w:tcPr>
          <w:p w14:paraId="70930B1C" w14:textId="77777777" w:rsidR="00065317" w:rsidRDefault="005C7BF7">
            <w:pPr>
              <w:pStyle w:val="Compact"/>
            </w:pPr>
            <w:r>
              <w:rPr>
                <w:rStyle w:val="VerbatimChar"/>
              </w:rPr>
              <w:t>P189.1_a_pour_type</w:t>
            </w:r>
          </w:p>
        </w:tc>
        <w:tc>
          <w:tcPr>
            <w:tcW w:w="3175" w:type="dxa"/>
          </w:tcPr>
          <w:p w14:paraId="541E1294" w14:textId="77777777" w:rsidR="00065317" w:rsidRDefault="005C7BF7">
            <w:pPr>
              <w:pStyle w:val="Compact"/>
            </w:pPr>
            <w:r>
              <w:rPr>
                <w:rStyle w:val="VerbatimChar"/>
              </w:rPr>
              <w:t>E53_Lieu</w:t>
            </w:r>
            <w:r>
              <w:t xml:space="preserve">. </w:t>
            </w:r>
            <w:r>
              <w:rPr>
                <w:rStyle w:val="VerbatimChar"/>
              </w:rPr>
              <w:t>P189_approxime (est_approximé_par)</w:t>
            </w:r>
            <w:r>
              <w:t xml:space="preserve"> : </w:t>
            </w:r>
            <w:r>
              <w:rPr>
                <w:rStyle w:val="VerbatimChar"/>
              </w:rPr>
              <w:t>E53_Lieu</w:t>
            </w:r>
          </w:p>
        </w:tc>
        <w:tc>
          <w:tcPr>
            <w:tcW w:w="2852" w:type="dxa"/>
          </w:tcPr>
          <w:p w14:paraId="20BB96B4" w14:textId="77777777" w:rsidR="00065317" w:rsidRDefault="005C7BF7">
            <w:pPr>
              <w:pStyle w:val="Compact"/>
            </w:pPr>
            <w:r>
              <w:rPr>
                <w:rStyle w:val="VerbatimChar"/>
              </w:rPr>
              <w:t>E55_Type</w:t>
            </w:r>
          </w:p>
        </w:tc>
      </w:tr>
    </w:tbl>
    <w:p w14:paraId="3A6AEF00" w14:textId="77777777" w:rsidR="00241DFB" w:rsidRDefault="00241DFB">
      <w:pPr>
        <w:spacing w:after="0"/>
        <w:rPr>
          <w:rFonts w:eastAsiaTheme="majorEastAsia" w:cstheme="majorBidi"/>
          <w:b/>
          <w:bCs/>
          <w:color w:val="000000"/>
          <w:sz w:val="36"/>
          <w:szCs w:val="36"/>
        </w:rPr>
      </w:pPr>
      <w:bookmarkStart w:id="104" w:name="declaration-des-classes-du-cidoc-crm"/>
      <w:bookmarkEnd w:id="96"/>
      <w:bookmarkEnd w:id="100"/>
      <w:bookmarkEnd w:id="102"/>
      <w:r>
        <w:br w:type="page"/>
      </w:r>
    </w:p>
    <w:p w14:paraId="77F26F23" w14:textId="79128E5E" w:rsidR="00065317" w:rsidRDefault="005C7BF7" w:rsidP="005C4361">
      <w:pPr>
        <w:pStyle w:val="Titre2"/>
      </w:pPr>
      <w:bookmarkStart w:id="105" w:name="_Toc154048737"/>
      <w:r>
        <w:lastRenderedPageBreak/>
        <w:t xml:space="preserve">Déclaration des classes du </w:t>
      </w:r>
      <w:r w:rsidR="00C8288F">
        <w:t>CIDOC CRM</w:t>
      </w:r>
      <w:bookmarkEnd w:id="105"/>
    </w:p>
    <w:p w14:paraId="2A9E796B" w14:textId="2BBF9FE9" w:rsidR="00065317" w:rsidRDefault="005C7BF7">
      <w:pPr>
        <w:pStyle w:val="FirstParagraph"/>
      </w:pPr>
      <w:r>
        <w:t xml:space="preserve">Les classes du </w:t>
      </w:r>
      <w:r w:rsidR="00C8288F">
        <w:t>CIDOC CRM</w:t>
      </w:r>
      <w:r>
        <w:t xml:space="preserve"> sont déclarées ici selon la forme suivante :</w:t>
      </w:r>
    </w:p>
    <w:p w14:paraId="1CA4C056" w14:textId="2DEE4835" w:rsidR="00065317" w:rsidRDefault="005C7BF7">
      <w:pPr>
        <w:numPr>
          <w:ilvl w:val="0"/>
          <w:numId w:val="51"/>
        </w:numPr>
      </w:pPr>
      <w:r>
        <w:t>Les noms de classe sont présentés comme des titres en gras précédés de l</w:t>
      </w:r>
      <w:r w:rsidR="00E84B0E">
        <w:t>’</w:t>
      </w:r>
      <w:r>
        <w:t>identifiant unique de la classe</w:t>
      </w:r>
      <w:r w:rsidR="005C4361">
        <w:t>.</w:t>
      </w:r>
    </w:p>
    <w:p w14:paraId="77735B23" w14:textId="2954F7F7" w:rsidR="00065317" w:rsidRDefault="005C7BF7">
      <w:pPr>
        <w:numPr>
          <w:ilvl w:val="0"/>
          <w:numId w:val="51"/>
        </w:numPr>
      </w:pPr>
      <w:r>
        <w:t>La ligne « Sous-classe de : » déclare la super-classe dont la classe hérite les propriétés</w:t>
      </w:r>
      <w:r w:rsidR="005C4361">
        <w:t>.</w:t>
      </w:r>
    </w:p>
    <w:p w14:paraId="1F7C3AE3" w14:textId="57C9059C" w:rsidR="00065317" w:rsidRDefault="005C7BF7">
      <w:pPr>
        <w:numPr>
          <w:ilvl w:val="0"/>
          <w:numId w:val="51"/>
        </w:numPr>
      </w:pPr>
      <w:r>
        <w:t>La ligne « Sous-classe de : » est un coréférencement des sous-classes de la classe</w:t>
      </w:r>
      <w:r w:rsidR="005C4361">
        <w:t>.</w:t>
      </w:r>
    </w:p>
    <w:p w14:paraId="7BEBE2F7" w14:textId="55E9183F" w:rsidR="00065317" w:rsidRDefault="005C7BF7">
      <w:pPr>
        <w:numPr>
          <w:ilvl w:val="0"/>
          <w:numId w:val="51"/>
        </w:numPr>
      </w:pPr>
      <w:r>
        <w:t>La ligne « Note d</w:t>
      </w:r>
      <w:r w:rsidR="00E84B0E">
        <w:t>’</w:t>
      </w:r>
      <w:r>
        <w:t>application : » contient la définition textuelle du concept que représente la classe</w:t>
      </w:r>
      <w:r w:rsidR="005C4361">
        <w:t>.</w:t>
      </w:r>
    </w:p>
    <w:p w14:paraId="236F0908" w14:textId="6A541C46" w:rsidR="00065317" w:rsidRDefault="005C7BF7">
      <w:pPr>
        <w:numPr>
          <w:ilvl w:val="0"/>
          <w:numId w:val="51"/>
        </w:numPr>
      </w:pPr>
      <w:r>
        <w:t>La ligne « Exemples : » contient une liste d</w:t>
      </w:r>
      <w:r w:rsidR="00E84B0E">
        <w:t>’</w:t>
      </w:r>
      <w:r>
        <w:t>exemples d</w:t>
      </w:r>
      <w:r w:rsidR="00E84B0E">
        <w:t>’</w:t>
      </w:r>
      <w:r>
        <w:t>instances de la classe</w:t>
      </w:r>
      <w:r w:rsidR="005C4361">
        <w:rPr>
          <w:lang w:val="fr-CA"/>
        </w:rPr>
        <w:t xml:space="preserve"> </w:t>
      </w:r>
      <w:r>
        <w:t>:</w:t>
      </w:r>
    </w:p>
    <w:p w14:paraId="75BA2F93" w14:textId="37CD9F25" w:rsidR="00065317" w:rsidRDefault="005C7BF7" w:rsidP="00303C54">
      <w:pPr>
        <w:numPr>
          <w:ilvl w:val="0"/>
          <w:numId w:val="310"/>
        </w:numPr>
        <w:ind w:left="1418" w:hanging="567"/>
      </w:pPr>
      <w:r>
        <w:t>Si l</w:t>
      </w:r>
      <w:r w:rsidR="00E84B0E">
        <w:t>’</w:t>
      </w:r>
      <w:r>
        <w:t>exemple illustre aussi l</w:t>
      </w:r>
      <w:r w:rsidR="00E84B0E">
        <w:t>’</w:t>
      </w:r>
      <w:r>
        <w:t>instance d</w:t>
      </w:r>
      <w:r w:rsidR="00E84B0E">
        <w:t>’</w:t>
      </w:r>
      <w:r>
        <w:t>une sous-classe de la classe, l</w:t>
      </w:r>
      <w:r w:rsidR="00E84B0E">
        <w:t>’</w:t>
      </w:r>
      <w:r>
        <w:t>identifiant unique de cette sous-classe [</w:t>
      </w:r>
      <w:r w:rsidR="00AF51A3">
        <w:t xml:space="preserve">n.d.t. </w:t>
      </w:r>
      <w:r>
        <w:t>ainsi que sa dénomination] sont indiqués entre parenthèses.</w:t>
      </w:r>
    </w:p>
    <w:p w14:paraId="02C01909" w14:textId="64157A11" w:rsidR="00065317" w:rsidRDefault="005C7BF7" w:rsidP="00303C54">
      <w:pPr>
        <w:numPr>
          <w:ilvl w:val="0"/>
          <w:numId w:val="310"/>
        </w:numPr>
        <w:ind w:left="1418" w:hanging="567"/>
      </w:pPr>
      <w:r>
        <w:t>Si l</w:t>
      </w:r>
      <w:r w:rsidR="00E84B0E">
        <w:t>’</w:t>
      </w:r>
      <w:r>
        <w:t>exemple illustre l</w:t>
      </w:r>
      <w:r w:rsidR="00E84B0E">
        <w:t>’</w:t>
      </w:r>
      <w:r>
        <w:t>instanciation de deux classes, l</w:t>
      </w:r>
      <w:r w:rsidR="00E84B0E">
        <w:t>’</w:t>
      </w:r>
      <w:r>
        <w:t>identifiant unique de chacune est indiqué entre parenthèses.</w:t>
      </w:r>
    </w:p>
    <w:p w14:paraId="1E8D20D9" w14:textId="30814E90" w:rsidR="00065317" w:rsidRDefault="005C7BF7" w:rsidP="00303C54">
      <w:pPr>
        <w:numPr>
          <w:ilvl w:val="0"/>
          <w:numId w:val="310"/>
        </w:numPr>
        <w:ind w:left="1418" w:hanging="567"/>
      </w:pPr>
      <w:r>
        <w:t>Des exemples qui ne sont pas de nature fictionnelle sont parfois suivis d</w:t>
      </w:r>
      <w:r w:rsidR="00E84B0E">
        <w:t>’</w:t>
      </w:r>
      <w:r>
        <w:t>une explication entre crochets.</w:t>
      </w:r>
    </w:p>
    <w:p w14:paraId="2731EF9D" w14:textId="67E76E60" w:rsidR="00065317" w:rsidRDefault="005C7BF7">
      <w:pPr>
        <w:numPr>
          <w:ilvl w:val="0"/>
          <w:numId w:val="51"/>
        </w:numPr>
      </w:pPr>
      <w:r>
        <w:t>La ligne « Logique » exprime les contraintes formelles d</w:t>
      </w:r>
      <w:r w:rsidR="00E84B0E">
        <w:t>’</w:t>
      </w:r>
      <w:r>
        <w:t>une classe par des axiomes logiques en utilisant la notation de la logique du premier ordre</w:t>
      </w:r>
      <w:r w:rsidR="00303C54">
        <w:t>.</w:t>
      </w:r>
      <w:r>
        <w:t>;</w:t>
      </w:r>
    </w:p>
    <w:p w14:paraId="41C22F27" w14:textId="03C6324D" w:rsidR="00065317" w:rsidRDefault="005C7BF7">
      <w:pPr>
        <w:numPr>
          <w:ilvl w:val="0"/>
          <w:numId w:val="51"/>
        </w:numPr>
      </w:pPr>
      <w:r>
        <w:t>La ligne « Propriétés : » liste les propriétés de la classe</w:t>
      </w:r>
      <w:r w:rsidR="00303C54">
        <w:t>.</w:t>
      </w:r>
      <w:r>
        <w:t>;</w:t>
      </w:r>
    </w:p>
    <w:p w14:paraId="5197D232" w14:textId="76C63CDF" w:rsidR="00065317" w:rsidRDefault="005C7BF7">
      <w:pPr>
        <w:numPr>
          <w:ilvl w:val="0"/>
          <w:numId w:val="51"/>
        </w:numPr>
      </w:pPr>
      <w:r>
        <w:t>Chaque propriété est représentée par son identifiant unique, son nom suivi de son nom « inverse », ainsi que la classe de portée vers laquelle pointe la propriété (tous séparés de : )</w:t>
      </w:r>
      <w:r w:rsidR="00303C54">
        <w:t>.</w:t>
      </w:r>
    </w:p>
    <w:p w14:paraId="486798A3" w14:textId="2E1A22FC" w:rsidR="00065317" w:rsidRDefault="005C7BF7">
      <w:pPr>
        <w:numPr>
          <w:ilvl w:val="0"/>
          <w:numId w:val="51"/>
        </w:numPr>
      </w:pPr>
      <w:r>
        <w:t>Les propriétés héritées ne sont pas représentées</w:t>
      </w:r>
      <w:r w:rsidR="00303C54">
        <w:t>.</w:t>
      </w:r>
    </w:p>
    <w:p w14:paraId="49578233" w14:textId="77777777" w:rsidR="00065317" w:rsidRDefault="005C7BF7">
      <w:pPr>
        <w:numPr>
          <w:ilvl w:val="0"/>
          <w:numId w:val="51"/>
        </w:numPr>
      </w:pPr>
      <w:r>
        <w:t>Les propriétés de propriétés sont entre parenthèses et mises en retrait sous leur propriété de domaine respective.</w:t>
      </w:r>
    </w:p>
    <w:p w14:paraId="3D2AC854" w14:textId="77777777" w:rsidR="00065317" w:rsidRDefault="005C7BF7">
      <w:pPr>
        <w:pStyle w:val="Normalcentr"/>
      </w:pPr>
      <w:r>
        <w:rPr>
          <w:b/>
          <w:bCs/>
          <w:i/>
          <w:iCs/>
        </w:rPr>
        <w:t>Note de traduction</w:t>
      </w:r>
    </w:p>
    <w:p w14:paraId="6E11518D" w14:textId="0171CA03" w:rsidR="00241DFB" w:rsidRDefault="005C7BF7" w:rsidP="00303C54">
      <w:pPr>
        <w:pStyle w:val="Normalcentr"/>
        <w:rPr>
          <w:rFonts w:eastAsiaTheme="majorEastAsia" w:cstheme="majorBidi"/>
          <w:color w:val="000000"/>
          <w:sz w:val="32"/>
          <w:szCs w:val="32"/>
        </w:rPr>
      </w:pPr>
      <w:r>
        <w:rPr>
          <w:b/>
          <w:bCs/>
          <w:i/>
          <w:iCs/>
        </w:rPr>
        <w:t>Références</w:t>
      </w:r>
      <w:bookmarkStart w:id="106" w:name="e1-entite-crm"/>
    </w:p>
    <w:p w14:paraId="05771745" w14:textId="77777777" w:rsidR="00C86352" w:rsidRDefault="00C86352">
      <w:pPr>
        <w:spacing w:after="0"/>
        <w:rPr>
          <w:rFonts w:eastAsiaTheme="majorEastAsia" w:cstheme="majorBidi"/>
          <w:b/>
          <w:bCs/>
          <w:color w:val="000000"/>
          <w:sz w:val="28"/>
          <w:szCs w:val="28"/>
        </w:rPr>
      </w:pPr>
      <w:bookmarkStart w:id="107" w:name="_Toc154048738"/>
      <w:r>
        <w:br w:type="page"/>
      </w:r>
    </w:p>
    <w:p w14:paraId="040500A1" w14:textId="05AAD341" w:rsidR="00065317" w:rsidRDefault="005C7BF7" w:rsidP="00303C54">
      <w:pPr>
        <w:pStyle w:val="Titre3"/>
      </w:pPr>
      <w:r>
        <w:lastRenderedPageBreak/>
        <w:t>E1 Entité CRM</w:t>
      </w:r>
      <w:bookmarkEnd w:id="107"/>
    </w:p>
    <w:p w14:paraId="10C57663" w14:textId="025B7681" w:rsidR="003F44C6" w:rsidRPr="003F44C6" w:rsidRDefault="005C7BF7" w:rsidP="003F44C6">
      <w:pPr>
        <w:pStyle w:val="FirstParagraph"/>
        <w:rPr>
          <w:b/>
          <w:bCs/>
        </w:rPr>
      </w:pPr>
      <w:r>
        <w:rPr>
          <w:b/>
          <w:bCs/>
        </w:rPr>
        <w:t>Sous-classe de</w:t>
      </w:r>
    </w:p>
    <w:p w14:paraId="4847571A" w14:textId="77777777" w:rsidR="00065317" w:rsidRDefault="005C7BF7">
      <w:pPr>
        <w:pStyle w:val="Corpsdetexte"/>
      </w:pPr>
      <w:r>
        <w:rPr>
          <w:b/>
          <w:bCs/>
        </w:rPr>
        <w:t>Super-classe de</w:t>
      </w:r>
    </w:p>
    <w:p w14:paraId="73E54A52" w14:textId="77777777" w:rsidR="00065317" w:rsidRDefault="005C7BF7">
      <w:pPr>
        <w:pStyle w:val="Corpsdetexte"/>
      </w:pPr>
      <w:r>
        <w:rPr>
          <w:rStyle w:val="VerbatimChar"/>
        </w:rPr>
        <w:t>E2_Entité_temporelle</w:t>
      </w:r>
    </w:p>
    <w:p w14:paraId="3E612FBD" w14:textId="77777777" w:rsidR="00065317" w:rsidRDefault="005C7BF7">
      <w:pPr>
        <w:pStyle w:val="Corpsdetexte"/>
      </w:pPr>
      <w:r>
        <w:rPr>
          <w:rStyle w:val="VerbatimChar"/>
        </w:rPr>
        <w:t>E52_Intervalle_temporel</w:t>
      </w:r>
    </w:p>
    <w:p w14:paraId="31713A8E" w14:textId="77777777" w:rsidR="00065317" w:rsidRDefault="005C7BF7">
      <w:pPr>
        <w:pStyle w:val="Corpsdetexte"/>
      </w:pPr>
      <w:r>
        <w:rPr>
          <w:rStyle w:val="VerbatimChar"/>
        </w:rPr>
        <w:t>E53_Lieu</w:t>
      </w:r>
    </w:p>
    <w:p w14:paraId="5FE02BB5" w14:textId="77777777" w:rsidR="00065317" w:rsidRDefault="005C7BF7">
      <w:pPr>
        <w:pStyle w:val="Corpsdetexte"/>
      </w:pPr>
      <w:r>
        <w:rPr>
          <w:rStyle w:val="VerbatimChar"/>
        </w:rPr>
        <w:t>E54_Dimension</w:t>
      </w:r>
    </w:p>
    <w:p w14:paraId="35F99B97" w14:textId="77777777" w:rsidR="00065317" w:rsidRDefault="005C7BF7">
      <w:pPr>
        <w:pStyle w:val="Corpsdetexte"/>
      </w:pPr>
      <w:r>
        <w:rPr>
          <w:rStyle w:val="VerbatimChar"/>
        </w:rPr>
        <w:t>E59_Valeur_primitive</w:t>
      </w:r>
    </w:p>
    <w:p w14:paraId="43D2CBB8" w14:textId="77777777" w:rsidR="00065317" w:rsidRDefault="005C7BF7">
      <w:pPr>
        <w:pStyle w:val="Corpsdetexte"/>
      </w:pPr>
      <w:r>
        <w:rPr>
          <w:rStyle w:val="VerbatimChar"/>
        </w:rPr>
        <w:t>E77_Entité_persistante</w:t>
      </w:r>
    </w:p>
    <w:p w14:paraId="08DE1FD9" w14:textId="77777777" w:rsidR="00065317" w:rsidRDefault="005C7BF7">
      <w:pPr>
        <w:pStyle w:val="Corpsdetexte"/>
      </w:pPr>
      <w:r>
        <w:rPr>
          <w:rStyle w:val="VerbatimChar"/>
        </w:rPr>
        <w:t>E92_Volume_spatio-temporel</w:t>
      </w:r>
    </w:p>
    <w:p w14:paraId="4C787EAE" w14:textId="26FFAEB4" w:rsidR="00065317" w:rsidRDefault="005C7BF7">
      <w:pPr>
        <w:pStyle w:val="Corpsdetexte"/>
      </w:pPr>
      <w:r>
        <w:rPr>
          <w:b/>
          <w:bCs/>
        </w:rPr>
        <w:t>Note d</w:t>
      </w:r>
      <w:r w:rsidR="00E84B0E">
        <w:rPr>
          <w:b/>
          <w:bCs/>
        </w:rPr>
        <w:t>’</w:t>
      </w:r>
      <w:r>
        <w:rPr>
          <w:b/>
          <w:bCs/>
        </w:rPr>
        <w:t>application</w:t>
      </w:r>
    </w:p>
    <w:p w14:paraId="45A0B18D" w14:textId="056B5198" w:rsidR="00065317" w:rsidRDefault="005C7BF7">
      <w:pPr>
        <w:pStyle w:val="Corpsdetexte"/>
      </w:pPr>
      <w:r>
        <w:t>Cette classe comprend toutes les choses de l</w:t>
      </w:r>
      <w:r w:rsidR="00E84B0E">
        <w:t>’</w:t>
      </w:r>
      <w:r>
        <w:t xml:space="preserve">univers du discours du </w:t>
      </w:r>
      <w:r w:rsidR="00C8288F">
        <w:t>CIDOC CRM</w:t>
      </w:r>
      <w:r>
        <w:t>.</w:t>
      </w:r>
    </w:p>
    <w:p w14:paraId="40C84DFB" w14:textId="0F0A664D" w:rsidR="00065317" w:rsidRDefault="005C7BF7">
      <w:pPr>
        <w:pStyle w:val="Corpsdetexte"/>
      </w:pPr>
      <w:r>
        <w:t>Il s</w:t>
      </w:r>
      <w:r w:rsidR="00E84B0E">
        <w:t>’</w:t>
      </w:r>
      <w:r>
        <w:t>agit d</w:t>
      </w:r>
      <w:r w:rsidR="00E84B0E">
        <w:t>’</w:t>
      </w:r>
      <w:r>
        <w:t>un concept abstrait prévoyant trois propriétés générales :</w:t>
      </w:r>
    </w:p>
    <w:p w14:paraId="5F647544" w14:textId="64AA2B87" w:rsidR="00065317" w:rsidRDefault="00FB109E">
      <w:pPr>
        <w:numPr>
          <w:ilvl w:val="0"/>
          <w:numId w:val="52"/>
        </w:numPr>
      </w:pPr>
      <w:r>
        <w:t>l</w:t>
      </w:r>
      <w:r w:rsidR="00E84B0E">
        <w:t>’</w:t>
      </w:r>
      <w:r w:rsidR="005C7BF7">
        <w:t>identification par nom ou par appellation, en particulier par un identifiant préférentiel;</w:t>
      </w:r>
    </w:p>
    <w:p w14:paraId="2BF39ECD" w14:textId="25091747" w:rsidR="00065317" w:rsidRDefault="00FB109E">
      <w:pPr>
        <w:numPr>
          <w:ilvl w:val="0"/>
          <w:numId w:val="52"/>
        </w:numPr>
      </w:pPr>
      <w:r>
        <w:t>l</w:t>
      </w:r>
      <w:r w:rsidR="005C7BF7">
        <w:t>a classification par type qui permet d</w:t>
      </w:r>
      <w:r w:rsidR="00E84B0E">
        <w:t>’</w:t>
      </w:r>
      <w:r w:rsidR="005C7BF7">
        <w:t>affiner la sous-classe spécifique à laquelle une instance appartient;</w:t>
      </w:r>
    </w:p>
    <w:p w14:paraId="3C1FE3EF" w14:textId="5E040271" w:rsidR="00065317" w:rsidRDefault="00FB109E">
      <w:pPr>
        <w:numPr>
          <w:ilvl w:val="0"/>
          <w:numId w:val="52"/>
        </w:numPr>
      </w:pPr>
      <w:r>
        <w:t>l</w:t>
      </w:r>
      <w:r w:rsidR="00E84B0E">
        <w:t>’</w:t>
      </w:r>
      <w:r w:rsidR="005C7BF7">
        <w:t>association de texte libre ou de toute autre donnée non structurée pour exprimer tout ce qui ne peut l</w:t>
      </w:r>
      <w:r w:rsidR="00E84B0E">
        <w:t>’</w:t>
      </w:r>
      <w:r w:rsidR="005C7BF7">
        <w:t>être au moyen des propriétés formelles déclarées.</w:t>
      </w:r>
    </w:p>
    <w:p w14:paraId="2E7809EA" w14:textId="2589F119" w:rsidR="00065317" w:rsidRDefault="005C7BF7">
      <w:pPr>
        <w:pStyle w:val="FirstParagraph"/>
      </w:pPr>
      <w:r>
        <w:t xml:space="preserve">Toutes les autres classes comprises dans le </w:t>
      </w:r>
      <w:r w:rsidR="00C8288F">
        <w:t>CIDOC CRM</w:t>
      </w:r>
      <w:r>
        <w:t xml:space="preserve"> sont directement ou indirectement des sous-classes de </w:t>
      </w:r>
      <w:r>
        <w:rPr>
          <w:rStyle w:val="VerbatimChar"/>
        </w:rPr>
        <w:t>E1_Entité_CRM</w:t>
      </w:r>
      <w:r>
        <w:t>.</w:t>
      </w:r>
    </w:p>
    <w:p w14:paraId="4E21116D" w14:textId="77777777" w:rsidR="00065317" w:rsidRDefault="005C7BF7">
      <w:pPr>
        <w:pStyle w:val="Corpsdetexte"/>
      </w:pPr>
      <w:r>
        <w:rPr>
          <w:b/>
          <w:bCs/>
        </w:rPr>
        <w:t>Exemples</w:t>
      </w:r>
    </w:p>
    <w:p w14:paraId="65A65E02" w14:textId="77777777" w:rsidR="00065317" w:rsidRDefault="005C7BF7">
      <w:pPr>
        <w:numPr>
          <w:ilvl w:val="0"/>
          <w:numId w:val="53"/>
        </w:numPr>
      </w:pPr>
      <w:r>
        <w:t>Le tremblement de terre de Lisbonne en 1755 (</w:t>
      </w:r>
      <w:r>
        <w:rPr>
          <w:rStyle w:val="VerbatimChar"/>
        </w:rPr>
        <w:t>E5_Évènement</w:t>
      </w:r>
      <w:r>
        <w:t>) (Chester, 2001)</w:t>
      </w:r>
    </w:p>
    <w:p w14:paraId="3A7163A5" w14:textId="77777777" w:rsidR="00065317" w:rsidRDefault="005C7BF7">
      <w:pPr>
        <w:pStyle w:val="FirstParagraph"/>
      </w:pPr>
      <w:r>
        <w:rPr>
          <w:b/>
          <w:bCs/>
        </w:rPr>
        <w:t>Logique</w:t>
      </w:r>
    </w:p>
    <w:p w14:paraId="2B088084" w14:textId="77777777" w:rsidR="00065317" w:rsidRDefault="005C7BF7">
      <w:pPr>
        <w:pStyle w:val="Corpsdetexte"/>
      </w:pPr>
      <w:r>
        <w:t>E1(x)</w:t>
      </w:r>
    </w:p>
    <w:p w14:paraId="00371E0D" w14:textId="77777777" w:rsidR="00065317" w:rsidRDefault="005C7BF7">
      <w:pPr>
        <w:pStyle w:val="Corpsdetexte"/>
      </w:pPr>
      <w:r>
        <w:rPr>
          <w:b/>
          <w:bCs/>
        </w:rPr>
        <w:t>Propriétés</w:t>
      </w:r>
    </w:p>
    <w:p w14:paraId="5D8880E2" w14:textId="77777777" w:rsidR="00065317" w:rsidRDefault="005C7BF7">
      <w:pPr>
        <w:pStyle w:val="Corpsdetexte"/>
      </w:pPr>
      <w:r>
        <w:rPr>
          <w:rStyle w:val="VerbatimChar"/>
        </w:rPr>
        <w:t>P1_est_identifié_par (identifie)</w:t>
      </w:r>
      <w:r>
        <w:t xml:space="preserve"> : </w:t>
      </w:r>
      <w:r>
        <w:rPr>
          <w:rStyle w:val="VerbatimChar"/>
        </w:rPr>
        <w:t>E41_Appellation</w:t>
      </w:r>
    </w:p>
    <w:p w14:paraId="58C545BA" w14:textId="77777777" w:rsidR="00065317" w:rsidRDefault="005C7BF7">
      <w:pPr>
        <w:pStyle w:val="Corpsdetexte"/>
      </w:pPr>
      <w:r>
        <w:rPr>
          <w:rStyle w:val="VerbatimChar"/>
        </w:rPr>
        <w:t>P2_a_pour_type (est_le_type_de)</w:t>
      </w:r>
      <w:r>
        <w:t xml:space="preserve"> : </w:t>
      </w:r>
      <w:r>
        <w:rPr>
          <w:rStyle w:val="VerbatimChar"/>
        </w:rPr>
        <w:t>E55_Type</w:t>
      </w:r>
    </w:p>
    <w:p w14:paraId="2310E0D1" w14:textId="77777777" w:rsidR="00065317" w:rsidRDefault="005C7BF7">
      <w:pPr>
        <w:pStyle w:val="Corpsdetexte"/>
      </w:pPr>
      <w:r>
        <w:rPr>
          <w:rStyle w:val="VerbatimChar"/>
        </w:rPr>
        <w:t>P3_a_pour_note</w:t>
      </w:r>
      <w:r>
        <w:t xml:space="preserve"> : </w:t>
      </w:r>
      <w:r>
        <w:rPr>
          <w:rStyle w:val="VerbatimChar"/>
        </w:rPr>
        <w:t xml:space="preserve">E62_Chaîne_de_caractères </w:t>
      </w:r>
      <w:r>
        <w:t>(</w:t>
      </w:r>
      <w:r>
        <w:rPr>
          <w:rStyle w:val="VerbatimChar"/>
        </w:rPr>
        <w:t>P3.1_a_pour_type</w:t>
      </w:r>
      <w:r>
        <w:t xml:space="preserve"> : </w:t>
      </w:r>
      <w:r>
        <w:rPr>
          <w:rStyle w:val="VerbatimChar"/>
        </w:rPr>
        <w:t>E55_Type</w:t>
      </w:r>
      <w:r>
        <w:t>)</w:t>
      </w:r>
    </w:p>
    <w:p w14:paraId="598D6926" w14:textId="264D8FF9" w:rsidR="00065317" w:rsidRDefault="005C7BF7">
      <w:pPr>
        <w:pStyle w:val="Corpsdetexte"/>
      </w:pPr>
      <w:r>
        <w:rPr>
          <w:rStyle w:val="VerbatimChar"/>
        </w:rPr>
        <w:t>P48_a_pour_identifiant_préférentiel (est_l</w:t>
      </w:r>
      <w:r w:rsidR="00E84B0E">
        <w:rPr>
          <w:rStyle w:val="VerbatimChar"/>
        </w:rPr>
        <w:t>’</w:t>
      </w:r>
      <w:r>
        <w:rPr>
          <w:rStyle w:val="VerbatimChar"/>
        </w:rPr>
        <w:t>identifiant_préférentiel_de)</w:t>
      </w:r>
      <w:r>
        <w:t xml:space="preserve"> : </w:t>
      </w:r>
      <w:r>
        <w:rPr>
          <w:rStyle w:val="VerbatimChar"/>
        </w:rPr>
        <w:t>E42_Identifiant</w:t>
      </w:r>
    </w:p>
    <w:p w14:paraId="2107ABA0" w14:textId="77777777" w:rsidR="00065317" w:rsidRDefault="005C7BF7">
      <w:pPr>
        <w:pStyle w:val="Corpsdetexte"/>
      </w:pPr>
      <w:r>
        <w:rPr>
          <w:rStyle w:val="VerbatimChar"/>
        </w:rPr>
        <w:t>P137_exemplifie (est_exemplifié_par)</w:t>
      </w:r>
      <w:r>
        <w:t xml:space="preserve"> : </w:t>
      </w:r>
      <w:r>
        <w:rPr>
          <w:rStyle w:val="VerbatimChar"/>
        </w:rPr>
        <w:t>E55_Type</w:t>
      </w:r>
      <w:r>
        <w:t xml:space="preserve"> (</w:t>
      </w:r>
      <w:r>
        <w:rPr>
          <w:rStyle w:val="VerbatimChar"/>
        </w:rPr>
        <w:t>P137.1_dans_le_rôle_taxonomique_de</w:t>
      </w:r>
      <w:r>
        <w:t xml:space="preserve"> : </w:t>
      </w:r>
      <w:r>
        <w:rPr>
          <w:rStyle w:val="VerbatimChar"/>
        </w:rPr>
        <w:t>E55_Type</w:t>
      </w:r>
      <w:r>
        <w:t>)</w:t>
      </w:r>
    </w:p>
    <w:p w14:paraId="3E4FE447" w14:textId="77777777" w:rsidR="00065317" w:rsidRDefault="005C7BF7">
      <w:pPr>
        <w:pStyle w:val="Normalcentr"/>
      </w:pPr>
      <w:r>
        <w:rPr>
          <w:b/>
          <w:bCs/>
          <w:i/>
          <w:iCs/>
        </w:rPr>
        <w:t>Note de traduction</w:t>
      </w:r>
    </w:p>
    <w:p w14:paraId="19F558C1" w14:textId="7339D2F8" w:rsidR="00065317" w:rsidRDefault="005C7BF7">
      <w:pPr>
        <w:pStyle w:val="Normalcentr"/>
      </w:pPr>
      <w:r>
        <w:t>« Universe of discourse » fait probablement référence à l</w:t>
      </w:r>
      <w:r w:rsidR="00E84B0E">
        <w:t>’</w:t>
      </w:r>
      <w:r>
        <w:t>univers du discours du domaine de la logique.</w:t>
      </w:r>
    </w:p>
    <w:p w14:paraId="745A993C" w14:textId="77777777" w:rsidR="00065317" w:rsidRDefault="005C7BF7">
      <w:pPr>
        <w:pStyle w:val="Normalcentr"/>
      </w:pPr>
      <w:r>
        <w:rPr>
          <w:b/>
          <w:bCs/>
          <w:i/>
          <w:iCs/>
        </w:rPr>
        <w:lastRenderedPageBreak/>
        <w:t>Références</w:t>
      </w:r>
    </w:p>
    <w:p w14:paraId="52B58AAE" w14:textId="40D3C4EB" w:rsidR="00065317" w:rsidRDefault="005C7BF7">
      <w:pPr>
        <w:pStyle w:val="Normalcentr"/>
      </w:pPr>
      <w:r>
        <w:t xml:space="preserve">Wikipédia. « Univers du discours ». </w:t>
      </w:r>
      <w:r w:rsidRPr="00FB109E">
        <w:rPr>
          <w:lang w:val="fr-CA"/>
        </w:rPr>
        <w:t xml:space="preserve">Dans </w:t>
      </w:r>
      <w:r w:rsidRPr="00FB109E">
        <w:rPr>
          <w:i/>
          <w:iCs/>
          <w:lang w:val="fr-CA"/>
        </w:rPr>
        <w:t>Wikip</w:t>
      </w:r>
      <w:r w:rsidR="001458EA">
        <w:rPr>
          <w:i/>
          <w:iCs/>
          <w:lang w:val="fr-CA"/>
        </w:rPr>
        <w:t>é</w:t>
      </w:r>
      <w:r w:rsidRPr="00FB109E">
        <w:rPr>
          <w:i/>
          <w:iCs/>
          <w:lang w:val="fr-CA"/>
        </w:rPr>
        <w:t>dia</w:t>
      </w:r>
      <w:r w:rsidRPr="00FB109E">
        <w:rPr>
          <w:lang w:val="fr-CA"/>
        </w:rPr>
        <w:t xml:space="preserve">. </w:t>
      </w:r>
      <w:r w:rsidRPr="009741EE">
        <w:rPr>
          <w:lang w:val="fr-CA"/>
        </w:rPr>
        <w:t>San Francisco, US-CA: Wikipédia, 28</w:t>
      </w:r>
      <w:r w:rsidR="00056DCD" w:rsidRPr="009741EE">
        <w:rPr>
          <w:lang w:val="fr-CA"/>
        </w:rPr>
        <w:t> janvier </w:t>
      </w:r>
      <w:r w:rsidRPr="009741EE">
        <w:rPr>
          <w:lang w:val="fr-CA"/>
        </w:rPr>
        <w:t>2021.</w:t>
      </w:r>
      <w:hyperlink r:id="rId143">
        <w:r w:rsidRPr="009741EE">
          <w:rPr>
            <w:rStyle w:val="Lienhypertexte"/>
            <w:lang w:val="fr-CA"/>
          </w:rPr>
          <w:t xml:space="preserve"> </w:t>
        </w:r>
      </w:hyperlink>
      <w:hyperlink r:id="rId144">
        <w:r>
          <w:rPr>
            <w:rStyle w:val="Lienhypertexte"/>
          </w:rPr>
          <w:t>https://fr.wikipedia.org/wiki/Univers_du_discours</w:t>
        </w:r>
      </w:hyperlink>
      <w:r>
        <w:t>.</w:t>
      </w:r>
    </w:p>
    <w:p w14:paraId="19962708" w14:textId="77777777" w:rsidR="00065317" w:rsidRPr="00F86224" w:rsidRDefault="005C7BF7" w:rsidP="00FB109E">
      <w:pPr>
        <w:pStyle w:val="Titre3"/>
      </w:pPr>
      <w:bookmarkStart w:id="108" w:name="_Toc154048739"/>
      <w:bookmarkStart w:id="109" w:name="e2-entite-temporelle"/>
      <w:bookmarkEnd w:id="106"/>
      <w:r w:rsidRPr="00F86224">
        <w:t>E2 Entité temporelle</w:t>
      </w:r>
      <w:bookmarkEnd w:id="108"/>
    </w:p>
    <w:p w14:paraId="30640E03" w14:textId="77777777" w:rsidR="00065317" w:rsidRDefault="005C7BF7">
      <w:pPr>
        <w:pStyle w:val="FirstParagraph"/>
      </w:pPr>
      <w:r>
        <w:rPr>
          <w:b/>
          <w:bCs/>
        </w:rPr>
        <w:t>Sous-classe de</w:t>
      </w:r>
    </w:p>
    <w:p w14:paraId="097A5419" w14:textId="77777777" w:rsidR="00065317" w:rsidRDefault="005C7BF7">
      <w:pPr>
        <w:pStyle w:val="Corpsdetexte"/>
      </w:pPr>
      <w:r>
        <w:rPr>
          <w:rStyle w:val="VerbatimChar"/>
        </w:rPr>
        <w:t>E1_Entité_CRM</w:t>
      </w:r>
    </w:p>
    <w:p w14:paraId="34F8EFBE" w14:textId="77777777" w:rsidR="00065317" w:rsidRDefault="005C7BF7">
      <w:pPr>
        <w:pStyle w:val="Corpsdetexte"/>
      </w:pPr>
      <w:r>
        <w:rPr>
          <w:b/>
          <w:bCs/>
        </w:rPr>
        <w:t>Super-classe de</w:t>
      </w:r>
    </w:p>
    <w:p w14:paraId="4D120964" w14:textId="77777777" w:rsidR="00065317" w:rsidRDefault="005C7BF7">
      <w:pPr>
        <w:pStyle w:val="Corpsdetexte"/>
      </w:pPr>
      <w:r>
        <w:rPr>
          <w:rStyle w:val="VerbatimChar"/>
        </w:rPr>
        <w:t>E3_État_matériel</w:t>
      </w:r>
    </w:p>
    <w:p w14:paraId="594F781A" w14:textId="3C41E523" w:rsidR="008E0906" w:rsidRPr="00241DFB" w:rsidRDefault="005C7BF7" w:rsidP="00C86352">
      <w:pPr>
        <w:pStyle w:val="Corpsdetexte"/>
      </w:pPr>
      <w:r>
        <w:rPr>
          <w:rStyle w:val="VerbatimChar"/>
        </w:rPr>
        <w:t>E4_Période</w:t>
      </w:r>
      <w:r>
        <w:t xml:space="preserve"> </w:t>
      </w:r>
    </w:p>
    <w:p w14:paraId="1F6641F2" w14:textId="46000DB7" w:rsidR="00065317" w:rsidRDefault="005C7BF7">
      <w:pPr>
        <w:pStyle w:val="Corpsdetexte"/>
      </w:pPr>
      <w:r>
        <w:rPr>
          <w:b/>
          <w:bCs/>
        </w:rPr>
        <w:t>Note d</w:t>
      </w:r>
      <w:r w:rsidR="00E84B0E">
        <w:rPr>
          <w:b/>
          <w:bCs/>
        </w:rPr>
        <w:t>’</w:t>
      </w:r>
      <w:r>
        <w:rPr>
          <w:b/>
          <w:bCs/>
        </w:rPr>
        <w:t>application</w:t>
      </w:r>
    </w:p>
    <w:p w14:paraId="30FC93DE" w14:textId="77777777" w:rsidR="00065317" w:rsidRDefault="005C7BF7">
      <w:pPr>
        <w:pStyle w:val="Corpsdetexte"/>
      </w:pPr>
      <w:r>
        <w:t xml:space="preserve">Cette classe comprend tous les phénomènes, tels que les instances de </w:t>
      </w:r>
      <w:r>
        <w:rPr>
          <w:rStyle w:val="VerbatimChar"/>
        </w:rPr>
        <w:t>E4_Période</w:t>
      </w:r>
      <w:r>
        <w:t xml:space="preserve"> et de </w:t>
      </w:r>
      <w:r>
        <w:rPr>
          <w:rStyle w:val="VerbatimChar"/>
        </w:rPr>
        <w:t>E5_Évènement</w:t>
      </w:r>
      <w:r>
        <w:t>, qui se produisent sur une étendue de temps limitée.</w:t>
      </w:r>
    </w:p>
    <w:p w14:paraId="64C172E7" w14:textId="01179C87" w:rsidR="00065317" w:rsidRDefault="005C7BF7">
      <w:pPr>
        <w:pStyle w:val="Corpsdetexte"/>
      </w:pPr>
      <w:r>
        <w:t xml:space="preserve">Cette étendue de temps doit être continue, c.-à-d. sans interruption. Dans le cas où les types de phénomènes qui définissent une instance de </w:t>
      </w:r>
      <w:r>
        <w:rPr>
          <w:rStyle w:val="VerbatimChar"/>
        </w:rPr>
        <w:t>E2_Entité_temporelle</w:t>
      </w:r>
      <w:r>
        <w:t xml:space="preserve"> cessent de se produire, puis se produisent de nouveau à un autre moment, il est considéré que l</w:t>
      </w:r>
      <w:r w:rsidR="00E84B0E">
        <w:t>’</w:t>
      </w:r>
      <w:r>
        <w:t xml:space="preserve">instance initiale de </w:t>
      </w:r>
      <w:r>
        <w:rPr>
          <w:rStyle w:val="VerbatimChar"/>
        </w:rPr>
        <w:t>E2_Entité_temporelle</w:t>
      </w:r>
      <w:r>
        <w:t xml:space="preserve"> est terminée et qu</w:t>
      </w:r>
      <w:r w:rsidR="00E84B0E">
        <w:t>’</w:t>
      </w:r>
      <w:r>
        <w:t>une nouvelle instance a vu le jour. En des termes plus intuitifs, le même évènement ne peut se produire deux fois. Dans certains contextes, de tels phénomènes sont aussi appelés « perdurants » [</w:t>
      </w:r>
      <w:r w:rsidR="00AF51A3">
        <w:t xml:space="preserve">n.d.t. </w:t>
      </w:r>
      <w:r>
        <w:t>en philosophie].</w:t>
      </w:r>
    </w:p>
    <w:p w14:paraId="6C61FE27" w14:textId="033FB6E1" w:rsidR="00065317" w:rsidRDefault="005C7BF7">
      <w:pPr>
        <w:pStyle w:val="Corpsdetexte"/>
      </w:pPr>
      <w:r>
        <w:t xml:space="preserve">Cette classe est disjointe de la classe </w:t>
      </w:r>
      <w:r>
        <w:rPr>
          <w:rStyle w:val="VerbatimChar"/>
        </w:rPr>
        <w:t>E77_Entité_persistante</w:t>
      </w:r>
      <w:r>
        <w:t xml:space="preserve"> et elle est une classe abstraite qui, typiquement, ne contient pas d</w:t>
      </w:r>
      <w:r w:rsidR="00E84B0E">
        <w:t>’</w:t>
      </w:r>
      <w:r>
        <w:t xml:space="preserve">instances directes. La classe </w:t>
      </w:r>
      <w:r>
        <w:rPr>
          <w:rStyle w:val="VerbatimChar"/>
        </w:rPr>
        <w:t>E2_Entité_temporelle</w:t>
      </w:r>
      <w:r>
        <w:t xml:space="preserve"> est précisée dans les classes</w:t>
      </w:r>
      <w:r w:rsidR="008D582B">
        <w:t> :</w:t>
      </w:r>
    </w:p>
    <w:p w14:paraId="06601023" w14:textId="3DB0E63E" w:rsidR="00065317" w:rsidRDefault="005C7BF7">
      <w:pPr>
        <w:numPr>
          <w:ilvl w:val="0"/>
          <w:numId w:val="54"/>
        </w:numPr>
      </w:pPr>
      <w:r>
        <w:rPr>
          <w:rStyle w:val="VerbatimChar"/>
        </w:rPr>
        <w:t>E4_Période</w:t>
      </w:r>
      <w:r>
        <w:t>, qui s</w:t>
      </w:r>
      <w:r w:rsidR="00E84B0E">
        <w:t>’</w:t>
      </w:r>
      <w:r>
        <w:t>applique à une zone géographique spécifique (définie avec un degré de précision plus ou moins grand);</w:t>
      </w:r>
    </w:p>
    <w:p w14:paraId="2E57CCD5" w14:textId="6052BE65" w:rsidR="00065317" w:rsidRDefault="005C7BF7">
      <w:pPr>
        <w:numPr>
          <w:ilvl w:val="0"/>
          <w:numId w:val="54"/>
        </w:numPr>
      </w:pPr>
      <w:r>
        <w:rPr>
          <w:rStyle w:val="VerbatimChar"/>
        </w:rPr>
        <w:t>E3_État_matériel</w:t>
      </w:r>
      <w:r>
        <w:t>, qui s</w:t>
      </w:r>
      <w:r w:rsidR="00E84B0E">
        <w:t>’</w:t>
      </w:r>
      <w:r>
        <w:t xml:space="preserve">applique aux instances de </w:t>
      </w:r>
      <w:r>
        <w:rPr>
          <w:rStyle w:val="VerbatimChar"/>
        </w:rPr>
        <w:t>E18_Chose_matérielle</w:t>
      </w:r>
      <w:r>
        <w:t>.</w:t>
      </w:r>
    </w:p>
    <w:p w14:paraId="7959D11B" w14:textId="77777777" w:rsidR="00065317" w:rsidRDefault="005C7BF7">
      <w:pPr>
        <w:pStyle w:val="FirstParagraph"/>
      </w:pPr>
      <w:r>
        <w:rPr>
          <w:b/>
          <w:bCs/>
        </w:rPr>
        <w:t>Exemples</w:t>
      </w:r>
    </w:p>
    <w:p w14:paraId="05B7EED3" w14:textId="15BD03E6" w:rsidR="00065317" w:rsidRDefault="005C7BF7">
      <w:pPr>
        <w:numPr>
          <w:ilvl w:val="0"/>
          <w:numId w:val="55"/>
        </w:numPr>
      </w:pPr>
      <w:r>
        <w:t>L</w:t>
      </w:r>
      <w:r w:rsidR="00E84B0E">
        <w:t>’</w:t>
      </w:r>
      <w:r>
        <w:t>Âge du bronze (</w:t>
      </w:r>
      <w:r>
        <w:rPr>
          <w:rStyle w:val="VerbatimChar"/>
        </w:rPr>
        <w:t>E4_Période</w:t>
      </w:r>
      <w:r>
        <w:t>) (Childe, 1963)</w:t>
      </w:r>
    </w:p>
    <w:p w14:paraId="7C51CB6C" w14:textId="77777777" w:rsidR="00065317" w:rsidRDefault="005C7BF7">
      <w:pPr>
        <w:numPr>
          <w:ilvl w:val="0"/>
          <w:numId w:val="55"/>
        </w:numPr>
      </w:pPr>
      <w:r>
        <w:t>Le tremblement de terre de 1755 à Lisbonne (</w:t>
      </w:r>
      <w:r>
        <w:rPr>
          <w:rStyle w:val="VerbatimChar"/>
        </w:rPr>
        <w:t>E5_Évènement</w:t>
      </w:r>
      <w:r>
        <w:t>) (Chester, 2001)</w:t>
      </w:r>
    </w:p>
    <w:p w14:paraId="68F5E5F8" w14:textId="77777777" w:rsidR="00065317" w:rsidRDefault="005C7BF7">
      <w:pPr>
        <w:numPr>
          <w:ilvl w:val="0"/>
          <w:numId w:val="55"/>
        </w:numPr>
      </w:pPr>
      <w:r>
        <w:t>Le Palais de Peterhof près de Saint-Pétersbourg, en ruines de 1944 à 1946 (</w:t>
      </w:r>
      <w:r>
        <w:rPr>
          <w:rStyle w:val="VerbatimChar"/>
        </w:rPr>
        <w:t>E3_État_matériel</w:t>
      </w:r>
      <w:r>
        <w:t>) (Maddox, 2015)</w:t>
      </w:r>
    </w:p>
    <w:p w14:paraId="3C843F20" w14:textId="77777777" w:rsidR="00065317" w:rsidRDefault="005C7BF7">
      <w:pPr>
        <w:pStyle w:val="FirstParagraph"/>
      </w:pPr>
      <w:r>
        <w:rPr>
          <w:b/>
          <w:bCs/>
        </w:rPr>
        <w:t>Logique</w:t>
      </w:r>
    </w:p>
    <w:p w14:paraId="387674E9" w14:textId="77777777" w:rsidR="00065317" w:rsidRDefault="005C7BF7">
      <w:pPr>
        <w:pStyle w:val="Corpsdetexte"/>
      </w:pPr>
      <w:r>
        <w:t>E2(x) ⇒ E1(x)</w:t>
      </w:r>
    </w:p>
    <w:p w14:paraId="6EB6F96A" w14:textId="77777777" w:rsidR="00C86352" w:rsidRDefault="00C86352">
      <w:pPr>
        <w:spacing w:after="0"/>
        <w:rPr>
          <w:b/>
          <w:bCs/>
        </w:rPr>
      </w:pPr>
      <w:r>
        <w:rPr>
          <w:b/>
          <w:bCs/>
        </w:rPr>
        <w:br w:type="page"/>
      </w:r>
    </w:p>
    <w:p w14:paraId="336FD0A8" w14:textId="470039D2" w:rsidR="00065317" w:rsidRDefault="005C7BF7">
      <w:pPr>
        <w:pStyle w:val="Corpsdetexte"/>
      </w:pPr>
      <w:r>
        <w:rPr>
          <w:b/>
          <w:bCs/>
        </w:rPr>
        <w:lastRenderedPageBreak/>
        <w:t>Propriétés</w:t>
      </w:r>
    </w:p>
    <w:p w14:paraId="63A497D8" w14:textId="5744C6A7" w:rsidR="00065317" w:rsidRDefault="005C7BF7">
      <w:pPr>
        <w:pStyle w:val="Corpsdetexte"/>
      </w:pPr>
      <w:r>
        <w:rPr>
          <w:rStyle w:val="VerbatimChar"/>
        </w:rPr>
        <w:t>P4_a_pour_intervalle_temporel (est_l</w:t>
      </w:r>
      <w:r w:rsidR="00E84B0E">
        <w:rPr>
          <w:rStyle w:val="VerbatimChar"/>
        </w:rPr>
        <w:t>’</w:t>
      </w:r>
      <w:r>
        <w:rPr>
          <w:rStyle w:val="VerbatimChar"/>
        </w:rPr>
        <w:t>intervalle_temporel_de)</w:t>
      </w:r>
      <w:r>
        <w:t xml:space="preserve"> : </w:t>
      </w:r>
      <w:r>
        <w:rPr>
          <w:rStyle w:val="VerbatimChar"/>
        </w:rPr>
        <w:t>E52_Intervalle_temporel</w:t>
      </w:r>
    </w:p>
    <w:p w14:paraId="1A66058B" w14:textId="48475B0C" w:rsidR="00065317" w:rsidRDefault="005C7BF7">
      <w:pPr>
        <w:pStyle w:val="Corpsdetexte"/>
      </w:pPr>
      <w:r>
        <w:rPr>
          <w:rStyle w:val="VerbatimChar"/>
        </w:rPr>
        <w:t>P173_commence_avant_ou_au_moment_de_la_fin_de (se_termine_après_ou_au_moment_du_début_de)</w:t>
      </w:r>
      <w:r w:rsidR="008D582B">
        <w:t> </w:t>
      </w:r>
      <w:r>
        <w:t xml:space="preserve">: </w:t>
      </w:r>
      <w:r>
        <w:rPr>
          <w:rStyle w:val="VerbatimChar"/>
        </w:rPr>
        <w:t>E2_Entité_temporelle</w:t>
      </w:r>
    </w:p>
    <w:p w14:paraId="56EF7897" w14:textId="77777777" w:rsidR="00065317" w:rsidRDefault="005C7BF7">
      <w:pPr>
        <w:pStyle w:val="Corpsdetexte"/>
      </w:pPr>
      <w:r>
        <w:rPr>
          <w:rStyle w:val="VerbatimChar"/>
        </w:rPr>
        <w:t>P174_commence_avant_la_fin_de (se_termine_après_le_début_de)</w:t>
      </w:r>
      <w:r>
        <w:t xml:space="preserve"> : </w:t>
      </w:r>
      <w:r>
        <w:rPr>
          <w:rStyle w:val="VerbatimChar"/>
        </w:rPr>
        <w:t>E2_Entité_temporelle</w:t>
      </w:r>
    </w:p>
    <w:p w14:paraId="3BF2238E" w14:textId="77777777" w:rsidR="00065317" w:rsidRDefault="005C7BF7">
      <w:pPr>
        <w:pStyle w:val="Corpsdetexte"/>
      </w:pPr>
      <w:r>
        <w:rPr>
          <w:rStyle w:val="VerbatimChar"/>
        </w:rPr>
        <w:t>P175_commence_avant_ou_au_moment_du_début_de (commence_après_ou_au_moment_du_début_de)</w:t>
      </w:r>
      <w:r>
        <w:t xml:space="preserve"> : </w:t>
      </w:r>
      <w:r>
        <w:rPr>
          <w:rStyle w:val="VerbatimChar"/>
        </w:rPr>
        <w:t>E2_Entité_temporelle</w:t>
      </w:r>
    </w:p>
    <w:p w14:paraId="534ACB3D" w14:textId="77777777" w:rsidR="00065317" w:rsidRDefault="005C7BF7">
      <w:pPr>
        <w:pStyle w:val="Corpsdetexte"/>
      </w:pPr>
      <w:r>
        <w:rPr>
          <w:rStyle w:val="VerbatimChar"/>
        </w:rPr>
        <w:t>P176_commence_avant_le_début_de (commence_après_le_début_de)</w:t>
      </w:r>
      <w:r>
        <w:t xml:space="preserve"> : </w:t>
      </w:r>
      <w:r>
        <w:rPr>
          <w:rStyle w:val="VerbatimChar"/>
        </w:rPr>
        <w:t>E2_Entité_temporelle</w:t>
      </w:r>
    </w:p>
    <w:p w14:paraId="7763B607" w14:textId="3DD06704" w:rsidR="00065317" w:rsidRDefault="005C7BF7">
      <w:pPr>
        <w:pStyle w:val="Corpsdetexte"/>
      </w:pPr>
      <w:r>
        <w:rPr>
          <w:rStyle w:val="VerbatimChar"/>
        </w:rPr>
        <w:t>P182_se_termine_avant_ou_au_moment_du_début_de (commence_après_ou_au_moment_de_la_fin_de)</w:t>
      </w:r>
      <w:r w:rsidR="008D582B">
        <w:t> </w:t>
      </w:r>
      <w:r>
        <w:t xml:space="preserve">: </w:t>
      </w:r>
      <w:r>
        <w:rPr>
          <w:rStyle w:val="VerbatimChar"/>
        </w:rPr>
        <w:t>E2_Entité_temporelle</w:t>
      </w:r>
    </w:p>
    <w:p w14:paraId="474B26B3" w14:textId="77777777" w:rsidR="00065317" w:rsidRDefault="005C7BF7">
      <w:pPr>
        <w:pStyle w:val="Corpsdetexte"/>
      </w:pPr>
      <w:r>
        <w:rPr>
          <w:rStyle w:val="VerbatimChar"/>
        </w:rPr>
        <w:t>P183_se_termine_avant_le_début_de (commence_après_la_fin_de)</w:t>
      </w:r>
      <w:r>
        <w:t xml:space="preserve"> : </w:t>
      </w:r>
      <w:r>
        <w:rPr>
          <w:rStyle w:val="VerbatimChar"/>
        </w:rPr>
        <w:t>E2_Entité_temporelle</w:t>
      </w:r>
    </w:p>
    <w:p w14:paraId="29187A1E" w14:textId="7F0CDB4B" w:rsidR="00065317" w:rsidRDefault="005C7BF7">
      <w:pPr>
        <w:pStyle w:val="Corpsdetexte"/>
      </w:pPr>
      <w:r>
        <w:rPr>
          <w:rStyle w:val="VerbatimChar"/>
        </w:rPr>
        <w:t>P184_se_termine_avant_ou_au_moment_de_la_fin_de (se_termine_au_moment_ou_après_la_fin_de)</w:t>
      </w:r>
      <w:r w:rsidR="008D582B">
        <w:t> </w:t>
      </w:r>
      <w:r>
        <w:t xml:space="preserve">: </w:t>
      </w:r>
      <w:r>
        <w:rPr>
          <w:rStyle w:val="VerbatimChar"/>
        </w:rPr>
        <w:t>E2_Entité_temporelle</w:t>
      </w:r>
    </w:p>
    <w:p w14:paraId="489FE2B3" w14:textId="0615D0DF" w:rsidR="008E0906" w:rsidRPr="008D39EE" w:rsidRDefault="005C7BF7" w:rsidP="00C86352">
      <w:pPr>
        <w:pStyle w:val="Corpsdetexte"/>
        <w:rPr>
          <w:rFonts w:ascii="Consolas" w:hAnsi="Consolas"/>
          <w:sz w:val="22"/>
          <w:shd w:val="clear" w:color="auto" w:fill="EAEEF3"/>
        </w:rPr>
      </w:pPr>
      <w:r>
        <w:rPr>
          <w:rStyle w:val="VerbatimChar"/>
        </w:rPr>
        <w:t>P185_se_termine_avant_la_fin_de (se_termine_après_la_fin_de)</w:t>
      </w:r>
      <w:r>
        <w:t xml:space="preserve"> : </w:t>
      </w:r>
      <w:r>
        <w:rPr>
          <w:rStyle w:val="VerbatimChar"/>
        </w:rPr>
        <w:t>E2_Entité_temporelle</w:t>
      </w:r>
    </w:p>
    <w:p w14:paraId="5FA4C845" w14:textId="352EE05C" w:rsidR="00065317" w:rsidRDefault="005C7BF7">
      <w:pPr>
        <w:pStyle w:val="Normalcentr"/>
      </w:pPr>
      <w:r>
        <w:rPr>
          <w:b/>
          <w:bCs/>
          <w:i/>
          <w:iCs/>
        </w:rPr>
        <w:t>Note de traduction</w:t>
      </w:r>
    </w:p>
    <w:p w14:paraId="4FA3EFE8" w14:textId="77777777" w:rsidR="00065317" w:rsidRDefault="005C7BF7">
      <w:pPr>
        <w:pStyle w:val="Normalcentr"/>
      </w:pPr>
      <w:r>
        <w:t>Le terme « continue » plutôt que « contiguë » a été retenu pour référer à la période de temps, car le terme « contigu » doit plutôt être utilisé pour parler de deux choses distinctes qui sont rapprochées par le sens ou par le temps.</w:t>
      </w:r>
    </w:p>
    <w:p w14:paraId="5F378640" w14:textId="1CF9BB45" w:rsidR="00065317" w:rsidRDefault="005C7BF7">
      <w:pPr>
        <w:pStyle w:val="Normalcentr"/>
      </w:pPr>
      <w:r>
        <w:t>La précision par rapport au domaine d</w:t>
      </w:r>
      <w:r w:rsidR="00E84B0E">
        <w:t>’</w:t>
      </w:r>
      <w:r>
        <w:t xml:space="preserve">utilisation du terme « perdurant » (la philosophie) vise à le clarifier et est déduite de la description du terme « endurant » à la classe </w:t>
      </w:r>
      <w:r>
        <w:rPr>
          <w:rStyle w:val="VerbatimChar"/>
        </w:rPr>
        <w:t>E77_Entité_persistante</w:t>
      </w:r>
      <w:r>
        <w:t>.</w:t>
      </w:r>
    </w:p>
    <w:p w14:paraId="0191E663" w14:textId="2B45BA18" w:rsidR="00065317" w:rsidRDefault="005C7BF7" w:rsidP="00D746C9">
      <w:pPr>
        <w:pStyle w:val="Normalcentr"/>
      </w:pPr>
      <w:r>
        <w:rPr>
          <w:b/>
          <w:bCs/>
          <w:i/>
          <w:iCs/>
        </w:rPr>
        <w:t>Références</w:t>
      </w:r>
    </w:p>
    <w:p w14:paraId="55400276" w14:textId="77777777" w:rsidR="00065317" w:rsidRDefault="005C7BF7" w:rsidP="00FB109E">
      <w:pPr>
        <w:pStyle w:val="Titre3"/>
      </w:pPr>
      <w:bookmarkStart w:id="110" w:name="_Toc154048740"/>
      <w:bookmarkStart w:id="111" w:name="e3-etat-materiel"/>
      <w:bookmarkEnd w:id="109"/>
      <w:r>
        <w:t>E3 État matériel</w:t>
      </w:r>
      <w:bookmarkEnd w:id="110"/>
    </w:p>
    <w:p w14:paraId="13AB3FF0" w14:textId="77777777" w:rsidR="00065317" w:rsidRDefault="005C7BF7">
      <w:pPr>
        <w:pStyle w:val="FirstParagraph"/>
      </w:pPr>
      <w:r>
        <w:rPr>
          <w:b/>
          <w:bCs/>
        </w:rPr>
        <w:t>Sous-classe de</w:t>
      </w:r>
    </w:p>
    <w:p w14:paraId="2BC09BAD" w14:textId="77777777" w:rsidR="00065317" w:rsidRDefault="005C7BF7">
      <w:pPr>
        <w:pStyle w:val="Corpsdetexte"/>
      </w:pPr>
      <w:r>
        <w:rPr>
          <w:rStyle w:val="VerbatimChar"/>
        </w:rPr>
        <w:t>E2_Entité_temporelle</w:t>
      </w:r>
    </w:p>
    <w:p w14:paraId="22C6EEDE" w14:textId="09DDF1BB" w:rsidR="003F44C6" w:rsidRPr="003F44C6" w:rsidRDefault="005C7BF7">
      <w:pPr>
        <w:pStyle w:val="Corpsdetexte"/>
        <w:rPr>
          <w:b/>
          <w:bCs/>
        </w:rPr>
      </w:pPr>
      <w:r>
        <w:rPr>
          <w:b/>
          <w:bCs/>
        </w:rPr>
        <w:t>Super-classe de</w:t>
      </w:r>
    </w:p>
    <w:p w14:paraId="69DFA2E7" w14:textId="05DC501B" w:rsidR="00065317" w:rsidRDefault="005C7BF7">
      <w:pPr>
        <w:pStyle w:val="Corpsdetexte"/>
      </w:pPr>
      <w:r>
        <w:rPr>
          <w:b/>
          <w:bCs/>
        </w:rPr>
        <w:t>Note d</w:t>
      </w:r>
      <w:r w:rsidR="00E84B0E">
        <w:rPr>
          <w:b/>
          <w:bCs/>
        </w:rPr>
        <w:t>’</w:t>
      </w:r>
      <w:r>
        <w:rPr>
          <w:b/>
          <w:bCs/>
        </w:rPr>
        <w:t>application</w:t>
      </w:r>
    </w:p>
    <w:p w14:paraId="437965D6" w14:textId="5ED106D6" w:rsidR="00065317" w:rsidRDefault="005C7BF7">
      <w:pPr>
        <w:pStyle w:val="Corpsdetexte"/>
      </w:pPr>
      <w:r>
        <w:t>Cette classe comprend les états d</w:t>
      </w:r>
      <w:r w:rsidR="00E84B0E">
        <w:t>’</w:t>
      </w:r>
      <w:r>
        <w:t>objets caractérisés par une condition donnée sur un intervalle de temps.</w:t>
      </w:r>
    </w:p>
    <w:p w14:paraId="2344AE7E" w14:textId="256C3904" w:rsidR="00065317" w:rsidRDefault="005C7BF7">
      <w:pPr>
        <w:pStyle w:val="Corpsdetexte"/>
      </w:pPr>
      <w:r>
        <w:t xml:space="preserve">Une instance de </w:t>
      </w:r>
      <w:r>
        <w:rPr>
          <w:rStyle w:val="VerbatimChar"/>
        </w:rPr>
        <w:t>E3_État_matériel</w:t>
      </w:r>
      <w:r>
        <w:t xml:space="preserve"> décrit l</w:t>
      </w:r>
      <w:r w:rsidR="00E84B0E">
        <w:t>’</w:t>
      </w:r>
      <w:r>
        <w:t>état physique dominant de tout objet matériel ou caractéristique au cours d</w:t>
      </w:r>
      <w:r w:rsidR="00E84B0E">
        <w:t>’</w:t>
      </w:r>
      <w:r>
        <w:t xml:space="preserve">une instance spécifique de </w:t>
      </w:r>
      <w:r>
        <w:rPr>
          <w:rStyle w:val="VerbatimChar"/>
        </w:rPr>
        <w:t>E52_Intervalle_temporel</w:t>
      </w:r>
      <w:r>
        <w:t>. En général, l</w:t>
      </w:r>
      <w:r w:rsidR="00E84B0E">
        <w:t>’</w:t>
      </w:r>
      <w:r>
        <w:t>intervalle temporel pour lequel une condition donnée peut être affirmée peut être plus court que l</w:t>
      </w:r>
      <w:r w:rsidR="00E84B0E">
        <w:t>’</w:t>
      </w:r>
      <w:r>
        <w:t>intervalle temporel réel pour lequel cette condition a été valide.</w:t>
      </w:r>
    </w:p>
    <w:p w14:paraId="1CE6D2E5" w14:textId="0A6072D8" w:rsidR="00065317" w:rsidRDefault="005C7BF7">
      <w:pPr>
        <w:pStyle w:val="Corpsdetexte"/>
      </w:pPr>
      <w:r>
        <w:t xml:space="preserve">La nature de cette condition peut être décrite en utilisant </w:t>
      </w:r>
      <w:r>
        <w:rPr>
          <w:rStyle w:val="VerbatimChar"/>
        </w:rPr>
        <w:t>P2_a_pour_type</w:t>
      </w:r>
      <w:r>
        <w:t>. Par exemple, l</w:t>
      </w:r>
      <w:r w:rsidR="00E84B0E">
        <w:t>’</w:t>
      </w:r>
      <w:r>
        <w:t xml:space="preserve">instance de </w:t>
      </w:r>
      <w:r>
        <w:rPr>
          <w:rStyle w:val="VerbatimChar"/>
        </w:rPr>
        <w:t>E3_État_matériel</w:t>
      </w:r>
      <w:r>
        <w:t xml:space="preserve"> « état du SS Great Britain entre le 22</w:t>
      </w:r>
      <w:r w:rsidR="00056DCD">
        <w:t> septembre </w:t>
      </w:r>
      <w:r>
        <w:t>1846 et le 27</w:t>
      </w:r>
      <w:r w:rsidR="00056DCD">
        <w:t> août </w:t>
      </w:r>
      <w:r>
        <w:t xml:space="preserve">1847 » peut être caractérisée comme une instance de </w:t>
      </w:r>
      <w:r>
        <w:rPr>
          <w:rStyle w:val="VerbatimChar"/>
        </w:rPr>
        <w:t>E55_Type</w:t>
      </w:r>
      <w:r>
        <w:t xml:space="preserve"> « épave ».</w:t>
      </w:r>
    </w:p>
    <w:p w14:paraId="658EBCDF" w14:textId="77777777" w:rsidR="00C86352" w:rsidRDefault="00C86352">
      <w:pPr>
        <w:spacing w:after="0"/>
        <w:rPr>
          <w:b/>
          <w:bCs/>
        </w:rPr>
      </w:pPr>
      <w:r>
        <w:rPr>
          <w:b/>
          <w:bCs/>
        </w:rPr>
        <w:br w:type="page"/>
      </w:r>
    </w:p>
    <w:p w14:paraId="5E355ABB" w14:textId="0DFAB216" w:rsidR="00065317" w:rsidRDefault="005C7BF7">
      <w:pPr>
        <w:pStyle w:val="Corpsdetexte"/>
      </w:pPr>
      <w:r>
        <w:rPr>
          <w:b/>
          <w:bCs/>
        </w:rPr>
        <w:lastRenderedPageBreak/>
        <w:t>Exemples</w:t>
      </w:r>
    </w:p>
    <w:p w14:paraId="3FE692F9" w14:textId="71645B4C" w:rsidR="00065317" w:rsidRDefault="005C7BF7">
      <w:pPr>
        <w:numPr>
          <w:ilvl w:val="0"/>
          <w:numId w:val="56"/>
        </w:numPr>
      </w:pPr>
      <w:r>
        <w:t>L</w:t>
      </w:r>
      <w:r w:rsidR="00E84B0E">
        <w:t>’</w:t>
      </w:r>
      <w:r>
        <w:t>état « reconstruit » de la Chambre d</w:t>
      </w:r>
      <w:r w:rsidR="00E84B0E">
        <w:t>’</w:t>
      </w:r>
      <w:r>
        <w:t>ambre à Tsarskoïe Selo de l</w:t>
      </w:r>
      <w:r w:rsidR="00E84B0E">
        <w:t>’</w:t>
      </w:r>
      <w:r>
        <w:t>été 2003 à aujourd</w:t>
      </w:r>
      <w:r w:rsidR="00E84B0E">
        <w:t>’</w:t>
      </w:r>
      <w:r>
        <w:t>hui (Owen, 2009)</w:t>
      </w:r>
    </w:p>
    <w:p w14:paraId="0BA12889" w14:textId="1524ADC7" w:rsidR="00065317" w:rsidRDefault="005C7BF7">
      <w:pPr>
        <w:numPr>
          <w:ilvl w:val="0"/>
          <w:numId w:val="56"/>
        </w:numPr>
      </w:pPr>
      <w:r>
        <w:t>L</w:t>
      </w:r>
      <w:r w:rsidR="00E84B0E">
        <w:t>’</w:t>
      </w:r>
      <w:r>
        <w:t>état « en ruine » du palais de Peterhof près de Saint-Pétersbourg de 1944 à 1946 (Maddox, 2015)</w:t>
      </w:r>
    </w:p>
    <w:p w14:paraId="409CCD96" w14:textId="171BF3C8" w:rsidR="00065317" w:rsidRDefault="005C7BF7">
      <w:pPr>
        <w:numPr>
          <w:ilvl w:val="0"/>
          <w:numId w:val="56"/>
        </w:numPr>
      </w:pPr>
      <w:r>
        <w:t>L</w:t>
      </w:r>
      <w:r w:rsidR="00E84B0E">
        <w:t>’</w:t>
      </w:r>
      <w:r>
        <w:t>état de ma dinde au four à 14h30 le 25</w:t>
      </w:r>
      <w:r w:rsidR="00056DCD">
        <w:t> décembre </w:t>
      </w:r>
      <w:r>
        <w:t>2002 [</w:t>
      </w:r>
      <w:r>
        <w:rPr>
          <w:rStyle w:val="VerbatimChar"/>
        </w:rPr>
        <w:t>P2_a_pour_type</w:t>
      </w:r>
      <w:r>
        <w:t xml:space="preserve"> : </w:t>
      </w:r>
      <w:r>
        <w:rPr>
          <w:rStyle w:val="VerbatimChar"/>
        </w:rPr>
        <w:t>E55_Type</w:t>
      </w:r>
      <w:r>
        <w:t xml:space="preserve"> « pas encore cuite »] (fictif)</w:t>
      </w:r>
    </w:p>
    <w:p w14:paraId="5A87C7B6" w14:textId="41F68238" w:rsidR="00065317" w:rsidRDefault="005C7BF7">
      <w:pPr>
        <w:numPr>
          <w:ilvl w:val="0"/>
          <w:numId w:val="56"/>
        </w:numPr>
      </w:pPr>
      <w:r>
        <w:t>La topographie des feuilles du livre imprimé du Mont Sinaï 3234.2361 le 10</w:t>
      </w:r>
      <w:r w:rsidR="00056DCD">
        <w:t> juillet </w:t>
      </w:r>
      <w:r>
        <w:t>2007 [</w:t>
      </w:r>
      <w:r>
        <w:rPr>
          <w:rStyle w:val="VerbatimChar"/>
        </w:rPr>
        <w:t>P2_a_pour_type</w:t>
      </w:r>
      <w:r>
        <w:t xml:space="preserve"> : </w:t>
      </w:r>
      <w:r>
        <w:rPr>
          <w:rStyle w:val="VerbatimChar"/>
        </w:rPr>
        <w:t>E55_Type</w:t>
      </w:r>
      <w:r>
        <w:t xml:space="preserve"> « gondolé »] (fictif)</w:t>
      </w:r>
    </w:p>
    <w:p w14:paraId="26057141" w14:textId="77777777" w:rsidR="00065317" w:rsidRDefault="005C7BF7">
      <w:pPr>
        <w:pStyle w:val="FirstParagraph"/>
      </w:pPr>
      <w:r>
        <w:rPr>
          <w:b/>
          <w:bCs/>
        </w:rPr>
        <w:t>Logique</w:t>
      </w:r>
    </w:p>
    <w:p w14:paraId="39D67FD0" w14:textId="77777777" w:rsidR="00065317" w:rsidRDefault="005C7BF7">
      <w:pPr>
        <w:pStyle w:val="Corpsdetexte"/>
      </w:pPr>
      <w:r>
        <w:t>E3(x) ⇒ E2(x)</w:t>
      </w:r>
    </w:p>
    <w:p w14:paraId="74F2270D" w14:textId="77777777" w:rsidR="00065317" w:rsidRDefault="005C7BF7">
      <w:pPr>
        <w:pStyle w:val="Corpsdetexte"/>
      </w:pPr>
      <w:r>
        <w:rPr>
          <w:b/>
          <w:bCs/>
        </w:rPr>
        <w:t>Propriétés</w:t>
      </w:r>
    </w:p>
    <w:p w14:paraId="08D10B6C" w14:textId="77777777" w:rsidR="00065317" w:rsidRDefault="005C7BF7">
      <w:pPr>
        <w:pStyle w:val="Corpsdetexte"/>
      </w:pPr>
      <w:r>
        <w:rPr>
          <w:rStyle w:val="VerbatimChar"/>
        </w:rPr>
        <w:t>P5_comprend (fait_partie_de)</w:t>
      </w:r>
      <w:r>
        <w:t xml:space="preserve"> : </w:t>
      </w:r>
      <w:r>
        <w:rPr>
          <w:rStyle w:val="VerbatimChar"/>
        </w:rPr>
        <w:t>E3_État_matériel</w:t>
      </w:r>
    </w:p>
    <w:p w14:paraId="56AFDEB6" w14:textId="77777777" w:rsidR="00065317" w:rsidRDefault="005C7BF7">
      <w:pPr>
        <w:pStyle w:val="Normalcentr"/>
      </w:pPr>
      <w:r>
        <w:rPr>
          <w:b/>
          <w:bCs/>
          <w:i/>
          <w:iCs/>
        </w:rPr>
        <w:t>Note de traduction</w:t>
      </w:r>
    </w:p>
    <w:p w14:paraId="79599724" w14:textId="46529322" w:rsidR="00065317" w:rsidRDefault="005C7BF7" w:rsidP="00D746C9">
      <w:pPr>
        <w:pStyle w:val="Normalcentr"/>
      </w:pPr>
      <w:r>
        <w:rPr>
          <w:b/>
          <w:bCs/>
          <w:i/>
          <w:iCs/>
        </w:rPr>
        <w:t>Références</w:t>
      </w:r>
    </w:p>
    <w:p w14:paraId="7D084C0A" w14:textId="77777777" w:rsidR="00065317" w:rsidRDefault="005C7BF7" w:rsidP="00914F34">
      <w:pPr>
        <w:pStyle w:val="Titre3"/>
      </w:pPr>
      <w:bookmarkStart w:id="112" w:name="_Toc154048741"/>
      <w:bookmarkStart w:id="113" w:name="e4-periode"/>
      <w:bookmarkEnd w:id="111"/>
      <w:r>
        <w:t>E4 Période</w:t>
      </w:r>
      <w:bookmarkEnd w:id="112"/>
    </w:p>
    <w:p w14:paraId="425A2786" w14:textId="77777777" w:rsidR="00065317" w:rsidRDefault="005C7BF7">
      <w:pPr>
        <w:pStyle w:val="FirstParagraph"/>
      </w:pPr>
      <w:r>
        <w:rPr>
          <w:b/>
          <w:bCs/>
        </w:rPr>
        <w:t>Sous-classe de</w:t>
      </w:r>
    </w:p>
    <w:p w14:paraId="17AB1E51" w14:textId="77777777" w:rsidR="00065317" w:rsidRDefault="005C7BF7">
      <w:pPr>
        <w:pStyle w:val="Corpsdetexte"/>
      </w:pPr>
      <w:r>
        <w:rPr>
          <w:rStyle w:val="VerbatimChar"/>
        </w:rPr>
        <w:t>E2_Entité_temporelle</w:t>
      </w:r>
    </w:p>
    <w:p w14:paraId="1AB6CCB7" w14:textId="77777777" w:rsidR="00065317" w:rsidRDefault="005C7BF7">
      <w:pPr>
        <w:pStyle w:val="Corpsdetexte"/>
      </w:pPr>
      <w:r>
        <w:rPr>
          <w:rStyle w:val="VerbatimChar"/>
        </w:rPr>
        <w:t>E92_Volume_spatio-temporel</w:t>
      </w:r>
    </w:p>
    <w:p w14:paraId="71D8404D" w14:textId="77777777" w:rsidR="00065317" w:rsidRDefault="005C7BF7">
      <w:pPr>
        <w:pStyle w:val="Corpsdetexte"/>
      </w:pPr>
      <w:r>
        <w:rPr>
          <w:b/>
          <w:bCs/>
        </w:rPr>
        <w:t>Super-classe de</w:t>
      </w:r>
    </w:p>
    <w:p w14:paraId="1027B02E" w14:textId="77777777" w:rsidR="00065317" w:rsidRDefault="005C7BF7">
      <w:pPr>
        <w:pStyle w:val="Corpsdetexte"/>
      </w:pPr>
      <w:r>
        <w:rPr>
          <w:rStyle w:val="VerbatimChar"/>
        </w:rPr>
        <w:t>E5_Évènement</w:t>
      </w:r>
    </w:p>
    <w:p w14:paraId="5D9E7EE5" w14:textId="4A01C59D" w:rsidR="00065317" w:rsidRDefault="005C7BF7">
      <w:pPr>
        <w:pStyle w:val="Corpsdetexte"/>
      </w:pPr>
      <w:r>
        <w:rPr>
          <w:b/>
          <w:bCs/>
        </w:rPr>
        <w:t>Note d</w:t>
      </w:r>
      <w:r w:rsidR="00E84B0E">
        <w:rPr>
          <w:b/>
          <w:bCs/>
        </w:rPr>
        <w:t>’</w:t>
      </w:r>
      <w:r>
        <w:rPr>
          <w:b/>
          <w:bCs/>
        </w:rPr>
        <w:t>application</w:t>
      </w:r>
    </w:p>
    <w:p w14:paraId="2476FB26" w14:textId="43A7C278" w:rsidR="00065317" w:rsidRDefault="005C7BF7">
      <w:pPr>
        <w:pStyle w:val="Corpsdetexte"/>
      </w:pPr>
      <w:r>
        <w:t>Cette classe comprend des ensembles de phénomènes cohérents ou de manifestations culturelles se produisant dans l</w:t>
      </w:r>
      <w:r w:rsidR="00E84B0E">
        <w:t>’</w:t>
      </w:r>
      <w:r>
        <w:t>espace et dans le temps.</w:t>
      </w:r>
    </w:p>
    <w:p w14:paraId="038DA020" w14:textId="3AF30F9C" w:rsidR="00065317" w:rsidRDefault="005C7BF7">
      <w:pPr>
        <w:pStyle w:val="Corpsdetexte"/>
      </w:pPr>
      <w:r>
        <w:t>C</w:t>
      </w:r>
      <w:r w:rsidR="00E84B0E">
        <w:t>’</w:t>
      </w:r>
      <w:r>
        <w:t>est la cohérence sociale ou physique de [</w:t>
      </w:r>
      <w:r w:rsidR="00AF51A3">
        <w:t xml:space="preserve">n.d.t. </w:t>
      </w:r>
      <w:r>
        <w:t>cet ensemble de] phénomènes qui établit l</w:t>
      </w:r>
      <w:r w:rsidR="00E84B0E">
        <w:t>’</w:t>
      </w:r>
      <w:r>
        <w:t>identité d</w:t>
      </w:r>
      <w:r w:rsidR="00E84B0E">
        <w:t>’</w:t>
      </w:r>
      <w:r>
        <w:t xml:space="preserve">une instance de </w:t>
      </w:r>
      <w:r>
        <w:rPr>
          <w:rStyle w:val="VerbatimChar"/>
        </w:rPr>
        <w:t>E4_Période</w:t>
      </w:r>
      <w:r>
        <w:t>, et non son étendue spatio-temporelle. Cette dernière n</w:t>
      </w:r>
      <w:r w:rsidR="00E84B0E">
        <w:t>’</w:t>
      </w:r>
      <w:r>
        <w:t>est que le « terreau » ou l</w:t>
      </w:r>
      <w:r w:rsidR="00E84B0E">
        <w:t>’</w:t>
      </w:r>
      <w:r>
        <w:t>espace dans lequel, au sens physique abstrait, le processus de croissance, de déploiement ou de retrait [</w:t>
      </w:r>
      <w:r w:rsidR="00AF51A3">
        <w:t xml:space="preserve">n.d.t. </w:t>
      </w:r>
      <w:r>
        <w:t>du phénomène qu</w:t>
      </w:r>
      <w:r w:rsidR="00E84B0E">
        <w:t>’</w:t>
      </w:r>
      <w:r>
        <w:t xml:space="preserve">encapsule la </w:t>
      </w:r>
      <w:r>
        <w:rPr>
          <w:rStyle w:val="VerbatimChar"/>
        </w:rPr>
        <w:t>E4_Période</w:t>
      </w:r>
      <w:r>
        <w:t>] a lieu. Plusieurs périodes peuvent donc se chevaucher et c</w:t>
      </w:r>
      <w:r w:rsidR="00C012B4">
        <w:t>œ</w:t>
      </w:r>
      <w:r>
        <w:t>xister dans le temps et dans l</w:t>
      </w:r>
      <w:r w:rsidR="00E84B0E">
        <w:t>’</w:t>
      </w:r>
      <w:r>
        <w:t>espace, par exemple lorsqu</w:t>
      </w:r>
      <w:r w:rsidR="00E84B0E">
        <w:t>’</w:t>
      </w:r>
      <w:r>
        <w:t>une culture nomade existe dans le même espace et en même temps qu</w:t>
      </w:r>
      <w:r w:rsidR="00E84B0E">
        <w:t>’</w:t>
      </w:r>
      <w:r>
        <w:t xml:space="preserve">une culture sédentaire. </w:t>
      </w:r>
      <w:r w:rsidR="00714434">
        <w:t>Cela</w:t>
      </w:r>
      <w:r>
        <w:t xml:space="preserve"> implique que les droits d</w:t>
      </w:r>
      <w:r w:rsidR="00E84B0E">
        <w:t>’</w:t>
      </w:r>
      <w:r>
        <w:t xml:space="preserve">utilisation relatifs à des terres qui se chevauchent </w:t>
      </w:r>
      <w:r w:rsidR="000E52E8">
        <w:t>–</w:t>
      </w:r>
      <w:r>
        <w:t xml:space="preserve"> une situation fréquente chez les Premières Nations </w:t>
      </w:r>
      <w:r w:rsidR="000E52E8">
        <w:t>–</w:t>
      </w:r>
      <w:r>
        <w:t xml:space="preserve"> équivalent à des périodes se chevauchant elles aussi.</w:t>
      </w:r>
    </w:p>
    <w:p w14:paraId="6B448B64" w14:textId="317D950C" w:rsidR="00065317" w:rsidRDefault="005C7BF7">
      <w:pPr>
        <w:pStyle w:val="Corpsdetexte"/>
      </w:pPr>
      <w:r>
        <w:t>Cette classe est fréquemment utilisée pour décrire des périodes préhistoriques ou historiques comme la « période néolithique », la « dynastie Ming » ou « l</w:t>
      </w:r>
      <w:r w:rsidR="00E84B0E">
        <w:t>’</w:t>
      </w:r>
      <w:r>
        <w:t>ère McCarthy », mais aussi pour des éléments géopolitiques et des activités d</w:t>
      </w:r>
      <w:r w:rsidR="00E84B0E">
        <w:t>’</w:t>
      </w:r>
      <w:r>
        <w:t xml:space="preserve">occupation considérés comme des cas spéciaux de </w:t>
      </w:r>
      <w:r>
        <w:rPr>
          <w:rStyle w:val="VerbatimChar"/>
        </w:rPr>
        <w:t>E4_Période</w:t>
      </w:r>
      <w:r>
        <w:t>.</w:t>
      </w:r>
    </w:p>
    <w:p w14:paraId="3FBA55C6" w14:textId="77777777" w:rsidR="00C86352" w:rsidRDefault="00C86352">
      <w:pPr>
        <w:spacing w:after="0"/>
      </w:pPr>
      <w:r>
        <w:br w:type="page"/>
      </w:r>
    </w:p>
    <w:p w14:paraId="3FA47C21" w14:textId="2FF0B0C6" w:rsidR="00065317" w:rsidRDefault="005C7BF7">
      <w:pPr>
        <w:pStyle w:val="Corpsdetexte"/>
      </w:pPr>
      <w:r>
        <w:lastRenderedPageBreak/>
        <w:t>[</w:t>
      </w:r>
      <w:r w:rsidR="00AF51A3">
        <w:t xml:space="preserve">n.d.t. </w:t>
      </w:r>
      <w:r>
        <w:t>L</w:t>
      </w:r>
      <w:r w:rsidR="00E84B0E">
        <w:t>’</w:t>
      </w:r>
      <w:r>
        <w:t>utilisation de cette classe pour décrire des phénomènes précis] n</w:t>
      </w:r>
      <w:r w:rsidR="00E84B0E">
        <w:t>’</w:t>
      </w:r>
      <w:r>
        <w:t>implique pas de postulats quant à l</w:t>
      </w:r>
      <w:r w:rsidR="00E84B0E">
        <w:t>’</w:t>
      </w:r>
      <w:r>
        <w:t>échelle des phénomènes en question : tous les évènements sont considérés comme des processus synthétiques composés de phénomènes cohérents [</w:t>
      </w:r>
      <w:r w:rsidR="00AF51A3">
        <w:t xml:space="preserve">n.d.t. </w:t>
      </w:r>
      <w:r>
        <w:t>c.-à-d. des phénomènes qui peuvent raisonnablement être perçus comme dotés d</w:t>
      </w:r>
      <w:r w:rsidR="00E84B0E">
        <w:t>’</w:t>
      </w:r>
      <w:r>
        <w:t xml:space="preserve">une complétude interne]. Ainsi, </w:t>
      </w:r>
      <w:r>
        <w:rPr>
          <w:rStyle w:val="VerbatimChar"/>
        </w:rPr>
        <w:t>E4_Période</w:t>
      </w:r>
      <w:r>
        <w:t xml:space="preserve"> est une super-classe de </w:t>
      </w:r>
      <w:r>
        <w:rPr>
          <w:rStyle w:val="VerbatimChar"/>
        </w:rPr>
        <w:t>E5_Évènement</w:t>
      </w:r>
      <w:r>
        <w:t xml:space="preserve">. Par exemple, une naissance ayant eu lieu dans un milieu clinique moderne – une instance de </w:t>
      </w:r>
      <w:r>
        <w:rPr>
          <w:rStyle w:val="VerbatimChar"/>
        </w:rPr>
        <w:t>E67_Naissance</w:t>
      </w:r>
      <w:r>
        <w:t xml:space="preserve"> – peut être considérée à la fois comme un évènement unique (c.-à-d. une instance de </w:t>
      </w:r>
      <w:r>
        <w:rPr>
          <w:rStyle w:val="VerbatimChar"/>
        </w:rPr>
        <w:t>E5_Évènement</w:t>
      </w:r>
      <w:r>
        <w:t xml:space="preserve">) et comme une période étendue (c.-à-d. une instance de </w:t>
      </w:r>
      <w:r>
        <w:rPr>
          <w:rStyle w:val="VerbatimChar"/>
        </w:rPr>
        <w:t>E4_Période</w:t>
      </w:r>
      <w:r>
        <w:t xml:space="preserve">) qui consiste en de multiples processus physiques et activités complémentaires accomplies par diverses instances de </w:t>
      </w:r>
      <w:r>
        <w:rPr>
          <w:rStyle w:val="VerbatimChar"/>
        </w:rPr>
        <w:t>E39_Actant</w:t>
      </w:r>
      <w:r>
        <w:t>.</w:t>
      </w:r>
    </w:p>
    <w:p w14:paraId="243AE11F" w14:textId="02C1116B" w:rsidR="00065317" w:rsidRDefault="005C7BF7">
      <w:pPr>
        <w:pStyle w:val="Corpsdetexte"/>
      </w:pPr>
      <w:r>
        <w:t>L</w:t>
      </w:r>
      <w:r w:rsidR="00E84B0E">
        <w:t>’</w:t>
      </w:r>
      <w:r>
        <w:t>étendue spatio-temporelle d</w:t>
      </w:r>
      <w:r w:rsidR="00E84B0E">
        <w:t>’</w:t>
      </w:r>
      <w:r>
        <w:t xml:space="preserve">une instance de </w:t>
      </w:r>
      <w:r>
        <w:rPr>
          <w:rStyle w:val="VerbatimChar"/>
        </w:rPr>
        <w:t>E4_Période</w:t>
      </w:r>
      <w:r>
        <w:t xml:space="preserve"> dans le </w:t>
      </w:r>
      <w:r w:rsidR="00C8288F">
        <w:t>CIDOC CRM</w:t>
      </w:r>
      <w:r>
        <w:t xml:space="preserve"> correspond aux trajectoires des choses physiques lorsqu</w:t>
      </w:r>
      <w:r w:rsidR="00E84B0E">
        <w:t>’</w:t>
      </w:r>
      <w:r>
        <w:t xml:space="preserve">elles participent à une instance de </w:t>
      </w:r>
      <w:r>
        <w:rPr>
          <w:rStyle w:val="VerbatimChar"/>
        </w:rPr>
        <w:t>E4_Période</w:t>
      </w:r>
      <w:r>
        <w:t xml:space="preserve">. </w:t>
      </w:r>
      <w:r w:rsidR="00714434">
        <w:t>Cela</w:t>
      </w:r>
      <w:r>
        <w:t xml:space="preserve"> inclut les espaces ouverts par l</w:t>
      </w:r>
      <w:r w:rsidR="00E84B0E">
        <w:t>’</w:t>
      </w:r>
      <w:r>
        <w:t>intermédiaire desquels les choses ont ou auraient pu interagir au cours de la période ou de l</w:t>
      </w:r>
      <w:r w:rsidR="00E84B0E">
        <w:t>’</w:t>
      </w:r>
      <w:r>
        <w:t>évènement, et ce, d</w:t>
      </w:r>
      <w:r w:rsidR="00E84B0E">
        <w:t>’</w:t>
      </w:r>
      <w:r>
        <w:t>une manière cohérente avec [</w:t>
      </w:r>
      <w:r w:rsidR="00AF51A3">
        <w:t xml:space="preserve">n.d.t. </w:t>
      </w:r>
      <w:r>
        <w:t>les principes qui définissent] le type de cette période ou de cet évènement. Un exemple de tels espaces serait l</w:t>
      </w:r>
      <w:r w:rsidR="00E84B0E">
        <w:t>’</w:t>
      </w:r>
      <w:r>
        <w:t>air présent dans une salle de réunion et qui transmet les voix des participants.</w:t>
      </w:r>
    </w:p>
    <w:p w14:paraId="01DB21A8" w14:textId="4C1210C7" w:rsidR="00065317" w:rsidRDefault="005C7BF7">
      <w:pPr>
        <w:pStyle w:val="Corpsdetexte"/>
      </w:pPr>
      <w:r>
        <w:t>Ces phénomènes étant de nature floue, leur étendue spatio-temporelle est [</w:t>
      </w:r>
      <w:r w:rsidR="00AF51A3">
        <w:t xml:space="preserve">n.d.t. </w:t>
      </w:r>
      <w:r>
        <w:t>de facto] considérée comme continue, à l</w:t>
      </w:r>
      <w:r w:rsidR="00E84B0E">
        <w:t>’</w:t>
      </w:r>
      <w:r>
        <w:t>exception de phénomènes se déployant sur plusieurs îles ou territoires distincts, ce qui inclut des éléments géopolitiques distribués sur des territoires distincts tels que des îles ou des colonies. Le fait de considérer les trajectoires nécessaires au voyage des participants entre de tels territoires comme des étendues spatio-temporelles en elles-mêmes doit être déterminé au cas par cas en se fondant sur une analyse concrète qui prend en compte, notamment, l</w:t>
      </w:r>
      <w:r w:rsidR="00E84B0E">
        <w:t>’</w:t>
      </w:r>
      <w:r>
        <w:t>usage de la mer à d</w:t>
      </w:r>
      <w:r w:rsidR="00E84B0E">
        <w:t>’</w:t>
      </w:r>
      <w:r>
        <w:t>autres fins que la pêche. L</w:t>
      </w:r>
      <w:r w:rsidR="00E84B0E">
        <w:t>’</w:t>
      </w:r>
      <w:r>
        <w:t>idée que les activités de gouvernance de territoires atomisés impliquent aussi des déplacements dans les espaces qui les lient de manière que ces territoires demeurent, en quelque sorte, connectés pourrait en outre être défendue. Il semble néanmoins contre-intuitif de considérer des itinéraires servant au transport dans des eaux internationales comme des extensions [</w:t>
      </w:r>
      <w:r w:rsidR="00AF51A3">
        <w:t xml:space="preserve">n.d.t. </w:t>
      </w:r>
      <w:r>
        <w:t>légitimes] d</w:t>
      </w:r>
      <w:r w:rsidR="00E84B0E">
        <w:t>’</w:t>
      </w:r>
      <w:r>
        <w:t>éléments géopolitiques.</w:t>
      </w:r>
    </w:p>
    <w:p w14:paraId="4EA6D0C5" w14:textId="51F8D4EA" w:rsidR="00065317" w:rsidRDefault="005C7BF7">
      <w:pPr>
        <w:pStyle w:val="Corpsdetexte"/>
      </w:pPr>
      <w:r>
        <w:t xml:space="preserve">Une instance de </w:t>
      </w:r>
      <w:r>
        <w:rPr>
          <w:rStyle w:val="VerbatimChar"/>
        </w:rPr>
        <w:t>E4_Période</w:t>
      </w:r>
      <w:r>
        <w:t xml:space="preserve"> peut donc occuper de nombreux volumes spatio-temporels disjoints tant qu</w:t>
      </w:r>
      <w:r w:rsidR="00E84B0E">
        <w:t>’</w:t>
      </w:r>
      <w:r>
        <w:t>il n</w:t>
      </w:r>
      <w:r w:rsidR="00E84B0E">
        <w:t>’</w:t>
      </w:r>
      <w:r>
        <w:t>y a pas de discontinuité dans l</w:t>
      </w:r>
      <w:r w:rsidR="00E84B0E">
        <w:t>’</w:t>
      </w:r>
      <w:r>
        <w:t>intervalle temporel couvert par ces mêmes volumes spatio-temporels. Cela signifie qu</w:t>
      </w:r>
      <w:r w:rsidR="00E84B0E">
        <w:t>’</w:t>
      </w:r>
      <w:r>
        <w:t xml:space="preserve">une instance de </w:t>
      </w:r>
      <w:r>
        <w:rPr>
          <w:rStyle w:val="VerbatimChar"/>
        </w:rPr>
        <w:t>E4_Période</w:t>
      </w:r>
      <w:r>
        <w:t xml:space="preserve"> doit être continue dans le temps : si une </w:t>
      </w:r>
      <w:r>
        <w:rPr>
          <w:rStyle w:val="VerbatimChar"/>
        </w:rPr>
        <w:t>E4_Période</w:t>
      </w:r>
      <w:r>
        <w:t xml:space="preserve"> est terminée dans tous les espaces [</w:t>
      </w:r>
      <w:r w:rsidR="00AF51A3">
        <w:t xml:space="preserve">n.d.t. </w:t>
      </w:r>
      <w:r>
        <w:t>qu</w:t>
      </w:r>
      <w:r w:rsidR="00E84B0E">
        <w:t>’</w:t>
      </w:r>
      <w:r>
        <w:t xml:space="preserve">elle convoque], elle est terminée définitivement en tant que tout. </w:t>
      </w:r>
      <w:r w:rsidR="00714434">
        <w:t>Cela</w:t>
      </w:r>
      <w:r>
        <w:t xml:space="preserve"> n</w:t>
      </w:r>
      <w:r w:rsidR="00E84B0E">
        <w:t>’</w:t>
      </w:r>
      <w:r>
        <w:t>empêche cependant pas qu</w:t>
      </w:r>
      <w:r w:rsidR="00E84B0E">
        <w:t>’</w:t>
      </w:r>
      <w:r>
        <w:t xml:space="preserve">une </w:t>
      </w:r>
      <w:r>
        <w:rPr>
          <w:rStyle w:val="VerbatimChar"/>
        </w:rPr>
        <w:t>E4_Période</w:t>
      </w:r>
      <w:r>
        <w:t xml:space="preserve"> soit terminée dans un espace avant de l</w:t>
      </w:r>
      <w:r w:rsidR="00E84B0E">
        <w:t>’</w:t>
      </w:r>
      <w:r>
        <w:t xml:space="preserve">être dans un autre (comme ce fut le cas de la migration polynésienne), et que cette même </w:t>
      </w:r>
      <w:r>
        <w:rPr>
          <w:rStyle w:val="VerbatimChar"/>
        </w:rPr>
        <w:t>E4_Période</w:t>
      </w:r>
      <w:r>
        <w:t xml:space="preserve"> perdure aussi longtemps qu</w:t>
      </w:r>
      <w:r w:rsidR="00E84B0E">
        <w:t>’</w:t>
      </w:r>
      <w:r>
        <w:t>elle s</w:t>
      </w:r>
      <w:r w:rsidR="00E84B0E">
        <w:t>’</w:t>
      </w:r>
      <w:r>
        <w:t>incarne dans au moins un espace.</w:t>
      </w:r>
    </w:p>
    <w:p w14:paraId="70A3EBE2" w14:textId="0537B4F0" w:rsidR="00065317" w:rsidRDefault="005C7BF7">
      <w:pPr>
        <w:pStyle w:val="Corpsdetexte"/>
      </w:pPr>
      <w:r>
        <w:t xml:space="preserve">Le </w:t>
      </w:r>
      <w:r w:rsidR="00C8288F">
        <w:t>CIDOC CRM</w:t>
      </w:r>
      <w:r>
        <w:t xml:space="preserve"> définit </w:t>
      </w:r>
      <w:r>
        <w:rPr>
          <w:rStyle w:val="VerbatimChar"/>
        </w:rPr>
        <w:t>E4_Période</w:t>
      </w:r>
      <w:r>
        <w:t xml:space="preserve"> comme une sous-classe de </w:t>
      </w:r>
      <w:r>
        <w:rPr>
          <w:rStyle w:val="VerbatimChar"/>
        </w:rPr>
        <w:t>E2_Entité_temporelle</w:t>
      </w:r>
      <w:r>
        <w:t xml:space="preserve"> ainsi que de </w:t>
      </w:r>
      <w:r>
        <w:rPr>
          <w:rStyle w:val="VerbatimChar"/>
        </w:rPr>
        <w:t>E92_Volume_spatio-temporel</w:t>
      </w:r>
      <w:r>
        <w:t xml:space="preserve"> – considéré comme un volume spatio-temporel tel que défini dans </w:t>
      </w:r>
      <w:hyperlink r:id="rId145">
        <w:r w:rsidR="00C8288F">
          <w:rPr>
            <w:rStyle w:val="Lienhypertexte"/>
          </w:rPr>
          <w:t>CIDOC CRM</w:t>
        </w:r>
        <w:r>
          <w:rPr>
            <w:rStyle w:val="Lienhypertexte"/>
          </w:rPr>
          <w:t>geo</w:t>
        </w:r>
      </w:hyperlink>
      <w:r>
        <w:t xml:space="preserve"> (D</w:t>
      </w:r>
      <w:r w:rsidR="003C7A4A">
        <w:t>oe</w:t>
      </w:r>
      <w:r>
        <w:t>rr et Hiebel, 2013). Du fait de cet héritage multiple, l</w:t>
      </w:r>
      <w:r w:rsidR="00E84B0E">
        <w:t>’</w:t>
      </w:r>
      <w:r>
        <w:t>étendue physique d</w:t>
      </w:r>
      <w:r w:rsidR="00E84B0E">
        <w:t>’</w:t>
      </w:r>
      <w:r>
        <w:t xml:space="preserve">une instance de </w:t>
      </w:r>
      <w:r>
        <w:rPr>
          <w:rStyle w:val="VerbatimChar"/>
        </w:rPr>
        <w:t>E4_Période</w:t>
      </w:r>
      <w:r>
        <w:t xml:space="preserve"> peut être discutée sans la représenter à chaque fois avec une instance de son volume spatio-temporel. Ce modèle [</w:t>
      </w:r>
      <w:r w:rsidR="00AF51A3">
        <w:t xml:space="preserve">n.d.t. </w:t>
      </w:r>
      <w:r>
        <w:t xml:space="preserve">le </w:t>
      </w:r>
      <w:r w:rsidR="00C8288F">
        <w:t>CIDOC CRM</w:t>
      </w:r>
      <w:r>
        <w:t xml:space="preserve">] comprend deux types de choses bien différentes : une instance de </w:t>
      </w:r>
      <w:r>
        <w:rPr>
          <w:rStyle w:val="VerbatimChar"/>
        </w:rPr>
        <w:t>E4_Période</w:t>
      </w:r>
      <w:r>
        <w:t xml:space="preserve"> est un phénomène alors qu</w:t>
      </w:r>
      <w:r w:rsidR="00E84B0E">
        <w:t>’</w:t>
      </w:r>
      <w:r>
        <w:t xml:space="preserve">une instance de </w:t>
      </w:r>
      <w:r>
        <w:rPr>
          <w:rStyle w:val="VerbatimChar"/>
        </w:rPr>
        <w:t>E92_Volume_spatio-temporel</w:t>
      </w:r>
      <w:r>
        <w:t xml:space="preserve"> est une agrégation de points dans un espace-temps. Cependant, la réelle étendue spatio-temporelle d</w:t>
      </w:r>
      <w:r w:rsidR="00E84B0E">
        <w:t>’</w:t>
      </w:r>
      <w:r>
        <w:t xml:space="preserve">une instance de </w:t>
      </w:r>
      <w:r>
        <w:rPr>
          <w:rStyle w:val="VerbatimChar"/>
        </w:rPr>
        <w:t>E4_Période</w:t>
      </w:r>
      <w:r>
        <w:t xml:space="preserve"> est considérée comme unique en raison du flou et des nombreux détails qui la caractérisent; l</w:t>
      </w:r>
      <w:r w:rsidR="00E84B0E">
        <w:t>’</w:t>
      </w:r>
      <w:r>
        <w:t>identité et l</w:t>
      </w:r>
      <w:r w:rsidR="00E84B0E">
        <w:t>’</w:t>
      </w:r>
      <w:r>
        <w:t>existence de cette étendue spatio-temporelle se reposent donc uniquement sur l</w:t>
      </w:r>
      <w:r w:rsidR="00E84B0E">
        <w:t>’</w:t>
      </w:r>
      <w:r>
        <w:t>identité de l</w:t>
      </w:r>
      <w:r w:rsidR="00E84B0E">
        <w:t>’</w:t>
      </w:r>
      <w:r>
        <w:t xml:space="preserve">instance de </w:t>
      </w:r>
      <w:r>
        <w:rPr>
          <w:rStyle w:val="VerbatimChar"/>
        </w:rPr>
        <w:t>E4_Période</w:t>
      </w:r>
      <w:r>
        <w:t>. Cet héritage multiple est donc effectif, dénué d</w:t>
      </w:r>
      <w:r w:rsidR="00E84B0E">
        <w:t>’</w:t>
      </w:r>
      <w:r>
        <w:t>ambiguïté et correspond aux intuitions du langage naturel [</w:t>
      </w:r>
      <w:r w:rsidR="00AF51A3">
        <w:t xml:space="preserve">n.d.t. </w:t>
      </w:r>
      <w:r>
        <w:t>c.-à-d. que, au quotidien, il n</w:t>
      </w:r>
      <w:r w:rsidR="00E84B0E">
        <w:t>’</w:t>
      </w:r>
      <w:r>
        <w:t xml:space="preserve">est généralement pas question du volume spatio-temporel </w:t>
      </w:r>
      <w:r w:rsidR="00806228">
        <w:t>aux</w:t>
      </w:r>
      <w:r>
        <w:t xml:space="preserve"> fins de simplification et de compréhension intuitive du monde; d</w:t>
      </w:r>
      <w:r w:rsidR="00E84B0E">
        <w:t>’</w:t>
      </w:r>
      <w:r>
        <w:t xml:space="preserve">encapsuler </w:t>
      </w:r>
      <w:r>
        <w:rPr>
          <w:rStyle w:val="VerbatimChar"/>
        </w:rPr>
        <w:t>E92_Volume_spatio-temporel</w:t>
      </w:r>
      <w:r>
        <w:t xml:space="preserve"> dans </w:t>
      </w:r>
      <w:r>
        <w:rPr>
          <w:rStyle w:val="VerbatimChar"/>
        </w:rPr>
        <w:t>E4_Période</w:t>
      </w:r>
      <w:r>
        <w:t xml:space="preserve"> se rapproche de l</w:t>
      </w:r>
      <w:r w:rsidR="00E84B0E">
        <w:t>’</w:t>
      </w:r>
      <w:r>
        <w:t>utilisation courante de ces concepts et en simplifie de ce fait l</w:t>
      </w:r>
      <w:r w:rsidR="00E84B0E">
        <w:t>’</w:t>
      </w:r>
      <w:r>
        <w:t>utilisation].</w:t>
      </w:r>
    </w:p>
    <w:p w14:paraId="5B9D3788" w14:textId="76F09DD8" w:rsidR="00065317" w:rsidRDefault="005C7BF7">
      <w:pPr>
        <w:pStyle w:val="Corpsdetexte"/>
      </w:pPr>
      <w:r>
        <w:lastRenderedPageBreak/>
        <w:t>Un usage typique de cette classe dans le milieu patrimonial est celui de la documentation des périodes culturelles et artistiques. Le style artistique peut être conceptualisé de deux manières : selon un contexte historique ou selon des caractéristiques physiques. Par exemple, « l</w:t>
      </w:r>
      <w:r w:rsidR="00E84B0E">
        <w:t>’</w:t>
      </w:r>
      <w:r>
        <w:t>Impressionnisme » peut être vu comme une période de la sphère d</w:t>
      </w:r>
      <w:r w:rsidR="00E84B0E">
        <w:t>’</w:t>
      </w:r>
      <w:r>
        <w:t>influence européenne s</w:t>
      </w:r>
      <w:r w:rsidR="00E84B0E">
        <w:t>’</w:t>
      </w:r>
      <w:r>
        <w:t>étendant approximativement de 1870 à 1905 durant laquelle des peintures ayant des caractéristiques spécifiques ont été produites par des artistes tels que Monet, Renoir, Pissarro, Sisley et Degas. Mais l</w:t>
      </w:r>
      <w:r w:rsidR="00E84B0E">
        <w:t>’</w:t>
      </w:r>
      <w:r>
        <w:t>impressionnisme peut être considéré aussi comme un style désignant toute peinture qui partage les caractéristiques des œuvres produites par les peintres impressionnistes, indépendamment de tout contexte historique. La première interprétation [</w:t>
      </w:r>
      <w:r w:rsidR="00AF51A3">
        <w:t xml:space="preserve">n.d.t. </w:t>
      </w:r>
      <w:r>
        <w:t xml:space="preserve">selon un contexte historique] est une instance de </w:t>
      </w:r>
      <w:r>
        <w:rPr>
          <w:rStyle w:val="VerbatimChar"/>
        </w:rPr>
        <w:t>E4_Période</w:t>
      </w:r>
      <w:r>
        <w:t xml:space="preserve"> alors que la seconde [</w:t>
      </w:r>
      <w:r w:rsidR="00AF51A3">
        <w:t xml:space="preserve">n.d.t. </w:t>
      </w:r>
      <w:r>
        <w:t>selon des caractéristiques physiques] définit une catégorie morphologique d</w:t>
      </w:r>
      <w:r w:rsidR="00E84B0E">
        <w:t>’</w:t>
      </w:r>
      <w:r>
        <w:t xml:space="preserve">objet qui relève de la classe </w:t>
      </w:r>
      <w:r>
        <w:rPr>
          <w:rStyle w:val="VerbatimChar"/>
        </w:rPr>
        <w:t>E55_Type</w:t>
      </w:r>
      <w:r>
        <w:t>.</w:t>
      </w:r>
    </w:p>
    <w:p w14:paraId="3968551E" w14:textId="2139ECEE" w:rsidR="00065317" w:rsidRDefault="005C7BF7">
      <w:pPr>
        <w:pStyle w:val="Corpsdetexte"/>
      </w:pPr>
      <w:r>
        <w:t>Un élément géopolitique en tant que cas spécial d</w:t>
      </w:r>
      <w:r w:rsidR="00E84B0E">
        <w:t>’</w:t>
      </w:r>
      <w:r>
        <w:t xml:space="preserve">une instance de </w:t>
      </w:r>
      <w:r>
        <w:rPr>
          <w:rStyle w:val="VerbatimChar"/>
        </w:rPr>
        <w:t>E4_Période</w:t>
      </w:r>
      <w:r>
        <w:t xml:space="preserve"> est un ensemble d</w:t>
      </w:r>
      <w:r w:rsidR="00E84B0E">
        <w:t>’</w:t>
      </w:r>
      <w:r>
        <w:t>activités et de phénomènes concernant une revendication du pouvoir, des conséquences de l</w:t>
      </w:r>
      <w:r w:rsidR="00E84B0E">
        <w:t>’</w:t>
      </w:r>
      <w:r>
        <w:t>appartenance à une région juridique et un système administratif établissant un élément géopolitique. Des exemples modernes d</w:t>
      </w:r>
      <w:r w:rsidR="00E84B0E">
        <w:t>’</w:t>
      </w:r>
      <w:r>
        <w:t xml:space="preserve">éléments géopolitiques étant des instances possibles de </w:t>
      </w:r>
      <w:r>
        <w:rPr>
          <w:rStyle w:val="VerbatimChar"/>
        </w:rPr>
        <w:t>E4_Période</w:t>
      </w:r>
      <w:r>
        <w:t xml:space="preserve"> sont des pays ou des régions administratives de pays tels que des districts, dont les structures et les actions définissent des activités et des phénomènes sur le territoire dont la gouvernance leur revient. Les frontières d</w:t>
      </w:r>
      <w:r w:rsidR="00E84B0E">
        <w:t>’</w:t>
      </w:r>
      <w:r>
        <w:t>éléments géopolitiques sont souvent définies par des ententes contractuelles ou des traités qui peuvent néanmoins différer de l</w:t>
      </w:r>
      <w:r w:rsidR="00E84B0E">
        <w:t>’</w:t>
      </w:r>
      <w:r>
        <w:t>usage réel qui est fait du territoire. Les propriétés spatio-temporelles d</w:t>
      </w:r>
      <w:r w:rsidR="00E84B0E">
        <w:t>’</w:t>
      </w:r>
      <w:r>
        <w:t xml:space="preserve">éléments géopolitiques peuvent être modélisées grâce aux propriétés héritées de </w:t>
      </w:r>
      <w:r>
        <w:rPr>
          <w:rStyle w:val="VerbatimChar"/>
        </w:rPr>
        <w:t>E92_Volume_spatio-temporel</w:t>
      </w:r>
      <w:r>
        <w:t>.</w:t>
      </w:r>
    </w:p>
    <w:p w14:paraId="002630CB" w14:textId="4FB5D63C" w:rsidR="00065317" w:rsidRDefault="005C7BF7" w:rsidP="00C86352">
      <w:pPr>
        <w:pStyle w:val="Corpsdetexte"/>
      </w:pPr>
      <w:r>
        <w:t>Un autre cas spécial d</w:t>
      </w:r>
      <w:r w:rsidR="00E84B0E">
        <w:t>’</w:t>
      </w:r>
      <w:r>
        <w:t xml:space="preserve">une instance de </w:t>
      </w:r>
      <w:r>
        <w:rPr>
          <w:rStyle w:val="VerbatimChar"/>
        </w:rPr>
        <w:t>E4_Période</w:t>
      </w:r>
      <w:r>
        <w:t xml:space="preserve"> est l</w:t>
      </w:r>
      <w:r w:rsidR="00E84B0E">
        <w:t>’</w:t>
      </w:r>
      <w:r>
        <w:t>étendue réelle d</w:t>
      </w:r>
      <w:r w:rsidR="00E84B0E">
        <w:t>’</w:t>
      </w:r>
      <w:r>
        <w:t>un ensemble d</w:t>
      </w:r>
      <w:r w:rsidR="00E84B0E">
        <w:t>’</w:t>
      </w:r>
      <w:r>
        <w:t>activités et de phénomènes telle qu</w:t>
      </w:r>
      <w:r w:rsidR="00E84B0E">
        <w:t>’</w:t>
      </w:r>
      <w:r>
        <w:t>elle est avérée par des traces physiques caractérisant l</w:t>
      </w:r>
      <w:r w:rsidR="00E84B0E">
        <w:t>’</w:t>
      </w:r>
      <w:r>
        <w:t>occupation [</w:t>
      </w:r>
      <w:r w:rsidR="00AF51A3">
        <w:t xml:space="preserve">n.d.t. </w:t>
      </w:r>
      <w:r>
        <w:t>sur un territoire], comme dans le cas de la période où la ville de Ninive était peuplée.</w:t>
      </w:r>
    </w:p>
    <w:p w14:paraId="0607124C" w14:textId="77777777" w:rsidR="00065317" w:rsidRDefault="005C7BF7">
      <w:pPr>
        <w:pStyle w:val="Corpsdetexte"/>
      </w:pPr>
      <w:r>
        <w:rPr>
          <w:b/>
          <w:bCs/>
        </w:rPr>
        <w:t>Exemples</w:t>
      </w:r>
    </w:p>
    <w:p w14:paraId="58559672" w14:textId="77777777" w:rsidR="00065317" w:rsidRDefault="005C7BF7">
      <w:pPr>
        <w:numPr>
          <w:ilvl w:val="0"/>
          <w:numId w:val="57"/>
        </w:numPr>
      </w:pPr>
      <w:r>
        <w:t>Le Jurassique (Hallam, 1975)</w:t>
      </w:r>
    </w:p>
    <w:p w14:paraId="66796D07" w14:textId="77777777" w:rsidR="00065317" w:rsidRDefault="005C7BF7">
      <w:pPr>
        <w:numPr>
          <w:ilvl w:val="0"/>
          <w:numId w:val="57"/>
        </w:numPr>
      </w:pPr>
      <w:r>
        <w:t>La période où Ninive était peuplée</w:t>
      </w:r>
    </w:p>
    <w:p w14:paraId="5B5888AC" w14:textId="4994C073" w:rsidR="00065317" w:rsidRDefault="005C7BF7">
      <w:pPr>
        <w:numPr>
          <w:ilvl w:val="0"/>
          <w:numId w:val="57"/>
        </w:numPr>
      </w:pPr>
      <w:r>
        <w:t>L</w:t>
      </w:r>
      <w:r w:rsidR="00E84B0E">
        <w:t>’</w:t>
      </w:r>
      <w:r>
        <w:t>Empire romain sous Marc Aurèle</w:t>
      </w:r>
    </w:p>
    <w:p w14:paraId="6E80143C" w14:textId="459AEA79" w:rsidR="00065317" w:rsidRDefault="005C7BF7">
      <w:pPr>
        <w:numPr>
          <w:ilvl w:val="0"/>
          <w:numId w:val="57"/>
        </w:numPr>
      </w:pPr>
      <w:r>
        <w:t>L</w:t>
      </w:r>
      <w:r w:rsidR="00E84B0E">
        <w:t>’</w:t>
      </w:r>
      <w:r>
        <w:t>Âge du bronze en Europe (Harrison, 2004)</w:t>
      </w:r>
    </w:p>
    <w:p w14:paraId="42953543" w14:textId="77777777" w:rsidR="00065317" w:rsidRDefault="005C7BF7">
      <w:pPr>
        <w:numPr>
          <w:ilvl w:val="0"/>
          <w:numId w:val="57"/>
        </w:numPr>
      </w:pPr>
      <w:r>
        <w:t>La Renaissance italienne (Macdonald, 1992)</w:t>
      </w:r>
    </w:p>
    <w:p w14:paraId="712921BB" w14:textId="77777777" w:rsidR="00065317" w:rsidRDefault="005C7BF7">
      <w:pPr>
        <w:numPr>
          <w:ilvl w:val="0"/>
          <w:numId w:val="57"/>
        </w:numPr>
      </w:pPr>
      <w:r>
        <w:t>La guerre de Trente ans (Lee, 1991)</w:t>
      </w:r>
    </w:p>
    <w:p w14:paraId="51FFED55" w14:textId="77777777" w:rsidR="00065317" w:rsidRDefault="005C7BF7">
      <w:pPr>
        <w:numPr>
          <w:ilvl w:val="0"/>
          <w:numId w:val="57"/>
        </w:numPr>
      </w:pPr>
      <w:r>
        <w:t xml:space="preserve">Le mouvement </w:t>
      </w:r>
      <w:r>
        <w:rPr>
          <w:i/>
          <w:iCs/>
        </w:rPr>
        <w:t>Sturm und Drang</w:t>
      </w:r>
      <w:r>
        <w:t xml:space="preserve"> (Berkoff, 2013)</w:t>
      </w:r>
    </w:p>
    <w:p w14:paraId="6240AD05" w14:textId="77777777" w:rsidR="00065317" w:rsidRDefault="005C7BF7">
      <w:pPr>
        <w:numPr>
          <w:ilvl w:val="0"/>
          <w:numId w:val="57"/>
        </w:numPr>
      </w:pPr>
      <w:r>
        <w:t>Le Cubisme (Cox, 2000)</w:t>
      </w:r>
    </w:p>
    <w:p w14:paraId="663A7C2B" w14:textId="5C50D282" w:rsidR="00065317" w:rsidRDefault="005C7BF7">
      <w:pPr>
        <w:numPr>
          <w:ilvl w:val="0"/>
          <w:numId w:val="57"/>
        </w:numPr>
      </w:pPr>
      <w:r>
        <w:t>La capitale de la Russie (</w:t>
      </w:r>
      <w:r>
        <w:rPr>
          <w:rStyle w:val="VerbatimChar"/>
        </w:rPr>
        <w:t>E4_Période</w:t>
      </w:r>
      <w:r>
        <w:t>) [la capitale de la Russie dans le sens d</w:t>
      </w:r>
      <w:r w:rsidR="00E84B0E">
        <w:t>’</w:t>
      </w:r>
      <w:r>
        <w:t xml:space="preserve">une unité administrative déplacée dans les temps historiques de Moscou à Saint-Pétersbourg, puis déplacée à nouveau à Moscou. </w:t>
      </w:r>
      <w:r w:rsidR="00714434">
        <w:t>Cela</w:t>
      </w:r>
      <w:r>
        <w:t xml:space="preserve"> illustre une unité administrative changeant de lieu dans le temps sans discontinuité temporelle]</w:t>
      </w:r>
    </w:p>
    <w:p w14:paraId="6CBA7847" w14:textId="181AC582" w:rsidR="00065317" w:rsidRDefault="005C7BF7">
      <w:pPr>
        <w:numPr>
          <w:ilvl w:val="0"/>
          <w:numId w:val="57"/>
        </w:numPr>
      </w:pPr>
      <w:r>
        <w:t>L</w:t>
      </w:r>
      <w:r w:rsidR="00E84B0E">
        <w:t>’</w:t>
      </w:r>
      <w:r>
        <w:t>activité de colonisation de la communauté d</w:t>
      </w:r>
      <w:r w:rsidR="00E84B0E">
        <w:t>’</w:t>
      </w:r>
      <w:r>
        <w:t>Helsinki (alias Helsingfors) (</w:t>
      </w:r>
      <w:r>
        <w:rPr>
          <w:rStyle w:val="VerbatimChar"/>
        </w:rPr>
        <w:t>E7_Activité</w:t>
      </w:r>
      <w:r>
        <w:t>) [la colonie d</w:t>
      </w:r>
      <w:r w:rsidR="00E84B0E">
        <w:t>’</w:t>
      </w:r>
      <w:r>
        <w:t>origine appelée Helsinki était située dans la zone de l</w:t>
      </w:r>
      <w:r w:rsidR="00E84B0E">
        <w:t>’</w:t>
      </w:r>
      <w:r>
        <w:t>aéroport moderne. La communauté a déménagé plus tard pour s</w:t>
      </w:r>
      <w:r w:rsidR="00E84B0E">
        <w:t>’</w:t>
      </w:r>
      <w:r>
        <w:t>installer sur la côte. Cela illustre une activité continue changeant de lieu dans le temps sans discontinuité temporelle]</w:t>
      </w:r>
    </w:p>
    <w:p w14:paraId="48A522E5" w14:textId="5464416B" w:rsidR="00065317" w:rsidRDefault="005C7BF7">
      <w:pPr>
        <w:numPr>
          <w:ilvl w:val="0"/>
          <w:numId w:val="57"/>
        </w:numPr>
      </w:pPr>
      <w:r>
        <w:lastRenderedPageBreak/>
        <w:t>L</w:t>
      </w:r>
      <w:r w:rsidR="00E84B0E">
        <w:t>’</w:t>
      </w:r>
      <w:r>
        <w:t>âge du Bronze (</w:t>
      </w:r>
      <w:r>
        <w:rPr>
          <w:rStyle w:val="VerbatimChar"/>
        </w:rPr>
        <w:t>E4_Période</w:t>
      </w:r>
      <w:r>
        <w:t>) [l</w:t>
      </w:r>
      <w:r w:rsidR="00E84B0E">
        <w:t>’</w:t>
      </w:r>
      <w:r>
        <w:t>âge du Bronze, au sens de l</w:t>
      </w:r>
      <w:r w:rsidR="00E84B0E">
        <w:t>’</w:t>
      </w:r>
      <w:r>
        <w:t>adoption technologique, s</w:t>
      </w:r>
      <w:r w:rsidR="00E84B0E">
        <w:t>’</w:t>
      </w:r>
      <w:r>
        <w:t>étendant sur des zones disjointes comprenant des îles, telles que les Îles Britanniques, sans discontinuité temporelle]</w:t>
      </w:r>
    </w:p>
    <w:p w14:paraId="023882A3" w14:textId="73725156" w:rsidR="00065317" w:rsidRDefault="005C7BF7">
      <w:pPr>
        <w:numPr>
          <w:ilvl w:val="0"/>
          <w:numId w:val="57"/>
        </w:numPr>
      </w:pPr>
      <w:r>
        <w:t>Japon, l</w:t>
      </w:r>
      <w:r w:rsidR="00E84B0E">
        <w:t>’</w:t>
      </w:r>
      <w:r>
        <w:t>État (</w:t>
      </w:r>
      <w:r>
        <w:rPr>
          <w:rStyle w:val="VerbatimChar"/>
        </w:rPr>
        <w:t>E4_Période</w:t>
      </w:r>
      <w:r>
        <w:t>) [en 2021, l</w:t>
      </w:r>
      <w:r w:rsidR="00E84B0E">
        <w:t>’</w:t>
      </w:r>
      <w:r>
        <w:t>État japonais en tant qu</w:t>
      </w:r>
      <w:r w:rsidR="00E84B0E">
        <w:t>’</w:t>
      </w:r>
      <w:r>
        <w:t>unité politique comprise dans 6</w:t>
      </w:r>
      <w:r w:rsidR="00CF0FD9">
        <w:t> </w:t>
      </w:r>
      <w:r>
        <w:t>852</w:t>
      </w:r>
      <w:r w:rsidR="00CF0FD9">
        <w:t> </w:t>
      </w:r>
      <w:r>
        <w:t>îles s</w:t>
      </w:r>
      <w:r w:rsidR="00E84B0E">
        <w:t>’</w:t>
      </w:r>
      <w:r>
        <w:t>étendant le long de la côte pacifique de l</w:t>
      </w:r>
      <w:r w:rsidR="00E84B0E">
        <w:t>’</w:t>
      </w:r>
      <w:r>
        <w:t>Asie]</w:t>
      </w:r>
    </w:p>
    <w:p w14:paraId="4CF859B7" w14:textId="77777777" w:rsidR="00065317" w:rsidRDefault="005C7BF7">
      <w:pPr>
        <w:pStyle w:val="FirstParagraph"/>
      </w:pPr>
      <w:r>
        <w:rPr>
          <w:b/>
          <w:bCs/>
        </w:rPr>
        <w:t>Logique</w:t>
      </w:r>
    </w:p>
    <w:p w14:paraId="6E96ABA7" w14:textId="77777777" w:rsidR="00065317" w:rsidRDefault="005C7BF7">
      <w:pPr>
        <w:pStyle w:val="Corpsdetexte"/>
      </w:pPr>
      <w:r>
        <w:t>E4(x) ⇒ E2(x)</w:t>
      </w:r>
    </w:p>
    <w:p w14:paraId="09372BD8" w14:textId="23A8B492" w:rsidR="00241DFB" w:rsidRDefault="005C7BF7">
      <w:pPr>
        <w:pStyle w:val="Corpsdetexte"/>
        <w:rPr>
          <w:b/>
          <w:bCs/>
        </w:rPr>
      </w:pPr>
      <w:r>
        <w:t>E4(x) ⇒ E92(x)</w:t>
      </w:r>
    </w:p>
    <w:p w14:paraId="4256AECB" w14:textId="2EE45900" w:rsidR="00065317" w:rsidRDefault="005C7BF7">
      <w:pPr>
        <w:pStyle w:val="Corpsdetexte"/>
      </w:pPr>
      <w:r>
        <w:rPr>
          <w:b/>
          <w:bCs/>
        </w:rPr>
        <w:t>Propriétés</w:t>
      </w:r>
    </w:p>
    <w:p w14:paraId="127C7CB6" w14:textId="77777777" w:rsidR="00065317" w:rsidRDefault="005C7BF7">
      <w:pPr>
        <w:pStyle w:val="Corpsdetexte"/>
      </w:pPr>
      <w:r>
        <w:rPr>
          <w:rStyle w:val="VerbatimChar"/>
        </w:rPr>
        <w:t>P7_a_eu_lieu_dans (a_été_témoin_de)</w:t>
      </w:r>
      <w:r>
        <w:t xml:space="preserve"> : </w:t>
      </w:r>
      <w:r>
        <w:rPr>
          <w:rStyle w:val="VerbatimChar"/>
        </w:rPr>
        <w:t>E53_Lieu</w:t>
      </w:r>
    </w:p>
    <w:p w14:paraId="4CC91939" w14:textId="77777777" w:rsidR="00065317" w:rsidRDefault="005C7BF7">
      <w:pPr>
        <w:pStyle w:val="Corpsdetexte"/>
      </w:pPr>
      <w:r>
        <w:rPr>
          <w:rStyle w:val="VerbatimChar"/>
        </w:rPr>
        <w:t>P8_a_eu_lieu (a_été_témoin_de)</w:t>
      </w:r>
      <w:r>
        <w:t xml:space="preserve"> : </w:t>
      </w:r>
      <w:r>
        <w:rPr>
          <w:rStyle w:val="VerbatimChar"/>
        </w:rPr>
        <w:t>E18_Chose_matérielle</w:t>
      </w:r>
    </w:p>
    <w:p w14:paraId="59D98802" w14:textId="77777777" w:rsidR="00065317" w:rsidRDefault="005C7BF7">
      <w:pPr>
        <w:pStyle w:val="Corpsdetexte"/>
      </w:pPr>
      <w:r>
        <w:rPr>
          <w:rStyle w:val="VerbatimChar"/>
        </w:rPr>
        <w:t>P9_comprend (fait partie de)</w:t>
      </w:r>
      <w:r>
        <w:t xml:space="preserve"> : </w:t>
      </w:r>
      <w:r>
        <w:rPr>
          <w:rStyle w:val="VerbatimChar"/>
        </w:rPr>
        <w:t>E4_Période</w:t>
      </w:r>
    </w:p>
    <w:p w14:paraId="09438893" w14:textId="77777777" w:rsidR="00065317" w:rsidRDefault="005C7BF7">
      <w:pPr>
        <w:pStyle w:val="Normalcentr"/>
      </w:pPr>
      <w:r>
        <w:rPr>
          <w:b/>
          <w:bCs/>
          <w:i/>
          <w:iCs/>
        </w:rPr>
        <w:t>Note de traduction</w:t>
      </w:r>
    </w:p>
    <w:p w14:paraId="1941EEBE" w14:textId="31C97CF8" w:rsidR="00065317" w:rsidRPr="008D39EE" w:rsidRDefault="005C7BF7" w:rsidP="00C86352">
      <w:pPr>
        <w:pStyle w:val="Normalcentr"/>
      </w:pPr>
      <w:r>
        <w:t>Le terme « unit » a été traduit par « élément », car il est fait référence à une chose qui est complète en soi mais fait aussi partie d</w:t>
      </w:r>
      <w:r w:rsidR="00E84B0E">
        <w:t>’</w:t>
      </w:r>
      <w:r>
        <w:t>un tout (ce qui est plus près de la définition d</w:t>
      </w:r>
      <w:r w:rsidR="00E84B0E">
        <w:t>’</w:t>
      </w:r>
      <w:r>
        <w:t>élément) alors qu</w:t>
      </w:r>
      <w:r w:rsidR="00E84B0E">
        <w:t>’</w:t>
      </w:r>
      <w:r>
        <w:t>unité en français signale davantage une nature indivisible et unique. C</w:t>
      </w:r>
      <w:r w:rsidR="00E84B0E">
        <w:t>’</w:t>
      </w:r>
      <w:r>
        <w:t xml:space="preserve">est aussi cohérent avec les choix qui ont été faits lors de la traduction du nom des entités de </w:t>
      </w:r>
      <w:r w:rsidR="00C8288F">
        <w:t>CIDOC CRM</w:t>
      </w:r>
      <w:r>
        <w:t xml:space="preserve"> (p. ex. </w:t>
      </w:r>
      <w:r>
        <w:rPr>
          <w:rStyle w:val="VerbatimChar"/>
        </w:rPr>
        <w:t>E79_Ajout_d</w:t>
      </w:r>
      <w:r w:rsidR="00E84B0E">
        <w:rPr>
          <w:rStyle w:val="VerbatimChar"/>
        </w:rPr>
        <w:t>’</w:t>
      </w:r>
      <w:r>
        <w:rPr>
          <w:rStyle w:val="VerbatimChar"/>
        </w:rPr>
        <w:t>élément</w:t>
      </w:r>
      <w:r>
        <w:t xml:space="preserve">, </w:t>
      </w:r>
      <w:r>
        <w:rPr>
          <w:rStyle w:val="VerbatimChar"/>
        </w:rPr>
        <w:t>E80_Retrait_d</w:t>
      </w:r>
      <w:r w:rsidR="00E84B0E">
        <w:rPr>
          <w:rStyle w:val="VerbatimChar"/>
        </w:rPr>
        <w:t>’</w:t>
      </w:r>
      <w:r>
        <w:rPr>
          <w:rStyle w:val="VerbatimChar"/>
        </w:rPr>
        <w:t>Élément</w:t>
      </w:r>
      <w:r>
        <w:t>).</w:t>
      </w:r>
    </w:p>
    <w:p w14:paraId="394E7278" w14:textId="4D2621D6" w:rsidR="00065317" w:rsidRDefault="005C7BF7">
      <w:pPr>
        <w:pStyle w:val="Normalcentr"/>
      </w:pPr>
      <w:r>
        <w:t>Le terme « extent » a été traduit par « étendue » après une brève revue des traductions les plus fréquentes dans le contexte d</w:t>
      </w:r>
      <w:r w:rsidR="00E84B0E">
        <w:t>’</w:t>
      </w:r>
      <w:r>
        <w:t>une qualification spatio-temporelle.</w:t>
      </w:r>
    </w:p>
    <w:p w14:paraId="118A3C4A" w14:textId="5F25BCD1" w:rsidR="00065317" w:rsidRDefault="005C7BF7">
      <w:pPr>
        <w:pStyle w:val="Normalcentr"/>
      </w:pPr>
      <w:r>
        <w:t>Le terme « spread[ing] » a été traduit par « déploiement » d</w:t>
      </w:r>
      <w:r w:rsidR="00E84B0E">
        <w:t>’</w:t>
      </w:r>
      <w:r>
        <w:t>une part, car il est plus près du sens phénoménal associé à l</w:t>
      </w:r>
      <w:r w:rsidR="00E84B0E">
        <w:t>’</w:t>
      </w:r>
      <w:r>
        <w:t>original (le fait qu</w:t>
      </w:r>
      <w:r w:rsidR="00E84B0E">
        <w:t>’</w:t>
      </w:r>
      <w:r>
        <w:t>un phénomène prenne de l</w:t>
      </w:r>
      <w:r w:rsidR="00E84B0E">
        <w:t>’</w:t>
      </w:r>
      <w:r>
        <w:t>ampleur) et, d</w:t>
      </w:r>
      <w:r w:rsidR="00E84B0E">
        <w:t>’</w:t>
      </w:r>
      <w:r>
        <w:t>autre part, afin de ne pas créer de confusion par l</w:t>
      </w:r>
      <w:r w:rsidR="00E84B0E">
        <w:t>’</w:t>
      </w:r>
      <w:r>
        <w:t>usage répété du terme « étendue » pour refléter des sens différents.</w:t>
      </w:r>
    </w:p>
    <w:p w14:paraId="7F379C6D" w14:textId="5CA59024" w:rsidR="00065317" w:rsidRDefault="005C7BF7">
      <w:pPr>
        <w:pStyle w:val="Normalcentr"/>
      </w:pPr>
      <w:r>
        <w:t>Le terme « land use » a été traduit conformément à la traduction qu</w:t>
      </w:r>
      <w:r w:rsidR="00E84B0E">
        <w:t>’</w:t>
      </w:r>
      <w:r>
        <w:t>en fait le gouvernement du Canada dans les textes se rapportant au droit autochtone.</w:t>
      </w:r>
    </w:p>
    <w:p w14:paraId="1378EE9F" w14:textId="12635BBD" w:rsidR="00065317" w:rsidRDefault="005C7BF7">
      <w:pPr>
        <w:pStyle w:val="Normalcentr"/>
      </w:pPr>
      <w:r>
        <w:t>Le terme « disconnected » a été traduit par « distinct » puisqu</w:t>
      </w:r>
      <w:r w:rsidR="00E84B0E">
        <w:t>’</w:t>
      </w:r>
      <w:r>
        <w:t>il reflète davantage la nature désunifiée que « déconnecté », qui est davantage utilisé pour parler de communication.</w:t>
      </w:r>
    </w:p>
    <w:p w14:paraId="21670854" w14:textId="42DD258C" w:rsidR="00065317" w:rsidRDefault="005C7BF7">
      <w:pPr>
        <w:pStyle w:val="Normalcentr"/>
      </w:pPr>
      <w:r>
        <w:t>Dans la phrase « Le style artistique peut être conceptualisé de deux manières : selon un contexte historique ou selon des caractéristiques physiques », l</w:t>
      </w:r>
      <w:r w:rsidR="00E84B0E">
        <w:t>’</w:t>
      </w:r>
      <w:r>
        <w:t>ordre de présentation des conceptualisations a été inversé afin de refléter la structure du texte.</w:t>
      </w:r>
    </w:p>
    <w:p w14:paraId="08B74BB2" w14:textId="05EF758F" w:rsidR="00065317" w:rsidRDefault="005C7BF7">
      <w:pPr>
        <w:pStyle w:val="Normalcentr"/>
      </w:pPr>
      <w:r>
        <w:t>Dans la phrase « La première interprétation [</w:t>
      </w:r>
      <w:r w:rsidR="00AF51A3">
        <w:t xml:space="preserve">n.d.t. </w:t>
      </w:r>
      <w:r>
        <w:t xml:space="preserve">selon des caractéristiques physiques] est une instance de </w:t>
      </w:r>
      <w:r>
        <w:rPr>
          <w:rStyle w:val="VerbatimChar"/>
        </w:rPr>
        <w:t>E4_Période</w:t>
      </w:r>
      <w:r>
        <w:t xml:space="preserve"> alors que la seconde [</w:t>
      </w:r>
      <w:r w:rsidR="00AF51A3">
        <w:t xml:space="preserve">n.d.t. </w:t>
      </w:r>
      <w:r>
        <w:t>selon un contexte historique] définit une catégorie morphologique d</w:t>
      </w:r>
      <w:r w:rsidR="00E84B0E">
        <w:t>’</w:t>
      </w:r>
      <w:r>
        <w:t xml:space="preserve">objet, une instance de </w:t>
      </w:r>
      <w:r>
        <w:rPr>
          <w:rStyle w:val="VerbatimChar"/>
        </w:rPr>
        <w:t>E55_Type</w:t>
      </w:r>
      <w:r>
        <w:t xml:space="preserve"> », le terme « type » a été remplacé par « catégorie » </w:t>
      </w:r>
      <w:r w:rsidR="00806228">
        <w:t xml:space="preserve">aux </w:t>
      </w:r>
      <w:r>
        <w:t>fins de clarification puisque c</w:t>
      </w:r>
      <w:r w:rsidR="00E84B0E">
        <w:t>’</w:t>
      </w:r>
      <w:r>
        <w:t>est le sens entendu du terme dans la phrase originale.</w:t>
      </w:r>
    </w:p>
    <w:p w14:paraId="7ADFA295" w14:textId="77777777" w:rsidR="00065317" w:rsidRDefault="005C7BF7">
      <w:pPr>
        <w:pStyle w:val="Normalcentr"/>
      </w:pPr>
      <w:r>
        <w:rPr>
          <w:b/>
          <w:bCs/>
          <w:i/>
          <w:iCs/>
        </w:rPr>
        <w:t>Références</w:t>
      </w:r>
    </w:p>
    <w:p w14:paraId="706D33CC" w14:textId="661F51F0" w:rsidR="00065317" w:rsidRPr="00EC2D6E" w:rsidRDefault="00C8288F">
      <w:pPr>
        <w:pStyle w:val="Normalcentr"/>
        <w:rPr>
          <w:lang w:val="en-CA"/>
        </w:rPr>
      </w:pPr>
      <w:r>
        <w:t>CIDOC CRM</w:t>
      </w:r>
      <w:r w:rsidR="005C7BF7">
        <w:t>. « CRMgeo ». Modèle, 2021.</w:t>
      </w:r>
      <w:hyperlink r:id="rId146">
        <w:r w:rsidR="005C7BF7">
          <w:rPr>
            <w:rStyle w:val="Lienhypertexte"/>
          </w:rPr>
          <w:t xml:space="preserve"> </w:t>
        </w:r>
      </w:hyperlink>
      <w:hyperlink r:id="rId147">
        <w:r w:rsidR="005C7BF7" w:rsidRPr="00EC2D6E">
          <w:rPr>
            <w:rStyle w:val="Lienhypertexte"/>
            <w:lang w:val="en-CA"/>
          </w:rPr>
          <w:t>http://www.cidoc-crm.org/crmgeo/home-5</w:t>
        </w:r>
      </w:hyperlink>
      <w:r w:rsidR="005C7BF7" w:rsidRPr="00EC2D6E">
        <w:rPr>
          <w:lang w:val="en-CA"/>
        </w:rPr>
        <w:t>.</w:t>
      </w:r>
    </w:p>
    <w:p w14:paraId="3F786677" w14:textId="4E7D95C3" w:rsidR="00241DFB" w:rsidRPr="00241DFB" w:rsidRDefault="005C7BF7" w:rsidP="00914F34">
      <w:pPr>
        <w:pStyle w:val="Normalcentr"/>
      </w:pPr>
      <w:r w:rsidRPr="00EC2D6E">
        <w:rPr>
          <w:lang w:val="en-CA"/>
        </w:rPr>
        <w:t xml:space="preserve">Termium. « Land Use ». </w:t>
      </w:r>
      <w:r w:rsidRPr="00523021">
        <w:rPr>
          <w:lang w:val="fr-CA"/>
        </w:rPr>
        <w:t xml:space="preserve">Dans </w:t>
      </w:r>
      <w:r w:rsidRPr="00523021">
        <w:rPr>
          <w:i/>
          <w:iCs/>
          <w:lang w:val="fr-CA"/>
        </w:rPr>
        <w:t>Termium Plus</w:t>
      </w:r>
      <w:r w:rsidRPr="00523021">
        <w:rPr>
          <w:lang w:val="fr-CA"/>
        </w:rPr>
        <w:t xml:space="preserve">. </w:t>
      </w:r>
      <w:r>
        <w:t>Ottawa, CA-ON</w:t>
      </w:r>
      <w:r w:rsidR="001458EA">
        <w:t> </w:t>
      </w:r>
      <w:r>
        <w:t>: Gouvernement du Canada, 2022.</w:t>
      </w:r>
      <w:hyperlink r:id="rId148" w:anchor="resultrecs">
        <w:r>
          <w:rPr>
            <w:rStyle w:val="Lienhypertexte"/>
          </w:rPr>
          <w:t xml:space="preserve"> </w:t>
        </w:r>
      </w:hyperlink>
      <w:hyperlink r:id="rId149" w:anchor="resultrecs">
        <w:r>
          <w:rPr>
            <w:rStyle w:val="Lienhypertexte"/>
          </w:rPr>
          <w:t>https://www.btb.termiumplus.gc.ca/tpv2alpha/alpha-fra.html?lang=fra&amp;i=1&amp;srchtxt=land+use&amp;index=alt&amp;codom2nd_wet=1#resultrecs</w:t>
        </w:r>
      </w:hyperlink>
      <w:r>
        <w:t>.</w:t>
      </w:r>
    </w:p>
    <w:p w14:paraId="44751688" w14:textId="77777777" w:rsidR="00C86352" w:rsidRDefault="00C86352">
      <w:pPr>
        <w:spacing w:after="0"/>
        <w:rPr>
          <w:rFonts w:eastAsiaTheme="majorEastAsia" w:cstheme="majorBidi"/>
          <w:b/>
          <w:bCs/>
          <w:color w:val="000000"/>
          <w:sz w:val="28"/>
          <w:szCs w:val="28"/>
        </w:rPr>
      </w:pPr>
      <w:bookmarkStart w:id="114" w:name="_Toc154048742"/>
      <w:bookmarkStart w:id="115" w:name="e5-evenement"/>
      <w:bookmarkEnd w:id="113"/>
      <w:r>
        <w:br w:type="page"/>
      </w:r>
    </w:p>
    <w:p w14:paraId="6341E0B4" w14:textId="19CC0F56" w:rsidR="00065317" w:rsidRDefault="005C7BF7" w:rsidP="00914F34">
      <w:pPr>
        <w:pStyle w:val="Titre3"/>
      </w:pPr>
      <w:r>
        <w:lastRenderedPageBreak/>
        <w:t>E5 Évènement</w:t>
      </w:r>
      <w:bookmarkEnd w:id="114"/>
    </w:p>
    <w:p w14:paraId="715649EE" w14:textId="77777777" w:rsidR="00065317" w:rsidRDefault="005C7BF7">
      <w:pPr>
        <w:pStyle w:val="FirstParagraph"/>
      </w:pPr>
      <w:r>
        <w:rPr>
          <w:b/>
          <w:bCs/>
        </w:rPr>
        <w:t>Sous-classe de</w:t>
      </w:r>
    </w:p>
    <w:p w14:paraId="165F28EC" w14:textId="77777777" w:rsidR="00065317" w:rsidRDefault="005C7BF7">
      <w:pPr>
        <w:pStyle w:val="Corpsdetexte"/>
      </w:pPr>
      <w:r>
        <w:rPr>
          <w:rStyle w:val="VerbatimChar"/>
        </w:rPr>
        <w:t>E4_Période</w:t>
      </w:r>
    </w:p>
    <w:p w14:paraId="5BB1AA24" w14:textId="77777777" w:rsidR="00065317" w:rsidRDefault="005C7BF7">
      <w:pPr>
        <w:pStyle w:val="Corpsdetexte"/>
      </w:pPr>
      <w:r>
        <w:rPr>
          <w:b/>
          <w:bCs/>
        </w:rPr>
        <w:t>Super-classe de</w:t>
      </w:r>
    </w:p>
    <w:p w14:paraId="49D92110" w14:textId="77777777" w:rsidR="00065317" w:rsidRDefault="005C7BF7">
      <w:pPr>
        <w:pStyle w:val="Corpsdetexte"/>
      </w:pPr>
      <w:r>
        <w:rPr>
          <w:rStyle w:val="VerbatimChar"/>
        </w:rPr>
        <w:t>E7_Activité</w:t>
      </w:r>
    </w:p>
    <w:p w14:paraId="29D63190" w14:textId="57B8B335" w:rsidR="00065317" w:rsidRDefault="005C7BF7">
      <w:pPr>
        <w:pStyle w:val="Corpsdetexte"/>
      </w:pPr>
      <w:r>
        <w:rPr>
          <w:rStyle w:val="VerbatimChar"/>
        </w:rPr>
        <w:t>E63_Début_d</w:t>
      </w:r>
      <w:r w:rsidR="00E84B0E">
        <w:rPr>
          <w:rStyle w:val="VerbatimChar"/>
        </w:rPr>
        <w:t>’</w:t>
      </w:r>
      <w:r>
        <w:rPr>
          <w:rStyle w:val="VerbatimChar"/>
        </w:rPr>
        <w:t>existence</w:t>
      </w:r>
    </w:p>
    <w:p w14:paraId="56BA4510" w14:textId="42E73720" w:rsidR="00241DFB" w:rsidRDefault="005C7BF7">
      <w:pPr>
        <w:pStyle w:val="Corpsdetexte"/>
        <w:rPr>
          <w:b/>
          <w:bCs/>
        </w:rPr>
      </w:pPr>
      <w:r>
        <w:rPr>
          <w:rStyle w:val="VerbatimChar"/>
        </w:rPr>
        <w:t>E64_Fin_d</w:t>
      </w:r>
      <w:r w:rsidR="00E84B0E">
        <w:rPr>
          <w:rStyle w:val="VerbatimChar"/>
        </w:rPr>
        <w:t>’</w:t>
      </w:r>
      <w:r>
        <w:rPr>
          <w:rStyle w:val="VerbatimChar"/>
        </w:rPr>
        <w:t>existence</w:t>
      </w:r>
    </w:p>
    <w:p w14:paraId="1CB53F2E" w14:textId="2AA9B8F7" w:rsidR="00065317" w:rsidRDefault="005C7BF7">
      <w:pPr>
        <w:pStyle w:val="Corpsdetexte"/>
      </w:pPr>
      <w:r>
        <w:rPr>
          <w:b/>
          <w:bCs/>
        </w:rPr>
        <w:t>Note d</w:t>
      </w:r>
      <w:r w:rsidR="00E84B0E">
        <w:rPr>
          <w:b/>
          <w:bCs/>
        </w:rPr>
        <w:t>’</w:t>
      </w:r>
      <w:r>
        <w:rPr>
          <w:b/>
          <w:bCs/>
        </w:rPr>
        <w:t>application</w:t>
      </w:r>
    </w:p>
    <w:p w14:paraId="704584DA" w14:textId="5B97F374" w:rsidR="00065317" w:rsidRDefault="005C7BF7">
      <w:pPr>
        <w:pStyle w:val="Corpsdetexte"/>
      </w:pPr>
      <w:r>
        <w:t xml:space="preserve">Cette classe comprend les processus et interactions distincts, délimités, cohérents et de nature matérielle au sein de systèmes culturels, sociaux ou physiques, impliquant et affectant des instances de </w:t>
      </w:r>
      <w:r>
        <w:rPr>
          <w:rStyle w:val="VerbatimChar"/>
        </w:rPr>
        <w:t>E77_Entité_persistante</w:t>
      </w:r>
      <w:r>
        <w:t xml:space="preserve"> d</w:t>
      </w:r>
      <w:r w:rsidR="00E84B0E">
        <w:t>’</w:t>
      </w:r>
      <w:r>
        <w:t>une manière caractéristique du type de processus observé. Les réunions, les naissances, les décès, les actions menant à des prises de décision, la fabrication ou l</w:t>
      </w:r>
      <w:r w:rsidR="00E84B0E">
        <w:t>’</w:t>
      </w:r>
      <w:r>
        <w:t>invention d</w:t>
      </w:r>
      <w:r w:rsidR="00E84B0E">
        <w:t>’</w:t>
      </w:r>
      <w:r>
        <w:t>objets, mais aussi des évènements plus vastes et complexes tels que les conférences, les élections, les constructions de châteaux ou les batailles sont des exemples typiques d</w:t>
      </w:r>
      <w:r w:rsidR="00E84B0E">
        <w:t>’</w:t>
      </w:r>
      <w:r>
        <w:t>évènements.</w:t>
      </w:r>
    </w:p>
    <w:p w14:paraId="3606816D" w14:textId="03A75851" w:rsidR="00065317" w:rsidRDefault="005C7BF7">
      <w:pPr>
        <w:pStyle w:val="Corpsdetexte"/>
      </w:pPr>
      <w:r>
        <w:t>Si la croissance continue d</w:t>
      </w:r>
      <w:r w:rsidR="00E84B0E">
        <w:t>’</w:t>
      </w:r>
      <w:r>
        <w:t>un arbre est dépourvue des limites qui feraient d</w:t>
      </w:r>
      <w:r w:rsidR="00E84B0E">
        <w:t>’</w:t>
      </w:r>
      <w:r>
        <w:t>elle un évènement, sa germination à partir d</w:t>
      </w:r>
      <w:r w:rsidR="00E84B0E">
        <w:t>’</w:t>
      </w:r>
      <w:r>
        <w:t>une graine, elle, en est un. De la même façon, le souffle du vent n</w:t>
      </w:r>
      <w:r w:rsidR="00E84B0E">
        <w:t>’</w:t>
      </w:r>
      <w:r>
        <w:t>est pas un évènement, car il n</w:t>
      </w:r>
      <w:r w:rsidR="00E84B0E">
        <w:t>’</w:t>
      </w:r>
      <w:r>
        <w:t>en a ni le caractère distinct ni les délimitations</w:t>
      </w:r>
      <w:r w:rsidR="003259C9">
        <w:t xml:space="preserve">; </w:t>
      </w:r>
      <w:r>
        <w:t>en revanche un ouragan, une inondation ou un tremblement de terre sont bien des évènements. Les processus mentaux sont considérés comme des évènements dans les cas où ils sont connectés à l</w:t>
      </w:r>
      <w:r w:rsidR="00E84B0E">
        <w:t>’</w:t>
      </w:r>
      <w:r>
        <w:t>externalisation matérielle qui en résulte; par exemple, la création d</w:t>
      </w:r>
      <w:r w:rsidR="00E84B0E">
        <w:t>’</w:t>
      </w:r>
      <w:r>
        <w:t>un poème ou d</w:t>
      </w:r>
      <w:r w:rsidR="00E84B0E">
        <w:t>’</w:t>
      </w:r>
      <w:r>
        <w:t>une performance, ou bien le changement d</w:t>
      </w:r>
      <w:r w:rsidR="00E84B0E">
        <w:t>’</w:t>
      </w:r>
      <w:r>
        <w:t>une intention devenu évident à la lumière d</w:t>
      </w:r>
      <w:r w:rsidR="00E84B0E">
        <w:t>’</w:t>
      </w:r>
      <w:r>
        <w:t>actions ou de déclarations ultérieures.</w:t>
      </w:r>
    </w:p>
    <w:p w14:paraId="32A01188" w14:textId="5AC24675" w:rsidR="00065317" w:rsidRDefault="005C7BF7">
      <w:pPr>
        <w:pStyle w:val="Corpsdetexte"/>
      </w:pPr>
      <w:r>
        <w:t>Les effets d</w:t>
      </w:r>
      <w:r w:rsidR="00E84B0E">
        <w:t>’</w:t>
      </w:r>
      <w:r>
        <w:t xml:space="preserve">une instance de </w:t>
      </w:r>
      <w:r>
        <w:rPr>
          <w:rStyle w:val="VerbatimChar"/>
        </w:rPr>
        <w:t>E5_Évènement</w:t>
      </w:r>
      <w:r>
        <w:t xml:space="preserve"> ne mènent pas nécessairement à des modifications permanentes significatives des propriétés ou des relations des entités impliquées, par exemple dans le cas d</w:t>
      </w:r>
      <w:r w:rsidR="00E84B0E">
        <w:t>’</w:t>
      </w:r>
      <w:r>
        <w:t>une performance non enregistrée. Bien sûr, pour qu</w:t>
      </w:r>
      <w:r w:rsidR="00E84B0E">
        <w:t>’</w:t>
      </w:r>
      <w:r>
        <w:t xml:space="preserve">un évènement puisse être documenté, une preuve de son existence est nécessaire, que ce soit par des témoins, des traces ou un produit résultant de cet évènement. Si les instances de </w:t>
      </w:r>
      <w:r>
        <w:rPr>
          <w:rStyle w:val="VerbatimChar"/>
        </w:rPr>
        <w:t>E4_Période</w:t>
      </w:r>
      <w:r>
        <w:t xml:space="preserve"> requièrent toujours une certaine cohérence entre les phénomènes qui les constituent, les éléments constitutifs d</w:t>
      </w:r>
      <w:r w:rsidR="00E84B0E">
        <w:t>’</w:t>
      </w:r>
      <w:r>
        <w:t xml:space="preserve">instances de </w:t>
      </w:r>
      <w:r>
        <w:rPr>
          <w:rStyle w:val="VerbatimChar"/>
        </w:rPr>
        <w:t>E5_Évènement</w:t>
      </w:r>
      <w:r>
        <w:t xml:space="preserve"> doivent de plus contribuer à un effet global; par exemple, les déclarations faites lors d</w:t>
      </w:r>
      <w:r w:rsidR="00E84B0E">
        <w:t>’</w:t>
      </w:r>
      <w:r>
        <w:t>une réunion et l</w:t>
      </w:r>
      <w:r w:rsidR="00E84B0E">
        <w:t>’</w:t>
      </w:r>
      <w:r>
        <w:t>écoute du public.</w:t>
      </w:r>
    </w:p>
    <w:p w14:paraId="41CD6D91" w14:textId="171B14A3" w:rsidR="00065317" w:rsidRDefault="005C7BF7">
      <w:pPr>
        <w:pStyle w:val="Corpsdetexte"/>
      </w:pPr>
      <w:r>
        <w:t xml:space="preserve">À un niveau de détail grossier, une instance de </w:t>
      </w:r>
      <w:r>
        <w:rPr>
          <w:rStyle w:val="VerbatimChar"/>
        </w:rPr>
        <w:t>E5_Évènement</w:t>
      </w:r>
      <w:r>
        <w:t xml:space="preserve"> peut paraître avoir un effet global « instantané », mais tout processus ou interaction de nature matérielle a en réalité une étendue spatio-temporelle. À un niveau plus fin, les instances de </w:t>
      </w:r>
      <w:r>
        <w:rPr>
          <w:rStyle w:val="VerbatimChar"/>
        </w:rPr>
        <w:t>E5_Évènement</w:t>
      </w:r>
      <w:r>
        <w:t xml:space="preserve"> peuvent être détaillées en phénomènes constituants et en phases distinctes au sein d</w:t>
      </w:r>
      <w:r w:rsidR="00E84B0E">
        <w:t>’</w:t>
      </w:r>
      <w:r>
        <w:t>un cadre spatio-temporel, et en tant que tels, peuvent être considérés comme une période, indépendamment de l</w:t>
      </w:r>
      <w:r w:rsidR="00E84B0E">
        <w:t>’</w:t>
      </w:r>
      <w:r>
        <w:t>amplitude de ces phénomènes. L</w:t>
      </w:r>
      <w:r w:rsidR="00E84B0E">
        <w:t>’</w:t>
      </w:r>
      <w:r>
        <w:t>inverse n</w:t>
      </w:r>
      <w:r w:rsidR="00E84B0E">
        <w:t>’</w:t>
      </w:r>
      <w:r>
        <w:t xml:space="preserve">est pas nécessairement vrai : ce ne sont pas toutes les instances de </w:t>
      </w:r>
      <w:r>
        <w:rPr>
          <w:rStyle w:val="VerbatimChar"/>
        </w:rPr>
        <w:t>E4_Période</w:t>
      </w:r>
      <w:r>
        <w:t xml:space="preserve"> qui génèrent un effet global significatif, et de ce fait, elles ne sont pas forcément des instances de </w:t>
      </w:r>
      <w:r>
        <w:rPr>
          <w:rStyle w:val="VerbatimChar"/>
        </w:rPr>
        <w:t>E5_Évènement</w:t>
      </w:r>
      <w:r>
        <w:t>.</w:t>
      </w:r>
    </w:p>
    <w:p w14:paraId="00F12161" w14:textId="77777777" w:rsidR="00065317" w:rsidRDefault="005C7BF7">
      <w:pPr>
        <w:pStyle w:val="Corpsdetexte"/>
      </w:pPr>
      <w:r>
        <w:rPr>
          <w:b/>
          <w:bCs/>
        </w:rPr>
        <w:t>Exemples</w:t>
      </w:r>
    </w:p>
    <w:p w14:paraId="3D9A4794" w14:textId="77777777" w:rsidR="00065317" w:rsidRDefault="005C7BF7">
      <w:pPr>
        <w:numPr>
          <w:ilvl w:val="0"/>
          <w:numId w:val="58"/>
        </w:numPr>
      </w:pPr>
      <w:r>
        <w:t>La naissance de Cléopâtre (</w:t>
      </w:r>
      <w:r>
        <w:rPr>
          <w:rStyle w:val="VerbatimChar"/>
        </w:rPr>
        <w:t>E67_Naissance</w:t>
      </w:r>
      <w:r>
        <w:t>) (Pomeroy, 1984)</w:t>
      </w:r>
    </w:p>
    <w:p w14:paraId="62B8BB3A" w14:textId="0AF16EE1" w:rsidR="00065317" w:rsidRDefault="005C7BF7">
      <w:pPr>
        <w:numPr>
          <w:ilvl w:val="0"/>
          <w:numId w:val="58"/>
        </w:numPr>
      </w:pPr>
      <w:r>
        <w:t>La destruction d</w:t>
      </w:r>
      <w:r w:rsidR="00E84B0E">
        <w:t>’</w:t>
      </w:r>
      <w:r>
        <w:t>Herculanum par une éruption volcanique en 79 EC (</w:t>
      </w:r>
      <w:r>
        <w:rPr>
          <w:rStyle w:val="VerbatimChar"/>
        </w:rPr>
        <w:t>E6_Destruction</w:t>
      </w:r>
      <w:r>
        <w:t>) (Camardo, 2013)</w:t>
      </w:r>
    </w:p>
    <w:p w14:paraId="63F389CB" w14:textId="77777777" w:rsidR="00065317" w:rsidRDefault="005C7BF7">
      <w:pPr>
        <w:numPr>
          <w:ilvl w:val="0"/>
          <w:numId w:val="58"/>
        </w:numPr>
      </w:pPr>
      <w:r>
        <w:t>La Seconde Guerre mondiale (</w:t>
      </w:r>
      <w:r>
        <w:rPr>
          <w:rStyle w:val="VerbatimChar"/>
        </w:rPr>
        <w:t>E7_Activité</w:t>
      </w:r>
      <w:r>
        <w:t>) (Barber, 1994)</w:t>
      </w:r>
    </w:p>
    <w:p w14:paraId="10FA15E7" w14:textId="77777777" w:rsidR="00065317" w:rsidRDefault="005C7BF7">
      <w:pPr>
        <w:numPr>
          <w:ilvl w:val="0"/>
          <w:numId w:val="58"/>
        </w:numPr>
      </w:pPr>
      <w:r>
        <w:lastRenderedPageBreak/>
        <w:t>La bataille de Stalingrad (</w:t>
      </w:r>
      <w:r>
        <w:rPr>
          <w:rStyle w:val="VerbatimChar"/>
        </w:rPr>
        <w:t>E7_Activité</w:t>
      </w:r>
      <w:r>
        <w:t>) (Hoyt, 1993)</w:t>
      </w:r>
    </w:p>
    <w:p w14:paraId="6526FAA2" w14:textId="77777777" w:rsidR="00065317" w:rsidRDefault="005C7BF7">
      <w:pPr>
        <w:numPr>
          <w:ilvl w:val="0"/>
          <w:numId w:val="58"/>
        </w:numPr>
      </w:pPr>
      <w:r>
        <w:t>La Conférence de Yalta (</w:t>
      </w:r>
      <w:r>
        <w:rPr>
          <w:rStyle w:val="VerbatimChar"/>
        </w:rPr>
        <w:t>E7_Activité</w:t>
      </w:r>
      <w:r>
        <w:t>) (Harbutt, 2010)</w:t>
      </w:r>
    </w:p>
    <w:p w14:paraId="236A1024" w14:textId="458DF8AE" w:rsidR="00065317" w:rsidRDefault="005C7BF7">
      <w:pPr>
        <w:numPr>
          <w:ilvl w:val="0"/>
          <w:numId w:val="58"/>
        </w:numPr>
      </w:pPr>
      <w:r>
        <w:t>Ma fête d</w:t>
      </w:r>
      <w:r w:rsidR="00E84B0E">
        <w:t>’</w:t>
      </w:r>
      <w:r>
        <w:t>anniversaire le 28/06/1995 (</w:t>
      </w:r>
      <w:r>
        <w:rPr>
          <w:rStyle w:val="VerbatimChar"/>
        </w:rPr>
        <w:t>E7_Activité</w:t>
      </w:r>
      <w:r>
        <w:t>)</w:t>
      </w:r>
    </w:p>
    <w:p w14:paraId="36F9EF26" w14:textId="33D3D6B0" w:rsidR="00065317" w:rsidRDefault="005C7BF7">
      <w:pPr>
        <w:numPr>
          <w:ilvl w:val="0"/>
          <w:numId w:val="58"/>
        </w:numPr>
      </w:pPr>
      <w:r>
        <w:t>La chute d</w:t>
      </w:r>
      <w:r w:rsidR="00E84B0E">
        <w:t>’</w:t>
      </w:r>
      <w:r>
        <w:t>une tuile de mon toit dimanche dernier (fictif)</w:t>
      </w:r>
    </w:p>
    <w:p w14:paraId="2D5855E1" w14:textId="77777777" w:rsidR="00065317" w:rsidRDefault="005C7BF7">
      <w:pPr>
        <w:numPr>
          <w:ilvl w:val="0"/>
          <w:numId w:val="58"/>
        </w:numPr>
      </w:pPr>
      <w:r>
        <w:t>La Conférence CIDOC 2003 (</w:t>
      </w:r>
      <w:r>
        <w:rPr>
          <w:rStyle w:val="VerbatimChar"/>
        </w:rPr>
        <w:t>E7_Activité</w:t>
      </w:r>
      <w:r>
        <w:t>)</w:t>
      </w:r>
    </w:p>
    <w:p w14:paraId="30E360BF" w14:textId="77777777" w:rsidR="00065317" w:rsidRDefault="005C7BF7">
      <w:pPr>
        <w:pStyle w:val="FirstParagraph"/>
      </w:pPr>
      <w:r>
        <w:rPr>
          <w:b/>
          <w:bCs/>
        </w:rPr>
        <w:t>Logique</w:t>
      </w:r>
    </w:p>
    <w:p w14:paraId="1E034838" w14:textId="77777777" w:rsidR="00065317" w:rsidRDefault="005C7BF7">
      <w:pPr>
        <w:pStyle w:val="Corpsdetexte"/>
      </w:pPr>
      <w:r>
        <w:t>E5(x) ⇒ E4(x)</w:t>
      </w:r>
    </w:p>
    <w:p w14:paraId="7EF65518" w14:textId="77777777" w:rsidR="00065317" w:rsidRDefault="005C7BF7">
      <w:pPr>
        <w:pStyle w:val="Corpsdetexte"/>
      </w:pPr>
      <w:r>
        <w:rPr>
          <w:b/>
          <w:bCs/>
        </w:rPr>
        <w:t>Propriétés</w:t>
      </w:r>
    </w:p>
    <w:p w14:paraId="4B2B883B" w14:textId="77777777" w:rsidR="00065317" w:rsidRDefault="005C7BF7">
      <w:pPr>
        <w:pStyle w:val="Corpsdetexte"/>
      </w:pPr>
      <w:r>
        <w:rPr>
          <w:rStyle w:val="VerbatimChar"/>
        </w:rPr>
        <w:t>P11_a eu_pour_actant_participant (a_participé_à)</w:t>
      </w:r>
      <w:r>
        <w:t xml:space="preserve"> : </w:t>
      </w:r>
      <w:r>
        <w:rPr>
          <w:rStyle w:val="VerbatimChar"/>
        </w:rPr>
        <w:t>E39_Actant</w:t>
      </w:r>
    </w:p>
    <w:p w14:paraId="60162BDA" w14:textId="77777777" w:rsidR="00065317" w:rsidRDefault="005C7BF7">
      <w:pPr>
        <w:pStyle w:val="Corpsdetexte"/>
      </w:pPr>
      <w:r>
        <w:rPr>
          <w:rStyle w:val="VerbatimChar"/>
        </w:rPr>
        <w:t>P12_a_eu_lieu_en_présence_de (a_été_présent_à)</w:t>
      </w:r>
      <w:r>
        <w:t xml:space="preserve"> : </w:t>
      </w:r>
      <w:r>
        <w:rPr>
          <w:rStyle w:val="VerbatimChar"/>
        </w:rPr>
        <w:t>E77_Entité_persistante</w:t>
      </w:r>
    </w:p>
    <w:p w14:paraId="4D9D4407" w14:textId="77777777" w:rsidR="00065317" w:rsidRDefault="005C7BF7">
      <w:pPr>
        <w:pStyle w:val="Normalcentr"/>
      </w:pPr>
      <w:r>
        <w:rPr>
          <w:b/>
          <w:bCs/>
          <w:i/>
          <w:iCs/>
        </w:rPr>
        <w:t>Note de traduction</w:t>
      </w:r>
    </w:p>
    <w:p w14:paraId="1B1593EA" w14:textId="4DD12244" w:rsidR="008E0906" w:rsidRPr="00241DFB" w:rsidRDefault="005C7BF7" w:rsidP="00241DFB">
      <w:pPr>
        <w:pStyle w:val="Normalcentr"/>
      </w:pPr>
      <w:r>
        <w:t>Le terme « processes » est traduit par « processus » de préférence à « procédé » : « En résumé, un procédé, c</w:t>
      </w:r>
      <w:r w:rsidR="00E84B0E">
        <w:t>’</w:t>
      </w:r>
      <w:r>
        <w:t>est une méthode employée pour obtenir le résultat recherché, un processus, c</w:t>
      </w:r>
      <w:r w:rsidR="00E84B0E">
        <w:t>’</w:t>
      </w:r>
      <w:r>
        <w:t>est une suite d</w:t>
      </w:r>
      <w:r w:rsidR="00E84B0E">
        <w:t>’</w:t>
      </w:r>
      <w:r>
        <w:t>opérations, et une procédure, c</w:t>
      </w:r>
      <w:r w:rsidR="00E84B0E">
        <w:t>’</w:t>
      </w:r>
      <w:r>
        <w:t>est un ensemble de règles qu</w:t>
      </w:r>
      <w:r w:rsidR="00E84B0E">
        <w:t>’</w:t>
      </w:r>
      <w:r>
        <w:t>il convient d</w:t>
      </w:r>
      <w:r w:rsidR="00E84B0E">
        <w:t>’</w:t>
      </w:r>
      <w:r>
        <w:t>observer pour obtenir un résultat donné. ».</w:t>
      </w:r>
    </w:p>
    <w:p w14:paraId="48FA1C41" w14:textId="5D016F3E" w:rsidR="00065317" w:rsidRDefault="005C7BF7">
      <w:pPr>
        <w:pStyle w:val="Normalcentr"/>
      </w:pPr>
      <w:r>
        <w:rPr>
          <w:b/>
          <w:bCs/>
          <w:i/>
          <w:iCs/>
        </w:rPr>
        <w:t>Références</w:t>
      </w:r>
    </w:p>
    <w:p w14:paraId="3E1ABE5C" w14:textId="45F3C982" w:rsidR="00065317" w:rsidRDefault="005C7BF7">
      <w:pPr>
        <w:pStyle w:val="Normalcentr"/>
      </w:pPr>
      <w:r>
        <w:t xml:space="preserve">Office québécois de la langue française. « Différence entre procédé, processus et procédure ». Dans </w:t>
      </w:r>
      <w:r>
        <w:rPr>
          <w:i/>
          <w:iCs/>
        </w:rPr>
        <w:t>Banque de dépannage linguistique</w:t>
      </w:r>
      <w:r>
        <w:t>. Québec, CA-QC: Office québécois de la langue française, 2022.</w:t>
      </w:r>
      <w:hyperlink r:id="rId150">
        <w:r>
          <w:rPr>
            <w:rStyle w:val="Lienhypertexte"/>
          </w:rPr>
          <w:t xml:space="preserve"> </w:t>
        </w:r>
      </w:hyperlink>
      <w:hyperlink r:id="rId151">
        <w:r>
          <w:rPr>
            <w:rStyle w:val="Lienhypertexte"/>
          </w:rPr>
          <w:t>https://vitrinelinguistique.oqlf.gouv.qc.ca/22247/le-vocabulaire/nuances-semantiques/difference-entre-procede-processus-et-procedure</w:t>
        </w:r>
      </w:hyperlink>
      <w:r>
        <w:t>.</w:t>
      </w:r>
    </w:p>
    <w:p w14:paraId="2305939C" w14:textId="77777777" w:rsidR="00065317" w:rsidRDefault="005C7BF7" w:rsidP="00914F34">
      <w:pPr>
        <w:pStyle w:val="Titre3"/>
      </w:pPr>
      <w:bookmarkStart w:id="116" w:name="_Toc154048743"/>
      <w:bookmarkStart w:id="117" w:name="e6-destruction"/>
      <w:bookmarkEnd w:id="115"/>
      <w:r>
        <w:t>E6 Destruction</w:t>
      </w:r>
      <w:bookmarkEnd w:id="116"/>
    </w:p>
    <w:p w14:paraId="27FC8663" w14:textId="77777777" w:rsidR="00065317" w:rsidRDefault="005C7BF7">
      <w:pPr>
        <w:pStyle w:val="FirstParagraph"/>
      </w:pPr>
      <w:r>
        <w:rPr>
          <w:b/>
          <w:bCs/>
        </w:rPr>
        <w:t>Sous-classe de</w:t>
      </w:r>
    </w:p>
    <w:p w14:paraId="1DBC5F14" w14:textId="3A588508" w:rsidR="00065317" w:rsidRDefault="005C7BF7">
      <w:pPr>
        <w:pStyle w:val="Corpsdetexte"/>
      </w:pPr>
      <w:r>
        <w:rPr>
          <w:rStyle w:val="VerbatimChar"/>
        </w:rPr>
        <w:t>E64_Fin_d</w:t>
      </w:r>
      <w:r w:rsidR="00E84B0E">
        <w:rPr>
          <w:rStyle w:val="VerbatimChar"/>
        </w:rPr>
        <w:t>’</w:t>
      </w:r>
      <w:r>
        <w:rPr>
          <w:rStyle w:val="VerbatimChar"/>
        </w:rPr>
        <w:t>existence</w:t>
      </w:r>
    </w:p>
    <w:p w14:paraId="130777B6" w14:textId="228F55A0" w:rsidR="003F44C6" w:rsidRPr="003F44C6" w:rsidRDefault="005C7BF7">
      <w:pPr>
        <w:pStyle w:val="Corpsdetexte"/>
        <w:rPr>
          <w:b/>
          <w:bCs/>
        </w:rPr>
      </w:pPr>
      <w:r>
        <w:rPr>
          <w:b/>
          <w:bCs/>
        </w:rPr>
        <w:t>Super-classe de</w:t>
      </w:r>
    </w:p>
    <w:p w14:paraId="155A51C3" w14:textId="69D43906" w:rsidR="00065317" w:rsidRDefault="005C7BF7">
      <w:pPr>
        <w:pStyle w:val="Corpsdetexte"/>
      </w:pPr>
      <w:r>
        <w:rPr>
          <w:b/>
          <w:bCs/>
        </w:rPr>
        <w:t>Note d</w:t>
      </w:r>
      <w:r w:rsidR="00E84B0E">
        <w:rPr>
          <w:b/>
          <w:bCs/>
        </w:rPr>
        <w:t>’</w:t>
      </w:r>
      <w:r>
        <w:rPr>
          <w:b/>
          <w:bCs/>
        </w:rPr>
        <w:t>application</w:t>
      </w:r>
    </w:p>
    <w:p w14:paraId="44FF5412" w14:textId="470589B2" w:rsidR="00065317" w:rsidRDefault="005C7BF7">
      <w:pPr>
        <w:pStyle w:val="Corpsdetexte"/>
      </w:pPr>
      <w:r>
        <w:t xml:space="preserve">Cette classe comprend des évènements qui détruisent une ou plusieurs instances de </w:t>
      </w:r>
      <w:r>
        <w:rPr>
          <w:rStyle w:val="VerbatimChar"/>
        </w:rPr>
        <w:t>E18_Chose_matérielle</w:t>
      </w:r>
      <w:r>
        <w:t>, de sorte qu</w:t>
      </w:r>
      <w:r w:rsidR="00E84B0E">
        <w:t>’</w:t>
      </w:r>
      <w:r>
        <w:t>elles perdent leur identité en tant que sujets de documentation.</w:t>
      </w:r>
    </w:p>
    <w:p w14:paraId="12491327" w14:textId="7F8C4095" w:rsidR="00065317" w:rsidRDefault="005C7BF7">
      <w:pPr>
        <w:pStyle w:val="Corpsdetexte"/>
      </w:pPr>
      <w:r>
        <w:t>Certains évènements de destruction sont intentionnels, tandis que d</w:t>
      </w:r>
      <w:r w:rsidR="00E84B0E">
        <w:t>’</w:t>
      </w:r>
      <w:r>
        <w:t>autres ne dépendent pas de l</w:t>
      </w:r>
      <w:r w:rsidR="00E84B0E">
        <w:t>’</w:t>
      </w:r>
      <w:r>
        <w:t>activité humaine. La destruction intentionnelle peut être documentée en classant l</w:t>
      </w:r>
      <w:r w:rsidR="00E84B0E">
        <w:t>’</w:t>
      </w:r>
      <w:r>
        <w:t xml:space="preserve">évènement à la fois comme une instance de </w:t>
      </w:r>
      <w:r>
        <w:rPr>
          <w:rStyle w:val="VerbatimChar"/>
        </w:rPr>
        <w:t>E6_Destruction</w:t>
      </w:r>
      <w:r>
        <w:t xml:space="preserve"> et de </w:t>
      </w:r>
      <w:r>
        <w:rPr>
          <w:rStyle w:val="VerbatimChar"/>
        </w:rPr>
        <w:t>E7_Activité</w:t>
      </w:r>
      <w:r>
        <w:t>.</w:t>
      </w:r>
    </w:p>
    <w:p w14:paraId="18708621" w14:textId="77777777" w:rsidR="00065317" w:rsidRDefault="005C7BF7">
      <w:pPr>
        <w:pStyle w:val="Corpsdetexte"/>
      </w:pPr>
      <w:r>
        <w:t>La décision de documenter un objet comme détruit, transformé ou modifié est contextuelle :</w:t>
      </w:r>
    </w:p>
    <w:p w14:paraId="2FD653FD" w14:textId="4111CF8A" w:rsidR="00065317" w:rsidRDefault="005C7BF7" w:rsidP="00915533">
      <w:pPr>
        <w:pStyle w:val="Paragraphedeliste"/>
        <w:numPr>
          <w:ilvl w:val="0"/>
          <w:numId w:val="316"/>
        </w:numPr>
      </w:pPr>
      <w:r>
        <w:t>Si la matière résiduelle de la destruction n</w:t>
      </w:r>
      <w:r w:rsidR="00E84B0E">
        <w:t>’</w:t>
      </w:r>
      <w:r>
        <w:t>est pas documentée, l</w:t>
      </w:r>
      <w:r w:rsidR="00E84B0E">
        <w:t>’</w:t>
      </w:r>
      <w:r>
        <w:t xml:space="preserve">évènement est modélisé uniquement comme une instance de </w:t>
      </w:r>
      <w:r>
        <w:rPr>
          <w:rStyle w:val="VerbatimChar"/>
        </w:rPr>
        <w:t>E6_Destruction</w:t>
      </w:r>
      <w:r>
        <w:t>.</w:t>
      </w:r>
    </w:p>
    <w:p w14:paraId="4C60ECFF" w14:textId="5979929D" w:rsidR="00065317" w:rsidRDefault="005C7BF7" w:rsidP="00915533">
      <w:pPr>
        <w:pStyle w:val="Paragraphedeliste"/>
        <w:numPr>
          <w:ilvl w:val="0"/>
          <w:numId w:val="316"/>
        </w:numPr>
      </w:pPr>
      <w:r>
        <w:t>Un évènement doit également être documenté en tant qu</w:t>
      </w:r>
      <w:r w:rsidR="00E84B0E">
        <w:t>’</w:t>
      </w:r>
      <w:r>
        <w:t xml:space="preserve">instance de </w:t>
      </w:r>
      <w:r>
        <w:rPr>
          <w:rStyle w:val="VerbatimChar"/>
        </w:rPr>
        <w:t>E81_Transformation</w:t>
      </w:r>
      <w:r>
        <w:t xml:space="preserve"> s</w:t>
      </w:r>
      <w:r w:rsidR="00E84B0E">
        <w:t>’</w:t>
      </w:r>
      <w:r>
        <w:t>il aboutit à la destruction d</w:t>
      </w:r>
      <w:r w:rsidR="00E84B0E">
        <w:t>’</w:t>
      </w:r>
      <w:r>
        <w:t>un ou de plusieurs objets et à la production simultanée d</w:t>
      </w:r>
      <w:r w:rsidR="00E84B0E">
        <w:t>’</w:t>
      </w:r>
      <w:r>
        <w:t>autres objets en utilisant des parties ou des matériaux de l</w:t>
      </w:r>
      <w:r w:rsidR="00E84B0E">
        <w:t>’</w:t>
      </w:r>
      <w:r>
        <w:t>original. Dans ce cas, les nouveaux éléments ont des identités distinctes. La matière est préservée, mais l</w:t>
      </w:r>
      <w:r w:rsidR="00E84B0E">
        <w:t>’</w:t>
      </w:r>
      <w:r>
        <w:t>identité ne l</w:t>
      </w:r>
      <w:r w:rsidR="00E84B0E">
        <w:t>’</w:t>
      </w:r>
      <w:r>
        <w:t>est pas.</w:t>
      </w:r>
    </w:p>
    <w:p w14:paraId="3D70D58B" w14:textId="2E92F1FB" w:rsidR="00065317" w:rsidRDefault="005C7BF7" w:rsidP="00915533">
      <w:pPr>
        <w:pStyle w:val="Paragraphedeliste"/>
        <w:numPr>
          <w:ilvl w:val="0"/>
          <w:numId w:val="316"/>
        </w:numPr>
      </w:pPr>
      <w:r>
        <w:lastRenderedPageBreak/>
        <w:t>Lorsque l</w:t>
      </w:r>
      <w:r w:rsidR="00E84B0E">
        <w:t>’</w:t>
      </w:r>
      <w:r>
        <w:t>identité initiale de l</w:t>
      </w:r>
      <w:r w:rsidR="00E84B0E">
        <w:t>’</w:t>
      </w:r>
      <w:r>
        <w:t xml:space="preserve">instance modifiée de </w:t>
      </w:r>
      <w:r>
        <w:rPr>
          <w:rStyle w:val="VerbatimChar"/>
        </w:rPr>
        <w:t>E18_Chose_matérielle</w:t>
      </w:r>
      <w:r>
        <w:t xml:space="preserve"> est préservée, l</w:t>
      </w:r>
      <w:r w:rsidR="00E84B0E">
        <w:t>’</w:t>
      </w:r>
      <w:r>
        <w:t>évènement doit être documenté en tant qu</w:t>
      </w:r>
      <w:r w:rsidR="00E84B0E">
        <w:t>’</w:t>
      </w:r>
      <w:r>
        <w:t xml:space="preserve">instance de </w:t>
      </w:r>
      <w:r>
        <w:rPr>
          <w:rStyle w:val="VerbatimChar"/>
        </w:rPr>
        <w:t>E11_Modification</w:t>
      </w:r>
      <w:r>
        <w:t>.</w:t>
      </w:r>
    </w:p>
    <w:p w14:paraId="2CBD0658" w14:textId="77777777" w:rsidR="00065317" w:rsidRDefault="005C7BF7">
      <w:pPr>
        <w:pStyle w:val="FirstParagraph"/>
      </w:pPr>
      <w:r>
        <w:rPr>
          <w:b/>
          <w:bCs/>
        </w:rPr>
        <w:t>Exemples</w:t>
      </w:r>
    </w:p>
    <w:p w14:paraId="6AA9376E" w14:textId="538D6C0E" w:rsidR="00065317" w:rsidRDefault="005C7BF7">
      <w:pPr>
        <w:numPr>
          <w:ilvl w:val="0"/>
          <w:numId w:val="60"/>
        </w:numPr>
      </w:pPr>
      <w:r>
        <w:t>La destruction d</w:t>
      </w:r>
      <w:r w:rsidR="00E84B0E">
        <w:t>’</w:t>
      </w:r>
      <w:r>
        <w:t>Herculanum par une éruption volcanique en 79 EC (</w:t>
      </w:r>
      <w:r>
        <w:rPr>
          <w:rStyle w:val="VerbatimChar"/>
        </w:rPr>
        <w:t>E6_Destruction</w:t>
      </w:r>
      <w:r>
        <w:t>) (Camardo, 2013)</w:t>
      </w:r>
    </w:p>
    <w:p w14:paraId="78C07284" w14:textId="77777777" w:rsidR="00065317" w:rsidRDefault="005C7BF7">
      <w:pPr>
        <w:numPr>
          <w:ilvl w:val="0"/>
          <w:numId w:val="60"/>
        </w:numPr>
      </w:pPr>
      <w:r>
        <w:t>La destruction de Ninive (</w:t>
      </w:r>
      <w:r>
        <w:rPr>
          <w:rStyle w:val="VerbatimChar"/>
        </w:rPr>
        <w:t>E6_Destruction</w:t>
      </w:r>
      <w:r>
        <w:t xml:space="preserve">, </w:t>
      </w:r>
      <w:r>
        <w:rPr>
          <w:rStyle w:val="VerbatimChar"/>
        </w:rPr>
        <w:t>E7_Activité</w:t>
      </w:r>
      <w:r>
        <w:t>) (River, 2016)</w:t>
      </w:r>
    </w:p>
    <w:p w14:paraId="09F61FF4" w14:textId="3CCBFD3B" w:rsidR="00065317" w:rsidRDefault="005C7BF7">
      <w:pPr>
        <w:numPr>
          <w:ilvl w:val="0"/>
          <w:numId w:val="60"/>
        </w:numPr>
      </w:pPr>
      <w:r>
        <w:t>Le bris d</w:t>
      </w:r>
      <w:r w:rsidR="00E84B0E">
        <w:t>’</w:t>
      </w:r>
      <w:r>
        <w:t>une coupe de champagne hier par mon chien (fictif)</w:t>
      </w:r>
    </w:p>
    <w:p w14:paraId="423479A1" w14:textId="77777777" w:rsidR="00065317" w:rsidRDefault="005C7BF7">
      <w:pPr>
        <w:pStyle w:val="FirstParagraph"/>
      </w:pPr>
      <w:r>
        <w:rPr>
          <w:b/>
          <w:bCs/>
        </w:rPr>
        <w:t>Logique</w:t>
      </w:r>
    </w:p>
    <w:p w14:paraId="722AF2D9" w14:textId="77777777" w:rsidR="00065317" w:rsidRDefault="005C7BF7">
      <w:pPr>
        <w:pStyle w:val="Corpsdetexte"/>
      </w:pPr>
      <w:r>
        <w:t>E6(x) ⇒ E64(x)</w:t>
      </w:r>
    </w:p>
    <w:p w14:paraId="74B3551B" w14:textId="77777777" w:rsidR="00065317" w:rsidRDefault="005C7BF7">
      <w:pPr>
        <w:pStyle w:val="Corpsdetexte"/>
      </w:pPr>
      <w:r>
        <w:rPr>
          <w:b/>
          <w:bCs/>
        </w:rPr>
        <w:t>Propriétés</w:t>
      </w:r>
    </w:p>
    <w:p w14:paraId="1ED4EAC4" w14:textId="77777777" w:rsidR="00065317" w:rsidRDefault="005C7BF7">
      <w:pPr>
        <w:pStyle w:val="Corpsdetexte"/>
      </w:pPr>
      <w:r>
        <w:rPr>
          <w:rStyle w:val="VerbatimChar"/>
        </w:rPr>
        <w:t>P13_a_détruit (a_été_détruit_par)</w:t>
      </w:r>
      <w:r>
        <w:t xml:space="preserve"> : </w:t>
      </w:r>
      <w:r>
        <w:rPr>
          <w:rStyle w:val="VerbatimChar"/>
        </w:rPr>
        <w:t>E18_Chose_matérielle</w:t>
      </w:r>
    </w:p>
    <w:p w14:paraId="693F21B7" w14:textId="77777777" w:rsidR="00065317" w:rsidRDefault="005C7BF7">
      <w:pPr>
        <w:pStyle w:val="Normalcentr"/>
      </w:pPr>
      <w:r>
        <w:rPr>
          <w:b/>
          <w:bCs/>
          <w:i/>
          <w:iCs/>
        </w:rPr>
        <w:t>Note de traduction</w:t>
      </w:r>
    </w:p>
    <w:p w14:paraId="524E3877" w14:textId="3B3AA5EF" w:rsidR="00065317" w:rsidRDefault="005C7BF7" w:rsidP="00D746C9">
      <w:pPr>
        <w:pStyle w:val="Normalcentr"/>
      </w:pPr>
      <w:r>
        <w:rPr>
          <w:b/>
          <w:bCs/>
          <w:i/>
          <w:iCs/>
        </w:rPr>
        <w:t>Références</w:t>
      </w:r>
    </w:p>
    <w:p w14:paraId="1DD91648" w14:textId="77777777" w:rsidR="00065317" w:rsidRDefault="005C7BF7" w:rsidP="00914F34">
      <w:pPr>
        <w:pStyle w:val="Titre3"/>
      </w:pPr>
      <w:bookmarkStart w:id="118" w:name="_Toc154048744"/>
      <w:bookmarkStart w:id="119" w:name="e7-activite"/>
      <w:bookmarkEnd w:id="117"/>
      <w:r>
        <w:t>E7 Activité</w:t>
      </w:r>
      <w:bookmarkEnd w:id="118"/>
    </w:p>
    <w:p w14:paraId="2C3894F6" w14:textId="77777777" w:rsidR="00065317" w:rsidRDefault="005C7BF7">
      <w:pPr>
        <w:pStyle w:val="FirstParagraph"/>
      </w:pPr>
      <w:r>
        <w:rPr>
          <w:b/>
          <w:bCs/>
        </w:rPr>
        <w:t>Sous-classe de</w:t>
      </w:r>
    </w:p>
    <w:p w14:paraId="7BCB121F" w14:textId="7F36C1A4" w:rsidR="00065317" w:rsidRPr="008D39EE" w:rsidRDefault="005C7BF7" w:rsidP="00C86352">
      <w:pPr>
        <w:pStyle w:val="Corpsdetexte"/>
        <w:rPr>
          <w:rFonts w:ascii="Consolas" w:hAnsi="Consolas"/>
          <w:sz w:val="22"/>
          <w:shd w:val="clear" w:color="auto" w:fill="EAEEF3"/>
        </w:rPr>
      </w:pPr>
      <w:r>
        <w:rPr>
          <w:rStyle w:val="VerbatimChar"/>
        </w:rPr>
        <w:t>E5_Évènement</w:t>
      </w:r>
    </w:p>
    <w:p w14:paraId="424A081D" w14:textId="77777777" w:rsidR="00065317" w:rsidRDefault="005C7BF7">
      <w:pPr>
        <w:pStyle w:val="Corpsdetexte"/>
      </w:pPr>
      <w:r>
        <w:rPr>
          <w:b/>
          <w:bCs/>
        </w:rPr>
        <w:t>Super-classe de</w:t>
      </w:r>
    </w:p>
    <w:p w14:paraId="2D261A4D" w14:textId="77777777" w:rsidR="00065317" w:rsidRDefault="005C7BF7">
      <w:pPr>
        <w:pStyle w:val="Corpsdetexte"/>
      </w:pPr>
      <w:r>
        <w:rPr>
          <w:rStyle w:val="VerbatimChar"/>
        </w:rPr>
        <w:t>E8_Acquisition</w:t>
      </w:r>
    </w:p>
    <w:p w14:paraId="29CBC6AE" w14:textId="77777777" w:rsidR="00065317" w:rsidRDefault="005C7BF7">
      <w:pPr>
        <w:pStyle w:val="Corpsdetexte"/>
      </w:pPr>
      <w:r>
        <w:rPr>
          <w:rStyle w:val="VerbatimChar"/>
        </w:rPr>
        <w:t>E9_Déplacement</w:t>
      </w:r>
    </w:p>
    <w:p w14:paraId="0991B85D" w14:textId="77777777" w:rsidR="00065317" w:rsidRDefault="005C7BF7">
      <w:pPr>
        <w:pStyle w:val="Corpsdetexte"/>
      </w:pPr>
      <w:r>
        <w:rPr>
          <w:rStyle w:val="VerbatimChar"/>
        </w:rPr>
        <w:t>E10_Transfert_de_la_garde</w:t>
      </w:r>
    </w:p>
    <w:p w14:paraId="365A6F46" w14:textId="77777777" w:rsidR="00065317" w:rsidRDefault="005C7BF7">
      <w:pPr>
        <w:pStyle w:val="Corpsdetexte"/>
      </w:pPr>
      <w:r>
        <w:rPr>
          <w:rStyle w:val="VerbatimChar"/>
        </w:rPr>
        <w:t>E11_Modification</w:t>
      </w:r>
    </w:p>
    <w:p w14:paraId="466B9FB4" w14:textId="4045E2BA" w:rsidR="00065317" w:rsidRDefault="005C7BF7">
      <w:pPr>
        <w:pStyle w:val="Corpsdetexte"/>
      </w:pPr>
      <w:r>
        <w:rPr>
          <w:rStyle w:val="VerbatimChar"/>
        </w:rPr>
        <w:t>E13_Assignation_d</w:t>
      </w:r>
      <w:r w:rsidR="00E84B0E">
        <w:rPr>
          <w:rStyle w:val="VerbatimChar"/>
        </w:rPr>
        <w:t>’</w:t>
      </w:r>
      <w:r>
        <w:rPr>
          <w:rStyle w:val="VerbatimChar"/>
        </w:rPr>
        <w:t>attribut</w:t>
      </w:r>
    </w:p>
    <w:p w14:paraId="29DA9CFA" w14:textId="77777777" w:rsidR="00065317" w:rsidRDefault="005C7BF7">
      <w:pPr>
        <w:pStyle w:val="Corpsdetexte"/>
      </w:pPr>
      <w:r>
        <w:rPr>
          <w:rStyle w:val="VerbatimChar"/>
        </w:rPr>
        <w:t>E65_Création</w:t>
      </w:r>
    </w:p>
    <w:p w14:paraId="42C4DB77" w14:textId="77777777" w:rsidR="00065317" w:rsidRDefault="005C7BF7">
      <w:pPr>
        <w:pStyle w:val="Corpsdetexte"/>
      </w:pPr>
      <w:r>
        <w:rPr>
          <w:rStyle w:val="VerbatimChar"/>
        </w:rPr>
        <w:t>E66_Formation</w:t>
      </w:r>
    </w:p>
    <w:p w14:paraId="15244A5C" w14:textId="77777777" w:rsidR="00065317" w:rsidRDefault="005C7BF7">
      <w:pPr>
        <w:pStyle w:val="Corpsdetexte"/>
      </w:pPr>
      <w:r>
        <w:rPr>
          <w:rStyle w:val="VerbatimChar"/>
        </w:rPr>
        <w:t>E85_Adhésion</w:t>
      </w:r>
    </w:p>
    <w:p w14:paraId="2C457501" w14:textId="77777777" w:rsidR="00065317" w:rsidRDefault="005C7BF7">
      <w:pPr>
        <w:pStyle w:val="Corpsdetexte"/>
      </w:pPr>
      <w:r>
        <w:rPr>
          <w:rStyle w:val="VerbatimChar"/>
        </w:rPr>
        <w:t>E86_Départ</w:t>
      </w:r>
    </w:p>
    <w:p w14:paraId="7FA66912" w14:textId="77777777" w:rsidR="00065317" w:rsidRDefault="005C7BF7">
      <w:pPr>
        <w:pStyle w:val="Corpsdetexte"/>
      </w:pPr>
      <w:r>
        <w:rPr>
          <w:rStyle w:val="VerbatimChar"/>
        </w:rPr>
        <w:t>E87_Activité_curatoriale</w:t>
      </w:r>
    </w:p>
    <w:p w14:paraId="2E19E335" w14:textId="30A339FE" w:rsidR="00065317" w:rsidRDefault="005C7BF7">
      <w:pPr>
        <w:pStyle w:val="Corpsdetexte"/>
      </w:pPr>
      <w:r>
        <w:rPr>
          <w:b/>
          <w:bCs/>
        </w:rPr>
        <w:t>Note d</w:t>
      </w:r>
      <w:r w:rsidR="00E84B0E">
        <w:rPr>
          <w:b/>
          <w:bCs/>
        </w:rPr>
        <w:t>’</w:t>
      </w:r>
      <w:r>
        <w:rPr>
          <w:b/>
          <w:bCs/>
        </w:rPr>
        <w:t>application</w:t>
      </w:r>
    </w:p>
    <w:p w14:paraId="322E31E9" w14:textId="3F6CDC8A" w:rsidR="00065317" w:rsidRDefault="005C7BF7">
      <w:pPr>
        <w:pStyle w:val="Corpsdetexte"/>
      </w:pPr>
      <w:r>
        <w:t xml:space="preserve">Cette classe comprend les actions effectuées intentionnellement par des instances de </w:t>
      </w:r>
      <w:r>
        <w:rPr>
          <w:rStyle w:val="VerbatimChar"/>
        </w:rPr>
        <w:t>E39_Actant</w:t>
      </w:r>
      <w:r>
        <w:t xml:space="preserve"> qui ont pour résultat un changement d</w:t>
      </w:r>
      <w:r w:rsidR="00E84B0E">
        <w:t>’</w:t>
      </w:r>
      <w:r>
        <w:t>état dans les systèmes culturels, sociaux ou physiques documentés.</w:t>
      </w:r>
    </w:p>
    <w:p w14:paraId="313D8054" w14:textId="4452AB63" w:rsidR="00065317" w:rsidRDefault="005C7BF7">
      <w:pPr>
        <w:pStyle w:val="Corpsdetexte"/>
      </w:pPr>
      <w:r>
        <w:t>Cette notion inclut des actions complexes, composées et de longue durée telles que la mise en place d</w:t>
      </w:r>
      <w:r w:rsidR="00E84B0E">
        <w:t>’</w:t>
      </w:r>
      <w:r>
        <w:t>une occupation ou une guerre, de même que des actions simples et éphémères telles que l</w:t>
      </w:r>
      <w:r w:rsidR="00E84B0E">
        <w:t>’</w:t>
      </w:r>
      <w:r>
        <w:t>ouverture d</w:t>
      </w:r>
      <w:r w:rsidR="00E84B0E">
        <w:t>’</w:t>
      </w:r>
      <w:r>
        <w:t>une porte.</w:t>
      </w:r>
    </w:p>
    <w:p w14:paraId="5B3A2217" w14:textId="77777777" w:rsidR="00C86352" w:rsidRDefault="00C86352">
      <w:pPr>
        <w:spacing w:after="0"/>
        <w:rPr>
          <w:b/>
          <w:bCs/>
        </w:rPr>
      </w:pPr>
      <w:r>
        <w:rPr>
          <w:b/>
          <w:bCs/>
        </w:rPr>
        <w:br w:type="page"/>
      </w:r>
    </w:p>
    <w:p w14:paraId="1F70D156" w14:textId="72AFBEDD" w:rsidR="00065317" w:rsidRDefault="005C7BF7">
      <w:pPr>
        <w:pStyle w:val="Corpsdetexte"/>
      </w:pPr>
      <w:r>
        <w:rPr>
          <w:b/>
          <w:bCs/>
        </w:rPr>
        <w:lastRenderedPageBreak/>
        <w:t>Exemples</w:t>
      </w:r>
    </w:p>
    <w:p w14:paraId="461B9A45" w14:textId="77777777" w:rsidR="00065317" w:rsidRDefault="005C7BF7">
      <w:pPr>
        <w:numPr>
          <w:ilvl w:val="0"/>
          <w:numId w:val="61"/>
        </w:numPr>
      </w:pPr>
      <w:r>
        <w:t>La bataille de Stalingrad (Hoyt, 1993)</w:t>
      </w:r>
    </w:p>
    <w:p w14:paraId="2BFA3497" w14:textId="77777777" w:rsidR="00065317" w:rsidRDefault="005C7BF7">
      <w:pPr>
        <w:numPr>
          <w:ilvl w:val="0"/>
          <w:numId w:val="61"/>
        </w:numPr>
      </w:pPr>
      <w:r>
        <w:t>La Conférence de Yalta (Harbutt 2010)</w:t>
      </w:r>
    </w:p>
    <w:p w14:paraId="38C0516F" w14:textId="5030BF78" w:rsidR="00065317" w:rsidRDefault="005C7BF7">
      <w:pPr>
        <w:numPr>
          <w:ilvl w:val="0"/>
          <w:numId w:val="61"/>
        </w:numPr>
      </w:pPr>
      <w:r>
        <w:t>Ma fête d</w:t>
      </w:r>
      <w:r w:rsidR="00E84B0E">
        <w:t>’</w:t>
      </w:r>
      <w:r>
        <w:t>anniversaire le 28/06/1995</w:t>
      </w:r>
    </w:p>
    <w:p w14:paraId="4500DB3A" w14:textId="66F57DE2" w:rsidR="00065317" w:rsidRDefault="005C7BF7">
      <w:pPr>
        <w:numPr>
          <w:ilvl w:val="0"/>
          <w:numId w:val="61"/>
        </w:numPr>
      </w:pPr>
      <w:r>
        <w:t>L</w:t>
      </w:r>
      <w:r w:rsidR="00E84B0E">
        <w:t>’</w:t>
      </w:r>
      <w:r>
        <w:t xml:space="preserve">écriture de </w:t>
      </w:r>
      <w:r>
        <w:rPr>
          <w:i/>
          <w:iCs/>
        </w:rPr>
        <w:t>Faust</w:t>
      </w:r>
      <w:r>
        <w:t xml:space="preserve"> par G</w:t>
      </w:r>
      <w:r w:rsidR="00925267">
        <w:t>oe</w:t>
      </w:r>
      <w:r>
        <w:t>the (</w:t>
      </w:r>
      <w:r>
        <w:rPr>
          <w:rStyle w:val="VerbatimChar"/>
        </w:rPr>
        <w:t>E65_Création</w:t>
      </w:r>
      <w:r>
        <w:t>) (Williams, 2020)</w:t>
      </w:r>
    </w:p>
    <w:p w14:paraId="4CE719FC" w14:textId="77777777" w:rsidR="00065317" w:rsidRDefault="005C7BF7">
      <w:pPr>
        <w:numPr>
          <w:ilvl w:val="0"/>
          <w:numId w:val="61"/>
        </w:numPr>
      </w:pPr>
      <w:r>
        <w:t>La fondation du Bauhaus en 1919 (</w:t>
      </w:r>
      <w:r>
        <w:rPr>
          <w:rStyle w:val="VerbatimChar"/>
        </w:rPr>
        <w:t>E66_Formation</w:t>
      </w:r>
      <w:r>
        <w:t>) (Droste, 2006)</w:t>
      </w:r>
    </w:p>
    <w:p w14:paraId="58DCB130" w14:textId="097D123E" w:rsidR="00065317" w:rsidRDefault="005C7BF7">
      <w:pPr>
        <w:numPr>
          <w:ilvl w:val="0"/>
          <w:numId w:val="61"/>
        </w:numPr>
      </w:pPr>
      <w:r>
        <w:t>L</w:t>
      </w:r>
      <w:r w:rsidR="00E84B0E">
        <w:t>’</w:t>
      </w:r>
      <w:r>
        <w:t>utilisation par le peuple irakien du nom « Quyunjig » pour le lieu dont l</w:t>
      </w:r>
      <w:r w:rsidR="00E84B0E">
        <w:t>’</w:t>
      </w:r>
      <w:r>
        <w:t>identifiant est TGN « 7017998 »</w:t>
      </w:r>
    </w:p>
    <w:p w14:paraId="258653B5" w14:textId="6DEA91C8" w:rsidR="00065317" w:rsidRDefault="005C7BF7">
      <w:pPr>
        <w:numPr>
          <w:ilvl w:val="0"/>
          <w:numId w:val="61"/>
        </w:numPr>
      </w:pPr>
      <w:r>
        <w:t>Kira Weber pratiquant l</w:t>
      </w:r>
      <w:r w:rsidR="00E84B0E">
        <w:t>’</w:t>
      </w:r>
      <w:r>
        <w:t>art du verre de 1984 à 1993</w:t>
      </w:r>
    </w:p>
    <w:p w14:paraId="2D46155B" w14:textId="0094001F" w:rsidR="00065317" w:rsidRDefault="005C7BF7">
      <w:pPr>
        <w:numPr>
          <w:ilvl w:val="0"/>
          <w:numId w:val="61"/>
        </w:numPr>
      </w:pPr>
      <w:r>
        <w:t>Kira Weber pratiquant la peinture à l</w:t>
      </w:r>
      <w:r w:rsidR="00E84B0E">
        <w:t>’</w:t>
      </w:r>
      <w:r>
        <w:t>huile et le pastel à partir de 1993</w:t>
      </w:r>
    </w:p>
    <w:p w14:paraId="74AE0C49" w14:textId="77777777" w:rsidR="00065317" w:rsidRDefault="005C7BF7">
      <w:pPr>
        <w:pStyle w:val="FirstParagraph"/>
      </w:pPr>
      <w:r>
        <w:rPr>
          <w:b/>
          <w:bCs/>
        </w:rPr>
        <w:t>Logique</w:t>
      </w:r>
    </w:p>
    <w:p w14:paraId="70FD863C" w14:textId="5B04E8A3" w:rsidR="008E0906" w:rsidRPr="00241DFB" w:rsidRDefault="005C7BF7">
      <w:pPr>
        <w:pStyle w:val="Corpsdetexte"/>
      </w:pPr>
      <w:r>
        <w:t>E7(x) ⇒ E5(x)</w:t>
      </w:r>
    </w:p>
    <w:p w14:paraId="1093A03B" w14:textId="25D82B30" w:rsidR="00065317" w:rsidRDefault="005C7BF7">
      <w:pPr>
        <w:pStyle w:val="Corpsdetexte"/>
      </w:pPr>
      <w:r>
        <w:rPr>
          <w:b/>
          <w:bCs/>
        </w:rPr>
        <w:t>Propriétés</w:t>
      </w:r>
    </w:p>
    <w:p w14:paraId="0A76C151" w14:textId="77777777" w:rsidR="00065317" w:rsidRDefault="005C7BF7">
      <w:pPr>
        <w:pStyle w:val="Corpsdetexte"/>
      </w:pPr>
      <w:r>
        <w:rPr>
          <w:rStyle w:val="VerbatimChar"/>
        </w:rPr>
        <w:t>P14_a_été_effectué_par (a_effectué)</w:t>
      </w:r>
      <w:r>
        <w:t xml:space="preserve"> : </w:t>
      </w:r>
      <w:r>
        <w:rPr>
          <w:rStyle w:val="VerbatimChar"/>
        </w:rPr>
        <w:t>E39_Actant</w:t>
      </w:r>
      <w:r>
        <w:t xml:space="preserve"> (</w:t>
      </w:r>
      <w:r>
        <w:rPr>
          <w:rStyle w:val="VerbatimChar"/>
        </w:rPr>
        <w:t>P14.1_dans_le_rôle_de</w:t>
      </w:r>
      <w:r>
        <w:t xml:space="preserve"> : </w:t>
      </w:r>
      <w:r>
        <w:rPr>
          <w:rStyle w:val="VerbatimChar"/>
        </w:rPr>
        <w:t>E55_Type</w:t>
      </w:r>
      <w:r>
        <w:t>)</w:t>
      </w:r>
    </w:p>
    <w:p w14:paraId="08E2F7A7" w14:textId="77777777" w:rsidR="00065317" w:rsidRDefault="005C7BF7">
      <w:pPr>
        <w:pStyle w:val="Corpsdetexte"/>
      </w:pPr>
      <w:r>
        <w:rPr>
          <w:rStyle w:val="VerbatimChar"/>
        </w:rPr>
        <w:t>P15_a_été_influencé_par (a_influencé)</w:t>
      </w:r>
      <w:r>
        <w:t xml:space="preserve"> : </w:t>
      </w:r>
      <w:r>
        <w:rPr>
          <w:rStyle w:val="VerbatimChar"/>
        </w:rPr>
        <w:t>E1_Entité_CRM</w:t>
      </w:r>
    </w:p>
    <w:p w14:paraId="06437021" w14:textId="3E01A215" w:rsidR="00065317" w:rsidRDefault="005C7BF7">
      <w:pPr>
        <w:pStyle w:val="Corpsdetexte"/>
      </w:pPr>
      <w:r>
        <w:rPr>
          <w:rStyle w:val="VerbatimChar"/>
        </w:rPr>
        <w:t>P16_a_mobilisé_l</w:t>
      </w:r>
      <w:r w:rsidR="00E84B0E">
        <w:rPr>
          <w:rStyle w:val="VerbatimChar"/>
        </w:rPr>
        <w:t>’</w:t>
      </w:r>
      <w:r>
        <w:rPr>
          <w:rStyle w:val="VerbatimChar"/>
        </w:rPr>
        <w:t>objet_spécifique (a_été_mobilisé_pour)</w:t>
      </w:r>
      <w:r>
        <w:t xml:space="preserve"> : </w:t>
      </w:r>
      <w:r>
        <w:rPr>
          <w:rStyle w:val="VerbatimChar"/>
        </w:rPr>
        <w:t>E70_Chose</w:t>
      </w:r>
    </w:p>
    <w:p w14:paraId="643146C7" w14:textId="0EAE04AB" w:rsidR="00065317" w:rsidRDefault="005C7BF7">
      <w:pPr>
        <w:pStyle w:val="Corpsdetexte"/>
      </w:pPr>
      <w:r>
        <w:t>(</w:t>
      </w:r>
      <w:r>
        <w:rPr>
          <w:rStyle w:val="VerbatimChar"/>
        </w:rPr>
        <w:t>P16.1_mode_d</w:t>
      </w:r>
      <w:r w:rsidR="00E84B0E">
        <w:rPr>
          <w:rStyle w:val="VerbatimChar"/>
        </w:rPr>
        <w:t>’</w:t>
      </w:r>
      <w:r>
        <w:rPr>
          <w:rStyle w:val="VerbatimChar"/>
        </w:rPr>
        <w:t>utilisation</w:t>
      </w:r>
      <w:r>
        <w:t xml:space="preserve"> : </w:t>
      </w:r>
      <w:r>
        <w:rPr>
          <w:rStyle w:val="VerbatimChar"/>
        </w:rPr>
        <w:t>E55_Type</w:t>
      </w:r>
      <w:r>
        <w:t>)</w:t>
      </w:r>
    </w:p>
    <w:p w14:paraId="51752140" w14:textId="77777777" w:rsidR="00065317" w:rsidRDefault="005C7BF7">
      <w:pPr>
        <w:pStyle w:val="Corpsdetexte"/>
      </w:pPr>
      <w:r>
        <w:rPr>
          <w:rStyle w:val="VerbatimChar"/>
        </w:rPr>
        <w:t>P17_a_été_motivé_par (a_motivé)</w:t>
      </w:r>
      <w:r>
        <w:t xml:space="preserve"> : </w:t>
      </w:r>
      <w:r>
        <w:rPr>
          <w:rStyle w:val="VerbatimChar"/>
        </w:rPr>
        <w:t>E1_Entité_CRM</w:t>
      </w:r>
    </w:p>
    <w:p w14:paraId="15896FBE" w14:textId="17DEE3FD" w:rsidR="00065317" w:rsidRDefault="005C7BF7">
      <w:pPr>
        <w:pStyle w:val="Corpsdetexte"/>
      </w:pPr>
      <w:r>
        <w:rPr>
          <w:rStyle w:val="VerbatimChar"/>
        </w:rPr>
        <w:t>P19_a_été_l</w:t>
      </w:r>
      <w:r w:rsidR="00E84B0E">
        <w:rPr>
          <w:rStyle w:val="VerbatimChar"/>
        </w:rPr>
        <w:t>’</w:t>
      </w:r>
      <w:r>
        <w:rPr>
          <w:rStyle w:val="VerbatimChar"/>
        </w:rPr>
        <w:t>usage_prévu_de (a_été_élaboré_pour)</w:t>
      </w:r>
      <w:r>
        <w:t xml:space="preserve"> : </w:t>
      </w:r>
      <w:r>
        <w:rPr>
          <w:rStyle w:val="VerbatimChar"/>
        </w:rPr>
        <w:t>E71_Chose_élaborée_par_l</w:t>
      </w:r>
      <w:r w:rsidR="00E84B0E">
        <w:rPr>
          <w:rStyle w:val="VerbatimChar"/>
        </w:rPr>
        <w:t>’</w:t>
      </w:r>
      <w:r>
        <w:rPr>
          <w:rStyle w:val="VerbatimChar"/>
        </w:rPr>
        <w:t>humain</w:t>
      </w:r>
    </w:p>
    <w:p w14:paraId="5490772E" w14:textId="29835EB5" w:rsidR="00065317" w:rsidRDefault="005C7BF7">
      <w:pPr>
        <w:pStyle w:val="Corpsdetexte"/>
      </w:pPr>
      <w:r>
        <w:t>(</w:t>
      </w:r>
      <w:r>
        <w:rPr>
          <w:rStyle w:val="VerbatimChar"/>
        </w:rPr>
        <w:t>P19.1_mode_d</w:t>
      </w:r>
      <w:r w:rsidR="00E84B0E">
        <w:rPr>
          <w:rStyle w:val="VerbatimChar"/>
        </w:rPr>
        <w:t>’</w:t>
      </w:r>
      <w:r>
        <w:rPr>
          <w:rStyle w:val="VerbatimChar"/>
        </w:rPr>
        <w:t>utilisation</w:t>
      </w:r>
      <w:r>
        <w:t xml:space="preserve"> : </w:t>
      </w:r>
      <w:r>
        <w:rPr>
          <w:rStyle w:val="VerbatimChar"/>
        </w:rPr>
        <w:t>E55_Type</w:t>
      </w:r>
      <w:r>
        <w:t>)</w:t>
      </w:r>
    </w:p>
    <w:p w14:paraId="45391187" w14:textId="77777777" w:rsidR="00065317" w:rsidRDefault="005C7BF7">
      <w:pPr>
        <w:pStyle w:val="Corpsdetexte"/>
      </w:pPr>
      <w:r>
        <w:rPr>
          <w:rStyle w:val="VerbatimChar"/>
        </w:rPr>
        <w:t>P20_a_eu_pour_finalité_spécifique (a été finalité de)</w:t>
      </w:r>
      <w:r>
        <w:t xml:space="preserve"> : </w:t>
      </w:r>
      <w:r>
        <w:rPr>
          <w:rStyle w:val="VerbatimChar"/>
        </w:rPr>
        <w:t>E5_Évènement</w:t>
      </w:r>
    </w:p>
    <w:p w14:paraId="39623E83" w14:textId="77777777" w:rsidR="00065317" w:rsidRDefault="005C7BF7">
      <w:pPr>
        <w:pStyle w:val="Corpsdetexte"/>
      </w:pPr>
      <w:r>
        <w:rPr>
          <w:rStyle w:val="VerbatimChar"/>
        </w:rPr>
        <w:t>P21_a_eu_pour_finalité_générale (a_été_la_finalité_de)</w:t>
      </w:r>
      <w:r>
        <w:t xml:space="preserve"> : </w:t>
      </w:r>
      <w:r>
        <w:rPr>
          <w:rStyle w:val="VerbatimChar"/>
        </w:rPr>
        <w:t>E55_Type</w:t>
      </w:r>
    </w:p>
    <w:p w14:paraId="0904F299" w14:textId="53FC9D76" w:rsidR="00065317" w:rsidRDefault="005C7BF7">
      <w:pPr>
        <w:pStyle w:val="Corpsdetexte"/>
      </w:pPr>
      <w:r>
        <w:rPr>
          <w:rStyle w:val="VerbatimChar"/>
        </w:rPr>
        <w:t>P32_a_mobilisé_comme_technique_générale (a_été_la_technique_générale_mise_en_œuvre_dans)</w:t>
      </w:r>
      <w:r w:rsidR="00CF0FD9">
        <w:t> </w:t>
      </w:r>
      <w:r>
        <w:t xml:space="preserve">: </w:t>
      </w:r>
      <w:r>
        <w:rPr>
          <w:rStyle w:val="VerbatimChar"/>
        </w:rPr>
        <w:t>E55_Type</w:t>
      </w:r>
    </w:p>
    <w:p w14:paraId="1DDB843E" w14:textId="77777777" w:rsidR="00065317" w:rsidRDefault="005C7BF7">
      <w:pPr>
        <w:pStyle w:val="Corpsdetexte"/>
      </w:pPr>
      <w:r>
        <w:rPr>
          <w:rStyle w:val="VerbatimChar"/>
        </w:rPr>
        <w:t>P33_a_mobilisé_comme_technique_spécifique (a_été_la_technique_spécifique_mise_en_œuvre_dans)</w:t>
      </w:r>
      <w:r>
        <w:t xml:space="preserve"> : </w:t>
      </w:r>
      <w:r>
        <w:rPr>
          <w:rStyle w:val="VerbatimChar"/>
        </w:rPr>
        <w:t>E29_Conceptualisation_ou_procédure</w:t>
      </w:r>
    </w:p>
    <w:p w14:paraId="096CFBE5" w14:textId="1D319754" w:rsidR="00065317" w:rsidRDefault="005C7BF7">
      <w:pPr>
        <w:pStyle w:val="Corpsdetexte"/>
      </w:pPr>
      <w:r>
        <w:rPr>
          <w:rStyle w:val="VerbatimChar"/>
        </w:rPr>
        <w:t>P125_a_mobilisé_l</w:t>
      </w:r>
      <w:r w:rsidR="00E84B0E">
        <w:rPr>
          <w:rStyle w:val="VerbatimChar"/>
        </w:rPr>
        <w:t>’</w:t>
      </w:r>
      <w:r>
        <w:rPr>
          <w:rStyle w:val="VerbatimChar"/>
        </w:rPr>
        <w:t>objet_du_type (a_été_le_type_d</w:t>
      </w:r>
      <w:r w:rsidR="00E84B0E">
        <w:rPr>
          <w:rStyle w:val="VerbatimChar"/>
        </w:rPr>
        <w:t>’</w:t>
      </w:r>
      <w:r>
        <w:rPr>
          <w:rStyle w:val="VerbatimChar"/>
        </w:rPr>
        <w:t>objet_employé_pour)</w:t>
      </w:r>
      <w:r w:rsidR="00CF0FD9">
        <w:t> </w:t>
      </w:r>
      <w:r>
        <w:t xml:space="preserve">: </w:t>
      </w:r>
      <w:r>
        <w:rPr>
          <w:rStyle w:val="VerbatimChar"/>
        </w:rPr>
        <w:t>E55_Type</w:t>
      </w:r>
    </w:p>
    <w:p w14:paraId="35082A9A" w14:textId="77777777" w:rsidR="00065317" w:rsidRDefault="005C7BF7">
      <w:pPr>
        <w:pStyle w:val="Corpsdetexte"/>
      </w:pPr>
      <w:r>
        <w:rPr>
          <w:rStyle w:val="VerbatimChar"/>
        </w:rPr>
        <w:t xml:space="preserve">P134_a_continué (a_été_continué_par) </w:t>
      </w:r>
      <w:r>
        <w:t xml:space="preserve">: </w:t>
      </w:r>
      <w:r>
        <w:rPr>
          <w:rStyle w:val="VerbatimChar"/>
        </w:rPr>
        <w:t>E7_Activité</w:t>
      </w:r>
    </w:p>
    <w:p w14:paraId="15572872" w14:textId="77777777" w:rsidR="00065317" w:rsidRDefault="005C7BF7">
      <w:pPr>
        <w:pStyle w:val="Normalcentr"/>
      </w:pPr>
      <w:r>
        <w:rPr>
          <w:b/>
          <w:bCs/>
          <w:i/>
          <w:iCs/>
        </w:rPr>
        <w:t>Note de traduction</w:t>
      </w:r>
    </w:p>
    <w:p w14:paraId="4BB7505D" w14:textId="0FFCFE74" w:rsidR="00065317" w:rsidRDefault="005C7BF7">
      <w:pPr>
        <w:pStyle w:val="Normalcentr"/>
      </w:pPr>
      <w:r>
        <w:t>La traduction la plus adéquate de « custody » serait « garde » selon Termium Plus, notamment pour le domaine muséologique. Le terme « transfert » a un sens plus général que « transmission », qui est limité au domaine légal. Or, comme la note d</w:t>
      </w:r>
      <w:r w:rsidR="00E84B0E">
        <w:t>’</w:t>
      </w:r>
      <w:r>
        <w:t xml:space="preserve">application de </w:t>
      </w:r>
      <w:r>
        <w:rPr>
          <w:rStyle w:val="VerbatimChar"/>
        </w:rPr>
        <w:t>E10_Transfert_of_Custody</w:t>
      </w:r>
      <w:r>
        <w:t xml:space="preserve"> est la possession du bien, légale ou non (p. ex. vol), le terme le « transfert » est à privilégier.</w:t>
      </w:r>
    </w:p>
    <w:p w14:paraId="5292ED68" w14:textId="462DED7B" w:rsidR="00065317" w:rsidRDefault="005C7BF7">
      <w:pPr>
        <w:pStyle w:val="Normalcentr"/>
      </w:pPr>
      <w:r>
        <w:lastRenderedPageBreak/>
        <w:t>Le terme « joining » a été traduit par « adhésion », mais d</w:t>
      </w:r>
      <w:r w:rsidR="00E84B0E">
        <w:t>’</w:t>
      </w:r>
      <w:r>
        <w:t>autres termes pourraient être privilégiés, comme « intégration ».</w:t>
      </w:r>
    </w:p>
    <w:p w14:paraId="69AA7EA7" w14:textId="77777777" w:rsidR="00065317" w:rsidRDefault="005C7BF7">
      <w:pPr>
        <w:pStyle w:val="Normalcentr"/>
      </w:pPr>
      <w:r>
        <w:rPr>
          <w:b/>
          <w:bCs/>
          <w:i/>
          <w:iCs/>
        </w:rPr>
        <w:t>Références</w:t>
      </w:r>
    </w:p>
    <w:p w14:paraId="1AC5388E" w14:textId="67FE9AC9" w:rsidR="003F44C6" w:rsidRPr="003F44C6" w:rsidRDefault="005C7BF7" w:rsidP="00914F34">
      <w:pPr>
        <w:pStyle w:val="Normalcentr"/>
      </w:pPr>
      <w:r w:rsidRPr="00C37040">
        <w:rPr>
          <w:lang w:val="fr-CA"/>
        </w:rPr>
        <w:t xml:space="preserve">Termium. « custody ». Dans </w:t>
      </w:r>
      <w:r w:rsidRPr="00C37040">
        <w:rPr>
          <w:i/>
          <w:iCs/>
          <w:lang w:val="fr-CA"/>
        </w:rPr>
        <w:t>Termium Plus</w:t>
      </w:r>
      <w:r w:rsidRPr="00C37040">
        <w:rPr>
          <w:lang w:val="fr-CA"/>
        </w:rPr>
        <w:t xml:space="preserve">. </w:t>
      </w:r>
      <w:r>
        <w:t>Ottawa, CA-ON</w:t>
      </w:r>
      <w:r w:rsidR="001458EA">
        <w:t> </w:t>
      </w:r>
      <w:r>
        <w:t>: Gouvernement du Canada, 2022.</w:t>
      </w:r>
      <w:hyperlink r:id="rId152" w:anchor="resultrecs">
        <w:r>
          <w:rPr>
            <w:rStyle w:val="Lienhypertexte"/>
          </w:rPr>
          <w:t xml:space="preserve"> </w:t>
        </w:r>
      </w:hyperlink>
      <w:hyperlink r:id="rId153" w:anchor="resultrecs">
        <w:r>
          <w:rPr>
            <w:rStyle w:val="Lienhypertexte"/>
          </w:rPr>
          <w:t>https://www.btb.termiumplus.gc.ca/tpv2alpha/alpha-fra.html?lang=fra&amp;i=1&amp;srchtxt=custody&amp;codom2nd_wet=1#resultrecs</w:t>
        </w:r>
      </w:hyperlink>
      <w:r>
        <w:t>.</w:t>
      </w:r>
      <w:bookmarkStart w:id="120" w:name="e8-acquisition"/>
      <w:bookmarkEnd w:id="119"/>
    </w:p>
    <w:p w14:paraId="72A33141" w14:textId="661ECC09" w:rsidR="00065317" w:rsidRDefault="005C7BF7" w:rsidP="00914F34">
      <w:pPr>
        <w:pStyle w:val="Titre3"/>
      </w:pPr>
      <w:bookmarkStart w:id="121" w:name="_Toc154048745"/>
      <w:r>
        <w:t>E8 Acquisition</w:t>
      </w:r>
      <w:bookmarkEnd w:id="121"/>
    </w:p>
    <w:p w14:paraId="79A573BC" w14:textId="77777777" w:rsidR="00065317" w:rsidRDefault="005C7BF7">
      <w:pPr>
        <w:pStyle w:val="FirstParagraph"/>
      </w:pPr>
      <w:r>
        <w:rPr>
          <w:b/>
          <w:bCs/>
        </w:rPr>
        <w:t>Sous-classe de</w:t>
      </w:r>
    </w:p>
    <w:p w14:paraId="5B55ED81" w14:textId="77777777" w:rsidR="00065317" w:rsidRDefault="005C7BF7">
      <w:pPr>
        <w:pStyle w:val="Corpsdetexte"/>
      </w:pPr>
      <w:r>
        <w:rPr>
          <w:rStyle w:val="VerbatimChar"/>
        </w:rPr>
        <w:t>E7_Activité</w:t>
      </w:r>
    </w:p>
    <w:p w14:paraId="0A855199" w14:textId="77777777" w:rsidR="00065317" w:rsidRDefault="005C7BF7">
      <w:pPr>
        <w:pStyle w:val="Corpsdetexte"/>
      </w:pPr>
      <w:r>
        <w:rPr>
          <w:b/>
          <w:bCs/>
        </w:rPr>
        <w:t>Super-classe de</w:t>
      </w:r>
    </w:p>
    <w:p w14:paraId="379804FE" w14:textId="77777777" w:rsidR="00065317" w:rsidRDefault="005C7BF7">
      <w:pPr>
        <w:pStyle w:val="Corpsdetexte"/>
      </w:pPr>
      <w:r>
        <w:rPr>
          <w:rStyle w:val="VerbatimChar"/>
        </w:rPr>
        <w:t>E96_Achat</w:t>
      </w:r>
    </w:p>
    <w:p w14:paraId="5E0456C5" w14:textId="6EC32886" w:rsidR="00065317" w:rsidRDefault="005C7BF7">
      <w:pPr>
        <w:pStyle w:val="Corpsdetexte"/>
      </w:pPr>
      <w:r>
        <w:rPr>
          <w:b/>
          <w:bCs/>
        </w:rPr>
        <w:t>Note d</w:t>
      </w:r>
      <w:r w:rsidR="00E84B0E">
        <w:rPr>
          <w:b/>
          <w:bCs/>
        </w:rPr>
        <w:t>’</w:t>
      </w:r>
      <w:r>
        <w:rPr>
          <w:b/>
          <w:bCs/>
        </w:rPr>
        <w:t>application</w:t>
      </w:r>
    </w:p>
    <w:p w14:paraId="67819CE1" w14:textId="3ED70AEC" w:rsidR="00065317" w:rsidRDefault="005C7BF7">
      <w:pPr>
        <w:pStyle w:val="Corpsdetexte"/>
      </w:pPr>
      <w:r>
        <w:t>Cette classe comprend les transferts de propriété légale d</w:t>
      </w:r>
      <w:r w:rsidR="00E84B0E">
        <w:t>’</w:t>
      </w:r>
      <w:r>
        <w:t xml:space="preserve">une ou de plusieurs instances de </w:t>
      </w:r>
      <w:r>
        <w:rPr>
          <w:rStyle w:val="VerbatimChar"/>
        </w:rPr>
        <w:t>E39_Actant</w:t>
      </w:r>
      <w:r>
        <w:t xml:space="preserve"> à une ou plusieurs instances de </w:t>
      </w:r>
      <w:r>
        <w:rPr>
          <w:rStyle w:val="VerbatimChar"/>
        </w:rPr>
        <w:t>E39_Actant</w:t>
      </w:r>
      <w:r>
        <w:t>.</w:t>
      </w:r>
    </w:p>
    <w:p w14:paraId="5BC0D5DE" w14:textId="44E41F63" w:rsidR="008D39EE" w:rsidRDefault="005C7BF7" w:rsidP="00C86352">
      <w:pPr>
        <w:pStyle w:val="Corpsdetexte"/>
      </w:pPr>
      <w:r>
        <w:t>Cette classe s</w:t>
      </w:r>
      <w:r w:rsidR="00E84B0E">
        <w:t>’</w:t>
      </w:r>
      <w:r>
        <w:t>applique aussi à l</w:t>
      </w:r>
      <w:r w:rsidR="00E84B0E">
        <w:t>’</w:t>
      </w:r>
      <w:r>
        <w:t>établissement ou à la perte de propriété d</w:t>
      </w:r>
      <w:r w:rsidR="00E84B0E">
        <w:t>’</w:t>
      </w:r>
      <w:r>
        <w:t xml:space="preserve">instances de </w:t>
      </w:r>
      <w:r>
        <w:rPr>
          <w:rStyle w:val="VerbatimChar"/>
        </w:rPr>
        <w:t>E18_Chose_matérielle</w:t>
      </w:r>
      <w:r>
        <w:t>. Cependant, elle n</w:t>
      </w:r>
      <w:r w:rsidR="00E84B0E">
        <w:t>’</w:t>
      </w:r>
      <w:r>
        <w:t>implique pas de changements quant à d</w:t>
      </w:r>
      <w:r w:rsidR="00E84B0E">
        <w:t>’</w:t>
      </w:r>
      <w:r>
        <w:t>autres types de droits.</w:t>
      </w:r>
    </w:p>
    <w:p w14:paraId="407A064C" w14:textId="4EA2EF3D" w:rsidR="00065317" w:rsidRDefault="005C7BF7">
      <w:pPr>
        <w:pStyle w:val="Corpsdetexte"/>
      </w:pPr>
      <w:r>
        <w:t>Le recensement du donneur et/ou du receveur de la propriété est optionnel et il est possible qu</w:t>
      </w:r>
      <w:r w:rsidR="00E84B0E">
        <w:t>’</w:t>
      </w:r>
      <w:r>
        <w:t xml:space="preserve">une instance de </w:t>
      </w:r>
      <w:r>
        <w:rPr>
          <w:rStyle w:val="VerbatimChar"/>
        </w:rPr>
        <w:t>E8_Acquisition</w:t>
      </w:r>
      <w:r>
        <w:t xml:space="preserve"> n</w:t>
      </w:r>
      <w:r w:rsidR="00E84B0E">
        <w:t>’</w:t>
      </w:r>
      <w:r>
        <w:t>ait pas de donneur ou pas de receveur. En fonction des circonstances, elle peut décrire :</w:t>
      </w:r>
    </w:p>
    <w:p w14:paraId="24505D5D" w14:textId="19F6E453" w:rsidR="00065317" w:rsidRDefault="00AC3D70" w:rsidP="00AC3D70">
      <w:pPr>
        <w:numPr>
          <w:ilvl w:val="0"/>
          <w:numId w:val="312"/>
        </w:numPr>
      </w:pPr>
      <w:r>
        <w:t>l</w:t>
      </w:r>
      <w:r w:rsidR="005C7BF7">
        <w:t>e début de la propriété;</w:t>
      </w:r>
    </w:p>
    <w:p w14:paraId="3A1A84C3" w14:textId="2FA2062A" w:rsidR="00065317" w:rsidRDefault="00AC3D70" w:rsidP="00AC3D70">
      <w:pPr>
        <w:numPr>
          <w:ilvl w:val="0"/>
          <w:numId w:val="312"/>
        </w:numPr>
      </w:pPr>
      <w:r>
        <w:t>l</w:t>
      </w:r>
      <w:r w:rsidR="005C7BF7">
        <w:t>a fin de la propriété;</w:t>
      </w:r>
    </w:p>
    <w:p w14:paraId="26640DB9" w14:textId="75D35411" w:rsidR="00065317" w:rsidRDefault="00AC3D70" w:rsidP="00AC3D70">
      <w:pPr>
        <w:numPr>
          <w:ilvl w:val="0"/>
          <w:numId w:val="312"/>
        </w:numPr>
      </w:pPr>
      <w:r>
        <w:t>l</w:t>
      </w:r>
      <w:r w:rsidR="005C7BF7">
        <w:t>e transfert de la propriété;</w:t>
      </w:r>
    </w:p>
    <w:p w14:paraId="676F46B9" w14:textId="474D1613" w:rsidR="00065317" w:rsidRDefault="00AC3D70" w:rsidP="00AC3D70">
      <w:pPr>
        <w:numPr>
          <w:ilvl w:val="0"/>
          <w:numId w:val="312"/>
        </w:numPr>
      </w:pPr>
      <w:r>
        <w:t>l</w:t>
      </w:r>
      <w:r w:rsidR="00E84B0E">
        <w:t>’</w:t>
      </w:r>
      <w:r w:rsidR="005C7BF7">
        <w:t>acquisition auprès d</w:t>
      </w:r>
      <w:r w:rsidR="00E84B0E">
        <w:t>’</w:t>
      </w:r>
      <w:r w:rsidR="005C7BF7">
        <w:t>une source inconnue;</w:t>
      </w:r>
    </w:p>
    <w:p w14:paraId="32F92337" w14:textId="7354A127" w:rsidR="00065317" w:rsidRDefault="00AC3D70" w:rsidP="00AC3D70">
      <w:pPr>
        <w:numPr>
          <w:ilvl w:val="0"/>
          <w:numId w:val="312"/>
        </w:numPr>
      </w:pPr>
      <w:r>
        <w:t>l</w:t>
      </w:r>
      <w:r w:rsidR="005C7BF7">
        <w:t>a perte du droit de propriété du fait de la destruction de ce qui en faisait l</w:t>
      </w:r>
      <w:r w:rsidR="00E84B0E">
        <w:t>’</w:t>
      </w:r>
      <w:r w:rsidR="005C7BF7">
        <w:t>objet.</w:t>
      </w:r>
    </w:p>
    <w:p w14:paraId="1AC8C010" w14:textId="1803C721" w:rsidR="00065317" w:rsidRDefault="005C7BF7">
      <w:pPr>
        <w:pStyle w:val="FirstParagraph"/>
      </w:pPr>
      <w:r>
        <w:t>Elle peut aussi décrire des évènements lors desquels une personne collectionnant s</w:t>
      </w:r>
      <w:r w:rsidR="00E84B0E">
        <w:t>’</w:t>
      </w:r>
      <w:r>
        <w:t>approprie un droit de propriété légal du fait, par exemple, de l</w:t>
      </w:r>
      <w:r w:rsidR="00E84B0E">
        <w:t>’</w:t>
      </w:r>
      <w:r>
        <w:t>annexion d</w:t>
      </w:r>
      <w:r w:rsidR="00E84B0E">
        <w:t>’</w:t>
      </w:r>
      <w:r>
        <w:t>un ensemble contenant un élément ou de sa collecte sur un terrain.</w:t>
      </w:r>
    </w:p>
    <w:p w14:paraId="227CD971" w14:textId="77A37F2B" w:rsidR="00065317" w:rsidRDefault="005C7BF7">
      <w:pPr>
        <w:pStyle w:val="Corpsdetexte"/>
      </w:pPr>
      <w:r>
        <w:t>L</w:t>
      </w:r>
      <w:r w:rsidR="00E84B0E">
        <w:t>’</w:t>
      </w:r>
      <w:r>
        <w:t>interprétation de la notion muséale d</w:t>
      </w:r>
      <w:r w:rsidR="00E84B0E">
        <w:t>’</w:t>
      </w:r>
      <w:r>
        <w:t>accession diffère d</w:t>
      </w:r>
      <w:r w:rsidR="00E84B0E">
        <w:t>’</w:t>
      </w:r>
      <w:r>
        <w:t>une institution à l</w:t>
      </w:r>
      <w:r w:rsidR="00E84B0E">
        <w:t>’</w:t>
      </w:r>
      <w:r>
        <w:t xml:space="preserve">autre, ce qui explique pourquoi le </w:t>
      </w:r>
      <w:r w:rsidR="00C8288F">
        <w:t>CIDOC CRM</w:t>
      </w:r>
      <w:r>
        <w:t xml:space="preserve"> modélise différemment la propriété légale (</w:t>
      </w:r>
      <w:r>
        <w:rPr>
          <w:rStyle w:val="VerbatimChar"/>
        </w:rPr>
        <w:t>E8_Acquisition</w:t>
      </w:r>
      <w:r>
        <w:t>) et la garde physique d</w:t>
      </w:r>
      <w:r w:rsidR="00E84B0E">
        <w:t>’</w:t>
      </w:r>
      <w:r>
        <w:t>un élément (</w:t>
      </w:r>
      <w:r>
        <w:rPr>
          <w:rStyle w:val="VerbatimChar"/>
        </w:rPr>
        <w:t>E10_Transfert_de_la_garde</w:t>
      </w:r>
      <w:r>
        <w:t>). Ainsi, les institutions peuvent modéliser leurs notions spécifiques d</w:t>
      </w:r>
      <w:r w:rsidR="00E84B0E">
        <w:t>’</w:t>
      </w:r>
      <w:r>
        <w:t>accession et d</w:t>
      </w:r>
      <w:r w:rsidR="00E84B0E">
        <w:t>’</w:t>
      </w:r>
      <w:r>
        <w:t>aliénation grâce à une combinaison de ces concepts.</w:t>
      </w:r>
    </w:p>
    <w:p w14:paraId="2AAE7D4C" w14:textId="77777777" w:rsidR="00065317" w:rsidRDefault="005C7BF7">
      <w:pPr>
        <w:pStyle w:val="Corpsdetexte"/>
      </w:pPr>
      <w:r>
        <w:rPr>
          <w:b/>
          <w:bCs/>
        </w:rPr>
        <w:t>Exemples</w:t>
      </w:r>
    </w:p>
    <w:p w14:paraId="03099DC3" w14:textId="5C4AC8D2" w:rsidR="00065317" w:rsidRDefault="005C7BF7">
      <w:pPr>
        <w:numPr>
          <w:ilvl w:val="0"/>
          <w:numId w:val="63"/>
        </w:numPr>
      </w:pPr>
      <w:r>
        <w:t>La collecte d</w:t>
      </w:r>
      <w:r w:rsidR="00E84B0E">
        <w:t>’</w:t>
      </w:r>
      <w:r>
        <w:t>un requin-marteau du genre Sphyrna Rafinesque, 1810 (ordre des Carcharhiniformes) par John Steinbeck et Edward Ricketts à Puerto Escondido dans le golfe du Mexique le 25</w:t>
      </w:r>
      <w:r w:rsidR="00056DCD">
        <w:t> mars </w:t>
      </w:r>
      <w:r>
        <w:t>1940 (Steinbeck, 2000)</w:t>
      </w:r>
    </w:p>
    <w:p w14:paraId="22F5EA74" w14:textId="1874030F" w:rsidR="00065317" w:rsidRDefault="005C7BF7">
      <w:pPr>
        <w:numPr>
          <w:ilvl w:val="0"/>
          <w:numId w:val="63"/>
        </w:numPr>
      </w:pPr>
      <w:r>
        <w:t>L</w:t>
      </w:r>
      <w:r w:rsidR="00E84B0E">
        <w:t>’</w:t>
      </w:r>
      <w:r>
        <w:t>acquisition de l</w:t>
      </w:r>
      <w:r w:rsidR="00E84B0E">
        <w:t>’</w:t>
      </w:r>
      <w:r>
        <w:t xml:space="preserve">œuvre peinte du Greco intitulée </w:t>
      </w:r>
      <w:r>
        <w:rPr>
          <w:i/>
          <w:iCs/>
        </w:rPr>
        <w:t>Saint Pierre et Saint Paul</w:t>
      </w:r>
      <w:r>
        <w:t xml:space="preserve"> par le musée d</w:t>
      </w:r>
      <w:r w:rsidR="00E84B0E">
        <w:t>’</w:t>
      </w:r>
      <w:r>
        <w:t>État de l</w:t>
      </w:r>
      <w:r w:rsidR="00E84B0E">
        <w:t>’</w:t>
      </w:r>
      <w:r>
        <w:t>Ermitage à Saint-Pétersbourg (</w:t>
      </w:r>
      <w:hyperlink r:id="rId154">
        <w:r>
          <w:rPr>
            <w:rStyle w:val="Lienhypertexte"/>
          </w:rPr>
          <w:t>https://hermitagemuseum.org/wps/portal/hermitage/digital-collection/01.+Paintings/32730</w:t>
        </w:r>
      </w:hyperlink>
      <w:r>
        <w:t>)</w:t>
      </w:r>
    </w:p>
    <w:p w14:paraId="32DCF96E" w14:textId="0574AF2E" w:rsidR="00241DFB" w:rsidRPr="003F44C6" w:rsidRDefault="005C7BF7" w:rsidP="003F44C6">
      <w:pPr>
        <w:numPr>
          <w:ilvl w:val="0"/>
          <w:numId w:val="63"/>
        </w:numPr>
      </w:pPr>
      <w:r>
        <w:lastRenderedPageBreak/>
        <w:t>La perte de mon pinson empaillé, de l</w:t>
      </w:r>
      <w:r w:rsidR="00E84B0E">
        <w:t>’</w:t>
      </w:r>
      <w:r>
        <w:t>espèce Fringilla c</w:t>
      </w:r>
      <w:r w:rsidR="00C012B4">
        <w:t>œ</w:t>
      </w:r>
      <w:r>
        <w:t>lebs Linn</w:t>
      </w:r>
      <w:r w:rsidR="00E6427C">
        <w:t>æ</w:t>
      </w:r>
      <w:r>
        <w:t>us, 1758, en raison de dommages infligés par des insectes l</w:t>
      </w:r>
      <w:r w:rsidR="00E84B0E">
        <w:t>’</w:t>
      </w:r>
      <w:r>
        <w:t>année dernière (fictif)</w:t>
      </w:r>
    </w:p>
    <w:p w14:paraId="059C1355" w14:textId="323B9557" w:rsidR="00065317" w:rsidRDefault="005C7BF7">
      <w:pPr>
        <w:pStyle w:val="FirstParagraph"/>
      </w:pPr>
      <w:r>
        <w:rPr>
          <w:b/>
          <w:bCs/>
        </w:rPr>
        <w:t>Logique</w:t>
      </w:r>
    </w:p>
    <w:p w14:paraId="4F9E5914" w14:textId="77777777" w:rsidR="00065317" w:rsidRDefault="005C7BF7">
      <w:pPr>
        <w:pStyle w:val="Corpsdetexte"/>
      </w:pPr>
      <w:r>
        <w:t>E8(x) ⇒ E7(x)</w:t>
      </w:r>
    </w:p>
    <w:p w14:paraId="08CC2CC2" w14:textId="77777777" w:rsidR="00065317" w:rsidRDefault="005C7BF7">
      <w:pPr>
        <w:pStyle w:val="Corpsdetexte"/>
      </w:pPr>
      <w:r>
        <w:rPr>
          <w:b/>
          <w:bCs/>
        </w:rPr>
        <w:t>Propriétés</w:t>
      </w:r>
    </w:p>
    <w:p w14:paraId="1BDDD5D0" w14:textId="2D84FB58" w:rsidR="00065317" w:rsidRDefault="005C7BF7">
      <w:pPr>
        <w:pStyle w:val="Corpsdetexte"/>
      </w:pPr>
      <w:r>
        <w:rPr>
          <w:rStyle w:val="VerbatimChar"/>
        </w:rPr>
        <w:t>P22_a_transféré_le_titre_de_propriété_à (a_acquis_le_titre_de_propriété_par)</w:t>
      </w:r>
      <w:r w:rsidR="00CF0FD9">
        <w:t> </w:t>
      </w:r>
      <w:r>
        <w:t xml:space="preserve">: </w:t>
      </w:r>
      <w:r>
        <w:rPr>
          <w:rStyle w:val="VerbatimChar"/>
        </w:rPr>
        <w:t>E39_Actant</w:t>
      </w:r>
    </w:p>
    <w:p w14:paraId="28603D0B" w14:textId="61AB2F24" w:rsidR="00065317" w:rsidRDefault="005C7BF7">
      <w:pPr>
        <w:pStyle w:val="Corpsdetexte"/>
      </w:pPr>
      <w:r>
        <w:rPr>
          <w:rStyle w:val="VerbatimChar"/>
        </w:rPr>
        <w:t>P23_a_transféré_le_titre_de_propriété_de (a_cédé_le_titre_de_propriété_à)</w:t>
      </w:r>
      <w:r w:rsidR="00CF0FD9">
        <w:t> </w:t>
      </w:r>
      <w:r>
        <w:t xml:space="preserve">: </w:t>
      </w:r>
      <w:r>
        <w:rPr>
          <w:rStyle w:val="VerbatimChar"/>
        </w:rPr>
        <w:t>E39_Actant</w:t>
      </w:r>
    </w:p>
    <w:p w14:paraId="0F12967B" w14:textId="7F3C5F8D" w:rsidR="00065317" w:rsidRDefault="005C7BF7">
      <w:pPr>
        <w:pStyle w:val="Corpsdetexte"/>
      </w:pPr>
      <w:r>
        <w:rPr>
          <w:rStyle w:val="VerbatimChar"/>
        </w:rPr>
        <w:t>P24_a_transféré_le_titre_de_propriété_de (a_changé_de_propriétaire_par)</w:t>
      </w:r>
      <w:r w:rsidR="00CF0FD9">
        <w:t> </w:t>
      </w:r>
      <w:r>
        <w:t xml:space="preserve">: </w:t>
      </w:r>
      <w:r>
        <w:rPr>
          <w:rStyle w:val="VerbatimChar"/>
        </w:rPr>
        <w:t>E18_Chose_matérielle</w:t>
      </w:r>
    </w:p>
    <w:p w14:paraId="5723AB19" w14:textId="77777777" w:rsidR="00065317" w:rsidRDefault="005C7BF7">
      <w:pPr>
        <w:pStyle w:val="Normalcentr"/>
      </w:pPr>
      <w:r>
        <w:rPr>
          <w:b/>
          <w:bCs/>
          <w:i/>
          <w:iCs/>
        </w:rPr>
        <w:t>Note de traduction</w:t>
      </w:r>
    </w:p>
    <w:p w14:paraId="69D568AF" w14:textId="34CBC825" w:rsidR="00065317" w:rsidRPr="008D39EE" w:rsidRDefault="005C7BF7" w:rsidP="00C86352">
      <w:pPr>
        <w:pStyle w:val="Normalcentr"/>
        <w:rPr>
          <w:b/>
          <w:bCs/>
          <w:i/>
          <w:iCs/>
        </w:rPr>
      </w:pPr>
      <w:r>
        <w:rPr>
          <w:b/>
          <w:bCs/>
          <w:i/>
          <w:iCs/>
        </w:rPr>
        <w:t>Références</w:t>
      </w:r>
    </w:p>
    <w:p w14:paraId="2E502202" w14:textId="77777777" w:rsidR="00065317" w:rsidRDefault="005C7BF7" w:rsidP="00914F34">
      <w:pPr>
        <w:pStyle w:val="Titre3"/>
      </w:pPr>
      <w:bookmarkStart w:id="122" w:name="_Toc154048746"/>
      <w:bookmarkStart w:id="123" w:name="e9-deplacement"/>
      <w:bookmarkEnd w:id="120"/>
      <w:r>
        <w:t>E9 Déplacement</w:t>
      </w:r>
      <w:bookmarkEnd w:id="122"/>
    </w:p>
    <w:p w14:paraId="5335630B" w14:textId="77777777" w:rsidR="00065317" w:rsidRDefault="005C7BF7">
      <w:pPr>
        <w:pStyle w:val="FirstParagraph"/>
      </w:pPr>
      <w:r>
        <w:rPr>
          <w:b/>
          <w:bCs/>
        </w:rPr>
        <w:t>Sous-classe de</w:t>
      </w:r>
    </w:p>
    <w:p w14:paraId="42257F4D" w14:textId="77777777" w:rsidR="00065317" w:rsidRDefault="005C7BF7">
      <w:pPr>
        <w:pStyle w:val="Corpsdetexte"/>
      </w:pPr>
      <w:r>
        <w:rPr>
          <w:rStyle w:val="VerbatimChar"/>
        </w:rPr>
        <w:t>E7_Activité</w:t>
      </w:r>
    </w:p>
    <w:p w14:paraId="50683210" w14:textId="44485C01" w:rsidR="003F44C6" w:rsidRPr="003F44C6" w:rsidRDefault="005C7BF7">
      <w:pPr>
        <w:pStyle w:val="Corpsdetexte"/>
        <w:rPr>
          <w:b/>
          <w:bCs/>
        </w:rPr>
      </w:pPr>
      <w:r>
        <w:rPr>
          <w:b/>
          <w:bCs/>
        </w:rPr>
        <w:t>Super-classe de</w:t>
      </w:r>
    </w:p>
    <w:p w14:paraId="72B9968A" w14:textId="44AE4BBF" w:rsidR="00065317" w:rsidRDefault="005C7BF7">
      <w:pPr>
        <w:pStyle w:val="Corpsdetexte"/>
      </w:pPr>
      <w:r>
        <w:rPr>
          <w:b/>
          <w:bCs/>
        </w:rPr>
        <w:t>Note d</w:t>
      </w:r>
      <w:r w:rsidR="00E84B0E">
        <w:rPr>
          <w:b/>
          <w:bCs/>
        </w:rPr>
        <w:t>’</w:t>
      </w:r>
      <w:r>
        <w:rPr>
          <w:b/>
          <w:bCs/>
        </w:rPr>
        <w:t>application</w:t>
      </w:r>
    </w:p>
    <w:p w14:paraId="54D124B1" w14:textId="77777777" w:rsidR="00065317" w:rsidRDefault="005C7BF7">
      <w:pPr>
        <w:pStyle w:val="Corpsdetexte"/>
      </w:pPr>
      <w:r>
        <w:t xml:space="preserve">Cette classe comprend les changements de localisation physique des instances de </w:t>
      </w:r>
      <w:r>
        <w:rPr>
          <w:rStyle w:val="VerbatimChar"/>
        </w:rPr>
        <w:t>E19_Objet_matériel</w:t>
      </w:r>
      <w:r>
        <w:t>.</w:t>
      </w:r>
    </w:p>
    <w:p w14:paraId="76797E2D" w14:textId="09D32BE9" w:rsidR="00065317" w:rsidRDefault="005C7BF7">
      <w:pPr>
        <w:pStyle w:val="Corpsdetexte"/>
      </w:pPr>
      <w:r>
        <w:t xml:space="preserve">À noter que la classe </w:t>
      </w:r>
      <w:r>
        <w:rPr>
          <w:rStyle w:val="VerbatimChar"/>
        </w:rPr>
        <w:t>E9_Déplacement</w:t>
      </w:r>
      <w:r>
        <w:t xml:space="preserve"> hérite de la propriété </w:t>
      </w:r>
      <w:r>
        <w:rPr>
          <w:rStyle w:val="VerbatimChar"/>
        </w:rPr>
        <w:t>P7_a_eu_lieu_dans (a_été_témoin_de)</w:t>
      </w:r>
      <w:r w:rsidR="00CF0FD9">
        <w:t xml:space="preserve"> : </w:t>
      </w:r>
      <w:r>
        <w:rPr>
          <w:rStyle w:val="VerbatimChar"/>
        </w:rPr>
        <w:t>E53_Lieu</w:t>
      </w:r>
      <w:r>
        <w:t xml:space="preserve">. Cette propriété doit être utilisée pour décrire la trajectoire ou la zone géographique plus large dans laquelle un déplacement a lieu, tandis que les propriétés </w:t>
      </w:r>
      <w:r>
        <w:rPr>
          <w:rStyle w:val="VerbatimChar"/>
        </w:rPr>
        <w:t>P26_a_déplacé_vers (a_été_la_destination_de)</w:t>
      </w:r>
      <w:r>
        <w:t xml:space="preserve"> et </w:t>
      </w:r>
      <w:r>
        <w:rPr>
          <w:rStyle w:val="VerbatimChar"/>
        </w:rPr>
        <w:t>P27_a_déplacé_depuis (a_été_le_point_de_départ_de)</w:t>
      </w:r>
      <w:r>
        <w:t xml:space="preserve"> décrivent uniquement les points de départ et d</w:t>
      </w:r>
      <w:r w:rsidR="00E84B0E">
        <w:t>’</w:t>
      </w:r>
      <w:r>
        <w:t xml:space="preserve">arrivée. Les instances de </w:t>
      </w:r>
      <w:r>
        <w:rPr>
          <w:rStyle w:val="VerbatimChar"/>
        </w:rPr>
        <w:t>E9_Déplacement</w:t>
      </w:r>
      <w:r>
        <w:t xml:space="preserve"> peuvent également être documentées de telle manière qu</w:t>
      </w:r>
      <w:r w:rsidR="00E84B0E">
        <w:t>’</w:t>
      </w:r>
      <w:r>
        <w:t>elles comprennent d</w:t>
      </w:r>
      <w:r w:rsidR="00E84B0E">
        <w:t>’</w:t>
      </w:r>
      <w:r>
        <w:t xml:space="preserve">autres déplacements (via </w:t>
      </w:r>
      <w:r>
        <w:rPr>
          <w:rStyle w:val="VerbatimChar"/>
        </w:rPr>
        <w:t>P9_comprend (fait_partie_de)</w:t>
      </w:r>
      <w:r>
        <w:t>) afin de décrire des étapes intermédiaires d</w:t>
      </w:r>
      <w:r w:rsidR="00E84B0E">
        <w:t>’</w:t>
      </w:r>
      <w:r>
        <w:t>une trajectoire. Dans ce cas, il faut assurer la correspondance des points de départ et d</w:t>
      </w:r>
      <w:r w:rsidR="00E84B0E">
        <w:t>’</w:t>
      </w:r>
      <w:r>
        <w:t>arrivée des déplacements intermédiaires, que ce soit entre eux ou avec l</w:t>
      </w:r>
      <w:r w:rsidR="00E84B0E">
        <w:t>’</w:t>
      </w:r>
      <w:r>
        <w:t>évènement global.</w:t>
      </w:r>
    </w:p>
    <w:p w14:paraId="2DEA896C" w14:textId="77777777" w:rsidR="00065317" w:rsidRDefault="005C7BF7">
      <w:pPr>
        <w:pStyle w:val="Corpsdetexte"/>
      </w:pPr>
      <w:r>
        <w:rPr>
          <w:b/>
          <w:bCs/>
        </w:rPr>
        <w:t>Exemples</w:t>
      </w:r>
    </w:p>
    <w:p w14:paraId="19A6BE7E" w14:textId="77777777" w:rsidR="00065317" w:rsidRDefault="005C7BF7">
      <w:pPr>
        <w:numPr>
          <w:ilvl w:val="0"/>
          <w:numId w:val="64"/>
        </w:numPr>
      </w:pPr>
      <w:r>
        <w:t>La relocalisation du pont de Londres du Royaume-Uni vers les États-Unis (Wildfang, 2005)</w:t>
      </w:r>
    </w:p>
    <w:p w14:paraId="2CE69B7A" w14:textId="4B0BBF44" w:rsidR="00065317" w:rsidRDefault="005C7BF7">
      <w:pPr>
        <w:numPr>
          <w:ilvl w:val="0"/>
          <w:numId w:val="64"/>
        </w:numPr>
      </w:pPr>
      <w:r>
        <w:t>Le déplacement de l</w:t>
      </w:r>
      <w:r w:rsidR="00E84B0E">
        <w:t>’</w:t>
      </w:r>
      <w:r>
        <w:t>exposition « Trésors du pharaon d</w:t>
      </w:r>
      <w:r w:rsidR="00E84B0E">
        <w:t>’</w:t>
      </w:r>
      <w:r>
        <w:t>or » entre le 15</w:t>
      </w:r>
      <w:r w:rsidR="00056DCD">
        <w:t> septembre </w:t>
      </w:r>
      <w:r>
        <w:t>et le 2</w:t>
      </w:r>
      <w:r w:rsidR="00056DCD">
        <w:t> novembre </w:t>
      </w:r>
      <w:r>
        <w:t>2019</w:t>
      </w:r>
    </w:p>
    <w:p w14:paraId="25E75789" w14:textId="77777777" w:rsidR="00065317" w:rsidRDefault="005C7BF7">
      <w:pPr>
        <w:pStyle w:val="FirstParagraph"/>
      </w:pPr>
      <w:r>
        <w:rPr>
          <w:b/>
          <w:bCs/>
        </w:rPr>
        <w:t>Logique</w:t>
      </w:r>
    </w:p>
    <w:p w14:paraId="3715EFCC" w14:textId="77777777" w:rsidR="00065317" w:rsidRDefault="005C7BF7">
      <w:pPr>
        <w:pStyle w:val="Corpsdetexte"/>
      </w:pPr>
      <w:r>
        <w:t>E9(x) ⇒ E7(x)</w:t>
      </w:r>
    </w:p>
    <w:p w14:paraId="6E4D226D" w14:textId="77777777" w:rsidR="00C86352" w:rsidRDefault="00C86352">
      <w:pPr>
        <w:spacing w:after="0"/>
        <w:rPr>
          <w:b/>
          <w:bCs/>
        </w:rPr>
      </w:pPr>
      <w:r>
        <w:rPr>
          <w:b/>
          <w:bCs/>
        </w:rPr>
        <w:br w:type="page"/>
      </w:r>
    </w:p>
    <w:p w14:paraId="5F9D3475" w14:textId="2396E147" w:rsidR="00065317" w:rsidRDefault="005C7BF7">
      <w:pPr>
        <w:pStyle w:val="Corpsdetexte"/>
      </w:pPr>
      <w:r>
        <w:rPr>
          <w:b/>
          <w:bCs/>
        </w:rPr>
        <w:lastRenderedPageBreak/>
        <w:t>Propriétés</w:t>
      </w:r>
    </w:p>
    <w:p w14:paraId="2CF2540E" w14:textId="77777777" w:rsidR="00065317" w:rsidRDefault="005C7BF7">
      <w:pPr>
        <w:pStyle w:val="Corpsdetexte"/>
      </w:pPr>
      <w:r>
        <w:rPr>
          <w:rStyle w:val="VerbatimChar"/>
        </w:rPr>
        <w:t>P25_a_déplacé (a_été_déplacé_par)</w:t>
      </w:r>
      <w:r>
        <w:t xml:space="preserve"> : </w:t>
      </w:r>
      <w:r>
        <w:rPr>
          <w:rStyle w:val="VerbatimChar"/>
        </w:rPr>
        <w:t>E19_Objet_matériel</w:t>
      </w:r>
    </w:p>
    <w:p w14:paraId="678F77F9" w14:textId="77777777" w:rsidR="00065317" w:rsidRDefault="005C7BF7">
      <w:pPr>
        <w:pStyle w:val="Corpsdetexte"/>
      </w:pPr>
      <w:r>
        <w:rPr>
          <w:rStyle w:val="VerbatimChar"/>
        </w:rPr>
        <w:t>P26_a_déplacé_à (a_été_la_destination_de)</w:t>
      </w:r>
      <w:r>
        <w:t xml:space="preserve"> : </w:t>
      </w:r>
      <w:r>
        <w:rPr>
          <w:rStyle w:val="VerbatimChar"/>
        </w:rPr>
        <w:t>E53_Lieu</w:t>
      </w:r>
    </w:p>
    <w:p w14:paraId="05FA71F6" w14:textId="77777777" w:rsidR="00065317" w:rsidRDefault="005C7BF7">
      <w:pPr>
        <w:pStyle w:val="Corpsdetexte"/>
      </w:pPr>
      <w:r>
        <w:rPr>
          <w:rStyle w:val="VerbatimChar"/>
        </w:rPr>
        <w:t>P27_a_déplacé_depuis (a_été_le_point_de_départ_de)</w:t>
      </w:r>
      <w:r>
        <w:t xml:space="preserve"> : </w:t>
      </w:r>
      <w:r>
        <w:rPr>
          <w:rStyle w:val="VerbatimChar"/>
        </w:rPr>
        <w:t>E53_Lieu</w:t>
      </w:r>
    </w:p>
    <w:p w14:paraId="73F2B06C" w14:textId="77777777" w:rsidR="00065317" w:rsidRDefault="005C7BF7">
      <w:pPr>
        <w:pStyle w:val="Normalcentr"/>
      </w:pPr>
      <w:r>
        <w:rPr>
          <w:b/>
          <w:bCs/>
          <w:i/>
          <w:iCs/>
        </w:rPr>
        <w:t>Note de traduction</w:t>
      </w:r>
    </w:p>
    <w:p w14:paraId="40671911" w14:textId="206E781C" w:rsidR="00065317" w:rsidRDefault="005C7BF7">
      <w:pPr>
        <w:pStyle w:val="Normalcentr"/>
      </w:pPr>
      <w:r>
        <w:t>Dans Wikipédia, l</w:t>
      </w:r>
      <w:r w:rsidR="00E84B0E">
        <w:t>’</w:t>
      </w:r>
      <w:r>
        <w:t>exposition « Tutankhamun: Treasures of the Golden Pharaoh » a été traduite en français par « Trésors du pharaon d</w:t>
      </w:r>
      <w:r w:rsidR="00E84B0E">
        <w:t>’</w:t>
      </w:r>
      <w:r>
        <w:t>or ». Cette appellation a été reprise ici.</w:t>
      </w:r>
    </w:p>
    <w:p w14:paraId="4E398880" w14:textId="77777777" w:rsidR="00065317" w:rsidRDefault="005C7BF7">
      <w:pPr>
        <w:pStyle w:val="Normalcentr"/>
      </w:pPr>
      <w:r>
        <w:rPr>
          <w:b/>
          <w:bCs/>
          <w:i/>
          <w:iCs/>
        </w:rPr>
        <w:t>Références</w:t>
      </w:r>
    </w:p>
    <w:p w14:paraId="103682D9" w14:textId="17E49BF9" w:rsidR="00065317" w:rsidRDefault="005C7BF7">
      <w:pPr>
        <w:pStyle w:val="Normalcentr"/>
      </w:pPr>
      <w:r>
        <w:t xml:space="preserve">Wikipédia. « Expositions des vestiges archéologiques provenant de la tombe de Toutânkhamon ». Dans </w:t>
      </w:r>
      <w:r>
        <w:rPr>
          <w:i/>
          <w:iCs/>
        </w:rPr>
        <w:t>Wikipédia</w:t>
      </w:r>
      <w:r>
        <w:t>. San Francisco, US-CA: Wikipédia, 30</w:t>
      </w:r>
      <w:r w:rsidR="00056DCD">
        <w:t> janvier </w:t>
      </w:r>
      <w:r>
        <w:t>2021.</w:t>
      </w:r>
      <w:hyperlink r:id="rId155">
        <w:r>
          <w:rPr>
            <w:rStyle w:val="Lienhypertexte"/>
          </w:rPr>
          <w:t xml:space="preserve"> </w:t>
        </w:r>
      </w:hyperlink>
      <w:hyperlink r:id="rId156">
        <w:r>
          <w:rPr>
            <w:rStyle w:val="Lienhypertexte"/>
          </w:rPr>
          <w:t>https://fr.wikipedia.org/w/index.php?title=Expositions_des_vestiges_arch%C3%A9ologiques_provenant_de_la_tombe_de_Tout%C3%A2nkhamon&amp;oldid=179392035</w:t>
        </w:r>
      </w:hyperlink>
      <w:r>
        <w:t>.</w:t>
      </w:r>
    </w:p>
    <w:p w14:paraId="16468B56" w14:textId="77777777" w:rsidR="00065317" w:rsidRDefault="005C7BF7" w:rsidP="00DD1219">
      <w:pPr>
        <w:pStyle w:val="Titre3"/>
      </w:pPr>
      <w:bookmarkStart w:id="124" w:name="_Toc154048747"/>
      <w:bookmarkStart w:id="125" w:name="e10-transfert-de-la-garde"/>
      <w:bookmarkEnd w:id="123"/>
      <w:r>
        <w:t>E10 Transfert de la garde</w:t>
      </w:r>
      <w:bookmarkEnd w:id="124"/>
    </w:p>
    <w:p w14:paraId="2B5C272E" w14:textId="77777777" w:rsidR="00065317" w:rsidRDefault="005C7BF7">
      <w:pPr>
        <w:pStyle w:val="FirstParagraph"/>
      </w:pPr>
      <w:r>
        <w:rPr>
          <w:b/>
          <w:bCs/>
        </w:rPr>
        <w:t>Sous-classe de</w:t>
      </w:r>
    </w:p>
    <w:p w14:paraId="62067220" w14:textId="6259CE18" w:rsidR="00A81E78" w:rsidRPr="00241DFB" w:rsidRDefault="005C7BF7">
      <w:pPr>
        <w:pStyle w:val="Corpsdetexte"/>
      </w:pPr>
      <w:r>
        <w:rPr>
          <w:rStyle w:val="VerbatimChar"/>
        </w:rPr>
        <w:t>E7_Activité</w:t>
      </w:r>
    </w:p>
    <w:p w14:paraId="2061C7AE" w14:textId="26FE6D1A" w:rsidR="003F44C6" w:rsidRPr="003F44C6" w:rsidRDefault="005C7BF7">
      <w:pPr>
        <w:pStyle w:val="Corpsdetexte"/>
        <w:rPr>
          <w:b/>
          <w:bCs/>
        </w:rPr>
      </w:pPr>
      <w:r>
        <w:rPr>
          <w:b/>
          <w:bCs/>
        </w:rPr>
        <w:t>Super-classe de</w:t>
      </w:r>
    </w:p>
    <w:p w14:paraId="270E6771" w14:textId="0474E31D" w:rsidR="00065317" w:rsidRDefault="005C7BF7">
      <w:pPr>
        <w:pStyle w:val="Corpsdetexte"/>
      </w:pPr>
      <w:r>
        <w:rPr>
          <w:b/>
          <w:bCs/>
        </w:rPr>
        <w:t>Note d</w:t>
      </w:r>
      <w:r w:rsidR="00E84B0E">
        <w:rPr>
          <w:b/>
          <w:bCs/>
        </w:rPr>
        <w:t>’</w:t>
      </w:r>
      <w:r>
        <w:rPr>
          <w:b/>
          <w:bCs/>
        </w:rPr>
        <w:t>application</w:t>
      </w:r>
    </w:p>
    <w:p w14:paraId="6EA316E4" w14:textId="2F5E9BCE" w:rsidR="00065317" w:rsidRDefault="005C7BF7">
      <w:pPr>
        <w:pStyle w:val="Corpsdetexte"/>
      </w:pPr>
      <w:r>
        <w:t>Cette classe comprend les transferts de la garde physique ou de la responsabilité légale de la garde physique d</w:t>
      </w:r>
      <w:r w:rsidR="00E84B0E">
        <w:t>’</w:t>
      </w:r>
      <w:r>
        <w:t>objets. Le recensement du donneur ou du receveur est optionnel. Il est possible qu</w:t>
      </w:r>
      <w:r w:rsidR="00E84B0E">
        <w:t>’</w:t>
      </w:r>
      <w:r>
        <w:t xml:space="preserve">une instance de </w:t>
      </w:r>
      <w:r>
        <w:rPr>
          <w:rStyle w:val="VerbatimChar"/>
        </w:rPr>
        <w:t>E10_Transfert_de_la_garde</w:t>
      </w:r>
      <w:r>
        <w:t xml:space="preserve"> n</w:t>
      </w:r>
      <w:r w:rsidR="00E84B0E">
        <w:t>’</w:t>
      </w:r>
      <w:r>
        <w:t>ait pas de donneur ou pas de receveur.</w:t>
      </w:r>
    </w:p>
    <w:p w14:paraId="01B2158E" w14:textId="75985A9D" w:rsidR="00065317" w:rsidRDefault="005C7BF7">
      <w:pPr>
        <w:pStyle w:val="Corpsdetexte"/>
      </w:pPr>
      <w:r>
        <w:t>En fonction des circonstances, elle peut décrire</w:t>
      </w:r>
      <w:r w:rsidR="001458EA">
        <w:t> </w:t>
      </w:r>
      <w:r>
        <w:t>:</w:t>
      </w:r>
    </w:p>
    <w:p w14:paraId="27F18B48" w14:textId="534C7218" w:rsidR="00065317" w:rsidRDefault="001458EA" w:rsidP="00AC3D70">
      <w:pPr>
        <w:numPr>
          <w:ilvl w:val="0"/>
          <w:numId w:val="313"/>
        </w:numPr>
      </w:pPr>
      <w:r>
        <w:t>l</w:t>
      </w:r>
      <w:r w:rsidR="005C7BF7">
        <w:t>e début de la garde (il n</w:t>
      </w:r>
      <w:r w:rsidR="00E84B0E">
        <w:t>’</w:t>
      </w:r>
      <w:r w:rsidR="005C7BF7">
        <w:t>existe pas de gardien précédent)</w:t>
      </w:r>
      <w:r>
        <w:t>;</w:t>
      </w:r>
    </w:p>
    <w:p w14:paraId="78790074" w14:textId="36C1D9B6" w:rsidR="00065317" w:rsidRDefault="001458EA" w:rsidP="00AC3D70">
      <w:pPr>
        <w:numPr>
          <w:ilvl w:val="0"/>
          <w:numId w:val="313"/>
        </w:numPr>
      </w:pPr>
      <w:r>
        <w:t>l</w:t>
      </w:r>
      <w:r w:rsidR="005C7BF7">
        <w:t>a fin de la garde (il n</w:t>
      </w:r>
      <w:r w:rsidR="00E84B0E">
        <w:t>’</w:t>
      </w:r>
      <w:r w:rsidR="005C7BF7">
        <w:t>existe pas de gardien suivant)</w:t>
      </w:r>
      <w:r>
        <w:t>;</w:t>
      </w:r>
    </w:p>
    <w:p w14:paraId="551354EE" w14:textId="45C9F089" w:rsidR="00065317" w:rsidRDefault="001458EA" w:rsidP="00AC3D70">
      <w:pPr>
        <w:numPr>
          <w:ilvl w:val="0"/>
          <w:numId w:val="313"/>
        </w:numPr>
      </w:pPr>
      <w:r>
        <w:t>l</w:t>
      </w:r>
      <w:r w:rsidR="005C7BF7">
        <w:t>e transfert de la garde (transfert d</w:t>
      </w:r>
      <w:r w:rsidR="00E84B0E">
        <w:t>’</w:t>
      </w:r>
      <w:r w:rsidR="005C7BF7">
        <w:t>un gardien au gardien suivant)</w:t>
      </w:r>
      <w:r>
        <w:t>;</w:t>
      </w:r>
    </w:p>
    <w:p w14:paraId="61AE12CA" w14:textId="6F1D944E" w:rsidR="00065317" w:rsidRDefault="001458EA" w:rsidP="00AC3D70">
      <w:pPr>
        <w:numPr>
          <w:ilvl w:val="0"/>
          <w:numId w:val="313"/>
        </w:numPr>
      </w:pPr>
      <w:r>
        <w:t>l</w:t>
      </w:r>
      <w:r w:rsidR="005C7BF7">
        <w:t>a réception de la garde provenant d</w:t>
      </w:r>
      <w:r w:rsidR="00E84B0E">
        <w:t>’</w:t>
      </w:r>
      <w:r w:rsidR="005C7BF7">
        <w:t>une source inconnue (le gardien précédent n</w:t>
      </w:r>
      <w:r w:rsidR="00E84B0E">
        <w:t>’</w:t>
      </w:r>
      <w:r w:rsidR="005C7BF7">
        <w:t>est pas connu)</w:t>
      </w:r>
      <w:r>
        <w:t>;</w:t>
      </w:r>
    </w:p>
    <w:p w14:paraId="6E13B189" w14:textId="5CCF5AB0" w:rsidR="00065317" w:rsidRDefault="001458EA" w:rsidP="00AC3D70">
      <w:pPr>
        <w:numPr>
          <w:ilvl w:val="0"/>
          <w:numId w:val="313"/>
        </w:numPr>
      </w:pPr>
      <w:r>
        <w:t>l</w:t>
      </w:r>
      <w:r w:rsidR="005C7BF7">
        <w:t>a perte déclarée d</w:t>
      </w:r>
      <w:r w:rsidR="00E84B0E">
        <w:t>’</w:t>
      </w:r>
      <w:r w:rsidR="005C7BF7">
        <w:t>un objet (le gardien actuel ou suivant n</w:t>
      </w:r>
      <w:r w:rsidR="00E84B0E">
        <w:t>’</w:t>
      </w:r>
      <w:r w:rsidR="005C7BF7">
        <w:t>est pas connu)</w:t>
      </w:r>
      <w:r>
        <w:t>.</w:t>
      </w:r>
    </w:p>
    <w:p w14:paraId="048ED307" w14:textId="004DA343" w:rsidR="00065317" w:rsidRDefault="005C7BF7">
      <w:pPr>
        <w:pStyle w:val="FirstParagraph"/>
      </w:pPr>
      <w:r>
        <w:t>Dans l</w:t>
      </w:r>
      <w:r w:rsidR="00E84B0E">
        <w:t>’</w:t>
      </w:r>
      <w:r>
        <w:t xml:space="preserve">éventualité où un seul type de transfert de la garde se produit, soit la responsabilité de la garde, soit la possession physique, mais pas les deux, il convient de le préciser en utilisant la propriété </w:t>
      </w:r>
      <w:r>
        <w:rPr>
          <w:rStyle w:val="VerbatimChar"/>
        </w:rPr>
        <w:t>P2_a_pour_type (est_le_type_de)</w:t>
      </w:r>
      <w:r>
        <w:t>.</w:t>
      </w:r>
    </w:p>
    <w:p w14:paraId="76426990" w14:textId="2E9E3499" w:rsidR="00065317" w:rsidRDefault="005C7BF7">
      <w:pPr>
        <w:pStyle w:val="Corpsdetexte"/>
      </w:pPr>
      <w:r>
        <w:t>La notion de possession physique implique qu</w:t>
      </w:r>
      <w:r w:rsidR="00E84B0E">
        <w:t>’</w:t>
      </w:r>
      <w:r>
        <w:t>au moins une portion représentative de l</w:t>
      </w:r>
      <w:r w:rsidR="00E84B0E">
        <w:t>’</w:t>
      </w:r>
      <w:r>
        <w:t>objet se trouve dans les mains de son gardien. La manière dont on documente la possession de la portion représentative d</w:t>
      </w:r>
      <w:r w:rsidR="00E84B0E">
        <w:t>’</w:t>
      </w:r>
      <w:r>
        <w:t>un objet doit définir d</w:t>
      </w:r>
      <w:r w:rsidR="00E84B0E">
        <w:t>’</w:t>
      </w:r>
      <w:r>
        <w:t>une manière non ambiguë quel actant détient cette portion et quelle actant détient l</w:t>
      </w:r>
      <w:r w:rsidR="00E84B0E">
        <w:t>’</w:t>
      </w:r>
      <w:r>
        <w:t>objet entier et doit être cohérent avec le critère d</w:t>
      </w:r>
      <w:r w:rsidR="00E84B0E">
        <w:t>’</w:t>
      </w:r>
      <w:r>
        <w:t>identité de l</w:t>
      </w:r>
      <w:r w:rsidR="00E84B0E">
        <w:t>’</w:t>
      </w:r>
      <w:r>
        <w:t xml:space="preserve">instance possédée de </w:t>
      </w:r>
      <w:r>
        <w:rPr>
          <w:rStyle w:val="VerbatimChar"/>
        </w:rPr>
        <w:t>E18_Chose_matérielle</w:t>
      </w:r>
      <w:r>
        <w:t>.</w:t>
      </w:r>
    </w:p>
    <w:p w14:paraId="6CD8B817" w14:textId="37FC21A5" w:rsidR="00065317" w:rsidRDefault="005C7BF7">
      <w:pPr>
        <w:pStyle w:val="Corpsdetexte"/>
      </w:pPr>
      <w:r>
        <w:t>L</w:t>
      </w:r>
      <w:r w:rsidR="00E84B0E">
        <w:t>’</w:t>
      </w:r>
      <w:r>
        <w:t>interprétation de la notion muséale d</w:t>
      </w:r>
      <w:r w:rsidR="00E84B0E">
        <w:t>’</w:t>
      </w:r>
      <w:r>
        <w:t xml:space="preserve">« accession » diffère selon les institutions. Pour cette raison, le </w:t>
      </w:r>
      <w:r w:rsidR="00C8288F">
        <w:t>CIDOC CRM</w:t>
      </w:r>
      <w:r>
        <w:t xml:space="preserve"> modélise séparément la propriété légale et la garde physique d</w:t>
      </w:r>
      <w:r w:rsidR="00E84B0E">
        <w:t>’</w:t>
      </w:r>
      <w:r>
        <w:t>un objet. Les institutions peuvent ainsi modéliser leurs notions spécifiques d</w:t>
      </w:r>
      <w:r w:rsidR="00E84B0E">
        <w:t>’</w:t>
      </w:r>
      <w:r>
        <w:t>accession et d</w:t>
      </w:r>
      <w:r w:rsidR="00E84B0E">
        <w:t>’</w:t>
      </w:r>
      <w:r>
        <w:t>aliénation en les combinant toutes deux.</w:t>
      </w:r>
    </w:p>
    <w:p w14:paraId="511B3115" w14:textId="77777777" w:rsidR="00065317" w:rsidRDefault="005C7BF7">
      <w:pPr>
        <w:pStyle w:val="Corpsdetexte"/>
      </w:pPr>
      <w:r>
        <w:lastRenderedPageBreak/>
        <w:t>Le vol est un cas spécifique de transfert illégal de la garde.</w:t>
      </w:r>
    </w:p>
    <w:p w14:paraId="1B36CDAB" w14:textId="77777777" w:rsidR="00065317" w:rsidRDefault="005C7BF7">
      <w:pPr>
        <w:pStyle w:val="Corpsdetexte"/>
      </w:pPr>
      <w:r>
        <w:rPr>
          <w:b/>
          <w:bCs/>
        </w:rPr>
        <w:t>Exemples</w:t>
      </w:r>
    </w:p>
    <w:p w14:paraId="207CE733" w14:textId="17DCF451" w:rsidR="00065317" w:rsidRDefault="005C7BF7">
      <w:pPr>
        <w:numPr>
          <w:ilvl w:val="0"/>
          <w:numId w:val="66"/>
        </w:numPr>
      </w:pPr>
      <w:r>
        <w:t>La livraison d</w:t>
      </w:r>
      <w:r w:rsidR="00E84B0E">
        <w:t>’</w:t>
      </w:r>
      <w:r>
        <w:t>œuvres peintes par Secure Deliveries Inc. à la National Gallery</w:t>
      </w:r>
    </w:p>
    <w:p w14:paraId="72BE4D57" w14:textId="77777777" w:rsidR="00065317" w:rsidRDefault="005C7BF7">
      <w:pPr>
        <w:numPr>
          <w:ilvl w:val="0"/>
          <w:numId w:val="66"/>
        </w:numPr>
      </w:pPr>
      <w:r>
        <w:t xml:space="preserve">Le retour du tableau de Picasso </w:t>
      </w:r>
      <w:r>
        <w:rPr>
          <w:i/>
          <w:iCs/>
        </w:rPr>
        <w:t>Guernica</w:t>
      </w:r>
      <w:r>
        <w:t xml:space="preserve"> au musée du Prado à Madrid en 1981 (Chipp, 1988)</w:t>
      </w:r>
    </w:p>
    <w:p w14:paraId="09A9FD31" w14:textId="4B8F24AD" w:rsidR="00065317" w:rsidRDefault="005C7BF7">
      <w:pPr>
        <w:numPr>
          <w:ilvl w:val="0"/>
          <w:numId w:val="66"/>
        </w:numPr>
      </w:pPr>
      <w:r>
        <w:t>Le transfert de la garde de l</w:t>
      </w:r>
      <w:r w:rsidR="00E84B0E">
        <w:t>’</w:t>
      </w:r>
      <w:r>
        <w:t xml:space="preserve">œuvre </w:t>
      </w:r>
      <w:r>
        <w:rPr>
          <w:i/>
          <w:iCs/>
        </w:rPr>
        <w:t>Von der Velden ein Ufer an der See</w:t>
      </w:r>
      <w:r>
        <w:t xml:space="preserve"> de Johann Matthäus von Merian à l</w:t>
      </w:r>
      <w:r w:rsidR="00E84B0E">
        <w:t>’</w:t>
      </w:r>
      <w:r>
        <w:t>hôtel des ventes Heldevier (Jacob) en vue de sa vente, vers 1716</w:t>
      </w:r>
    </w:p>
    <w:p w14:paraId="5962FA92" w14:textId="334D9029" w:rsidR="00065317" w:rsidRDefault="005C7BF7">
      <w:pPr>
        <w:numPr>
          <w:ilvl w:val="0"/>
          <w:numId w:val="66"/>
        </w:numPr>
      </w:pPr>
      <w:r>
        <w:t>Le transfert de la garde de l</w:t>
      </w:r>
      <w:r w:rsidR="00E84B0E">
        <w:t>’</w:t>
      </w:r>
      <w:r>
        <w:t xml:space="preserve">œuvre peinte </w:t>
      </w:r>
      <w:r>
        <w:rPr>
          <w:i/>
          <w:iCs/>
        </w:rPr>
        <w:t>Mrs. Fitzherbert</w:t>
      </w:r>
      <w:r>
        <w:t xml:space="preserve"> au marchand d</w:t>
      </w:r>
      <w:r w:rsidR="00E84B0E">
        <w:t>’</w:t>
      </w:r>
      <w:r>
        <w:t>art Kn</w:t>
      </w:r>
      <w:r w:rsidR="00925267">
        <w:t>oe</w:t>
      </w:r>
      <w:r>
        <w:t>dler depuis [</w:t>
      </w:r>
      <w:r w:rsidR="00AF51A3">
        <w:t xml:space="preserve">n.d.t. </w:t>
      </w:r>
      <w:r>
        <w:t>la maison de vente aux enchères] Parke-Bernet Galleries (New York, NY, États-Unis), vers</w:t>
      </w:r>
      <w:r w:rsidR="00056DCD">
        <w:t> mars </w:t>
      </w:r>
      <w:r>
        <w:t>1941</w:t>
      </w:r>
    </w:p>
    <w:p w14:paraId="45338E9A" w14:textId="77777777" w:rsidR="00065317" w:rsidRDefault="005C7BF7">
      <w:pPr>
        <w:pStyle w:val="FirstParagraph"/>
      </w:pPr>
      <w:r>
        <w:rPr>
          <w:b/>
          <w:bCs/>
        </w:rPr>
        <w:t>Logique</w:t>
      </w:r>
    </w:p>
    <w:p w14:paraId="4A5B0A0D" w14:textId="3AC79576" w:rsidR="00065317" w:rsidRDefault="005C7BF7" w:rsidP="00C86352">
      <w:pPr>
        <w:pStyle w:val="Corpsdetexte"/>
      </w:pPr>
      <w:r>
        <w:t>E10(x) ⇒ E7(x)</w:t>
      </w:r>
    </w:p>
    <w:p w14:paraId="2382CA05" w14:textId="77777777" w:rsidR="00065317" w:rsidRDefault="005C7BF7">
      <w:pPr>
        <w:pStyle w:val="Corpsdetexte"/>
      </w:pPr>
      <w:r>
        <w:rPr>
          <w:b/>
          <w:bCs/>
        </w:rPr>
        <w:t>Propriétés</w:t>
      </w:r>
    </w:p>
    <w:p w14:paraId="6B8CF8A8" w14:textId="77777777" w:rsidR="00065317" w:rsidRDefault="005C7BF7">
      <w:pPr>
        <w:pStyle w:val="Corpsdetexte"/>
      </w:pPr>
      <w:r>
        <w:rPr>
          <w:rStyle w:val="VerbatimChar"/>
        </w:rPr>
        <w:t>P28_a_mis_fin_à_la_garde_par (a_cédé_la_garde_par)</w:t>
      </w:r>
      <w:r>
        <w:t xml:space="preserve"> : </w:t>
      </w:r>
      <w:r>
        <w:rPr>
          <w:rStyle w:val="VerbatimChar"/>
        </w:rPr>
        <w:t>E39_Actant</w:t>
      </w:r>
    </w:p>
    <w:p w14:paraId="1A2C32E1" w14:textId="77777777" w:rsidR="00065317" w:rsidRDefault="005C7BF7">
      <w:pPr>
        <w:pStyle w:val="Corpsdetexte"/>
      </w:pPr>
      <w:r>
        <w:rPr>
          <w:rStyle w:val="VerbatimChar"/>
        </w:rPr>
        <w:t>P29_a_confié_la_garde_par (a_reçu_la_garde_par)</w:t>
      </w:r>
      <w:r>
        <w:t xml:space="preserve"> : </w:t>
      </w:r>
      <w:r>
        <w:rPr>
          <w:rStyle w:val="VerbatimChar"/>
        </w:rPr>
        <w:t>E39_Actant</w:t>
      </w:r>
    </w:p>
    <w:p w14:paraId="2CA8A04E" w14:textId="3E9B14F7" w:rsidR="00065317" w:rsidRDefault="005C7BF7">
      <w:pPr>
        <w:pStyle w:val="Corpsdetexte"/>
      </w:pPr>
      <w:r>
        <w:rPr>
          <w:rStyle w:val="VerbatimChar"/>
        </w:rPr>
        <w:t>P30_a_transféré_la_garde_de (a_été_l</w:t>
      </w:r>
      <w:r w:rsidR="00E84B0E">
        <w:rPr>
          <w:rStyle w:val="VerbatimChar"/>
        </w:rPr>
        <w:t>’</w:t>
      </w:r>
      <w:r>
        <w:rPr>
          <w:rStyle w:val="VerbatimChar"/>
        </w:rPr>
        <w:t>objet_d</w:t>
      </w:r>
      <w:r w:rsidR="00E84B0E">
        <w:rPr>
          <w:rStyle w:val="VerbatimChar"/>
        </w:rPr>
        <w:t>’</w:t>
      </w:r>
      <w:r>
        <w:rPr>
          <w:rStyle w:val="VerbatimChar"/>
        </w:rPr>
        <w:t>un_transfert_de_garde_par)</w:t>
      </w:r>
      <w:r>
        <w:t xml:space="preserve"> : </w:t>
      </w:r>
      <w:r>
        <w:rPr>
          <w:rStyle w:val="VerbatimChar"/>
        </w:rPr>
        <w:t>E18_Chose_matérielle</w:t>
      </w:r>
    </w:p>
    <w:p w14:paraId="5C1A9D83" w14:textId="77777777" w:rsidR="00065317" w:rsidRDefault="005C7BF7">
      <w:pPr>
        <w:pStyle w:val="Normalcentr"/>
      </w:pPr>
      <w:r>
        <w:rPr>
          <w:b/>
          <w:bCs/>
          <w:i/>
          <w:iCs/>
        </w:rPr>
        <w:t>Note de traduction</w:t>
      </w:r>
    </w:p>
    <w:p w14:paraId="627E7BAF" w14:textId="65D7FAB0" w:rsidR="00065317" w:rsidRDefault="005C7BF7" w:rsidP="00D746C9">
      <w:pPr>
        <w:pStyle w:val="Normalcentr"/>
      </w:pPr>
      <w:r>
        <w:rPr>
          <w:b/>
          <w:bCs/>
          <w:i/>
          <w:iCs/>
        </w:rPr>
        <w:t>Références</w:t>
      </w:r>
    </w:p>
    <w:p w14:paraId="295BC437" w14:textId="77777777" w:rsidR="00065317" w:rsidRDefault="005C7BF7" w:rsidP="00914F34">
      <w:pPr>
        <w:pStyle w:val="Titre3"/>
      </w:pPr>
      <w:bookmarkStart w:id="126" w:name="_Toc154048748"/>
      <w:bookmarkStart w:id="127" w:name="e11-modification"/>
      <w:bookmarkEnd w:id="125"/>
      <w:r>
        <w:t>E11 Modification</w:t>
      </w:r>
      <w:bookmarkEnd w:id="126"/>
    </w:p>
    <w:p w14:paraId="40832B13" w14:textId="77777777" w:rsidR="00065317" w:rsidRDefault="005C7BF7">
      <w:pPr>
        <w:pStyle w:val="FirstParagraph"/>
      </w:pPr>
      <w:r>
        <w:rPr>
          <w:b/>
          <w:bCs/>
        </w:rPr>
        <w:t>Sous-classe de</w:t>
      </w:r>
    </w:p>
    <w:p w14:paraId="0318617B" w14:textId="77777777" w:rsidR="00065317" w:rsidRDefault="005C7BF7">
      <w:pPr>
        <w:pStyle w:val="Corpsdetexte"/>
      </w:pPr>
      <w:r>
        <w:rPr>
          <w:rStyle w:val="VerbatimChar"/>
        </w:rPr>
        <w:t>E7_Activité</w:t>
      </w:r>
    </w:p>
    <w:p w14:paraId="59605C89" w14:textId="77777777" w:rsidR="00065317" w:rsidRDefault="005C7BF7">
      <w:pPr>
        <w:pStyle w:val="Corpsdetexte"/>
      </w:pPr>
      <w:r>
        <w:rPr>
          <w:b/>
          <w:bCs/>
        </w:rPr>
        <w:t>Super-classe de</w:t>
      </w:r>
    </w:p>
    <w:p w14:paraId="60CADE18" w14:textId="73587DEF" w:rsidR="00065317" w:rsidRDefault="005C7BF7">
      <w:pPr>
        <w:pStyle w:val="Corpsdetexte"/>
      </w:pPr>
      <w:r>
        <w:rPr>
          <w:rStyle w:val="VerbatimChar"/>
        </w:rPr>
        <w:t>E12_ProductionE79_Ajout_d</w:t>
      </w:r>
      <w:r w:rsidR="00E84B0E">
        <w:rPr>
          <w:rStyle w:val="VerbatimChar"/>
        </w:rPr>
        <w:t>’</w:t>
      </w:r>
      <w:r>
        <w:rPr>
          <w:rStyle w:val="VerbatimChar"/>
        </w:rPr>
        <w:t>élément</w:t>
      </w:r>
    </w:p>
    <w:p w14:paraId="61B725E5" w14:textId="61737D38" w:rsidR="00065317" w:rsidRDefault="005C7BF7">
      <w:pPr>
        <w:pStyle w:val="Corpsdetexte"/>
      </w:pPr>
      <w:r>
        <w:rPr>
          <w:rStyle w:val="VerbatimChar"/>
        </w:rPr>
        <w:t>E80_Retrait_d</w:t>
      </w:r>
      <w:r w:rsidR="00E84B0E">
        <w:rPr>
          <w:rStyle w:val="VerbatimChar"/>
        </w:rPr>
        <w:t>’</w:t>
      </w:r>
      <w:r>
        <w:rPr>
          <w:rStyle w:val="VerbatimChar"/>
        </w:rPr>
        <w:t>élément</w:t>
      </w:r>
    </w:p>
    <w:p w14:paraId="4A35A09A" w14:textId="2833EB5A" w:rsidR="00065317" w:rsidRDefault="005C7BF7">
      <w:pPr>
        <w:pStyle w:val="Corpsdetexte"/>
      </w:pPr>
      <w:r>
        <w:rPr>
          <w:b/>
          <w:bCs/>
        </w:rPr>
        <w:t>Note d</w:t>
      </w:r>
      <w:r w:rsidR="00E84B0E">
        <w:rPr>
          <w:b/>
          <w:bCs/>
        </w:rPr>
        <w:t>’</w:t>
      </w:r>
      <w:r>
        <w:rPr>
          <w:b/>
          <w:bCs/>
        </w:rPr>
        <w:t>application</w:t>
      </w:r>
    </w:p>
    <w:p w14:paraId="065F08B1" w14:textId="15B38637" w:rsidR="00065317" w:rsidRDefault="005C7BF7">
      <w:pPr>
        <w:pStyle w:val="Corpsdetexte"/>
      </w:pPr>
      <w:r>
        <w:t xml:space="preserve">Cette classe comprend des instances de </w:t>
      </w:r>
      <w:r>
        <w:rPr>
          <w:rStyle w:val="VerbatimChar"/>
        </w:rPr>
        <w:t>E7_Activité</w:t>
      </w:r>
      <w:r>
        <w:t xml:space="preserve"> qui sont entreprises pour créer, altérer ou changer des instances de </w:t>
      </w:r>
      <w:r>
        <w:rPr>
          <w:rStyle w:val="VerbatimChar"/>
        </w:rPr>
        <w:t>E24_Chose_matérielle_élaborée_par_l</w:t>
      </w:r>
      <w:r w:rsidR="00E84B0E">
        <w:rPr>
          <w:rStyle w:val="VerbatimChar"/>
        </w:rPr>
        <w:t>’</w:t>
      </w:r>
      <w:r>
        <w:rPr>
          <w:rStyle w:val="VerbatimChar"/>
        </w:rPr>
        <w:t>humain</w:t>
      </w:r>
      <w:r>
        <w:t>.</w:t>
      </w:r>
    </w:p>
    <w:p w14:paraId="06DD327D" w14:textId="064F0DFA" w:rsidR="00065317" w:rsidRDefault="005C7BF7">
      <w:pPr>
        <w:pStyle w:val="Corpsdetexte"/>
      </w:pPr>
      <w:r>
        <w:t>Cette classe inclut la production d</w:t>
      </w:r>
      <w:r w:rsidR="00E84B0E">
        <w:t>’</w:t>
      </w:r>
      <w:r>
        <w:t>une entité à partir de matières premières et d</w:t>
      </w:r>
      <w:r w:rsidR="00E84B0E">
        <w:t>’</w:t>
      </w:r>
      <w:r>
        <w:t>autres objets jusqu</w:t>
      </w:r>
      <w:r w:rsidR="00E84B0E">
        <w:t>’</w:t>
      </w:r>
      <w:r>
        <w:t>à maintenant non documentés. Elle inclut également le traitement de conservation d</w:t>
      </w:r>
      <w:r w:rsidR="00E84B0E">
        <w:t>’</w:t>
      </w:r>
      <w:r>
        <w:t>un objet.</w:t>
      </w:r>
    </w:p>
    <w:p w14:paraId="6EE6A41F" w14:textId="2E519240" w:rsidR="00065317" w:rsidRDefault="005C7BF7">
      <w:pPr>
        <w:pStyle w:val="Corpsdetexte"/>
      </w:pPr>
      <w:r>
        <w:t>Puisque la distinction entre une modification et une production n</w:t>
      </w:r>
      <w:r w:rsidR="00E84B0E">
        <w:t>’</w:t>
      </w:r>
      <w:r>
        <w:t>est pas toujours claire, la modification est considérée comme le concept dont l</w:t>
      </w:r>
      <w:r w:rsidR="00E84B0E">
        <w:t>’</w:t>
      </w:r>
      <w:r>
        <w:t>application est la plus générale. Cela implique que certaines entités peuvent être consommées ou détruites, mais aussi produites à la suite d</w:t>
      </w:r>
      <w:r w:rsidR="00E84B0E">
        <w:t>’</w:t>
      </w:r>
      <w:r>
        <w:t xml:space="preserve">une instance de </w:t>
      </w:r>
      <w:r>
        <w:rPr>
          <w:rStyle w:val="VerbatimChar"/>
        </w:rPr>
        <w:t>E11_Modification</w:t>
      </w:r>
      <w:r>
        <w:t xml:space="preserve">. Un évènement doit aussi être documenté en utilisant une instance de </w:t>
      </w:r>
      <w:r>
        <w:rPr>
          <w:rStyle w:val="VerbatimChar"/>
        </w:rPr>
        <w:t>E81_Transformation</w:t>
      </w:r>
      <w:r>
        <w:t xml:space="preserve"> s</w:t>
      </w:r>
      <w:r w:rsidR="00E84B0E">
        <w:t>’</w:t>
      </w:r>
      <w:r>
        <w:t>il en résulte la destruction d</w:t>
      </w:r>
      <w:r w:rsidR="00E84B0E">
        <w:t>’</w:t>
      </w:r>
      <w:r>
        <w:t>un ou de plusieurs objets et la production simultanée d</w:t>
      </w:r>
      <w:r w:rsidR="00E84B0E">
        <w:t>’</w:t>
      </w:r>
      <w:r>
        <w:t>autres objets issus de parties ou de matériaux provenant des originaux. Dans ce cas, les nouvelles entités ont des identités distinctes de celles des entités détruites.</w:t>
      </w:r>
    </w:p>
    <w:p w14:paraId="21333ABD" w14:textId="32805C28" w:rsidR="00065317" w:rsidRDefault="005C7BF7">
      <w:pPr>
        <w:pStyle w:val="Corpsdetexte"/>
      </w:pPr>
      <w:r>
        <w:lastRenderedPageBreak/>
        <w:t>Une activité entreprise sur un objet en vue de l</w:t>
      </w:r>
      <w:r w:rsidR="00E84B0E">
        <w:t>’</w:t>
      </w:r>
      <w:r>
        <w:t>altérer, mais qui n</w:t>
      </w:r>
      <w:r w:rsidR="00E84B0E">
        <w:t>’</w:t>
      </w:r>
      <w:r>
        <w:t>a concrètement produit aucune altération significative (comme l</w:t>
      </w:r>
      <w:r w:rsidR="00E84B0E">
        <w:t>’</w:t>
      </w:r>
      <w:r>
        <w:t>application d</w:t>
      </w:r>
      <w:r w:rsidR="00E84B0E">
        <w:t>’</w:t>
      </w:r>
      <w:r>
        <w:t>un solvant au cours d</w:t>
      </w:r>
      <w:r w:rsidR="00E84B0E">
        <w:t>’</w:t>
      </w:r>
      <w:r>
        <w:t>un traitement de conservation qui n</w:t>
      </w:r>
      <w:r w:rsidR="00E84B0E">
        <w:t>’</w:t>
      </w:r>
      <w:r>
        <w:t>a permis de dissoudre aucune partie de l</w:t>
      </w:r>
      <w:r w:rsidR="00E84B0E">
        <w:t>’</w:t>
      </w:r>
      <w:r>
        <w:t xml:space="preserve">objet) est quand même considérée comme une instance de </w:t>
      </w:r>
      <w:r>
        <w:rPr>
          <w:rStyle w:val="VerbatimChar"/>
        </w:rPr>
        <w:t>E11_Modification</w:t>
      </w:r>
      <w:r>
        <w:t>. Typiquement, toute activité de ce type laissera au moins des traces décelables scientifiquement sur l</w:t>
      </w:r>
      <w:r w:rsidR="00E84B0E">
        <w:t>’</w:t>
      </w:r>
      <w:r>
        <w:t>objet.</w:t>
      </w:r>
    </w:p>
    <w:p w14:paraId="456139B4" w14:textId="29B91020" w:rsidR="00065317" w:rsidRDefault="005C7BF7">
      <w:pPr>
        <w:pStyle w:val="Corpsdetexte"/>
      </w:pPr>
      <w:r>
        <w:t>Si l</w:t>
      </w:r>
      <w:r w:rsidR="00E84B0E">
        <w:t>’</w:t>
      </w:r>
      <w:r>
        <w:t xml:space="preserve">instance de </w:t>
      </w:r>
      <w:r>
        <w:rPr>
          <w:rStyle w:val="VerbatimChar"/>
        </w:rPr>
        <w:t>E29_Conceptualisation_ou_procédure</w:t>
      </w:r>
      <w:r>
        <w:t xml:space="preserve"> utilisée pour la modification prescrit l</w:t>
      </w:r>
      <w:r w:rsidR="00E84B0E">
        <w:t>’</w:t>
      </w:r>
      <w:r>
        <w:t xml:space="preserve">utilisation de matériaux spécifiques, ils doivent être documentés en utilisant la propriété </w:t>
      </w:r>
      <w:r>
        <w:rPr>
          <w:rStyle w:val="VerbatimChar"/>
        </w:rPr>
        <w:t>P68_prévoit_l</w:t>
      </w:r>
      <w:r w:rsidR="00E84B0E">
        <w:rPr>
          <w:rStyle w:val="VerbatimChar"/>
        </w:rPr>
        <w:t>’</w:t>
      </w:r>
      <w:r>
        <w:rPr>
          <w:rStyle w:val="VerbatimChar"/>
        </w:rPr>
        <w:t>usage_de (usage_prévu_de)</w:t>
      </w:r>
      <w:r>
        <w:t xml:space="preserve"> : </w:t>
      </w:r>
      <w:r>
        <w:rPr>
          <w:rStyle w:val="VerbatimChar"/>
        </w:rPr>
        <w:t>E57_Matériau</w:t>
      </w:r>
      <w:r>
        <w:t xml:space="preserve">, plutôt que la propriété </w:t>
      </w:r>
      <w:r>
        <w:rPr>
          <w:rStyle w:val="VerbatimChar"/>
        </w:rPr>
        <w:t>P126_a_employé (a_été_employé_dans)</w:t>
      </w:r>
      <w:r w:rsidR="00CF0FD9">
        <w:t> </w:t>
      </w:r>
      <w:r>
        <w:t xml:space="preserve">: </w:t>
      </w:r>
      <w:r>
        <w:rPr>
          <w:rStyle w:val="VerbatimChar"/>
        </w:rPr>
        <w:t>E57_Matériau</w:t>
      </w:r>
      <w:r>
        <w:t>.</w:t>
      </w:r>
    </w:p>
    <w:p w14:paraId="3DEF8E73" w14:textId="77777777" w:rsidR="00065317" w:rsidRDefault="005C7BF7">
      <w:pPr>
        <w:pStyle w:val="Corpsdetexte"/>
      </w:pPr>
      <w:r>
        <w:rPr>
          <w:b/>
          <w:bCs/>
        </w:rPr>
        <w:t>Exemples</w:t>
      </w:r>
    </w:p>
    <w:p w14:paraId="2A38A65F" w14:textId="77777777" w:rsidR="00065317" w:rsidRDefault="005C7BF7">
      <w:pPr>
        <w:numPr>
          <w:ilvl w:val="0"/>
          <w:numId w:val="67"/>
        </w:numPr>
      </w:pPr>
      <w:r>
        <w:t>La construction du SS Great Britain (</w:t>
      </w:r>
      <w:r>
        <w:rPr>
          <w:rStyle w:val="VerbatimChar"/>
        </w:rPr>
        <w:t>E12_Production</w:t>
      </w:r>
      <w:r>
        <w:t>) (Gregor, 1971)</w:t>
      </w:r>
    </w:p>
    <w:p w14:paraId="5A53671F" w14:textId="3BAC5B77" w:rsidR="00065317" w:rsidRDefault="005C7BF7">
      <w:pPr>
        <w:numPr>
          <w:ilvl w:val="0"/>
          <w:numId w:val="67"/>
        </w:numPr>
      </w:pPr>
      <w:r>
        <w:t>L</w:t>
      </w:r>
      <w:r w:rsidR="00E84B0E">
        <w:t>’</w:t>
      </w:r>
      <w:r>
        <w:t>imprégnation [</w:t>
      </w:r>
      <w:r w:rsidR="00AF51A3">
        <w:t xml:space="preserve">n.d.t. </w:t>
      </w:r>
      <w:r>
        <w:t>au polyéthylène glycol] du navire de guerre Vasa à Stockholm en vue de sa conservation après 1956 (Håfors, 2010)</w:t>
      </w:r>
    </w:p>
    <w:p w14:paraId="4CA7FD95" w14:textId="7603E337" w:rsidR="00065317" w:rsidRDefault="005C7BF7">
      <w:pPr>
        <w:numPr>
          <w:ilvl w:val="0"/>
          <w:numId w:val="67"/>
        </w:numPr>
      </w:pPr>
      <w:r>
        <w:t>La transformation de l</w:t>
      </w:r>
      <w:r w:rsidR="00E84B0E">
        <w:t>’</w:t>
      </w:r>
      <w:r>
        <w:t>Enola Gay en une pièce muséographique par le National Air and Space Museum à Washington DC entre 1993 et 1995 (</w:t>
      </w:r>
      <w:r>
        <w:rPr>
          <w:rStyle w:val="VerbatimChar"/>
        </w:rPr>
        <w:t>E12_Production</w:t>
      </w:r>
      <w:r>
        <w:t xml:space="preserve">, </w:t>
      </w:r>
      <w:r>
        <w:rPr>
          <w:rStyle w:val="VerbatimChar"/>
        </w:rPr>
        <w:t>E81_Transformation</w:t>
      </w:r>
      <w:r>
        <w:t>) (Yakel, 2000)</w:t>
      </w:r>
    </w:p>
    <w:p w14:paraId="63B8177E" w14:textId="4F54DF51" w:rsidR="00065317" w:rsidRDefault="005C7BF7">
      <w:pPr>
        <w:numPr>
          <w:ilvl w:val="0"/>
          <w:numId w:val="67"/>
        </w:numPr>
      </w:pPr>
      <w:r>
        <w:t>Le dernier renouvellement du revêtement en or du sanctuaire Toshogu à Nikko au Japon (Cali &amp; Dougil, 2012)</w:t>
      </w:r>
    </w:p>
    <w:p w14:paraId="286A18DD" w14:textId="77777777" w:rsidR="00065317" w:rsidRDefault="005C7BF7">
      <w:pPr>
        <w:pStyle w:val="FirstParagraph"/>
      </w:pPr>
      <w:r>
        <w:rPr>
          <w:b/>
          <w:bCs/>
        </w:rPr>
        <w:t>Logique</w:t>
      </w:r>
    </w:p>
    <w:p w14:paraId="094892D5" w14:textId="77777777" w:rsidR="00065317" w:rsidRDefault="005C7BF7">
      <w:pPr>
        <w:pStyle w:val="Corpsdetexte"/>
      </w:pPr>
      <w:r>
        <w:t>E11(x) ⇒ E7(x)</w:t>
      </w:r>
    </w:p>
    <w:p w14:paraId="40359FDD" w14:textId="77777777" w:rsidR="00065317" w:rsidRDefault="005C7BF7">
      <w:pPr>
        <w:pStyle w:val="Corpsdetexte"/>
      </w:pPr>
      <w:r>
        <w:rPr>
          <w:b/>
          <w:bCs/>
        </w:rPr>
        <w:t>Propriétés</w:t>
      </w:r>
    </w:p>
    <w:p w14:paraId="6442BABF" w14:textId="77777777" w:rsidR="00065317" w:rsidRDefault="005C7BF7">
      <w:pPr>
        <w:pStyle w:val="Corpsdetexte"/>
      </w:pPr>
      <w:r>
        <w:rPr>
          <w:rStyle w:val="VerbatimChar"/>
        </w:rPr>
        <w:t>P31_a_modifié (a_été_modifié_par)</w:t>
      </w:r>
      <w:r>
        <w:t xml:space="preserve"> : </w:t>
      </w:r>
      <w:r>
        <w:rPr>
          <w:rStyle w:val="VerbatimChar"/>
        </w:rPr>
        <w:t>E18_Chose_matérielle</w:t>
      </w:r>
    </w:p>
    <w:p w14:paraId="6F032CF1" w14:textId="77777777" w:rsidR="00065317" w:rsidRDefault="005C7BF7">
      <w:pPr>
        <w:pStyle w:val="Corpsdetexte"/>
      </w:pPr>
      <w:r>
        <w:rPr>
          <w:rStyle w:val="VerbatimChar"/>
        </w:rPr>
        <w:t>P126_a_employé (a_été_employé_dans)</w:t>
      </w:r>
      <w:r>
        <w:t xml:space="preserve"> : </w:t>
      </w:r>
      <w:r>
        <w:rPr>
          <w:rStyle w:val="VerbatimChar"/>
        </w:rPr>
        <w:t>E57_Matériau</w:t>
      </w:r>
    </w:p>
    <w:p w14:paraId="67E0078B" w14:textId="77777777" w:rsidR="00065317" w:rsidRDefault="005C7BF7">
      <w:pPr>
        <w:pStyle w:val="Normalcentr"/>
      </w:pPr>
      <w:r>
        <w:rPr>
          <w:b/>
          <w:bCs/>
          <w:i/>
          <w:iCs/>
        </w:rPr>
        <w:t>Note de traduction</w:t>
      </w:r>
    </w:p>
    <w:p w14:paraId="188E5237" w14:textId="1EC8CA2C" w:rsidR="00065317" w:rsidRDefault="005C7BF7">
      <w:pPr>
        <w:pStyle w:val="Normalcentr"/>
      </w:pPr>
      <w:r>
        <w:t>Le concept « conservation treatment » a été traduit par « traitement de conservation » tel qu</w:t>
      </w:r>
      <w:r w:rsidR="00E84B0E">
        <w:t>’</w:t>
      </w:r>
      <w:r>
        <w:t>utilisé par l</w:t>
      </w:r>
      <w:r w:rsidR="00E84B0E">
        <w:t>’</w:t>
      </w:r>
      <w:r>
        <w:t>Institut canadien de conservation.Le segment « of E29 Design or Procedure » a été retiré de la traduction car celui-ci alourdissait le texte sans apporter une précision nécessaire.</w:t>
      </w:r>
    </w:p>
    <w:p w14:paraId="26F4BEFB" w14:textId="77777777" w:rsidR="00065317" w:rsidRDefault="005C7BF7">
      <w:pPr>
        <w:pStyle w:val="Normalcentr"/>
      </w:pPr>
      <w:r>
        <w:t>Selon Termium Plus, le terme « museum exhibit » a été traduit par « pièce muséographique ».</w:t>
      </w:r>
    </w:p>
    <w:p w14:paraId="164F631A" w14:textId="77777777" w:rsidR="00065317" w:rsidRDefault="005C7BF7">
      <w:pPr>
        <w:pStyle w:val="Normalcentr"/>
      </w:pPr>
      <w:r>
        <w:rPr>
          <w:b/>
          <w:bCs/>
          <w:i/>
          <w:iCs/>
        </w:rPr>
        <w:t>Références</w:t>
      </w:r>
    </w:p>
    <w:p w14:paraId="7E998D98" w14:textId="42190A3A" w:rsidR="00065317" w:rsidRDefault="005C7BF7">
      <w:pPr>
        <w:pStyle w:val="Normalcentr"/>
      </w:pPr>
      <w:r>
        <w:t>Institut canadien de conservation. « Traitements de conservation ». Traitements et services de conservation, 18</w:t>
      </w:r>
      <w:r w:rsidR="00056DCD">
        <w:t> octobre </w:t>
      </w:r>
      <w:r>
        <w:t>2022.</w:t>
      </w:r>
      <w:hyperlink r:id="rId157">
        <w:r>
          <w:rPr>
            <w:rStyle w:val="Lienhypertexte"/>
          </w:rPr>
          <w:t xml:space="preserve"> </w:t>
        </w:r>
      </w:hyperlink>
      <w:hyperlink r:id="rId158">
        <w:r>
          <w:rPr>
            <w:rStyle w:val="Lienhypertexte"/>
          </w:rPr>
          <w:t>https://www.canada.ca/fr/institut-conservation/services/traitements-services-conservation/traitements-conservation.html</w:t>
        </w:r>
      </w:hyperlink>
      <w:r>
        <w:t>.</w:t>
      </w:r>
    </w:p>
    <w:p w14:paraId="63DA066A" w14:textId="0607FBFF" w:rsidR="00065317" w:rsidRDefault="005C7BF7">
      <w:pPr>
        <w:pStyle w:val="Normalcentr"/>
      </w:pPr>
      <w:r>
        <w:t xml:space="preserve">Termium. « Museum Exhibit ». Dans </w:t>
      </w:r>
      <w:r>
        <w:rPr>
          <w:i/>
          <w:iCs/>
        </w:rPr>
        <w:t>Termium Plus</w:t>
      </w:r>
      <w:r>
        <w:t>. Ottawa, CA-ON: Gouvernement du Canada, 2022.</w:t>
      </w:r>
      <w:hyperlink r:id="rId159" w:anchor="resultrecs">
        <w:r>
          <w:rPr>
            <w:rStyle w:val="Lienhypertexte"/>
          </w:rPr>
          <w:t xml:space="preserve"> </w:t>
        </w:r>
      </w:hyperlink>
      <w:hyperlink r:id="rId160" w:anchor="resultrecs">
        <w:r>
          <w:rPr>
            <w:rStyle w:val="Lienhypertexte"/>
          </w:rPr>
          <w:t>https://www.btb.termiumplus.gc.ca/tpv2alpha/alpha-fra.html?lang=fra&amp;i=1&amp;srchtxt=MUSEUM+EXHIBIT&amp;codom2nd_wet=1#resultrecs</w:t>
        </w:r>
      </w:hyperlink>
      <w:r>
        <w:t>.</w:t>
      </w:r>
    </w:p>
    <w:p w14:paraId="3E34F6A3" w14:textId="77777777" w:rsidR="00065317" w:rsidRDefault="005C7BF7" w:rsidP="00914F34">
      <w:pPr>
        <w:pStyle w:val="Titre3"/>
      </w:pPr>
      <w:bookmarkStart w:id="128" w:name="_Toc154048749"/>
      <w:bookmarkStart w:id="129" w:name="e12-production"/>
      <w:bookmarkEnd w:id="127"/>
      <w:r>
        <w:t>E12 Production</w:t>
      </w:r>
      <w:bookmarkEnd w:id="128"/>
    </w:p>
    <w:p w14:paraId="10E694CC" w14:textId="77777777" w:rsidR="00065317" w:rsidRDefault="005C7BF7">
      <w:pPr>
        <w:pStyle w:val="FirstParagraph"/>
      </w:pPr>
      <w:r>
        <w:rPr>
          <w:b/>
          <w:bCs/>
        </w:rPr>
        <w:t>Sous-classe de</w:t>
      </w:r>
    </w:p>
    <w:p w14:paraId="78E717D1" w14:textId="77777777" w:rsidR="00065317" w:rsidRDefault="005C7BF7">
      <w:pPr>
        <w:pStyle w:val="Corpsdetexte"/>
      </w:pPr>
      <w:r>
        <w:rPr>
          <w:rStyle w:val="VerbatimChar"/>
        </w:rPr>
        <w:t>E11_Modification</w:t>
      </w:r>
    </w:p>
    <w:p w14:paraId="5489B897" w14:textId="6D6FF503" w:rsidR="00065317" w:rsidRDefault="005C7BF7">
      <w:pPr>
        <w:pStyle w:val="Corpsdetexte"/>
      </w:pPr>
      <w:r>
        <w:rPr>
          <w:rStyle w:val="VerbatimChar"/>
        </w:rPr>
        <w:t>E63_Début_d</w:t>
      </w:r>
      <w:r w:rsidR="00E84B0E">
        <w:rPr>
          <w:rStyle w:val="VerbatimChar"/>
        </w:rPr>
        <w:t>’</w:t>
      </w:r>
      <w:r>
        <w:rPr>
          <w:rStyle w:val="VerbatimChar"/>
        </w:rPr>
        <w:t>existence</w:t>
      </w:r>
    </w:p>
    <w:p w14:paraId="1D1B5406" w14:textId="09AC5704" w:rsidR="00241DFB" w:rsidRPr="003F44C6" w:rsidRDefault="005C7BF7">
      <w:pPr>
        <w:pStyle w:val="Corpsdetexte"/>
      </w:pPr>
      <w:r>
        <w:rPr>
          <w:b/>
          <w:bCs/>
        </w:rPr>
        <w:lastRenderedPageBreak/>
        <w:t>Super-classe de</w:t>
      </w:r>
    </w:p>
    <w:p w14:paraId="1373220F" w14:textId="4965C600" w:rsidR="00065317" w:rsidRDefault="005C7BF7">
      <w:pPr>
        <w:pStyle w:val="Corpsdetexte"/>
      </w:pPr>
      <w:r>
        <w:rPr>
          <w:b/>
          <w:bCs/>
        </w:rPr>
        <w:t>Note d</w:t>
      </w:r>
      <w:r w:rsidR="00E84B0E">
        <w:rPr>
          <w:b/>
          <w:bCs/>
        </w:rPr>
        <w:t>’</w:t>
      </w:r>
      <w:r>
        <w:rPr>
          <w:b/>
          <w:bCs/>
        </w:rPr>
        <w:t>application</w:t>
      </w:r>
    </w:p>
    <w:p w14:paraId="42EE5445" w14:textId="77777777" w:rsidR="00065317" w:rsidRDefault="005C7BF7">
      <w:pPr>
        <w:pStyle w:val="Corpsdetexte"/>
      </w:pPr>
      <w:r>
        <w:t>Cette classe comprend des activités qui ont comme objectif de créer une ou plusieurs nouvelles entités, et qui y parviennent.</w:t>
      </w:r>
    </w:p>
    <w:p w14:paraId="4C23A518" w14:textId="5E3DB4C7" w:rsidR="00065317" w:rsidRDefault="005C7BF7">
      <w:pPr>
        <w:pStyle w:val="Corpsdetexte"/>
      </w:pPr>
      <w:r>
        <w:t>Elle précise la notion de modification en celle de production. La décision de désigner une entité comme «</w:t>
      </w:r>
      <w:r w:rsidR="00CF0FD9">
        <w:t> </w:t>
      </w:r>
      <w:r>
        <w:t>nouvelle » relève du contexte. Normalement, les entités sont considérées comme « nouvelles » s</w:t>
      </w:r>
      <w:r w:rsidR="00E84B0E">
        <w:t>’</w:t>
      </w:r>
      <w:r>
        <w:t>il n</w:t>
      </w:r>
      <w:r w:rsidR="00E84B0E">
        <w:t>’</w:t>
      </w:r>
      <w:r>
        <w:t>y a pas de similarités évidentes entre celles-ci et les objets ainsi que les matériaux utilisés pour leur production. Dans d</w:t>
      </w:r>
      <w:r w:rsidR="00E84B0E">
        <w:t>’</w:t>
      </w:r>
      <w:r>
        <w:t>autres cas, une entité est considérée comme « nouvelle » parce qu</w:t>
      </w:r>
      <w:r w:rsidR="00E84B0E">
        <w:t>’</w:t>
      </w:r>
      <w:r>
        <w:t>il devient pertinent de la documenter du fait de sa modification. Par exemple, le fait de griffonner un nom sur un tesson de poterie peut faire de ce dernier un bulletin de vote. Le tesson d</w:t>
      </w:r>
      <w:r w:rsidR="00E84B0E">
        <w:t>’</w:t>
      </w:r>
      <w:r>
        <w:t>origine ne vaut peut-être pas la peine d</w:t>
      </w:r>
      <w:r w:rsidR="00E84B0E">
        <w:t>’</w:t>
      </w:r>
      <w:r>
        <w:t>être documenté, contrairement à celui qui a fait l</w:t>
      </w:r>
      <w:r w:rsidR="00E84B0E">
        <w:t>’</w:t>
      </w:r>
      <w:r>
        <w:t>objet d</w:t>
      </w:r>
      <w:r w:rsidR="00E84B0E">
        <w:t>’</w:t>
      </w:r>
      <w:r>
        <w:t>une inscription.</w:t>
      </w:r>
    </w:p>
    <w:p w14:paraId="0E81753F" w14:textId="0271A366" w:rsidR="00065317" w:rsidRDefault="005C7BF7">
      <w:pPr>
        <w:pStyle w:val="Corpsdetexte"/>
      </w:pPr>
      <w:r>
        <w:rPr>
          <w:rStyle w:val="VerbatimChar"/>
        </w:rPr>
        <w:t>E12_Production</w:t>
      </w:r>
      <w:r>
        <w:t xml:space="preserve"> peut être une entité collective : par exemple, l</w:t>
      </w:r>
      <w:r w:rsidR="00E84B0E">
        <w:t>’</w:t>
      </w:r>
      <w:r>
        <w:t>impression d</w:t>
      </w:r>
      <w:r w:rsidR="00E84B0E">
        <w:t>’</w:t>
      </w:r>
      <w:r>
        <w:t>un millier de livres serait normalement considérée comme un seul évènement.</w:t>
      </w:r>
    </w:p>
    <w:p w14:paraId="177B981A" w14:textId="5FD4138A" w:rsidR="00065317" w:rsidRDefault="005C7BF7">
      <w:pPr>
        <w:pStyle w:val="Corpsdetexte"/>
      </w:pPr>
      <w:r>
        <w:t>Si un évènement implique la destruction d</w:t>
      </w:r>
      <w:r w:rsidR="00E84B0E">
        <w:t>’</w:t>
      </w:r>
      <w:r>
        <w:t>une ou de plusieurs entités ainsi que la production de nouvelles entités en utilisant des parties ou des matériaux des entités d</w:t>
      </w:r>
      <w:r w:rsidR="00E84B0E">
        <w:t>’</w:t>
      </w:r>
      <w:r>
        <w:t>origine, il convient d</w:t>
      </w:r>
      <w:r w:rsidR="00E84B0E">
        <w:t>’</w:t>
      </w:r>
      <w:r>
        <w:t xml:space="preserve">utiliser la classe </w:t>
      </w:r>
      <w:r>
        <w:rPr>
          <w:rStyle w:val="VerbatimChar"/>
        </w:rPr>
        <w:t>E81_Transformation</w:t>
      </w:r>
      <w:r>
        <w:t xml:space="preserve"> lors de la documentation, et ce en plus de </w:t>
      </w:r>
      <w:r>
        <w:rPr>
          <w:rStyle w:val="VerbatimChar"/>
        </w:rPr>
        <w:t>E12_Production</w:t>
      </w:r>
      <w:r>
        <w:t>. Dans ce cas, les nouveaux objets ont leur propre identité : la matière est préservée, mais l</w:t>
      </w:r>
      <w:r w:rsidR="00E84B0E">
        <w:t>’</w:t>
      </w:r>
      <w:r>
        <w:t>identité ne l</w:t>
      </w:r>
      <w:r w:rsidR="00E84B0E">
        <w:t>’</w:t>
      </w:r>
      <w:r>
        <w:t>est pas.</w:t>
      </w:r>
    </w:p>
    <w:p w14:paraId="7B86E958" w14:textId="77777777" w:rsidR="00065317" w:rsidRDefault="005C7BF7">
      <w:pPr>
        <w:pStyle w:val="Corpsdetexte"/>
      </w:pPr>
      <w:r>
        <w:rPr>
          <w:b/>
          <w:bCs/>
        </w:rPr>
        <w:t>Exemples</w:t>
      </w:r>
    </w:p>
    <w:p w14:paraId="01B2D540" w14:textId="77777777" w:rsidR="00065317" w:rsidRDefault="005C7BF7">
      <w:pPr>
        <w:numPr>
          <w:ilvl w:val="0"/>
          <w:numId w:val="68"/>
        </w:numPr>
      </w:pPr>
      <w:r>
        <w:t>La construction du SS Great Britain (Gregor, 1971)</w:t>
      </w:r>
    </w:p>
    <w:p w14:paraId="44ABAA87" w14:textId="77777777" w:rsidR="00065317" w:rsidRDefault="005C7BF7">
      <w:pPr>
        <w:numPr>
          <w:ilvl w:val="0"/>
          <w:numId w:val="68"/>
        </w:numPr>
      </w:pPr>
      <w:r>
        <w:t xml:space="preserve">La première fonte de </w:t>
      </w:r>
      <w:r>
        <w:rPr>
          <w:i/>
          <w:iCs/>
        </w:rPr>
        <w:t>La Petite Sirène</w:t>
      </w:r>
      <w:r>
        <w:t xml:space="preserve"> au port de Copenhague (Dewey, 2003)</w:t>
      </w:r>
    </w:p>
    <w:p w14:paraId="08B9D251" w14:textId="77777777" w:rsidR="00065317" w:rsidRDefault="005C7BF7">
      <w:pPr>
        <w:numPr>
          <w:ilvl w:val="0"/>
          <w:numId w:val="68"/>
        </w:numPr>
      </w:pPr>
      <w:r>
        <w:t xml:space="preserve">La création, par Rembrandt, du septième état de sa gravure sur cuivre </w:t>
      </w:r>
      <w:r>
        <w:rPr>
          <w:i/>
          <w:iCs/>
        </w:rPr>
        <w:t>La Femme devant le poêle</w:t>
      </w:r>
      <w:r>
        <w:t>, 1658, identifié par le numéro de catalogue « Bartsch 197 » (</w:t>
      </w:r>
      <w:r>
        <w:rPr>
          <w:rStyle w:val="VerbatimChar"/>
        </w:rPr>
        <w:t>E12_Production</w:t>
      </w:r>
      <w:r>
        <w:t xml:space="preserve">, </w:t>
      </w:r>
      <w:r>
        <w:rPr>
          <w:rStyle w:val="VerbatimChar"/>
        </w:rPr>
        <w:t>E65_Création</w:t>
      </w:r>
      <w:r>
        <w:t xml:space="preserve">, </w:t>
      </w:r>
      <w:r>
        <w:rPr>
          <w:rStyle w:val="VerbatimChar"/>
        </w:rPr>
        <w:t>E81_Transformation</w:t>
      </w:r>
      <w:r>
        <w:t>) (Hind, 1923)</w:t>
      </w:r>
    </w:p>
    <w:p w14:paraId="5BC62CAA" w14:textId="77777777" w:rsidR="00065317" w:rsidRDefault="005C7BF7">
      <w:pPr>
        <w:pStyle w:val="FirstParagraph"/>
      </w:pPr>
      <w:r>
        <w:rPr>
          <w:b/>
          <w:bCs/>
        </w:rPr>
        <w:t>Logique</w:t>
      </w:r>
    </w:p>
    <w:p w14:paraId="5CAC5B49" w14:textId="77777777" w:rsidR="00065317" w:rsidRDefault="005C7BF7">
      <w:pPr>
        <w:pStyle w:val="Corpsdetexte"/>
      </w:pPr>
      <w:r>
        <w:t>E12(x) ⇒ E11(x)</w:t>
      </w:r>
    </w:p>
    <w:p w14:paraId="5B36DE14" w14:textId="77777777" w:rsidR="00065317" w:rsidRDefault="005C7BF7">
      <w:pPr>
        <w:pStyle w:val="Corpsdetexte"/>
      </w:pPr>
      <w:r>
        <w:t>E12(x) ⇒ E63(x)</w:t>
      </w:r>
    </w:p>
    <w:p w14:paraId="62F287F2" w14:textId="77777777" w:rsidR="00065317" w:rsidRDefault="005C7BF7">
      <w:pPr>
        <w:pStyle w:val="Corpsdetexte"/>
      </w:pPr>
      <w:r>
        <w:rPr>
          <w:b/>
          <w:bCs/>
        </w:rPr>
        <w:t>Propriétés</w:t>
      </w:r>
    </w:p>
    <w:p w14:paraId="0D563139" w14:textId="6EA62499" w:rsidR="00065317" w:rsidRDefault="005C7BF7">
      <w:pPr>
        <w:pStyle w:val="Corpsdetexte"/>
      </w:pPr>
      <w:r>
        <w:rPr>
          <w:rStyle w:val="VerbatimChar"/>
        </w:rPr>
        <w:t>P108_a_produit (a_été_produit_par)</w:t>
      </w:r>
      <w:r>
        <w:t xml:space="preserve"> : </w:t>
      </w:r>
      <w:r>
        <w:rPr>
          <w:rStyle w:val="VerbatimChar"/>
        </w:rPr>
        <w:t>E24_Chose_matérielle_élaborée_par_l</w:t>
      </w:r>
      <w:r w:rsidR="00E84B0E">
        <w:rPr>
          <w:rStyle w:val="VerbatimChar"/>
        </w:rPr>
        <w:t>’</w:t>
      </w:r>
      <w:r>
        <w:rPr>
          <w:rStyle w:val="VerbatimChar"/>
        </w:rPr>
        <w:t>humain</w:t>
      </w:r>
    </w:p>
    <w:p w14:paraId="3EAB172C" w14:textId="237BFE92" w:rsidR="00065317" w:rsidRDefault="005C7BF7">
      <w:pPr>
        <w:pStyle w:val="Corpsdetexte"/>
      </w:pPr>
      <w:r>
        <w:rPr>
          <w:rStyle w:val="VerbatimChar"/>
        </w:rPr>
        <w:t>P186_a_produit_la_chose_du_type (est_produit_par)</w:t>
      </w:r>
      <w:r w:rsidR="00AC3D70">
        <w:t xml:space="preserve"> </w:t>
      </w:r>
      <w:r>
        <w:t xml:space="preserve">: </w:t>
      </w:r>
      <w:r>
        <w:rPr>
          <w:rStyle w:val="VerbatimChar"/>
        </w:rPr>
        <w:t>E99_Modèle_de_produit</w:t>
      </w:r>
    </w:p>
    <w:p w14:paraId="44A4C70E" w14:textId="77777777" w:rsidR="00065317" w:rsidRDefault="005C7BF7">
      <w:pPr>
        <w:pStyle w:val="Normalcentr"/>
      </w:pPr>
      <w:r>
        <w:rPr>
          <w:b/>
          <w:bCs/>
          <w:i/>
          <w:iCs/>
        </w:rPr>
        <w:t>Note de traduction</w:t>
      </w:r>
    </w:p>
    <w:p w14:paraId="00753649" w14:textId="7DF9E444" w:rsidR="00065317" w:rsidRDefault="005C7BF7">
      <w:pPr>
        <w:pStyle w:val="Normalcentr"/>
      </w:pPr>
      <w:r>
        <w:rPr>
          <w:i/>
          <w:iCs/>
        </w:rPr>
        <w:t>La femme devant le poêle</w:t>
      </w:r>
      <w:r>
        <w:t xml:space="preserve"> a été retenu comme traduction de </w:t>
      </w:r>
      <w:r>
        <w:rPr>
          <w:i/>
          <w:iCs/>
        </w:rPr>
        <w:t>Woman sitting half dressed beside a stove</w:t>
      </w:r>
      <w:r>
        <w:t>. Cette décision est basée sur le fait qu</w:t>
      </w:r>
      <w:r w:rsidR="00E84B0E">
        <w:t>’</w:t>
      </w:r>
      <w:r>
        <w:t>il s</w:t>
      </w:r>
      <w:r w:rsidR="00E84B0E">
        <w:t>’</w:t>
      </w:r>
      <w:r>
        <w:t>agit du titre en français retenu du côté de la Bibliothèque nationale de France ainsi que du côté de Wikipédia.</w:t>
      </w:r>
    </w:p>
    <w:p w14:paraId="2BB04BF6" w14:textId="77777777" w:rsidR="00065317" w:rsidRDefault="005C7BF7">
      <w:pPr>
        <w:pStyle w:val="Normalcentr"/>
      </w:pPr>
      <w:r>
        <w:rPr>
          <w:b/>
          <w:bCs/>
          <w:i/>
          <w:iCs/>
        </w:rPr>
        <w:t>Références</w:t>
      </w:r>
    </w:p>
    <w:p w14:paraId="255EF41D" w14:textId="77777777" w:rsidR="00065317" w:rsidRDefault="005C7BF7">
      <w:pPr>
        <w:pStyle w:val="Normalcentr"/>
      </w:pPr>
      <w:r>
        <w:t xml:space="preserve">Van Rijn, Rembrandt. </w:t>
      </w:r>
      <w:r>
        <w:rPr>
          <w:i/>
          <w:iCs/>
        </w:rPr>
        <w:t>La Femme devant le poêle</w:t>
      </w:r>
      <w:r>
        <w:t>. 1658. Épreuve sur papier japon. Eau-forte, burin et pointe sèche., 27 x 18 cm. Bibliothèque nationale de France.</w:t>
      </w:r>
      <w:hyperlink r:id="rId161">
        <w:r>
          <w:rPr>
            <w:rStyle w:val="Lienhypertexte"/>
          </w:rPr>
          <w:t xml:space="preserve"> </w:t>
        </w:r>
      </w:hyperlink>
      <w:hyperlink r:id="rId162">
        <w:r>
          <w:rPr>
            <w:rStyle w:val="Lienhypertexte"/>
          </w:rPr>
          <w:t>https://essentiels.bnf.fr/fr/image/eff2e8b4-8e73-4800-91fb-7d277ca66a34-femme-devant-poele-7e-etat</w:t>
        </w:r>
      </w:hyperlink>
      <w:r>
        <w:t>.</w:t>
      </w:r>
    </w:p>
    <w:p w14:paraId="46C7B00C" w14:textId="4E68E7FA" w:rsidR="00065317" w:rsidRDefault="005C7BF7">
      <w:pPr>
        <w:pStyle w:val="Normalcentr"/>
      </w:pPr>
      <w:r>
        <w:t xml:space="preserve">Wikipédia. « Liste des gravures de Rembrandt ». </w:t>
      </w:r>
      <w:r w:rsidRPr="00EC2D6E">
        <w:rPr>
          <w:lang w:val="en-CA"/>
        </w:rPr>
        <w:t xml:space="preserve">Dans </w:t>
      </w:r>
      <w:r w:rsidRPr="00EC2D6E">
        <w:rPr>
          <w:i/>
          <w:iCs/>
          <w:lang w:val="en-CA"/>
        </w:rPr>
        <w:t>Wikipédia</w:t>
      </w:r>
      <w:r w:rsidRPr="00EC2D6E">
        <w:rPr>
          <w:lang w:val="en-CA"/>
        </w:rPr>
        <w:t>. San Francisco, US-CA</w:t>
      </w:r>
      <w:r w:rsidR="001458EA">
        <w:rPr>
          <w:lang w:val="en-CA"/>
        </w:rPr>
        <w:t> </w:t>
      </w:r>
      <w:r w:rsidRPr="00EC2D6E">
        <w:rPr>
          <w:lang w:val="en-CA"/>
        </w:rPr>
        <w:t>: Wikipédia, 15</w:t>
      </w:r>
      <w:r w:rsidR="00056DCD">
        <w:rPr>
          <w:lang w:val="en-CA"/>
        </w:rPr>
        <w:t> mars </w:t>
      </w:r>
      <w:r w:rsidRPr="00EC2D6E">
        <w:rPr>
          <w:lang w:val="en-CA"/>
        </w:rPr>
        <w:t>2021.</w:t>
      </w:r>
      <w:hyperlink r:id="rId163">
        <w:r w:rsidRPr="00EC2D6E">
          <w:rPr>
            <w:rStyle w:val="Lienhypertexte"/>
            <w:lang w:val="en-CA"/>
          </w:rPr>
          <w:t xml:space="preserve"> </w:t>
        </w:r>
      </w:hyperlink>
      <w:hyperlink r:id="rId164">
        <w:r>
          <w:rPr>
            <w:rStyle w:val="Lienhypertexte"/>
          </w:rPr>
          <w:t>https://fr.wikipedia.org/w/index.php?title=Liste_des_gravures_de_Rembrandt&amp;oldid=180898582</w:t>
        </w:r>
      </w:hyperlink>
      <w:r>
        <w:t>.</w:t>
      </w:r>
    </w:p>
    <w:p w14:paraId="75B9A4B2" w14:textId="63196E7F" w:rsidR="00065317" w:rsidRDefault="005C7BF7" w:rsidP="00914F34">
      <w:pPr>
        <w:pStyle w:val="Titre3"/>
      </w:pPr>
      <w:bookmarkStart w:id="130" w:name="_Toc154048750"/>
      <w:bookmarkStart w:id="131" w:name="e13-assignation-dattribut"/>
      <w:bookmarkEnd w:id="129"/>
      <w:r>
        <w:lastRenderedPageBreak/>
        <w:t>E13 Assignation d</w:t>
      </w:r>
      <w:r w:rsidR="00E84B0E">
        <w:t>’</w:t>
      </w:r>
      <w:r>
        <w:t>attribut</w:t>
      </w:r>
      <w:bookmarkEnd w:id="130"/>
    </w:p>
    <w:p w14:paraId="6DF02B36" w14:textId="77777777" w:rsidR="00065317" w:rsidRDefault="005C7BF7">
      <w:pPr>
        <w:pStyle w:val="FirstParagraph"/>
      </w:pPr>
      <w:r>
        <w:rPr>
          <w:b/>
          <w:bCs/>
        </w:rPr>
        <w:t>Sous-classe de</w:t>
      </w:r>
    </w:p>
    <w:p w14:paraId="31B69BD9" w14:textId="77777777" w:rsidR="00065317" w:rsidRDefault="005C7BF7">
      <w:pPr>
        <w:pStyle w:val="Corpsdetexte"/>
      </w:pPr>
      <w:r>
        <w:rPr>
          <w:rStyle w:val="VerbatimChar"/>
        </w:rPr>
        <w:t>E7_Activité</w:t>
      </w:r>
    </w:p>
    <w:p w14:paraId="45859698" w14:textId="77777777" w:rsidR="00065317" w:rsidRDefault="005C7BF7">
      <w:pPr>
        <w:pStyle w:val="Corpsdetexte"/>
      </w:pPr>
      <w:r>
        <w:rPr>
          <w:b/>
          <w:bCs/>
        </w:rPr>
        <w:t>Super-classe de</w:t>
      </w:r>
    </w:p>
    <w:p w14:paraId="30EF18FD" w14:textId="5B0684B6" w:rsidR="00065317" w:rsidRDefault="005C7BF7">
      <w:pPr>
        <w:pStyle w:val="Corpsdetexte"/>
      </w:pPr>
      <w:r>
        <w:rPr>
          <w:rStyle w:val="VerbatimChar"/>
        </w:rPr>
        <w:t>E14_Évaluation_d</w:t>
      </w:r>
      <w:r w:rsidR="00E84B0E">
        <w:rPr>
          <w:rStyle w:val="VerbatimChar"/>
        </w:rPr>
        <w:t>’</w:t>
      </w:r>
      <w:r>
        <w:rPr>
          <w:rStyle w:val="VerbatimChar"/>
        </w:rPr>
        <w:t>état_matériel</w:t>
      </w:r>
    </w:p>
    <w:p w14:paraId="5F9E7E98" w14:textId="335D53BE" w:rsidR="00065317" w:rsidRDefault="005C7BF7">
      <w:pPr>
        <w:pStyle w:val="Corpsdetexte"/>
      </w:pPr>
      <w:r>
        <w:rPr>
          <w:rStyle w:val="VerbatimChar"/>
        </w:rPr>
        <w:t>E15_Assignation_d</w:t>
      </w:r>
      <w:r w:rsidR="00E84B0E">
        <w:rPr>
          <w:rStyle w:val="VerbatimChar"/>
        </w:rPr>
        <w:t>’</w:t>
      </w:r>
      <w:r>
        <w:rPr>
          <w:rStyle w:val="VerbatimChar"/>
        </w:rPr>
        <w:t>identifiant</w:t>
      </w:r>
    </w:p>
    <w:p w14:paraId="5E6B8182" w14:textId="77777777" w:rsidR="00065317" w:rsidRDefault="005C7BF7">
      <w:pPr>
        <w:pStyle w:val="Corpsdetexte"/>
      </w:pPr>
      <w:r>
        <w:rPr>
          <w:rStyle w:val="VerbatimChar"/>
        </w:rPr>
        <w:t>E16_Mesurage</w:t>
      </w:r>
    </w:p>
    <w:p w14:paraId="543EE639" w14:textId="268F08AA" w:rsidR="008D39EE" w:rsidRPr="00C86352" w:rsidRDefault="005C7BF7" w:rsidP="00C86352">
      <w:pPr>
        <w:pStyle w:val="Corpsdetexte"/>
      </w:pPr>
      <w:r>
        <w:rPr>
          <w:rStyle w:val="VerbatimChar"/>
        </w:rPr>
        <w:t>E17_Assignation_de_type</w:t>
      </w:r>
    </w:p>
    <w:p w14:paraId="01878E0F" w14:textId="1D836177" w:rsidR="00065317" w:rsidRDefault="005C7BF7">
      <w:pPr>
        <w:pStyle w:val="Corpsdetexte"/>
      </w:pPr>
      <w:r>
        <w:rPr>
          <w:b/>
          <w:bCs/>
        </w:rPr>
        <w:t>Note d</w:t>
      </w:r>
      <w:r w:rsidR="00E84B0E">
        <w:rPr>
          <w:b/>
          <w:bCs/>
        </w:rPr>
        <w:t>’</w:t>
      </w:r>
      <w:r>
        <w:rPr>
          <w:b/>
          <w:bCs/>
        </w:rPr>
        <w:t>application</w:t>
      </w:r>
    </w:p>
    <w:p w14:paraId="48618E78" w14:textId="28F4C891" w:rsidR="00065317" w:rsidRDefault="005C7BF7">
      <w:pPr>
        <w:pStyle w:val="Corpsdetexte"/>
      </w:pPr>
      <w:r>
        <w:t>Cette classe comprend les actions d</w:t>
      </w:r>
      <w:r w:rsidR="00E84B0E">
        <w:t>’</w:t>
      </w:r>
      <w:r>
        <w:t>effectuer des affirmations à propos d</w:t>
      </w:r>
      <w:r w:rsidR="00E84B0E">
        <w:t>’</w:t>
      </w:r>
      <w:r>
        <w:t>un attribut d</w:t>
      </w:r>
      <w:r w:rsidR="00E84B0E">
        <w:t>’</w:t>
      </w:r>
      <w:r>
        <w:t>un objet ou de n</w:t>
      </w:r>
      <w:r w:rsidR="00E84B0E">
        <w:t>’</w:t>
      </w:r>
      <w:r>
        <w:t>importe quelle relation entre deux entités ou concepts. Le type de la propriété dont on déclare l</w:t>
      </w:r>
      <w:r w:rsidR="00E84B0E">
        <w:t>’</w:t>
      </w:r>
      <w:r>
        <w:t xml:space="preserve">existence entre deux entités ou concepts peut être décrit avec la propriété </w:t>
      </w:r>
      <w:r>
        <w:rPr>
          <w:rStyle w:val="VerbatimChar"/>
        </w:rPr>
        <w:t>P177_a_assigné_le_type_de_propriété (est le type de la propriété assigné)</w:t>
      </w:r>
      <w:r w:rsidR="00CF0FD9">
        <w:t> </w:t>
      </w:r>
      <w:r>
        <w:t xml:space="preserve">: </w:t>
      </w:r>
      <w:r>
        <w:rPr>
          <w:rStyle w:val="VerbatimChar"/>
        </w:rPr>
        <w:t>E55_Type</w:t>
      </w:r>
      <w:r>
        <w:t>.</w:t>
      </w:r>
    </w:p>
    <w:p w14:paraId="61A37433" w14:textId="53E1C302" w:rsidR="00065317" w:rsidRDefault="005C7BF7">
      <w:pPr>
        <w:pStyle w:val="Corpsdetexte"/>
      </w:pPr>
      <w:r>
        <w:t>Par exemple, la classe décrit les actions de personnes faisant des propositions ou déclarations lors de certaines procédures scientifiques ou universitaires, comme la date de et la personne impliquée lors d</w:t>
      </w:r>
      <w:r w:rsidR="00E84B0E">
        <w:t>’</w:t>
      </w:r>
      <w:r>
        <w:t>une évaluation d</w:t>
      </w:r>
      <w:r w:rsidR="00E84B0E">
        <w:t>’</w:t>
      </w:r>
      <w:r>
        <w:t>état matériel, de l</w:t>
      </w:r>
      <w:r w:rsidR="00E84B0E">
        <w:t>’</w:t>
      </w:r>
      <w:r>
        <w:t>attribution d</w:t>
      </w:r>
      <w:r w:rsidR="00E84B0E">
        <w:t>’</w:t>
      </w:r>
      <w:r>
        <w:t>un identifiant, de la mesure d</w:t>
      </w:r>
      <w:r w:rsidR="00E84B0E">
        <w:t>’</w:t>
      </w:r>
      <w:r>
        <w:t>un objet muséal, etc. Les types d</w:t>
      </w:r>
      <w:r w:rsidR="00E84B0E">
        <w:t>’</w:t>
      </w:r>
      <w:r>
        <w:t>attributions et de déclarations qui doivent être documentés explicitement de manière structurée plutôt qu</w:t>
      </w:r>
      <w:r w:rsidR="00E84B0E">
        <w:t>’</w:t>
      </w:r>
      <w:r>
        <w:t>en texte libre dépend de la nécessité ou non de rendre accessibles ces informations par des requêtes structurées.</w:t>
      </w:r>
    </w:p>
    <w:p w14:paraId="56ADAF54" w14:textId="4BAEA8FC" w:rsidR="00065317" w:rsidRDefault="005C7BF7">
      <w:pPr>
        <w:pStyle w:val="Corpsdetexte"/>
      </w:pPr>
      <w:r>
        <w:t>Il est à noter que toutes les instances des propriétés décrites dans une base de connaissance reflètent les opinions d</w:t>
      </w:r>
      <w:r w:rsidR="00E84B0E">
        <w:t>’</w:t>
      </w:r>
      <w:r>
        <w:t>individus. Par défaut, il s</w:t>
      </w:r>
      <w:r w:rsidR="00E84B0E">
        <w:t>’</w:t>
      </w:r>
      <w:r>
        <w:t>agit des opinions de l</w:t>
      </w:r>
      <w:r w:rsidR="00E84B0E">
        <w:t>’</w:t>
      </w:r>
      <w:r>
        <w:t>équipe responsable du maintien de la base de connaissance. Ce fait ne doit pas être individuellement enregistré pour toutes les instances des propriétés fournies par l</w:t>
      </w:r>
      <w:r w:rsidR="00E84B0E">
        <w:t>’</w:t>
      </w:r>
      <w:r>
        <w:t>équipe de maintenance, car il en résulterait une récursivité sans fin (où il faudrait constamment documenter qui émet une opinion sur l</w:t>
      </w:r>
      <w:r w:rsidR="00E84B0E">
        <w:t>’</w:t>
      </w:r>
      <w:r>
        <w:t>opinion précédente). Dès lors, l</w:t>
      </w:r>
      <w:r w:rsidR="00E84B0E">
        <w:t>’</w:t>
      </w:r>
      <w:r>
        <w:t xml:space="preserve">utilisation des instances de </w:t>
      </w:r>
      <w:r>
        <w:rPr>
          <w:rStyle w:val="VerbatimChar"/>
        </w:rPr>
        <w:t>E13_Assignation_d</w:t>
      </w:r>
      <w:r w:rsidR="00E84B0E">
        <w:rPr>
          <w:rStyle w:val="VerbatimChar"/>
        </w:rPr>
        <w:t>’</w:t>
      </w:r>
      <w:r>
        <w:rPr>
          <w:rStyle w:val="VerbatimChar"/>
        </w:rPr>
        <w:t>attribut</w:t>
      </w:r>
      <w:r>
        <w:t xml:space="preserve"> marque le fait que l</w:t>
      </w:r>
      <w:r w:rsidR="00E84B0E">
        <w:t>’</w:t>
      </w:r>
      <w:r>
        <w:t>équipe de maintenance est en général neutre envers la validité des assertions et cette classe permet la documentation des circonstances qui ont amené à l</w:t>
      </w:r>
      <w:r w:rsidR="00E84B0E">
        <w:t>’</w:t>
      </w:r>
      <w:r>
        <w:t>attribution, c.-à-d. qui a émis cette opinion ainsi que comment elle est advenue.</w:t>
      </w:r>
    </w:p>
    <w:p w14:paraId="602C0B72" w14:textId="045167F5" w:rsidR="00065317" w:rsidRDefault="005C7BF7">
      <w:pPr>
        <w:pStyle w:val="Corpsdetexte"/>
      </w:pPr>
      <w:r>
        <w:t>Toutes les propriétés assignées de la sorte peuvent aussi être perçues comme reliant directement les paires correspondantes d</w:t>
      </w:r>
      <w:r w:rsidR="00E84B0E">
        <w:t>’</w:t>
      </w:r>
      <w:r>
        <w:t>entités ou concepts. L</w:t>
      </w:r>
      <w:r w:rsidR="00E84B0E">
        <w:t>’</w:t>
      </w:r>
      <w:r>
        <w:t xml:space="preserve">utilisation de plusieurs instances de </w:t>
      </w:r>
      <w:r>
        <w:rPr>
          <w:rStyle w:val="VerbatimChar"/>
        </w:rPr>
        <w:t>E13_Assignation_d</w:t>
      </w:r>
      <w:r w:rsidR="00E84B0E">
        <w:rPr>
          <w:rStyle w:val="VerbatimChar"/>
        </w:rPr>
        <w:t>’</w:t>
      </w:r>
      <w:r>
        <w:rPr>
          <w:rStyle w:val="VerbatimChar"/>
        </w:rPr>
        <w:t>attribut</w:t>
      </w:r>
      <w:r>
        <w:t xml:space="preserve"> peut mener à un regroupement de valeurs contradictoires.</w:t>
      </w:r>
    </w:p>
    <w:p w14:paraId="14BFFDC4" w14:textId="51BF28CF" w:rsidR="00065317" w:rsidRDefault="005C7BF7">
      <w:pPr>
        <w:pStyle w:val="Corpsdetexte"/>
      </w:pPr>
      <w:r>
        <w:t xml:space="preserve">Toutes les propriétés dans ce modèle qui sont aussi décrites indirectement à travers une sous-classe de </w:t>
      </w:r>
      <w:r>
        <w:rPr>
          <w:rStyle w:val="VerbatimChar"/>
        </w:rPr>
        <w:t>E13_Assignation_d</w:t>
      </w:r>
      <w:r w:rsidR="00E84B0E">
        <w:rPr>
          <w:rStyle w:val="VerbatimChar"/>
        </w:rPr>
        <w:t>’</w:t>
      </w:r>
      <w:r>
        <w:rPr>
          <w:rStyle w:val="VerbatimChar"/>
        </w:rPr>
        <w:t>attribut</w:t>
      </w:r>
      <w:r>
        <w:t xml:space="preserve"> sont caractérisées comme des « raccourcis » du chemin passant par cette sous-classe. Cette modélisation redondante de ces deux alternatives est préférée, car de nombreuses implémentations conduisent à mobiliser, pour de bonnes raisons, soit l</w:t>
      </w:r>
      <w:r w:rsidR="00E84B0E">
        <w:t>’</w:t>
      </w:r>
      <w:r>
        <w:t>action d</w:t>
      </w:r>
      <w:r w:rsidR="00E84B0E">
        <w:t>’</w:t>
      </w:r>
      <w:r>
        <w:t>assertion soit le raccourci et la relation entre les deux alternatives peut être enregistrée par des règles [</w:t>
      </w:r>
      <w:r w:rsidR="00AF51A3">
        <w:t xml:space="preserve">n.d.t. </w:t>
      </w:r>
      <w:r>
        <w:t>logiques] simples.</w:t>
      </w:r>
    </w:p>
    <w:p w14:paraId="24770A84" w14:textId="77777777" w:rsidR="00065317" w:rsidRDefault="005C7BF7">
      <w:pPr>
        <w:pStyle w:val="Corpsdetexte"/>
      </w:pPr>
      <w:r>
        <w:rPr>
          <w:b/>
          <w:bCs/>
        </w:rPr>
        <w:t>Exemples</w:t>
      </w:r>
    </w:p>
    <w:p w14:paraId="05DB3A48" w14:textId="76272B73" w:rsidR="00065317" w:rsidRDefault="005C7BF7">
      <w:pPr>
        <w:numPr>
          <w:ilvl w:val="0"/>
          <w:numId w:val="69"/>
        </w:numPr>
      </w:pPr>
      <w:r>
        <w:t>L</w:t>
      </w:r>
      <w:r w:rsidR="00E84B0E">
        <w:t>’</w:t>
      </w:r>
      <w:r>
        <w:t xml:space="preserve">examen du manuscrit </w:t>
      </w:r>
      <w:r>
        <w:rPr>
          <w:i/>
          <w:iCs/>
        </w:rPr>
        <w:t>Mont Sinaï, MS gr. 418</w:t>
      </w:r>
      <w:r>
        <w:t xml:space="preserve"> par Nicholas Pickwoad en</w:t>
      </w:r>
      <w:r w:rsidR="00056DCD">
        <w:t> novembre </w:t>
      </w:r>
      <w:r>
        <w:t>2003 (Honey &amp; Pickwoad, 2010)</w:t>
      </w:r>
    </w:p>
    <w:p w14:paraId="3154C0AD" w14:textId="6E176862" w:rsidR="00241DFB" w:rsidRPr="003F44C6" w:rsidRDefault="005C7BF7" w:rsidP="003F44C6">
      <w:pPr>
        <w:numPr>
          <w:ilvl w:val="0"/>
          <w:numId w:val="69"/>
        </w:numPr>
      </w:pPr>
      <w:r>
        <w:t>L</w:t>
      </w:r>
      <w:r w:rsidR="00E84B0E">
        <w:t>’</w:t>
      </w:r>
      <w:r>
        <w:t xml:space="preserve">évaluation de la propriété actuelle de la coupe en argent de Martin </w:t>
      </w:r>
      <w:r w:rsidR="003C7A4A">
        <w:t>Doerr</w:t>
      </w:r>
      <w:r>
        <w:t xml:space="preserve"> en</w:t>
      </w:r>
      <w:r w:rsidR="00056DCD">
        <w:t> février </w:t>
      </w:r>
      <w:r>
        <w:t>1997 (fictif)</w:t>
      </w:r>
    </w:p>
    <w:p w14:paraId="7A9DC78B" w14:textId="77777777" w:rsidR="00C86352" w:rsidRDefault="00C86352">
      <w:pPr>
        <w:spacing w:after="0"/>
        <w:rPr>
          <w:b/>
          <w:bCs/>
        </w:rPr>
      </w:pPr>
      <w:r>
        <w:rPr>
          <w:b/>
          <w:bCs/>
        </w:rPr>
        <w:br w:type="page"/>
      </w:r>
    </w:p>
    <w:p w14:paraId="26901E26" w14:textId="584C1A67" w:rsidR="00065317" w:rsidRDefault="005C7BF7">
      <w:pPr>
        <w:pStyle w:val="FirstParagraph"/>
      </w:pPr>
      <w:r>
        <w:rPr>
          <w:b/>
          <w:bCs/>
        </w:rPr>
        <w:lastRenderedPageBreak/>
        <w:t>Logique</w:t>
      </w:r>
    </w:p>
    <w:p w14:paraId="01E15CD1" w14:textId="77777777" w:rsidR="00065317" w:rsidRDefault="005C7BF7">
      <w:pPr>
        <w:pStyle w:val="Corpsdetexte"/>
      </w:pPr>
      <w:r>
        <w:t>E13(x) ⇒ E7(x)</w:t>
      </w:r>
    </w:p>
    <w:p w14:paraId="3DB27C91" w14:textId="77777777" w:rsidR="00065317" w:rsidRDefault="005C7BF7">
      <w:pPr>
        <w:pStyle w:val="Corpsdetexte"/>
      </w:pPr>
      <w:r>
        <w:rPr>
          <w:b/>
          <w:bCs/>
        </w:rPr>
        <w:t>Propriétés</w:t>
      </w:r>
    </w:p>
    <w:p w14:paraId="03619AD4" w14:textId="2D8D7606" w:rsidR="00065317" w:rsidRDefault="005C7BF7">
      <w:pPr>
        <w:pStyle w:val="Corpsdetexte"/>
      </w:pP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r w:rsidR="00F02C72">
        <w:t> </w:t>
      </w:r>
      <w:r>
        <w:t xml:space="preserve">: </w:t>
      </w:r>
      <w:r>
        <w:rPr>
          <w:rStyle w:val="VerbatimChar"/>
        </w:rPr>
        <w:t>E1_Entité_CRM</w:t>
      </w:r>
    </w:p>
    <w:p w14:paraId="527D5A75" w14:textId="77777777" w:rsidR="00065317" w:rsidRDefault="005C7BF7">
      <w:pPr>
        <w:pStyle w:val="Corpsdetexte"/>
      </w:pPr>
      <w:r>
        <w:rPr>
          <w:rStyle w:val="VerbatimChar"/>
        </w:rPr>
        <w:t>P141_a_assigné (a_été_assigné_par)</w:t>
      </w:r>
      <w:r>
        <w:t xml:space="preserve"> : </w:t>
      </w:r>
      <w:r>
        <w:rPr>
          <w:rStyle w:val="VerbatimChar"/>
        </w:rPr>
        <w:t>E1_Entité_CRM</w:t>
      </w:r>
    </w:p>
    <w:p w14:paraId="2E04111F" w14:textId="26F5A271" w:rsidR="00065317" w:rsidRDefault="005C7BF7">
      <w:pPr>
        <w:pStyle w:val="Corpsdetexte"/>
      </w:pPr>
      <w:r>
        <w:rPr>
          <w:rStyle w:val="VerbatimChar"/>
        </w:rPr>
        <w:t>P177_a_assigné_le_type_de_propriété (est_le_type_de_la_propriété_assigné)</w:t>
      </w:r>
      <w:r w:rsidR="00F02C72">
        <w:t> </w:t>
      </w:r>
      <w:r>
        <w:t xml:space="preserve">: </w:t>
      </w:r>
      <w:r>
        <w:rPr>
          <w:rStyle w:val="VerbatimChar"/>
        </w:rPr>
        <w:t>E55_Type</w:t>
      </w:r>
    </w:p>
    <w:p w14:paraId="6D11AB33" w14:textId="77777777" w:rsidR="00065317" w:rsidRDefault="005C7BF7">
      <w:pPr>
        <w:pStyle w:val="Normalcentr"/>
      </w:pPr>
      <w:r>
        <w:rPr>
          <w:b/>
          <w:bCs/>
          <w:i/>
          <w:iCs/>
        </w:rPr>
        <w:t>Note de traduction</w:t>
      </w:r>
    </w:p>
    <w:p w14:paraId="517EED89" w14:textId="6D5F94C6" w:rsidR="00A81E78" w:rsidRPr="00241DFB" w:rsidRDefault="005C7BF7" w:rsidP="00C86352">
      <w:pPr>
        <w:pStyle w:val="Normalcentr"/>
      </w:pPr>
      <w:r>
        <w:t>Le nom du manuscrit MS Sinai Greek 418 a été traduit en suivant les choix du Portail Biblissima</w:t>
      </w:r>
      <w:r w:rsidR="00C86352">
        <w:t>.</w:t>
      </w:r>
    </w:p>
    <w:p w14:paraId="42DCE8C0" w14:textId="4E311224" w:rsidR="00065317" w:rsidRDefault="005C7BF7">
      <w:pPr>
        <w:pStyle w:val="Normalcentr"/>
      </w:pPr>
      <w:r>
        <w:rPr>
          <w:b/>
          <w:bCs/>
          <w:i/>
          <w:iCs/>
        </w:rPr>
        <w:t>Références</w:t>
      </w:r>
    </w:p>
    <w:p w14:paraId="2FD9E56B" w14:textId="77777777" w:rsidR="00065317" w:rsidRPr="00914F34" w:rsidRDefault="005C7BF7">
      <w:pPr>
        <w:pStyle w:val="Normalcentr"/>
        <w:rPr>
          <w:lang w:val="en-CA"/>
        </w:rPr>
      </w:pPr>
      <w:r>
        <w:t xml:space="preserve">Climacus, John. « Égypte, Mont Sinaï, Monastère Sainte-Catherine, MS gr. 418 ». </w:t>
      </w:r>
      <w:r w:rsidRPr="00914F34">
        <w:rPr>
          <w:lang w:val="en-CA"/>
        </w:rPr>
        <w:t>Manuscrit. Monastère Sainte-Catherine, EG-JS, 1100.</w:t>
      </w:r>
      <w:hyperlink r:id="rId165">
        <w:r w:rsidRPr="00914F34">
          <w:rPr>
            <w:rStyle w:val="Lienhypertexte"/>
            <w:lang w:val="en-CA"/>
          </w:rPr>
          <w:t xml:space="preserve"> </w:t>
        </w:r>
      </w:hyperlink>
      <w:hyperlink r:id="rId166">
        <w:r w:rsidRPr="00914F34">
          <w:rPr>
            <w:rStyle w:val="Lienhypertexte"/>
            <w:lang w:val="en-CA"/>
          </w:rPr>
          <w:t>https://portail.biblissima.fr/fr/ark:/43093/mdata4173039fff31678134d93fd0bd8ff41dd71226a8</w:t>
        </w:r>
      </w:hyperlink>
      <w:r w:rsidRPr="00914F34">
        <w:rPr>
          <w:lang w:val="en-CA"/>
        </w:rPr>
        <w:t>.</w:t>
      </w:r>
    </w:p>
    <w:p w14:paraId="55430147" w14:textId="77777777" w:rsidR="00065317" w:rsidRDefault="005C7BF7">
      <w:pPr>
        <w:pStyle w:val="Normalcentr"/>
      </w:pPr>
      <w:r w:rsidRPr="00EC2D6E">
        <w:rPr>
          <w:lang w:val="en-CA"/>
        </w:rPr>
        <w:t xml:space="preserve">———. « Greek Manuscripts 418. </w:t>
      </w:r>
      <w:r w:rsidRPr="00523021">
        <w:rPr>
          <w:lang w:val="fr-CA"/>
        </w:rPr>
        <w:t xml:space="preserve">John Climacus ». Manuscrit. </w:t>
      </w:r>
      <w:r>
        <w:t>Monastère Sainte-Catherine, EG-JS, 1100.</w:t>
      </w:r>
      <w:hyperlink r:id="rId167">
        <w:r>
          <w:rPr>
            <w:rStyle w:val="Lienhypertexte"/>
          </w:rPr>
          <w:t xml:space="preserve"> </w:t>
        </w:r>
      </w:hyperlink>
      <w:hyperlink r:id="rId168">
        <w:r>
          <w:rPr>
            <w:rStyle w:val="Lienhypertexte"/>
          </w:rPr>
          <w:t>https://www.loc.gov/item/00279380435-ms</w:t>
        </w:r>
      </w:hyperlink>
      <w:r>
        <w:t>.</w:t>
      </w:r>
    </w:p>
    <w:p w14:paraId="0694DE9B" w14:textId="2E0D8FCC" w:rsidR="00065317" w:rsidRDefault="005C7BF7" w:rsidP="00914F34">
      <w:pPr>
        <w:pStyle w:val="Titre3"/>
      </w:pPr>
      <w:bookmarkStart w:id="132" w:name="_Toc154048751"/>
      <w:bookmarkStart w:id="133" w:name="e14-evaluation-detat-materiel"/>
      <w:bookmarkEnd w:id="131"/>
      <w:r>
        <w:t>E14 Évaluation d</w:t>
      </w:r>
      <w:r w:rsidR="00E84B0E">
        <w:t>’</w:t>
      </w:r>
      <w:r>
        <w:t>état matériel</w:t>
      </w:r>
      <w:bookmarkEnd w:id="132"/>
    </w:p>
    <w:p w14:paraId="182CA3AC" w14:textId="77777777" w:rsidR="00065317" w:rsidRDefault="005C7BF7">
      <w:pPr>
        <w:pStyle w:val="FirstParagraph"/>
      </w:pPr>
      <w:r>
        <w:rPr>
          <w:b/>
          <w:bCs/>
        </w:rPr>
        <w:t>Sous-classe de</w:t>
      </w:r>
    </w:p>
    <w:p w14:paraId="038FBC47" w14:textId="45682099" w:rsidR="00065317" w:rsidRDefault="005C7BF7">
      <w:pPr>
        <w:pStyle w:val="Corpsdetexte"/>
      </w:pPr>
      <w:r>
        <w:rPr>
          <w:rStyle w:val="VerbatimChar"/>
        </w:rPr>
        <w:t>E13_Assignation_d</w:t>
      </w:r>
      <w:r w:rsidR="00E84B0E">
        <w:rPr>
          <w:rStyle w:val="VerbatimChar"/>
        </w:rPr>
        <w:t>’</w:t>
      </w:r>
      <w:r>
        <w:rPr>
          <w:rStyle w:val="VerbatimChar"/>
        </w:rPr>
        <w:t>attribut</w:t>
      </w:r>
    </w:p>
    <w:p w14:paraId="2377F2E7" w14:textId="2DCA5693" w:rsidR="00241DFB" w:rsidRPr="003F44C6" w:rsidRDefault="005C7BF7">
      <w:pPr>
        <w:pStyle w:val="Corpsdetexte"/>
        <w:rPr>
          <w:b/>
          <w:bCs/>
        </w:rPr>
      </w:pPr>
      <w:r>
        <w:rPr>
          <w:b/>
          <w:bCs/>
        </w:rPr>
        <w:t>Super-classe de</w:t>
      </w:r>
    </w:p>
    <w:p w14:paraId="185E9184" w14:textId="0799AE4B" w:rsidR="00065317" w:rsidRDefault="005C7BF7">
      <w:pPr>
        <w:pStyle w:val="Corpsdetexte"/>
      </w:pPr>
      <w:r>
        <w:rPr>
          <w:b/>
          <w:bCs/>
        </w:rPr>
        <w:t>Note d</w:t>
      </w:r>
      <w:r w:rsidR="00E84B0E">
        <w:rPr>
          <w:b/>
          <w:bCs/>
        </w:rPr>
        <w:t>’</w:t>
      </w:r>
      <w:r>
        <w:rPr>
          <w:b/>
          <w:bCs/>
        </w:rPr>
        <w:t>application</w:t>
      </w:r>
    </w:p>
    <w:p w14:paraId="7F012F05" w14:textId="19E590EF" w:rsidR="00065317" w:rsidRDefault="005C7BF7">
      <w:pPr>
        <w:pStyle w:val="Corpsdetexte"/>
      </w:pPr>
      <w:r>
        <w:t>Cette classe décrit l</w:t>
      </w:r>
      <w:r w:rsidR="00E84B0E">
        <w:t>’</w:t>
      </w:r>
      <w:r>
        <w:t>acte d</w:t>
      </w:r>
      <w:r w:rsidR="00E84B0E">
        <w:t>’</w:t>
      </w:r>
      <w:r>
        <w:t>évaluer l</w:t>
      </w:r>
      <w:r w:rsidR="00E84B0E">
        <w:t>’</w:t>
      </w:r>
      <w:r>
        <w:t>état de conservation d</w:t>
      </w:r>
      <w:r w:rsidR="00E84B0E">
        <w:t>’</w:t>
      </w:r>
      <w:r>
        <w:t>un objet durant une période donnée.</w:t>
      </w:r>
    </w:p>
    <w:p w14:paraId="6B75CA40" w14:textId="75948030" w:rsidR="00065317" w:rsidRDefault="005C7BF7">
      <w:pPr>
        <w:pStyle w:val="Corpsdetexte"/>
      </w:pPr>
      <w:r>
        <w:t>L</w:t>
      </w:r>
      <w:r w:rsidR="00E84B0E">
        <w:t>’</w:t>
      </w:r>
      <w:r>
        <w:t>évaluation d</w:t>
      </w:r>
      <w:r w:rsidR="00E84B0E">
        <w:t>’</w:t>
      </w:r>
      <w:r>
        <w:t>état matériel peut être effectuée par le biais d</w:t>
      </w:r>
      <w:r w:rsidR="00E84B0E">
        <w:t>’</w:t>
      </w:r>
      <w:r>
        <w:t>une inspection, d</w:t>
      </w:r>
      <w:r w:rsidR="00E84B0E">
        <w:t>’</w:t>
      </w:r>
      <w:r>
        <w:t>un mesurage ou d</w:t>
      </w:r>
      <w:r w:rsidR="00E84B0E">
        <w:t>’</w:t>
      </w:r>
      <w:r>
        <w:t>une recherche historique. Cette classe est utilisée afin de documenter les circonstances ayant conduit à l</w:t>
      </w:r>
      <w:r w:rsidR="00E84B0E">
        <w:t>’</w:t>
      </w:r>
      <w:r>
        <w:t>évaluation qui pourraient être pertinentes pour interpréter la qualité de l</w:t>
      </w:r>
      <w:r w:rsidR="00E84B0E">
        <w:t>’</w:t>
      </w:r>
      <w:r>
        <w:t>objet à un stade ultérieur, ou pour poursuivre la recherche sur des documents connexes.</w:t>
      </w:r>
    </w:p>
    <w:p w14:paraId="20DCE7C5" w14:textId="77777777" w:rsidR="00065317" w:rsidRDefault="005C7BF7">
      <w:pPr>
        <w:pStyle w:val="Corpsdetexte"/>
      </w:pPr>
      <w:r>
        <w:rPr>
          <w:b/>
          <w:bCs/>
        </w:rPr>
        <w:t>Exemples</w:t>
      </w:r>
    </w:p>
    <w:p w14:paraId="55B44768" w14:textId="2F26C8B0" w:rsidR="00065317" w:rsidRDefault="005C7BF7">
      <w:pPr>
        <w:numPr>
          <w:ilvl w:val="0"/>
          <w:numId w:val="70"/>
        </w:numPr>
      </w:pPr>
      <w:r>
        <w:t>L</w:t>
      </w:r>
      <w:r w:rsidR="00E84B0E">
        <w:t>’</w:t>
      </w:r>
      <w:r>
        <w:t>inspection datant de l</w:t>
      </w:r>
      <w:r w:rsidR="00E84B0E">
        <w:t>’</w:t>
      </w:r>
      <w:r>
        <w:t>année dernière des dommages causés par l</w:t>
      </w:r>
      <w:r w:rsidR="00E84B0E">
        <w:t>’</w:t>
      </w:r>
      <w:r>
        <w:t>humidité aux fresques de la chapelle Saint-George de notre village (fictif)</w:t>
      </w:r>
    </w:p>
    <w:p w14:paraId="00244EA1" w14:textId="378C3434" w:rsidR="00065317" w:rsidRDefault="005C7BF7">
      <w:pPr>
        <w:numPr>
          <w:ilvl w:val="0"/>
          <w:numId w:val="70"/>
        </w:numPr>
      </w:pPr>
      <w:r>
        <w:t>L</w:t>
      </w:r>
      <w:r w:rsidR="00E84B0E">
        <w:t>’</w:t>
      </w:r>
      <w:r>
        <w:t>évaluation de l</w:t>
      </w:r>
      <w:r w:rsidR="00E84B0E">
        <w:t>’</w:t>
      </w:r>
      <w:r>
        <w:t xml:space="preserve">état matériel des bâtonnets de la tranchefile du manuscrit </w:t>
      </w:r>
      <w:r>
        <w:rPr>
          <w:i/>
          <w:iCs/>
        </w:rPr>
        <w:t>Mont Sinaï, MS gr.</w:t>
      </w:r>
      <w:r w:rsidR="00CF0FD9">
        <w:rPr>
          <w:i/>
          <w:iCs/>
        </w:rPr>
        <w:t> </w:t>
      </w:r>
      <w:r>
        <w:rPr>
          <w:i/>
          <w:iCs/>
        </w:rPr>
        <w:t>418</w:t>
      </w:r>
      <w:r>
        <w:t xml:space="preserve"> par Nicholas Pickwoad en</w:t>
      </w:r>
      <w:r w:rsidR="00056DCD">
        <w:t> novembre </w:t>
      </w:r>
      <w:r>
        <w:t>2003 (Honey &amp; Pickwoad, 2010)</w:t>
      </w:r>
    </w:p>
    <w:p w14:paraId="0BE934E8" w14:textId="6BD8725B" w:rsidR="00065317" w:rsidRDefault="005C7BF7">
      <w:pPr>
        <w:numPr>
          <w:ilvl w:val="0"/>
          <w:numId w:val="70"/>
        </w:numPr>
      </w:pPr>
      <w:r>
        <w:t>L</w:t>
      </w:r>
      <w:r w:rsidR="00E84B0E">
        <w:t>’</w:t>
      </w:r>
      <w:r>
        <w:t>évaluation de l</w:t>
      </w:r>
      <w:r w:rsidR="00E84B0E">
        <w:t>’</w:t>
      </w:r>
      <w:r>
        <w:t xml:space="preserve">état matériel de la couverture du manuscrit </w:t>
      </w:r>
      <w:r>
        <w:rPr>
          <w:i/>
          <w:iCs/>
        </w:rPr>
        <w:t>Mont Sinaï, MS gr. 418</w:t>
      </w:r>
      <w:r>
        <w:t xml:space="preserve"> par Nicholas Pickwoad en</w:t>
      </w:r>
      <w:r w:rsidR="00056DCD">
        <w:t> novembre </w:t>
      </w:r>
      <w:r>
        <w:t>2003 (Honey &amp; Pickwoad, 2010)</w:t>
      </w:r>
    </w:p>
    <w:p w14:paraId="0C9F6787" w14:textId="77777777" w:rsidR="00065317" w:rsidRDefault="005C7BF7">
      <w:pPr>
        <w:pStyle w:val="FirstParagraph"/>
      </w:pPr>
      <w:r>
        <w:rPr>
          <w:b/>
          <w:bCs/>
        </w:rPr>
        <w:t>Logique</w:t>
      </w:r>
    </w:p>
    <w:p w14:paraId="20835C31" w14:textId="466809AA" w:rsidR="00241DFB" w:rsidRPr="003F44C6" w:rsidRDefault="005C7BF7">
      <w:pPr>
        <w:pStyle w:val="Corpsdetexte"/>
      </w:pPr>
      <w:r>
        <w:t>E14(x) ⇒ E13(x)</w:t>
      </w:r>
    </w:p>
    <w:p w14:paraId="2A418758" w14:textId="77777777" w:rsidR="00C86352" w:rsidRDefault="00C86352">
      <w:pPr>
        <w:spacing w:after="0"/>
        <w:rPr>
          <w:b/>
          <w:bCs/>
        </w:rPr>
      </w:pPr>
      <w:r>
        <w:rPr>
          <w:b/>
          <w:bCs/>
        </w:rPr>
        <w:br w:type="page"/>
      </w:r>
    </w:p>
    <w:p w14:paraId="48C64E37" w14:textId="06DB686B" w:rsidR="00065317" w:rsidRDefault="005C7BF7">
      <w:pPr>
        <w:pStyle w:val="Corpsdetexte"/>
      </w:pPr>
      <w:r>
        <w:rPr>
          <w:b/>
          <w:bCs/>
        </w:rPr>
        <w:lastRenderedPageBreak/>
        <w:t>Propriétés</w:t>
      </w:r>
    </w:p>
    <w:p w14:paraId="7AB36400" w14:textId="77777777" w:rsidR="00065317" w:rsidRDefault="005C7BF7">
      <w:pPr>
        <w:pStyle w:val="Corpsdetexte"/>
      </w:pPr>
      <w:r>
        <w:rPr>
          <w:rStyle w:val="VerbatimChar"/>
        </w:rPr>
        <w:t>P34_a_porté_sur (a_été_évalué_par)</w:t>
      </w:r>
      <w:r>
        <w:t xml:space="preserve"> : </w:t>
      </w:r>
      <w:r>
        <w:rPr>
          <w:rStyle w:val="VerbatimChar"/>
        </w:rPr>
        <w:t>E18_Chose_matérielle</w:t>
      </w:r>
    </w:p>
    <w:p w14:paraId="4F1053E7" w14:textId="77777777" w:rsidR="00065317" w:rsidRDefault="005C7BF7">
      <w:pPr>
        <w:pStyle w:val="Corpsdetexte"/>
      </w:pPr>
      <w:r>
        <w:rPr>
          <w:rStyle w:val="VerbatimChar"/>
        </w:rPr>
        <w:t>P35_a_identifié (a_été_identifié_par)</w:t>
      </w:r>
      <w:r>
        <w:t xml:space="preserve"> : </w:t>
      </w:r>
      <w:r>
        <w:rPr>
          <w:rStyle w:val="VerbatimChar"/>
        </w:rPr>
        <w:t>E3_État_matériel</w:t>
      </w:r>
    </w:p>
    <w:p w14:paraId="406FA128" w14:textId="77777777" w:rsidR="00065317" w:rsidRDefault="005C7BF7">
      <w:pPr>
        <w:pStyle w:val="Normalcentr"/>
      </w:pPr>
      <w:r>
        <w:rPr>
          <w:b/>
          <w:bCs/>
          <w:i/>
          <w:iCs/>
        </w:rPr>
        <w:t>Note de traduction</w:t>
      </w:r>
    </w:p>
    <w:p w14:paraId="15864603" w14:textId="77777777" w:rsidR="00065317" w:rsidRDefault="005C7BF7">
      <w:pPr>
        <w:pStyle w:val="Normalcentr"/>
      </w:pPr>
      <w:r>
        <w:t>Le nom du manuscrit MS Sinai Greek 418 a été traduit en suivant les choix du Portail Biblissima</w:t>
      </w:r>
    </w:p>
    <w:p w14:paraId="02CE29F6" w14:textId="1862B762" w:rsidR="00065317" w:rsidRPr="008D39EE" w:rsidRDefault="005C7BF7" w:rsidP="00C86352">
      <w:pPr>
        <w:pStyle w:val="Normalcentr"/>
      </w:pPr>
      <w:r>
        <w:t>« Endband cores » a été traduit par « bâtonnets de la tranchefile ». Il aurait aussi été possible de traduire par « noyaux de la tranchefile », mais cette traduction est moins fréquente dans la littérature scientifique. « Endband cores » peut aussi se traduire uniquement par «</w:t>
      </w:r>
      <w:r>
        <w:rPr>
          <w:b/>
          <w:bCs/>
        </w:rPr>
        <w:t> </w:t>
      </w:r>
      <w:r>
        <w:t>bâtonnets », mais afin d</w:t>
      </w:r>
      <w:r w:rsidR="00E84B0E">
        <w:t>’</w:t>
      </w:r>
      <w:r>
        <w:t>éviter toute ambiguïté, l</w:t>
      </w:r>
      <w:r w:rsidR="00E84B0E">
        <w:t>’</w:t>
      </w:r>
      <w:r>
        <w:t>équipe de traduction a décidé d</w:t>
      </w:r>
      <w:r w:rsidR="00E84B0E">
        <w:t>’</w:t>
      </w:r>
      <w:r>
        <w:t>ajouter « de la tranchefile ».</w:t>
      </w:r>
    </w:p>
    <w:p w14:paraId="27D2EBE1" w14:textId="77777777" w:rsidR="00065317" w:rsidRDefault="005C7BF7">
      <w:pPr>
        <w:pStyle w:val="Normalcentr"/>
      </w:pPr>
      <w:r>
        <w:rPr>
          <w:b/>
          <w:bCs/>
          <w:i/>
          <w:iCs/>
        </w:rPr>
        <w:t>Références</w:t>
      </w:r>
    </w:p>
    <w:p w14:paraId="61AFE4E3" w14:textId="77777777" w:rsidR="00065317" w:rsidRPr="00914F34" w:rsidRDefault="005C7BF7">
      <w:pPr>
        <w:pStyle w:val="Normalcentr"/>
        <w:rPr>
          <w:lang w:val="en-CA"/>
        </w:rPr>
      </w:pPr>
      <w:r>
        <w:t xml:space="preserve">Climacus, John. « Égypte, Mont Sinaï, Monastère Sainte-Catherine, MS gr. 418 ». </w:t>
      </w:r>
      <w:r w:rsidRPr="00914F34">
        <w:rPr>
          <w:lang w:val="en-CA"/>
        </w:rPr>
        <w:t>Manuscrit. Monastère Sainte-Catherine, EG-JS, 1100.</w:t>
      </w:r>
      <w:hyperlink r:id="rId169">
        <w:r w:rsidRPr="00914F34">
          <w:rPr>
            <w:rStyle w:val="Lienhypertexte"/>
            <w:lang w:val="en-CA"/>
          </w:rPr>
          <w:t xml:space="preserve"> </w:t>
        </w:r>
      </w:hyperlink>
      <w:hyperlink r:id="rId170">
        <w:r w:rsidRPr="00914F34">
          <w:rPr>
            <w:rStyle w:val="Lienhypertexte"/>
            <w:lang w:val="en-CA"/>
          </w:rPr>
          <w:t>https://portail.biblissima.fr/fr/ark:/43093/mdata4173039fff31678134d93fd0bd8ff41dd71226a8</w:t>
        </w:r>
      </w:hyperlink>
      <w:r w:rsidRPr="00914F34">
        <w:rPr>
          <w:lang w:val="en-CA"/>
        </w:rPr>
        <w:t>.</w:t>
      </w:r>
    </w:p>
    <w:p w14:paraId="33ECC39D" w14:textId="77777777" w:rsidR="00065317" w:rsidRDefault="005C7BF7">
      <w:pPr>
        <w:pStyle w:val="Normalcentr"/>
      </w:pPr>
      <w:r w:rsidRPr="00EC2D6E">
        <w:rPr>
          <w:lang w:val="en-CA"/>
        </w:rPr>
        <w:t xml:space="preserve">———. « Greek Manuscripts 418. </w:t>
      </w:r>
      <w:r w:rsidRPr="00523021">
        <w:rPr>
          <w:lang w:val="fr-CA"/>
        </w:rPr>
        <w:t xml:space="preserve">John Climacus ». Manuscrit. </w:t>
      </w:r>
      <w:r>
        <w:t>Monastère Sainte-Catherine, EG-JS, 1100.</w:t>
      </w:r>
      <w:hyperlink r:id="rId171">
        <w:r>
          <w:rPr>
            <w:rStyle w:val="Lienhypertexte"/>
          </w:rPr>
          <w:t xml:space="preserve"> </w:t>
        </w:r>
      </w:hyperlink>
      <w:hyperlink r:id="rId172">
        <w:r>
          <w:rPr>
            <w:rStyle w:val="Lienhypertexte"/>
          </w:rPr>
          <w:t>https://www.loc.gov/item/00279380435-ms</w:t>
        </w:r>
      </w:hyperlink>
      <w:r>
        <w:t>.</w:t>
      </w:r>
    </w:p>
    <w:p w14:paraId="1D192E23" w14:textId="47AE970D" w:rsidR="00065317" w:rsidRDefault="005C7BF7">
      <w:pPr>
        <w:pStyle w:val="Normalcentr"/>
      </w:pPr>
      <w:r>
        <w:t xml:space="preserve">Lenormand, Louis Sébastien, et W. Maigne. « Tranchefile ». Dans </w:t>
      </w:r>
      <w:r>
        <w:rPr>
          <w:i/>
          <w:iCs/>
        </w:rPr>
        <w:t>Nouveau manuel complet du relieur en tous genres contenant les arts de l</w:t>
      </w:r>
      <w:r w:rsidR="00E84B0E">
        <w:rPr>
          <w:i/>
          <w:iCs/>
        </w:rPr>
        <w:t>’</w:t>
      </w:r>
      <w:r>
        <w:rPr>
          <w:i/>
          <w:iCs/>
        </w:rPr>
        <w:t>assembleur, du satineur, du cartonneur, du marbreur sur tranches et du doreur sur tranches et sur cuir</w:t>
      </w:r>
      <w:r>
        <w:t>, édité par L. Mulo, 171‑75. Manuels Roret. 1900. Reprint, Paris, FR-IDF</w:t>
      </w:r>
      <w:r w:rsidR="00021E92">
        <w:t> </w:t>
      </w:r>
      <w:r>
        <w:t>: Encyclopédie-Roret, 2006.</w:t>
      </w:r>
      <w:hyperlink r:id="rId173">
        <w:r>
          <w:rPr>
            <w:rStyle w:val="Lienhypertexte"/>
          </w:rPr>
          <w:t xml:space="preserve"> </w:t>
        </w:r>
      </w:hyperlink>
      <w:hyperlink r:id="rId174">
        <w:r>
          <w:rPr>
            <w:rStyle w:val="Lienhypertexte"/>
          </w:rPr>
          <w:t>https://www.moulinduverger.com/reliure-manuelle/roret-69.php</w:t>
        </w:r>
      </w:hyperlink>
      <w:r>
        <w:t>.</w:t>
      </w:r>
    </w:p>
    <w:p w14:paraId="6A0BAEDB" w14:textId="536F782D" w:rsidR="00065317" w:rsidRDefault="005C7BF7">
      <w:pPr>
        <w:pStyle w:val="Normalcentr"/>
      </w:pPr>
      <w:r>
        <w:t xml:space="preserve">Louis, Olivier. « Bâtonnets de tranchefile, fabrication, matériel utilisé et dimensions. » Blogue. </w:t>
      </w:r>
      <w:r>
        <w:rPr>
          <w:i/>
          <w:iCs/>
        </w:rPr>
        <w:t>Reliure d</w:t>
      </w:r>
      <w:r w:rsidR="00E84B0E">
        <w:rPr>
          <w:i/>
          <w:iCs/>
        </w:rPr>
        <w:t>’</w:t>
      </w:r>
      <w:r>
        <w:rPr>
          <w:i/>
          <w:iCs/>
        </w:rPr>
        <w:t>art dare</w:t>
      </w:r>
      <w:r>
        <w:t xml:space="preserve"> (blog), 28</w:t>
      </w:r>
      <w:r w:rsidR="00056DCD">
        <w:t> septembre </w:t>
      </w:r>
      <w:r>
        <w:t>2021.</w:t>
      </w:r>
      <w:hyperlink r:id="rId175">
        <w:r>
          <w:rPr>
            <w:rStyle w:val="Lienhypertexte"/>
          </w:rPr>
          <w:t xml:space="preserve"> </w:t>
        </w:r>
      </w:hyperlink>
      <w:hyperlink r:id="rId176">
        <w:r>
          <w:rPr>
            <w:rStyle w:val="Lienhypertexte"/>
          </w:rPr>
          <w:t>https://reliuredartdare.com/2021/09/batonnets-tranchefile-fabrication/</w:t>
        </w:r>
      </w:hyperlink>
      <w:r>
        <w:t>.</w:t>
      </w:r>
    </w:p>
    <w:p w14:paraId="5D4005F6" w14:textId="2CDDDA30" w:rsidR="00065317" w:rsidRPr="00EC2D6E" w:rsidRDefault="005C7BF7">
      <w:pPr>
        <w:pStyle w:val="Normalcentr"/>
        <w:rPr>
          <w:lang w:val="en-CA"/>
        </w:rPr>
      </w:pPr>
      <w:r>
        <w:t>Smith, Shelagh, et Hélène Franc</w:t>
      </w:r>
      <w:r w:rsidR="00925267">
        <w:t>oe</w:t>
      </w:r>
      <w:r>
        <w:t xml:space="preserve">ur. </w:t>
      </w:r>
      <w:r w:rsidRPr="00EC2D6E">
        <w:rPr>
          <w:i/>
          <w:iCs/>
          <w:lang w:val="en-CA"/>
        </w:rPr>
        <w:t>English to French Book Arts Terms</w:t>
      </w:r>
      <w:r w:rsidRPr="00EC2D6E">
        <w:rPr>
          <w:lang w:val="en-CA"/>
        </w:rPr>
        <w:t>. Toronto, CA-ON</w:t>
      </w:r>
      <w:r w:rsidR="00021E92">
        <w:rPr>
          <w:lang w:val="en-CA"/>
        </w:rPr>
        <w:t> </w:t>
      </w:r>
      <w:r w:rsidRPr="00EC2D6E">
        <w:rPr>
          <w:lang w:val="en-CA"/>
        </w:rPr>
        <w:t>: Canadian Bookbinders and Book Artists Guild, 2021.</w:t>
      </w:r>
      <w:hyperlink r:id="rId177">
        <w:r w:rsidRPr="00EC2D6E">
          <w:rPr>
            <w:rStyle w:val="Lienhypertexte"/>
            <w:lang w:val="en-CA"/>
          </w:rPr>
          <w:t xml:space="preserve"> </w:t>
        </w:r>
      </w:hyperlink>
      <w:hyperlink r:id="rId178">
        <w:r w:rsidRPr="00EC2D6E">
          <w:rPr>
            <w:rStyle w:val="Lienhypertexte"/>
            <w:lang w:val="en-CA"/>
          </w:rPr>
          <w:t>https://www.cbbag.ca/resources/Public/Book%20Arts%20ENG%20FRE%20Translation.pdf</w:t>
        </w:r>
      </w:hyperlink>
      <w:r w:rsidRPr="00EC2D6E">
        <w:rPr>
          <w:lang w:val="en-CA"/>
        </w:rPr>
        <w:t>.</w:t>
      </w:r>
    </w:p>
    <w:p w14:paraId="7C31989D" w14:textId="24907BAF" w:rsidR="00065317" w:rsidRDefault="005C7BF7" w:rsidP="00DD1219">
      <w:pPr>
        <w:pStyle w:val="Titre3"/>
      </w:pPr>
      <w:bookmarkStart w:id="134" w:name="_Toc154048752"/>
      <w:bookmarkStart w:id="135" w:name="e15-assignation-didentifiant"/>
      <w:bookmarkEnd w:id="133"/>
      <w:r>
        <w:t>E15 Assignation d</w:t>
      </w:r>
      <w:r w:rsidR="00E84B0E">
        <w:t>’</w:t>
      </w:r>
      <w:r>
        <w:t>identifiant</w:t>
      </w:r>
      <w:bookmarkEnd w:id="134"/>
    </w:p>
    <w:p w14:paraId="15B8AE9B" w14:textId="77777777" w:rsidR="00065317" w:rsidRDefault="005C7BF7">
      <w:pPr>
        <w:pStyle w:val="FirstParagraph"/>
      </w:pPr>
      <w:r>
        <w:rPr>
          <w:b/>
          <w:bCs/>
        </w:rPr>
        <w:t>Sous-classe de</w:t>
      </w:r>
    </w:p>
    <w:p w14:paraId="690F359D" w14:textId="6580A64E" w:rsidR="00065317" w:rsidRDefault="005C7BF7">
      <w:pPr>
        <w:pStyle w:val="Corpsdetexte"/>
      </w:pPr>
      <w:r>
        <w:rPr>
          <w:rStyle w:val="VerbatimChar"/>
        </w:rPr>
        <w:t>E13_Assignation_d</w:t>
      </w:r>
      <w:r w:rsidR="00E84B0E">
        <w:rPr>
          <w:rStyle w:val="VerbatimChar"/>
        </w:rPr>
        <w:t>’</w:t>
      </w:r>
      <w:r>
        <w:rPr>
          <w:rStyle w:val="VerbatimChar"/>
        </w:rPr>
        <w:t>attribut</w:t>
      </w:r>
    </w:p>
    <w:p w14:paraId="5047B7BF" w14:textId="20479B72" w:rsidR="00241DFB" w:rsidRPr="003F44C6" w:rsidRDefault="005C7BF7">
      <w:pPr>
        <w:pStyle w:val="Corpsdetexte"/>
        <w:rPr>
          <w:b/>
          <w:bCs/>
        </w:rPr>
      </w:pPr>
      <w:r>
        <w:rPr>
          <w:b/>
          <w:bCs/>
        </w:rPr>
        <w:t>Super-classe de</w:t>
      </w:r>
    </w:p>
    <w:p w14:paraId="25907CAC" w14:textId="218ADFAC" w:rsidR="00065317" w:rsidRDefault="005C7BF7">
      <w:pPr>
        <w:pStyle w:val="Corpsdetexte"/>
      </w:pPr>
      <w:r>
        <w:rPr>
          <w:b/>
          <w:bCs/>
        </w:rPr>
        <w:t>Note d</w:t>
      </w:r>
      <w:r w:rsidR="00E84B0E">
        <w:rPr>
          <w:b/>
          <w:bCs/>
        </w:rPr>
        <w:t>’</w:t>
      </w:r>
      <w:r>
        <w:rPr>
          <w:b/>
          <w:bCs/>
        </w:rPr>
        <w:t>application</w:t>
      </w:r>
    </w:p>
    <w:p w14:paraId="330B86C9" w14:textId="12780DF7" w:rsidR="00065317" w:rsidRDefault="005C7BF7">
      <w:pPr>
        <w:pStyle w:val="Corpsdetexte"/>
      </w:pPr>
      <w:r>
        <w:t>Cette classe comprend les activités desquelles résulte l</w:t>
      </w:r>
      <w:r w:rsidR="00E84B0E">
        <w:t>’</w:t>
      </w:r>
      <w:r>
        <w:t>assignation d</w:t>
      </w:r>
      <w:r w:rsidR="00E84B0E">
        <w:t>’</w:t>
      </w:r>
      <w:r>
        <w:t xml:space="preserve">un identifiant à une instance de </w:t>
      </w:r>
      <w:r>
        <w:rPr>
          <w:rStyle w:val="VerbatimChar"/>
        </w:rPr>
        <w:t>E1_Entité_CRM</w:t>
      </w:r>
      <w:r>
        <w:t xml:space="preserve">. Les instances de </w:t>
      </w:r>
      <w:r>
        <w:rPr>
          <w:rStyle w:val="VerbatimChar"/>
        </w:rPr>
        <w:t>E15_Assignation_d</w:t>
      </w:r>
      <w:r w:rsidR="00E84B0E">
        <w:rPr>
          <w:rStyle w:val="VerbatimChar"/>
        </w:rPr>
        <w:t>’</w:t>
      </w:r>
      <w:r>
        <w:rPr>
          <w:rStyle w:val="VerbatimChar"/>
        </w:rPr>
        <w:t>identifiant</w:t>
      </w:r>
      <w:r>
        <w:t xml:space="preserve"> peuvent inclure la création de l</w:t>
      </w:r>
      <w:r w:rsidR="00E84B0E">
        <w:t>’</w:t>
      </w:r>
      <w:r>
        <w:t xml:space="preserve">identifiant à partir de plusieurs éléments constitutifs, lesquels peuvent être des instances de </w:t>
      </w:r>
      <w:r>
        <w:rPr>
          <w:rStyle w:val="VerbatimChar"/>
        </w:rPr>
        <w:t>E41_Appellation</w:t>
      </w:r>
      <w:r>
        <w:t>. La syntaxe et les types d</w:t>
      </w:r>
      <w:r w:rsidR="00E84B0E">
        <w:t>’</w:t>
      </w:r>
      <w:r>
        <w:t xml:space="preserve">éléments constitutifs utilisés peuvent être déclarés dans une règle constituant une instance de </w:t>
      </w:r>
      <w:r>
        <w:rPr>
          <w:rStyle w:val="VerbatimChar"/>
        </w:rPr>
        <w:t>E29_Conceptualisation_ou_procédure</w:t>
      </w:r>
      <w:r>
        <w:t>.</w:t>
      </w:r>
    </w:p>
    <w:p w14:paraId="5C3E9E9D" w14:textId="4BAB09BE" w:rsidR="00065317" w:rsidRDefault="005C7BF7">
      <w:pPr>
        <w:pStyle w:val="Corpsdetexte"/>
      </w:pPr>
      <w:r>
        <w:t>Des exemples de tels identifiants comprennent les numéros de recherche et d</w:t>
      </w:r>
      <w:r w:rsidR="00E84B0E">
        <w:t>’</w:t>
      </w:r>
      <w:r>
        <w:t>inventaire, les titres uniformes en bibliothéconomie et les identificateurs d</w:t>
      </w:r>
      <w:r w:rsidR="00E84B0E">
        <w:t>’</w:t>
      </w:r>
      <w:r>
        <w:t>objets numériques. Documenter l</w:t>
      </w:r>
      <w:r w:rsidR="00E84B0E">
        <w:t>’</w:t>
      </w:r>
      <w:r>
        <w:t>acte d</w:t>
      </w:r>
      <w:r w:rsidR="00E84B0E">
        <w:t>’</w:t>
      </w:r>
      <w:r>
        <w:t>assignation et de désassignation est particulièrement utile lorsque les objets changent de garde ou que le système d</w:t>
      </w:r>
      <w:r w:rsidR="00E84B0E">
        <w:t>’</w:t>
      </w:r>
      <w:r>
        <w:t>identification d</w:t>
      </w:r>
      <w:r w:rsidR="00E84B0E">
        <w:t>’</w:t>
      </w:r>
      <w:r>
        <w:t>une organisation est modifié. Afin de conserver une trace de l</w:t>
      </w:r>
      <w:r w:rsidR="00E84B0E">
        <w:t>’</w:t>
      </w:r>
      <w:r>
        <w:t>identité des choses dans de telles situations, il est important de documenter par qui, quand et dans quel but un identifiant a été assigné à une entité.</w:t>
      </w:r>
    </w:p>
    <w:p w14:paraId="2CC9DDCA" w14:textId="14D2D11F" w:rsidR="00065317" w:rsidRDefault="005C7BF7" w:rsidP="00C86352">
      <w:pPr>
        <w:pStyle w:val="Corpsdetexte"/>
      </w:pPr>
      <w:r>
        <w:lastRenderedPageBreak/>
        <w:t>Le fait qu</w:t>
      </w:r>
      <w:r w:rsidR="00E84B0E">
        <w:t>’</w:t>
      </w:r>
      <w:r>
        <w:t xml:space="preserve">un identifiant soit privilégié par une organisation peut être exprimé en utilisant le chemin sémantique suivant : </w:t>
      </w:r>
      <w:r>
        <w:rPr>
          <w:rStyle w:val="VerbatimChar"/>
        </w:rPr>
        <w:t>E1_Entité_CRM</w:t>
      </w:r>
      <w:r>
        <w:t xml:space="preserve">. </w:t>
      </w:r>
      <w:r>
        <w:rPr>
          <w:rStyle w:val="VerbatimChar"/>
        </w:rPr>
        <w:t>P48_a_pour_identifiant_préférentiel (est_l</w:t>
      </w:r>
      <w:r w:rsidR="00E84B0E">
        <w:rPr>
          <w:rStyle w:val="VerbatimChar"/>
        </w:rPr>
        <w:t>’</w:t>
      </w:r>
      <w:r>
        <w:rPr>
          <w:rStyle w:val="VerbatimChar"/>
        </w:rPr>
        <w:t>identifiant_préférentiel_de)</w:t>
      </w:r>
      <w:r w:rsidR="00CF0FD9">
        <w:t> :</w:t>
      </w:r>
      <w:r>
        <w:t xml:space="preserve"> </w:t>
      </w:r>
      <w:r>
        <w:rPr>
          <w:rStyle w:val="VerbatimChar"/>
        </w:rPr>
        <w:t>E42_Identifiant</w:t>
      </w:r>
      <w:r>
        <w:t>. Il pourrait être préférable de l</w:t>
      </w:r>
      <w:r w:rsidR="00E84B0E">
        <w:t>’</w:t>
      </w:r>
      <w:r>
        <w:t xml:space="preserve">exprimer sous une forme indépendante du contexte en assignant un </w:t>
      </w:r>
      <w:r>
        <w:rPr>
          <w:rStyle w:val="VerbatimChar"/>
        </w:rPr>
        <w:t>E55_Type</w:t>
      </w:r>
      <w:r>
        <w:t xml:space="preserve"> approprié, tel que « assignation d</w:t>
      </w:r>
      <w:r w:rsidR="00E84B0E">
        <w:t>’</w:t>
      </w:r>
      <w:r>
        <w:t>identifiant privilégié » à l</w:t>
      </w:r>
      <w:r w:rsidR="00E84B0E">
        <w:t>’</w:t>
      </w:r>
      <w:r>
        <w:t xml:space="preserve">instance de </w:t>
      </w:r>
      <w:r>
        <w:rPr>
          <w:rStyle w:val="VerbatimChar"/>
        </w:rPr>
        <w:t>E15_Assignation_d</w:t>
      </w:r>
      <w:r w:rsidR="00E84B0E">
        <w:rPr>
          <w:rStyle w:val="VerbatimChar"/>
        </w:rPr>
        <w:t>’</w:t>
      </w:r>
      <w:r>
        <w:rPr>
          <w:rStyle w:val="VerbatimChar"/>
        </w:rPr>
        <w:t>identifiant</w:t>
      </w:r>
      <w:r>
        <w:t xml:space="preserve">, par le biais de la propriété </w:t>
      </w:r>
      <w:r>
        <w:rPr>
          <w:rStyle w:val="VerbatimChar"/>
        </w:rPr>
        <w:t>P2_a_pour_type (est_le_type_de)</w:t>
      </w:r>
      <w:r>
        <w:t>.</w:t>
      </w:r>
    </w:p>
    <w:p w14:paraId="6C187BA2" w14:textId="77777777" w:rsidR="00065317" w:rsidRDefault="005C7BF7">
      <w:pPr>
        <w:pStyle w:val="Corpsdetexte"/>
      </w:pPr>
      <w:r>
        <w:rPr>
          <w:b/>
          <w:bCs/>
        </w:rPr>
        <w:t>Exemples</w:t>
      </w:r>
    </w:p>
    <w:p w14:paraId="024BE799" w14:textId="43500522" w:rsidR="00065317" w:rsidRDefault="005C7BF7">
      <w:pPr>
        <w:numPr>
          <w:ilvl w:val="0"/>
          <w:numId w:val="71"/>
        </w:numPr>
      </w:pPr>
      <w:r>
        <w:t>Le remplacement du numéro d</w:t>
      </w:r>
      <w:r w:rsidR="00E84B0E">
        <w:t>’</w:t>
      </w:r>
      <w:r>
        <w:t>inventaire « TA959a » par « GE34604 » pour un tissu liturgique du XVII</w:t>
      </w:r>
      <w:r>
        <w:rPr>
          <w:vertAlign w:val="superscript"/>
        </w:rPr>
        <w:t>e</w:t>
      </w:r>
      <w:r w:rsidR="00056DCD">
        <w:t> siècle </w:t>
      </w:r>
      <w:r>
        <w:t>au Musée Benaki à Athènes</w:t>
      </w:r>
    </w:p>
    <w:p w14:paraId="350081DE" w14:textId="08C26617" w:rsidR="00065317" w:rsidRDefault="005C7BF7">
      <w:pPr>
        <w:numPr>
          <w:ilvl w:val="0"/>
          <w:numId w:val="71"/>
        </w:numPr>
      </w:pPr>
      <w:r>
        <w:t>Assignation du titre uniforme « G</w:t>
      </w:r>
      <w:r w:rsidR="00925267">
        <w:t>oe</w:t>
      </w:r>
      <w:r>
        <w:t>the, Johann Wolfgang von, 1749-1832. Faust. 1. Theil. » à l</w:t>
      </w:r>
      <w:r w:rsidR="00E84B0E">
        <w:t>’</w:t>
      </w:r>
      <w:r>
        <w:t>œuvre</w:t>
      </w:r>
    </w:p>
    <w:p w14:paraId="1D26601A" w14:textId="597A6C9D" w:rsidR="00A81E78" w:rsidRPr="00241DFB" w:rsidRDefault="005C7BF7" w:rsidP="00241DFB">
      <w:pPr>
        <w:numPr>
          <w:ilvl w:val="0"/>
          <w:numId w:val="71"/>
        </w:numPr>
      </w:pPr>
      <w:r>
        <w:t>Le 1</w:t>
      </w:r>
      <w:r>
        <w:rPr>
          <w:vertAlign w:val="superscript"/>
        </w:rPr>
        <w:t>er</w:t>
      </w:r>
      <w:r w:rsidR="00056DCD">
        <w:t> juin </w:t>
      </w:r>
      <w:r>
        <w:t>2001, assignation de la vedette de nom de personne « Guillaume, de Machaut, ca. 1300-1377 » à Guillaume de Machaut (Kelly, 2014)</w:t>
      </w:r>
    </w:p>
    <w:p w14:paraId="0F726D87" w14:textId="35F1ED38" w:rsidR="00065317" w:rsidRDefault="005C7BF7">
      <w:pPr>
        <w:pStyle w:val="FirstParagraph"/>
      </w:pPr>
      <w:r>
        <w:rPr>
          <w:b/>
          <w:bCs/>
        </w:rPr>
        <w:t>Logique</w:t>
      </w:r>
    </w:p>
    <w:p w14:paraId="33E08C9D" w14:textId="77777777" w:rsidR="00065317" w:rsidRDefault="005C7BF7">
      <w:pPr>
        <w:pStyle w:val="Corpsdetexte"/>
      </w:pPr>
      <w:r>
        <w:t>E15(x) ⇒ E13(x)</w:t>
      </w:r>
    </w:p>
    <w:p w14:paraId="487F4232" w14:textId="77777777" w:rsidR="00065317" w:rsidRDefault="005C7BF7">
      <w:pPr>
        <w:pStyle w:val="Corpsdetexte"/>
      </w:pPr>
      <w:r>
        <w:rPr>
          <w:b/>
          <w:bCs/>
        </w:rPr>
        <w:t>Propriétés</w:t>
      </w:r>
    </w:p>
    <w:p w14:paraId="551B45DD" w14:textId="77777777" w:rsidR="00065317" w:rsidRDefault="005C7BF7">
      <w:pPr>
        <w:pStyle w:val="Corpsdetexte"/>
      </w:pPr>
      <w:r>
        <w:rPr>
          <w:rStyle w:val="VerbatimChar"/>
        </w:rPr>
        <w:t>P37_a_assigné (a_été_assigné_par)</w:t>
      </w:r>
      <w:r>
        <w:t xml:space="preserve"> : </w:t>
      </w:r>
      <w:r>
        <w:rPr>
          <w:rStyle w:val="VerbatimChar"/>
        </w:rPr>
        <w:t>E42_Identifiant</w:t>
      </w:r>
    </w:p>
    <w:p w14:paraId="125416FD" w14:textId="4554CE54" w:rsidR="00065317" w:rsidRDefault="005C7BF7">
      <w:pPr>
        <w:pStyle w:val="Corpsdetexte"/>
      </w:pPr>
      <w:r>
        <w:rPr>
          <w:rStyle w:val="VerbatimChar"/>
        </w:rPr>
        <w:t>P38_a_retiré_l</w:t>
      </w:r>
      <w:r w:rsidR="00E84B0E">
        <w:rPr>
          <w:rStyle w:val="VerbatimChar"/>
        </w:rPr>
        <w:t>’</w:t>
      </w:r>
      <w:r>
        <w:rPr>
          <w:rStyle w:val="VerbatimChar"/>
        </w:rPr>
        <w:t>assignation (a_été_retiré_par)</w:t>
      </w:r>
    </w:p>
    <w:p w14:paraId="3F02AA5F" w14:textId="77777777" w:rsidR="00065317" w:rsidRDefault="005C7BF7">
      <w:pPr>
        <w:pStyle w:val="Corpsdetexte"/>
      </w:pPr>
      <w:r>
        <w:rPr>
          <w:rStyle w:val="VerbatimChar"/>
        </w:rPr>
        <w:t>P142_a_mobilisé_comme_élément</w:t>
      </w:r>
      <w:r>
        <w:t xml:space="preserve"> : </w:t>
      </w:r>
      <w:r>
        <w:rPr>
          <w:rStyle w:val="VerbatimChar"/>
        </w:rPr>
        <w:t>E90_Objet_symbolique</w:t>
      </w:r>
    </w:p>
    <w:p w14:paraId="644EDCC5" w14:textId="77777777" w:rsidR="00065317" w:rsidRDefault="005C7BF7">
      <w:pPr>
        <w:pStyle w:val="Normalcentr"/>
      </w:pPr>
      <w:r>
        <w:rPr>
          <w:b/>
          <w:bCs/>
          <w:i/>
          <w:iCs/>
        </w:rPr>
        <w:t>Note de traduction</w:t>
      </w:r>
    </w:p>
    <w:p w14:paraId="64D74516" w14:textId="2B4CB75A" w:rsidR="00065317" w:rsidRDefault="005C7BF7" w:rsidP="00F02C72">
      <w:pPr>
        <w:pStyle w:val="Normalcentr"/>
      </w:pPr>
      <w:r>
        <w:rPr>
          <w:b/>
          <w:bCs/>
          <w:i/>
          <w:iCs/>
        </w:rPr>
        <w:t>Références</w:t>
      </w:r>
    </w:p>
    <w:p w14:paraId="31824153" w14:textId="77777777" w:rsidR="00065317" w:rsidRDefault="005C7BF7" w:rsidP="00914F34">
      <w:pPr>
        <w:pStyle w:val="Titre3"/>
      </w:pPr>
      <w:bookmarkStart w:id="136" w:name="_Toc154048753"/>
      <w:bookmarkStart w:id="137" w:name="e16-mesurage"/>
      <w:bookmarkEnd w:id="135"/>
      <w:r>
        <w:t>E16 Mesurage</w:t>
      </w:r>
      <w:bookmarkEnd w:id="136"/>
    </w:p>
    <w:p w14:paraId="6D10C8F1" w14:textId="77777777" w:rsidR="00065317" w:rsidRDefault="005C7BF7">
      <w:pPr>
        <w:pStyle w:val="FirstParagraph"/>
      </w:pPr>
      <w:r>
        <w:rPr>
          <w:b/>
          <w:bCs/>
        </w:rPr>
        <w:t>Sous-classe de</w:t>
      </w:r>
    </w:p>
    <w:p w14:paraId="37F9C3CE" w14:textId="7886F883" w:rsidR="00065317" w:rsidRDefault="005C7BF7">
      <w:pPr>
        <w:pStyle w:val="Corpsdetexte"/>
      </w:pPr>
      <w:r>
        <w:rPr>
          <w:rStyle w:val="VerbatimChar"/>
        </w:rPr>
        <w:t>E13_Assignation_d</w:t>
      </w:r>
      <w:r w:rsidR="00E84B0E">
        <w:rPr>
          <w:rStyle w:val="VerbatimChar"/>
        </w:rPr>
        <w:t>’</w:t>
      </w:r>
      <w:r>
        <w:rPr>
          <w:rStyle w:val="VerbatimChar"/>
        </w:rPr>
        <w:t>attribut</w:t>
      </w:r>
    </w:p>
    <w:p w14:paraId="0F538C94" w14:textId="76233256" w:rsidR="00241DFB" w:rsidRPr="003F44C6" w:rsidRDefault="005C7BF7">
      <w:pPr>
        <w:pStyle w:val="Corpsdetexte"/>
        <w:rPr>
          <w:b/>
          <w:bCs/>
        </w:rPr>
      </w:pPr>
      <w:r>
        <w:rPr>
          <w:b/>
          <w:bCs/>
        </w:rPr>
        <w:t>Super-classe de</w:t>
      </w:r>
    </w:p>
    <w:p w14:paraId="4CCB6D1F" w14:textId="1A1F7366" w:rsidR="00065317" w:rsidRDefault="005C7BF7">
      <w:pPr>
        <w:pStyle w:val="Corpsdetexte"/>
      </w:pPr>
      <w:r>
        <w:rPr>
          <w:b/>
          <w:bCs/>
        </w:rPr>
        <w:t>Note d</w:t>
      </w:r>
      <w:r w:rsidR="00E84B0E">
        <w:rPr>
          <w:b/>
          <w:bCs/>
        </w:rPr>
        <w:t>’</w:t>
      </w:r>
      <w:r>
        <w:rPr>
          <w:b/>
          <w:bCs/>
        </w:rPr>
        <w:t>application</w:t>
      </w:r>
    </w:p>
    <w:p w14:paraId="332624FD" w14:textId="257F70BB" w:rsidR="00065317" w:rsidRDefault="005C7BF7">
      <w:pPr>
        <w:pStyle w:val="Corpsdetexte"/>
      </w:pPr>
      <w:r>
        <w:t>Cette classe comprend les actions permettant de mesurer les propriétés physiques quantitatives et les autres valeurs qui peuvent être déterminées par une procédure systématique et objective d</w:t>
      </w:r>
      <w:r w:rsidR="00E84B0E">
        <w:t>’</w:t>
      </w:r>
      <w:r>
        <w:t>observation directe des états particuliers de la réalité physique.</w:t>
      </w:r>
    </w:p>
    <w:p w14:paraId="5965D8DF" w14:textId="69245364" w:rsidR="00065317" w:rsidRDefault="005C7BF7">
      <w:pPr>
        <w:pStyle w:val="Corpsdetexte"/>
      </w:pPr>
      <w:r>
        <w:t xml:space="preserve">Une instance de </w:t>
      </w:r>
      <w:r>
        <w:rPr>
          <w:rStyle w:val="VerbatimChar"/>
        </w:rPr>
        <w:t>E16_Mesurage</w:t>
      </w:r>
      <w:r>
        <w:t xml:space="preserve"> peut impliquer un simple comptage ou l</w:t>
      </w:r>
      <w:r w:rsidR="00E84B0E">
        <w:t>’</w:t>
      </w:r>
      <w:r>
        <w:t>utilisation d</w:t>
      </w:r>
      <w:r w:rsidR="00E84B0E">
        <w:t>’</w:t>
      </w:r>
      <w:r>
        <w:t>outils, tels que des étalons ou des détecteurs de radiation. L</w:t>
      </w:r>
      <w:r w:rsidR="00E84B0E">
        <w:t>’</w:t>
      </w:r>
      <w:r>
        <w:t>intérêt de cette approche est dans la méthode appliquée et le soin apporté, de manière à pouvoir juger ultérieurement de la fiabilité du résultat ou de poursuivre la recherche sur les documents associés. La date de l</w:t>
      </w:r>
      <w:r w:rsidR="00E84B0E">
        <w:t>’</w:t>
      </w:r>
      <w:r>
        <w:t>événement est importante pour les dimensions, qui peuvent changer de valeur au fil du temps, comme la longueur d</w:t>
      </w:r>
      <w:r w:rsidR="00E84B0E">
        <w:t>’</w:t>
      </w:r>
      <w:r>
        <w:t xml:space="preserve">un objet sujet au rétrécissement. Les méthodes et dispositifs employés doivent être associés à des instances de </w:t>
      </w:r>
      <w:r>
        <w:rPr>
          <w:rStyle w:val="VerbatimChar"/>
        </w:rPr>
        <w:t>E16_Mesurage</w:t>
      </w:r>
      <w:r>
        <w:t xml:space="preserve"> par des propriétés telles que </w:t>
      </w:r>
      <w:r>
        <w:rPr>
          <w:rStyle w:val="VerbatimChar"/>
        </w:rPr>
        <w:t>P33_a_mobilisé_comme_technique_spécifique</w:t>
      </w:r>
      <w:r>
        <w:t xml:space="preserve"> : </w:t>
      </w:r>
      <w:r>
        <w:rPr>
          <w:rStyle w:val="VerbatimChar"/>
        </w:rPr>
        <w:t>E29_Conceptualisation_ou_procédure</w:t>
      </w:r>
      <w:r>
        <w:t xml:space="preserve">, </w:t>
      </w:r>
      <w:r>
        <w:rPr>
          <w:rStyle w:val="VerbatimChar"/>
        </w:rPr>
        <w:t>P125_a_mobilisé_l</w:t>
      </w:r>
      <w:r w:rsidR="00E84B0E">
        <w:rPr>
          <w:rStyle w:val="VerbatimChar"/>
        </w:rPr>
        <w:t>’</w:t>
      </w:r>
      <w:r>
        <w:rPr>
          <w:rStyle w:val="VerbatimChar"/>
        </w:rPr>
        <w:t>objet_du_type</w:t>
      </w:r>
      <w:r>
        <w:t xml:space="preserve"> : </w:t>
      </w:r>
      <w:r>
        <w:rPr>
          <w:rStyle w:val="VerbatimChar"/>
        </w:rPr>
        <w:t>E55_Type</w:t>
      </w:r>
      <w:r>
        <w:t xml:space="preserve">, </w:t>
      </w:r>
      <w:r>
        <w:rPr>
          <w:rStyle w:val="VerbatimChar"/>
        </w:rPr>
        <w:t>P16_a_mobilisé_l</w:t>
      </w:r>
      <w:r w:rsidR="00E84B0E">
        <w:rPr>
          <w:rStyle w:val="VerbatimChar"/>
        </w:rPr>
        <w:t>’</w:t>
      </w:r>
      <w:r>
        <w:rPr>
          <w:rStyle w:val="VerbatimChar"/>
        </w:rPr>
        <w:t>objet_spécifique (a_été_mobilisé_pour)</w:t>
      </w:r>
      <w:r>
        <w:t xml:space="preserve"> : </w:t>
      </w:r>
      <w:r>
        <w:rPr>
          <w:rStyle w:val="VerbatimChar"/>
        </w:rPr>
        <w:t>E70_Chose</w:t>
      </w:r>
      <w:r>
        <w:t xml:space="preserve">, alors que les techniques de base telles que la datation au carbone 14 doivent être encodées en utilisant </w:t>
      </w:r>
      <w:r>
        <w:rPr>
          <w:rStyle w:val="VerbatimChar"/>
        </w:rPr>
        <w:t xml:space="preserve">P2_a_pour_type </w:t>
      </w:r>
      <w:r>
        <w:rPr>
          <w:rStyle w:val="VerbatimChar"/>
        </w:rPr>
        <w:lastRenderedPageBreak/>
        <w:t>(est_le_type_de)</w:t>
      </w:r>
      <w:r>
        <w:t xml:space="preserve"> : </w:t>
      </w:r>
      <w:r>
        <w:rPr>
          <w:rStyle w:val="VerbatimChar"/>
        </w:rPr>
        <w:t>E55_Type</w:t>
      </w:r>
      <w:r>
        <w:t>. Les détails concernant les méthodes et les dispositifs réutilisés ou réutilisables dans d</w:t>
      </w:r>
      <w:r w:rsidR="00E84B0E">
        <w:t>’</w:t>
      </w:r>
      <w:r>
        <w:t xml:space="preserve">autres instances de </w:t>
      </w:r>
      <w:r>
        <w:rPr>
          <w:rStyle w:val="VerbatimChar"/>
        </w:rPr>
        <w:t>E16_Mesurage</w:t>
      </w:r>
      <w:r>
        <w:t xml:space="preserve"> doivent être documentés pour ces entités plutôt que pour les mesures elles-mêmes, tandis que les détails concernant une exécution particulière peuvent être documentés en texte libre ou en instanciant des sous-activités adéquates, si ces détails peuvent être d</w:t>
      </w:r>
      <w:r w:rsidR="00E84B0E">
        <w:t>’</w:t>
      </w:r>
      <w:r>
        <w:t>intérêt pour une requête plus globale.</w:t>
      </w:r>
    </w:p>
    <w:p w14:paraId="333DD07C" w14:textId="5586BE31" w:rsidR="00065317" w:rsidRDefault="005C7BF7">
      <w:pPr>
        <w:pStyle w:val="Corpsdetexte"/>
      </w:pPr>
      <w:r>
        <w:t>Qu</w:t>
      </w:r>
      <w:r w:rsidR="00E84B0E">
        <w:t>’</w:t>
      </w:r>
      <w:r>
        <w:t>une mesure soit effectuée par un instrument ou par les sens humains, celle-ci représente la transition initiale de la réalité physique à l</w:t>
      </w:r>
      <w:r w:rsidR="00E84B0E">
        <w:t>’</w:t>
      </w:r>
      <w:r>
        <w:t>information sans qu</w:t>
      </w:r>
      <w:r w:rsidR="00E84B0E">
        <w:t>’</w:t>
      </w:r>
      <w:r>
        <w:t>aucun autre objet d</w:t>
      </w:r>
      <w:r w:rsidR="00E84B0E">
        <w:t>’</w:t>
      </w:r>
      <w:r>
        <w:t>information documenté entre les deux dans la chaîne de raisonnement puisse représenter le résultat de l</w:t>
      </w:r>
      <w:r w:rsidR="00E84B0E">
        <w:t>’</w:t>
      </w:r>
      <w:r>
        <w:t>interaction de l</w:t>
      </w:r>
      <w:r w:rsidR="00E84B0E">
        <w:t>’</w:t>
      </w:r>
      <w:r>
        <w:t>observateur ou de l</w:t>
      </w:r>
      <w:r w:rsidR="00E84B0E">
        <w:t>’</w:t>
      </w:r>
      <w:r>
        <w:t>appareil avec la réalité. Par conséquent, le fait de déterminer des propriétés d</w:t>
      </w:r>
      <w:r w:rsidR="00E84B0E">
        <w:t>’</w:t>
      </w:r>
      <w:r>
        <w:t xml:space="preserve">une instance de </w:t>
      </w:r>
      <w:r>
        <w:rPr>
          <w:rStyle w:val="VerbatimChar"/>
        </w:rPr>
        <w:t>E90_Objet_symbolique</w:t>
      </w:r>
      <w:r>
        <w:t xml:space="preserve"> est considéré comme une instance de </w:t>
      </w:r>
      <w:r>
        <w:rPr>
          <w:rStyle w:val="VerbatimChar"/>
        </w:rPr>
        <w:t>E13_Assignation_d</w:t>
      </w:r>
      <w:r w:rsidR="00E84B0E">
        <w:rPr>
          <w:rStyle w:val="VerbatimChar"/>
        </w:rPr>
        <w:t>’</w:t>
      </w:r>
      <w:r>
        <w:rPr>
          <w:rStyle w:val="VerbatimChar"/>
        </w:rPr>
        <w:t>attribut</w:t>
      </w:r>
      <w:r>
        <w:t>, qui peut être inférée de l</w:t>
      </w:r>
      <w:r w:rsidR="00E84B0E">
        <w:t>’</w:t>
      </w:r>
      <w:r>
        <w:t>observation et du mesurage de supports représentatifs de l</w:t>
      </w:r>
      <w:r w:rsidR="00E84B0E">
        <w:t>’</w:t>
      </w:r>
      <w:r>
        <w:t xml:space="preserve">objet. Dans le cas où le support peut être nommé, la propriété </w:t>
      </w:r>
      <w:r>
        <w:rPr>
          <w:rStyle w:val="VerbatimChar"/>
        </w:rPr>
        <w:t>P16_a_mobilisé_l</w:t>
      </w:r>
      <w:r w:rsidR="00E84B0E">
        <w:rPr>
          <w:rStyle w:val="VerbatimChar"/>
        </w:rPr>
        <w:t>’</w:t>
      </w:r>
      <w:r>
        <w:rPr>
          <w:rStyle w:val="VerbatimChar"/>
        </w:rPr>
        <w:t>objet_spécifique (a_été_mobilisé_pour)</w:t>
      </w:r>
      <w:r>
        <w:t xml:space="preserve"> doit être utilisée pour indiquer la ou les instances de </w:t>
      </w:r>
      <w:r>
        <w:rPr>
          <w:rStyle w:val="VerbatimChar"/>
        </w:rPr>
        <w:t>E18_Chose_matérielle</w:t>
      </w:r>
      <w:r>
        <w:t xml:space="preserve"> qui ont été utilisées comme base empirique pour l</w:t>
      </w:r>
      <w:r w:rsidR="00E84B0E">
        <w:t>’</w:t>
      </w:r>
      <w:r>
        <w:t>assignation d</w:t>
      </w:r>
      <w:r w:rsidR="00E84B0E">
        <w:t>’</w:t>
      </w:r>
      <w:r>
        <w:t>attribut. Par exemple, les propriétés inférées des entités représentées à l</w:t>
      </w:r>
      <w:r w:rsidR="00E84B0E">
        <w:t>’</w:t>
      </w:r>
      <w:r>
        <w:t>aide d</w:t>
      </w:r>
      <w:r w:rsidR="00E84B0E">
        <w:t>’</w:t>
      </w:r>
      <w:r>
        <w:t xml:space="preserve">images, comme des images satellites, ne sont pas considérées comme des instances de </w:t>
      </w:r>
      <w:r>
        <w:rPr>
          <w:rStyle w:val="VerbatimChar"/>
        </w:rPr>
        <w:t>E16_Mesurage</w:t>
      </w:r>
      <w:r>
        <w:t xml:space="preserve">, mais comme des instances subséquentes de </w:t>
      </w:r>
      <w:r>
        <w:rPr>
          <w:rStyle w:val="VerbatimChar"/>
        </w:rPr>
        <w:t>E13_Assignation_d</w:t>
      </w:r>
      <w:r w:rsidR="00E84B0E">
        <w:rPr>
          <w:rStyle w:val="VerbatimChar"/>
        </w:rPr>
        <w:t>’</w:t>
      </w:r>
      <w:r>
        <w:rPr>
          <w:rStyle w:val="VerbatimChar"/>
        </w:rPr>
        <w:t>attribut</w:t>
      </w:r>
      <w:r>
        <w:t>. Plutôt, seule la production des images, comprises comme des réseaux d</w:t>
      </w:r>
      <w:r w:rsidR="00E84B0E">
        <w:t>’</w:t>
      </w:r>
      <w:r>
        <w:t xml:space="preserve">intensités de radiation, est considérée comme une instance de </w:t>
      </w:r>
      <w:r>
        <w:rPr>
          <w:rStyle w:val="VerbatimChar"/>
        </w:rPr>
        <w:t>E16_Mesurage</w:t>
      </w:r>
      <w:r>
        <w:t>. Le même raisonnement vaut pour les autres données captées.</w:t>
      </w:r>
    </w:p>
    <w:p w14:paraId="6573E6FB" w14:textId="77777777" w:rsidR="00065317" w:rsidRDefault="005C7BF7">
      <w:pPr>
        <w:pStyle w:val="Corpsdetexte"/>
      </w:pPr>
      <w:r>
        <w:rPr>
          <w:b/>
          <w:bCs/>
        </w:rPr>
        <w:t>Exemples</w:t>
      </w:r>
    </w:p>
    <w:p w14:paraId="2A712565" w14:textId="55AEE206" w:rsidR="00065317" w:rsidRDefault="005C7BF7">
      <w:pPr>
        <w:numPr>
          <w:ilvl w:val="0"/>
          <w:numId w:val="72"/>
        </w:numPr>
      </w:pPr>
      <w:r>
        <w:t>La mesure de la hauteur de la coupe en argent « 232 » le 31</w:t>
      </w:r>
      <w:r w:rsidR="00056DCD">
        <w:t> août </w:t>
      </w:r>
      <w:r>
        <w:t>1997 (fictif)</w:t>
      </w:r>
    </w:p>
    <w:p w14:paraId="51B450FB" w14:textId="01E017B6" w:rsidR="00065317" w:rsidRDefault="005C7BF7">
      <w:pPr>
        <w:numPr>
          <w:ilvl w:val="0"/>
          <w:numId w:val="72"/>
        </w:numPr>
      </w:pPr>
      <w:r>
        <w:t>La datation au carbone 14 de la « Sch</w:t>
      </w:r>
      <w:r w:rsidR="00F52177">
        <w:t>oe</w:t>
      </w:r>
      <w:r>
        <w:t>ninger Speer II » en 1996 [la datation au carbone 14 d</w:t>
      </w:r>
      <w:r w:rsidR="00E84B0E">
        <w:t>’</w:t>
      </w:r>
      <w:r>
        <w:t>une lance en bois paléolithique complète datant d</w:t>
      </w:r>
      <w:r w:rsidR="00E84B0E">
        <w:t>’</w:t>
      </w:r>
      <w:r>
        <w:t>environ 400 000 ans trouvée en 1995 à Sch</w:t>
      </w:r>
      <w:r w:rsidR="00F52177">
        <w:t>oe</w:t>
      </w:r>
      <w:r>
        <w:t>ningen, Niedersachsen, en Allemagne] (Kouwenhoven, 1997)</w:t>
      </w:r>
    </w:p>
    <w:p w14:paraId="0D939D5B" w14:textId="77777777" w:rsidR="00065317" w:rsidRDefault="005C7BF7">
      <w:pPr>
        <w:pStyle w:val="FirstParagraph"/>
      </w:pPr>
      <w:r>
        <w:rPr>
          <w:b/>
          <w:bCs/>
        </w:rPr>
        <w:t>Logique</w:t>
      </w:r>
    </w:p>
    <w:p w14:paraId="73085C4F" w14:textId="77777777" w:rsidR="00065317" w:rsidRDefault="005C7BF7">
      <w:pPr>
        <w:pStyle w:val="Corpsdetexte"/>
      </w:pPr>
      <w:r>
        <w:t>E16(x) ⇒ E13(x)</w:t>
      </w:r>
    </w:p>
    <w:p w14:paraId="22CA4201" w14:textId="77777777" w:rsidR="00065317" w:rsidRDefault="005C7BF7">
      <w:pPr>
        <w:pStyle w:val="Corpsdetexte"/>
      </w:pPr>
      <w:r>
        <w:rPr>
          <w:b/>
          <w:bCs/>
        </w:rPr>
        <w:t>Propriétés</w:t>
      </w:r>
    </w:p>
    <w:p w14:paraId="4452EB37" w14:textId="3922B5A9" w:rsidR="00065317" w:rsidRDefault="005C7BF7">
      <w:pPr>
        <w:pStyle w:val="Corpsdetexte"/>
      </w:pPr>
      <w:r>
        <w:rPr>
          <w:rStyle w:val="VerbatimChar"/>
        </w:rPr>
        <w:t>P39_a_mesuré (a_été_mesuré_par)</w:t>
      </w:r>
      <w:r>
        <w:t xml:space="preserve"> : </w:t>
      </w:r>
      <w:r>
        <w:rPr>
          <w:rStyle w:val="VerbatimChar"/>
        </w:rPr>
        <w:t>E18_Chose_matérielle</w:t>
      </w:r>
    </w:p>
    <w:p w14:paraId="3C16886E" w14:textId="77777777" w:rsidR="00065317" w:rsidRDefault="005C7BF7">
      <w:pPr>
        <w:pStyle w:val="Corpsdetexte"/>
      </w:pPr>
      <w:r>
        <w:rPr>
          <w:rStyle w:val="VerbatimChar"/>
        </w:rPr>
        <w:t>P40_a_relevé_comme_dimension (a_été_relevé_par)</w:t>
      </w:r>
      <w:r>
        <w:t xml:space="preserve"> : </w:t>
      </w:r>
      <w:r>
        <w:rPr>
          <w:rStyle w:val="VerbatimChar"/>
        </w:rPr>
        <w:t>E54_Dimension</w:t>
      </w:r>
    </w:p>
    <w:p w14:paraId="477CA992" w14:textId="77777777" w:rsidR="00065317" w:rsidRDefault="005C7BF7">
      <w:pPr>
        <w:pStyle w:val="Normalcentr"/>
      </w:pPr>
      <w:r>
        <w:rPr>
          <w:b/>
          <w:bCs/>
          <w:i/>
          <w:iCs/>
        </w:rPr>
        <w:t>Note de traduction</w:t>
      </w:r>
    </w:p>
    <w:p w14:paraId="5D953D5A" w14:textId="039FF68E" w:rsidR="00065317" w:rsidRDefault="005C7BF7" w:rsidP="00F02C72">
      <w:pPr>
        <w:pStyle w:val="Normalcentr"/>
      </w:pPr>
      <w:r>
        <w:rPr>
          <w:b/>
          <w:bCs/>
          <w:i/>
          <w:iCs/>
        </w:rPr>
        <w:t>Références</w:t>
      </w:r>
    </w:p>
    <w:p w14:paraId="415F81DB" w14:textId="77777777" w:rsidR="00065317" w:rsidRDefault="005C7BF7" w:rsidP="00914F34">
      <w:pPr>
        <w:pStyle w:val="Titre3"/>
      </w:pPr>
      <w:bookmarkStart w:id="138" w:name="_Toc154048754"/>
      <w:bookmarkStart w:id="139" w:name="e17-assignation-de-type"/>
      <w:bookmarkEnd w:id="137"/>
      <w:r>
        <w:t>E17 Assignation de type</w:t>
      </w:r>
      <w:bookmarkEnd w:id="138"/>
    </w:p>
    <w:p w14:paraId="08059870" w14:textId="77777777" w:rsidR="00065317" w:rsidRDefault="005C7BF7">
      <w:pPr>
        <w:pStyle w:val="FirstParagraph"/>
      </w:pPr>
      <w:r>
        <w:rPr>
          <w:b/>
          <w:bCs/>
        </w:rPr>
        <w:t>Sous-classe de</w:t>
      </w:r>
    </w:p>
    <w:p w14:paraId="59B5A70D" w14:textId="66346466" w:rsidR="00065317" w:rsidRDefault="005C7BF7">
      <w:pPr>
        <w:pStyle w:val="Corpsdetexte"/>
      </w:pPr>
      <w:r>
        <w:rPr>
          <w:rStyle w:val="VerbatimChar"/>
        </w:rPr>
        <w:t>E13_Assignation_d</w:t>
      </w:r>
      <w:r w:rsidR="00E84B0E">
        <w:rPr>
          <w:rStyle w:val="VerbatimChar"/>
        </w:rPr>
        <w:t>’</w:t>
      </w:r>
      <w:r>
        <w:rPr>
          <w:rStyle w:val="VerbatimChar"/>
        </w:rPr>
        <w:t>attribut</w:t>
      </w:r>
    </w:p>
    <w:p w14:paraId="1628E71C" w14:textId="3F4F09D9" w:rsidR="00241DFB" w:rsidRPr="003F44C6" w:rsidRDefault="005C7BF7">
      <w:pPr>
        <w:pStyle w:val="Corpsdetexte"/>
      </w:pPr>
      <w:r>
        <w:rPr>
          <w:b/>
          <w:bCs/>
        </w:rPr>
        <w:t>Super-classe de</w:t>
      </w:r>
    </w:p>
    <w:p w14:paraId="46B5A0FC" w14:textId="2F076BB6" w:rsidR="00065317" w:rsidRDefault="005C7BF7">
      <w:pPr>
        <w:pStyle w:val="Corpsdetexte"/>
      </w:pPr>
      <w:r>
        <w:rPr>
          <w:b/>
          <w:bCs/>
        </w:rPr>
        <w:t>Note d</w:t>
      </w:r>
      <w:r w:rsidR="00E84B0E">
        <w:rPr>
          <w:b/>
          <w:bCs/>
        </w:rPr>
        <w:t>’</w:t>
      </w:r>
      <w:r>
        <w:rPr>
          <w:b/>
          <w:bCs/>
        </w:rPr>
        <w:t>application</w:t>
      </w:r>
    </w:p>
    <w:p w14:paraId="40EDBCF0" w14:textId="2842506A" w:rsidR="00065317" w:rsidRDefault="005C7BF7">
      <w:pPr>
        <w:pStyle w:val="Corpsdetexte"/>
      </w:pPr>
      <w:r>
        <w:t>Cette classe comprend les actions de classification d</w:t>
      </w:r>
      <w:r w:rsidR="00E84B0E">
        <w:t>’</w:t>
      </w:r>
      <w:r>
        <w:t>éléments de toute nature. Ces éléments comprennent des objets, des spécimens, des personnes, des actions et des concepts.</w:t>
      </w:r>
    </w:p>
    <w:p w14:paraId="5F23D62D" w14:textId="713C4B1D" w:rsidR="00065317" w:rsidRDefault="005C7BF7" w:rsidP="00C86352">
      <w:pPr>
        <w:pStyle w:val="Corpsdetexte"/>
      </w:pPr>
      <w:r>
        <w:lastRenderedPageBreak/>
        <w:t>Cette classe permet de documenter le contexte des actions de classification pour lesquelles la valeur dépend de l</w:t>
      </w:r>
      <w:r w:rsidR="00E84B0E">
        <w:t>’</w:t>
      </w:r>
      <w:r>
        <w:t>opinion de la personne effectuant la classification et de la date à laquelle la classification a été effectuée. Cette classe englobe également la notion de « détermination », c.-à-d. l</w:t>
      </w:r>
      <w:r w:rsidR="00E84B0E">
        <w:t>’</w:t>
      </w:r>
      <w:r>
        <w:t>identification systématique et moléculaire d</w:t>
      </w:r>
      <w:r w:rsidR="00E84B0E">
        <w:t>’</w:t>
      </w:r>
      <w:r>
        <w:t>un spécimen en biologie.</w:t>
      </w:r>
    </w:p>
    <w:p w14:paraId="7B86DB42" w14:textId="77777777" w:rsidR="00065317" w:rsidRDefault="005C7BF7">
      <w:pPr>
        <w:pStyle w:val="Corpsdetexte"/>
      </w:pPr>
      <w:r>
        <w:rPr>
          <w:b/>
          <w:bCs/>
        </w:rPr>
        <w:t>Exemples</w:t>
      </w:r>
    </w:p>
    <w:p w14:paraId="7F966563" w14:textId="22576A26" w:rsidR="00065317" w:rsidRDefault="005C7BF7">
      <w:pPr>
        <w:numPr>
          <w:ilvl w:val="0"/>
          <w:numId w:val="73"/>
        </w:numPr>
      </w:pPr>
      <w:r>
        <w:t>La première classification de l</w:t>
      </w:r>
      <w:r w:rsidR="00E84B0E">
        <w:t>’</w:t>
      </w:r>
      <w:r>
        <w:t>objet « GE34604 » comme tissu liturgique au musée Benaki à Athènes</w:t>
      </w:r>
    </w:p>
    <w:p w14:paraId="47BC9541" w14:textId="5F54777B" w:rsidR="00065317" w:rsidRDefault="005C7BF7">
      <w:pPr>
        <w:numPr>
          <w:ilvl w:val="0"/>
          <w:numId w:val="73"/>
        </w:numPr>
      </w:pPr>
      <w:r>
        <w:t>L</w:t>
      </w:r>
      <w:r w:rsidR="00E84B0E">
        <w:t>’</w:t>
      </w:r>
      <w:r>
        <w:t>identification d</w:t>
      </w:r>
      <w:r w:rsidR="00E84B0E">
        <w:t>’</w:t>
      </w:r>
      <w:r>
        <w:t xml:space="preserve">un cactus dans le jardin de Martin </w:t>
      </w:r>
      <w:r w:rsidR="003C7A4A">
        <w:t>Doerr</w:t>
      </w:r>
      <w:r>
        <w:t xml:space="preserve"> comme </w:t>
      </w:r>
      <w:r>
        <w:rPr>
          <w:i/>
          <w:iCs/>
        </w:rPr>
        <w:t>Cereus hildmannianus</w:t>
      </w:r>
      <w:r>
        <w:t xml:space="preserve"> K.</w:t>
      </w:r>
      <w:r w:rsidR="008D582B">
        <w:t> </w:t>
      </w:r>
      <w:r>
        <w:t>Schumann en</w:t>
      </w:r>
      <w:r w:rsidR="00056DCD">
        <w:t> juillet </w:t>
      </w:r>
      <w:r>
        <w:t>2003</w:t>
      </w:r>
    </w:p>
    <w:p w14:paraId="28B6B60E" w14:textId="77777777" w:rsidR="00065317" w:rsidRDefault="005C7BF7">
      <w:pPr>
        <w:pStyle w:val="FirstParagraph"/>
      </w:pPr>
      <w:r>
        <w:rPr>
          <w:b/>
          <w:bCs/>
        </w:rPr>
        <w:t>Logique</w:t>
      </w:r>
    </w:p>
    <w:p w14:paraId="04730FF4" w14:textId="77777777" w:rsidR="00065317" w:rsidRDefault="005C7BF7">
      <w:pPr>
        <w:pStyle w:val="Corpsdetexte"/>
      </w:pPr>
      <w:r>
        <w:t>E17(x) ⇒ E13(x)</w:t>
      </w:r>
    </w:p>
    <w:p w14:paraId="4D37C773" w14:textId="77777777" w:rsidR="00065317" w:rsidRDefault="005C7BF7">
      <w:pPr>
        <w:pStyle w:val="Corpsdetexte"/>
      </w:pPr>
      <w:r>
        <w:rPr>
          <w:b/>
          <w:bCs/>
        </w:rPr>
        <w:t>Propriétés</w:t>
      </w:r>
    </w:p>
    <w:p w14:paraId="6FEB6F60" w14:textId="77777777" w:rsidR="00065317" w:rsidRDefault="005C7BF7">
      <w:pPr>
        <w:pStyle w:val="Corpsdetexte"/>
      </w:pPr>
      <w:r>
        <w:rPr>
          <w:rStyle w:val="VerbatimChar"/>
        </w:rPr>
        <w:t>P41_a_classifié (a_été_classifié_par)</w:t>
      </w:r>
      <w:r>
        <w:t xml:space="preserve"> : </w:t>
      </w:r>
      <w:r>
        <w:rPr>
          <w:rStyle w:val="VerbatimChar"/>
        </w:rPr>
        <w:t>E1_Entité_CRM</w:t>
      </w:r>
    </w:p>
    <w:p w14:paraId="361CA598" w14:textId="77777777" w:rsidR="00065317" w:rsidRDefault="005C7BF7">
      <w:pPr>
        <w:pStyle w:val="Corpsdetexte"/>
      </w:pPr>
      <w:r>
        <w:rPr>
          <w:rStyle w:val="VerbatimChar"/>
        </w:rPr>
        <w:t>P42_a_assigné (a_été_assigné_par)</w:t>
      </w:r>
      <w:r>
        <w:t xml:space="preserve"> : </w:t>
      </w:r>
      <w:r>
        <w:rPr>
          <w:rStyle w:val="VerbatimChar"/>
        </w:rPr>
        <w:t>E55_Type</w:t>
      </w:r>
    </w:p>
    <w:p w14:paraId="04098B78" w14:textId="77777777" w:rsidR="00065317" w:rsidRDefault="005C7BF7">
      <w:pPr>
        <w:pStyle w:val="Normalcentr"/>
      </w:pPr>
      <w:r>
        <w:rPr>
          <w:b/>
          <w:bCs/>
          <w:i/>
          <w:iCs/>
        </w:rPr>
        <w:t>Note de traduction</w:t>
      </w:r>
    </w:p>
    <w:p w14:paraId="6E29E745" w14:textId="7C94CFD8" w:rsidR="00065317" w:rsidRDefault="005C7BF7" w:rsidP="00F02C72">
      <w:pPr>
        <w:pStyle w:val="Normalcentr"/>
      </w:pPr>
      <w:r>
        <w:rPr>
          <w:b/>
          <w:bCs/>
          <w:i/>
          <w:iCs/>
        </w:rPr>
        <w:t>Références</w:t>
      </w:r>
    </w:p>
    <w:p w14:paraId="589A3C20" w14:textId="77777777" w:rsidR="00065317" w:rsidRDefault="005C7BF7" w:rsidP="00914F34">
      <w:pPr>
        <w:pStyle w:val="Titre3"/>
      </w:pPr>
      <w:bookmarkStart w:id="140" w:name="_Toc154048755"/>
      <w:bookmarkStart w:id="141" w:name="e18-chose-materielle"/>
      <w:bookmarkEnd w:id="139"/>
      <w:r>
        <w:t>E18 Chose matérielle</w:t>
      </w:r>
      <w:bookmarkEnd w:id="140"/>
    </w:p>
    <w:p w14:paraId="30016D6B" w14:textId="77777777" w:rsidR="00065317" w:rsidRDefault="005C7BF7">
      <w:pPr>
        <w:pStyle w:val="FirstParagraph"/>
      </w:pPr>
      <w:r>
        <w:rPr>
          <w:b/>
          <w:bCs/>
        </w:rPr>
        <w:t>Sous-classe de</w:t>
      </w:r>
    </w:p>
    <w:p w14:paraId="41CF7AE3" w14:textId="77777777" w:rsidR="00065317" w:rsidRDefault="005C7BF7">
      <w:pPr>
        <w:pStyle w:val="Corpsdetexte"/>
      </w:pPr>
      <w:r>
        <w:rPr>
          <w:rStyle w:val="VerbatimChar"/>
        </w:rPr>
        <w:t>E72_Objet_juridique</w:t>
      </w:r>
    </w:p>
    <w:p w14:paraId="4FAA2836" w14:textId="77777777" w:rsidR="00065317" w:rsidRDefault="005C7BF7">
      <w:pPr>
        <w:pStyle w:val="Corpsdetexte"/>
      </w:pPr>
      <w:r>
        <w:rPr>
          <w:b/>
          <w:bCs/>
        </w:rPr>
        <w:t>Super-classe de</w:t>
      </w:r>
    </w:p>
    <w:p w14:paraId="4DD57FF9" w14:textId="191E2BB4" w:rsidR="00065317" w:rsidRDefault="005C7BF7">
      <w:pPr>
        <w:pStyle w:val="Corpsdetexte"/>
      </w:pPr>
      <w:r>
        <w:rPr>
          <w:rStyle w:val="VerbatimChar"/>
        </w:rPr>
        <w:t>E19_Objet_matérielE24_Chose_matérielle_élaborée_par_l</w:t>
      </w:r>
      <w:r w:rsidR="00E84B0E">
        <w:rPr>
          <w:rStyle w:val="VerbatimChar"/>
        </w:rPr>
        <w:t>’</w:t>
      </w:r>
      <w:r>
        <w:rPr>
          <w:rStyle w:val="VerbatimChar"/>
        </w:rPr>
        <w:t>humain</w:t>
      </w:r>
    </w:p>
    <w:p w14:paraId="129B63ED" w14:textId="77777777" w:rsidR="00065317" w:rsidRDefault="005C7BF7">
      <w:pPr>
        <w:pStyle w:val="Corpsdetexte"/>
      </w:pPr>
      <w:r>
        <w:rPr>
          <w:rStyle w:val="VerbatimChar"/>
        </w:rPr>
        <w:t>E26_Caractéristique_physique</w:t>
      </w:r>
    </w:p>
    <w:p w14:paraId="6E554739" w14:textId="6E8E80D4" w:rsidR="00065317" w:rsidRDefault="005C7BF7">
      <w:pPr>
        <w:pStyle w:val="Corpsdetexte"/>
      </w:pPr>
      <w:r>
        <w:rPr>
          <w:b/>
          <w:bCs/>
        </w:rPr>
        <w:t>Note d</w:t>
      </w:r>
      <w:r w:rsidR="00E84B0E">
        <w:rPr>
          <w:b/>
          <w:bCs/>
        </w:rPr>
        <w:t>’</w:t>
      </w:r>
      <w:r>
        <w:rPr>
          <w:b/>
          <w:bCs/>
        </w:rPr>
        <w:t>application</w:t>
      </w:r>
    </w:p>
    <w:p w14:paraId="589A4486" w14:textId="53FD53B7" w:rsidR="00065317" w:rsidRDefault="005C7BF7">
      <w:pPr>
        <w:pStyle w:val="Corpsdetexte"/>
      </w:pPr>
      <w:r>
        <w:t>Cette classe comprend toutes les entités physiques persistantes présentant une forme raisonnablement stable, [</w:t>
      </w:r>
      <w:r w:rsidR="00AF51A3">
        <w:t xml:space="preserve">n.d.t. </w:t>
      </w:r>
      <w:r>
        <w:t>qu</w:t>
      </w:r>
      <w:r w:rsidR="00E84B0E">
        <w:t>’</w:t>
      </w:r>
      <w:r>
        <w:t>elles aient été] élaborées par l</w:t>
      </w:r>
      <w:r w:rsidR="00E84B0E">
        <w:t>’</w:t>
      </w:r>
      <w:r>
        <w:t>humain ou [</w:t>
      </w:r>
      <w:r w:rsidR="00AF51A3">
        <w:t xml:space="preserve">n.d.t. </w:t>
      </w:r>
      <w:r>
        <w:t>qu</w:t>
      </w:r>
      <w:r w:rsidR="00E84B0E">
        <w:t>’</w:t>
      </w:r>
      <w:r>
        <w:t>elles soient] naturelles.</w:t>
      </w:r>
    </w:p>
    <w:p w14:paraId="3143BB65" w14:textId="4443B6D6" w:rsidR="00065317" w:rsidRDefault="005C7BF7">
      <w:pPr>
        <w:pStyle w:val="Corpsdetexte"/>
      </w:pPr>
      <w:r>
        <w:t>[</w:t>
      </w:r>
      <w:r w:rsidR="00AF51A3">
        <w:t xml:space="preserve">n.d.t. </w:t>
      </w:r>
      <w:r>
        <w:t xml:space="preserve">Selon que ces instances de </w:t>
      </w:r>
      <w:r>
        <w:rPr>
          <w:rStyle w:val="VerbatimChar"/>
        </w:rPr>
        <w:t>E18_Chose_matérielle</w:t>
      </w:r>
      <w:r>
        <w:t xml:space="preserve"> présentent ou non des limites naturelles, le </w:t>
      </w:r>
      <w:r w:rsidR="00C8288F">
        <w:t>CIDOC CRM</w:t>
      </w:r>
      <w:r>
        <w:t xml:space="preserve"> les considère soit comme des instances de </w:t>
      </w:r>
      <w:r>
        <w:rPr>
          <w:rStyle w:val="VerbatimChar"/>
        </w:rPr>
        <w:t>E19_Objet_matériel</w:t>
      </w:r>
      <w:r>
        <w:t xml:space="preserve">, soit comme des instances de </w:t>
      </w:r>
      <w:r>
        <w:rPr>
          <w:rStyle w:val="VerbatimChar"/>
        </w:rPr>
        <w:t>E26_Caractéristique_physique</w:t>
      </w:r>
      <w:r>
        <w:t xml:space="preserve">, comme les trous, les rivières, les terrains, etc.] La plupart des instances de </w:t>
      </w:r>
      <w:r>
        <w:rPr>
          <w:rStyle w:val="VerbatimChar"/>
        </w:rPr>
        <w:t>E19_Objet_matériel</w:t>
      </w:r>
      <w:r>
        <w:t xml:space="preserve"> peuvent être déplacées (si celles-ci ne sont pas trop lourdes), tandis que les caractéristiques [</w:t>
      </w:r>
      <w:r w:rsidR="00AF51A3">
        <w:t xml:space="preserve">n.d.t. </w:t>
      </w:r>
      <w:r>
        <w:t>(</w:t>
      </w:r>
      <w:r>
        <w:rPr>
          <w:rStyle w:val="VerbatimChar"/>
        </w:rPr>
        <w:t>E26_Caractéristique_physique</w:t>
      </w:r>
      <w:r>
        <w:t>)] font partie intégrante de la matière environnante.</w:t>
      </w:r>
    </w:p>
    <w:p w14:paraId="0E78EF0E" w14:textId="37F1F0E3" w:rsidR="00065317" w:rsidRDefault="005C7BF7">
      <w:pPr>
        <w:pStyle w:val="Corpsdetexte"/>
      </w:pPr>
      <w:r>
        <w:t xml:space="preserve">Une instance de </w:t>
      </w:r>
      <w:r>
        <w:rPr>
          <w:rStyle w:val="VerbatimChar"/>
        </w:rPr>
        <w:t>E18_Chose_matérielle</w:t>
      </w:r>
      <w:r>
        <w:t xml:space="preserve"> occupe non seulement un espace géométrique particulier à tout instant de son existence, mais au cours de cette dernière elle forme également une trajectoire dans l</w:t>
      </w:r>
      <w:r w:rsidR="00E84B0E">
        <w:t>’</w:t>
      </w:r>
      <w:r>
        <w:t>espace et le temps. Celle-ci occupe un volume réel dans l</w:t>
      </w:r>
      <w:r w:rsidR="00E84B0E">
        <w:t>’</w:t>
      </w:r>
      <w:r>
        <w:t>espace-temps, c.-à-d. que ce volume est de nature phénoménale [</w:t>
      </w:r>
      <w:r w:rsidR="00AF51A3">
        <w:t xml:space="preserve">n.d.t. </w:t>
      </w:r>
      <w:r>
        <w:t>en d</w:t>
      </w:r>
      <w:r w:rsidR="00E84B0E">
        <w:t>’</w:t>
      </w:r>
      <w:r>
        <w:t>autres termes, il peut être perçu par les sens ou lors d</w:t>
      </w:r>
      <w:r w:rsidR="00E84B0E">
        <w:t>’</w:t>
      </w:r>
      <w:r>
        <w:t>une expérience.] L</w:t>
      </w:r>
      <w:r w:rsidR="00E84B0E">
        <w:t>’</w:t>
      </w:r>
      <w:r>
        <w:t>espace que la matière de la chose matérielle remplit ainsi que tous ses espaces intérieurs, comme l</w:t>
      </w:r>
      <w:r w:rsidR="00E84B0E">
        <w:t>’</w:t>
      </w:r>
      <w:r>
        <w:t>intérieur d</w:t>
      </w:r>
      <w:r w:rsidR="00E84B0E">
        <w:t>’</w:t>
      </w:r>
      <w:r>
        <w:t>une boîte, sont inclus dans cette conception de l</w:t>
      </w:r>
      <w:r w:rsidR="00E84B0E">
        <w:t>’</w:t>
      </w:r>
      <w:r>
        <w:t>espace occupé. Aux fins de</w:t>
      </w:r>
      <w:r w:rsidR="007F3F36">
        <w:t>s</w:t>
      </w:r>
      <w:r w:rsidR="00806228">
        <w:t xml:space="preserve"> </w:t>
      </w:r>
      <w:r>
        <w:t>descriptions plus détaillées de la présence d</w:t>
      </w:r>
      <w:r w:rsidR="00E84B0E">
        <w:t>’</w:t>
      </w:r>
      <w:r>
        <w:t xml:space="preserve">une instance de </w:t>
      </w:r>
      <w:r>
        <w:rPr>
          <w:rStyle w:val="VerbatimChar"/>
        </w:rPr>
        <w:t>E18_Chose_matérielle</w:t>
      </w:r>
      <w:r>
        <w:t xml:space="preserve"> dans l</w:t>
      </w:r>
      <w:r w:rsidR="00E84B0E">
        <w:t>’</w:t>
      </w:r>
      <w:r>
        <w:t xml:space="preserve">espace et le temps, elle </w:t>
      </w:r>
      <w:r>
        <w:lastRenderedPageBreak/>
        <w:t xml:space="preserve">peut être associée à son instance spécifique de </w:t>
      </w:r>
      <w:r>
        <w:rPr>
          <w:rStyle w:val="VerbatimChar"/>
        </w:rPr>
        <w:t>E92_Volume_spatio-temporel</w:t>
      </w:r>
      <w:r>
        <w:t xml:space="preserve"> par la propriété </w:t>
      </w:r>
      <w:r>
        <w:rPr>
          <w:rStyle w:val="VerbatimChar"/>
        </w:rPr>
        <w:t>P196_définit (est_défini_par)</w:t>
      </w:r>
      <w:r>
        <w:t>.</w:t>
      </w:r>
    </w:p>
    <w:p w14:paraId="7CB04A7F" w14:textId="065FC4FC" w:rsidR="003F44C6" w:rsidRDefault="005C7BF7">
      <w:pPr>
        <w:pStyle w:val="Corpsdetexte"/>
        <w:rPr>
          <w:b/>
          <w:bCs/>
        </w:rPr>
      </w:pPr>
      <w:r>
        <w:t xml:space="preserve">Le </w:t>
      </w:r>
      <w:r w:rsidR="00C8288F">
        <w:t>CIDOC CRM</w:t>
      </w:r>
      <w:r>
        <w:t xml:space="preserve"> ne traite généralement pas des cas d</w:t>
      </w:r>
      <w:r w:rsidR="00E84B0E">
        <w:t>’</w:t>
      </w:r>
      <w:r>
        <w:t>amas de matière à l</w:t>
      </w:r>
      <w:r w:rsidR="00E84B0E">
        <w:t>’</w:t>
      </w:r>
      <w:r>
        <w:t>état liquide ou gazeux tant qu</w:t>
      </w:r>
      <w:r w:rsidR="00E84B0E">
        <w:t>’</w:t>
      </w:r>
      <w:r>
        <w:t>ils ne sont pas confinés d</w:t>
      </w:r>
      <w:r w:rsidR="00E84B0E">
        <w:t>’</w:t>
      </w:r>
      <w:r>
        <w:t>une manière identifiable au sein d</w:t>
      </w:r>
      <w:r w:rsidR="00E84B0E">
        <w:t>’</w:t>
      </w:r>
      <w:r>
        <w:t>un intervalle temporel minimalement identifiable.</w:t>
      </w:r>
    </w:p>
    <w:p w14:paraId="1A0E5385" w14:textId="5639A65E" w:rsidR="00065317" w:rsidRDefault="005C7BF7">
      <w:pPr>
        <w:pStyle w:val="Corpsdetexte"/>
      </w:pPr>
      <w:r>
        <w:rPr>
          <w:b/>
          <w:bCs/>
        </w:rPr>
        <w:t>Exemples</w:t>
      </w:r>
    </w:p>
    <w:p w14:paraId="32A6CECA" w14:textId="29B6146F" w:rsidR="00065317" w:rsidRDefault="005C7BF7">
      <w:pPr>
        <w:numPr>
          <w:ilvl w:val="0"/>
          <w:numId w:val="74"/>
        </w:numPr>
      </w:pPr>
      <w:r>
        <w:t>Le diamant Cullinan (</w:t>
      </w:r>
      <w:r>
        <w:rPr>
          <w:rStyle w:val="VerbatimChar"/>
        </w:rPr>
        <w:t>E19_Objet_matériel</w:t>
      </w:r>
      <w:r>
        <w:t>) (Scarratt &amp; Shor, 2006)</w:t>
      </w:r>
    </w:p>
    <w:p w14:paraId="4457DB12" w14:textId="77777777" w:rsidR="00065317" w:rsidRDefault="005C7BF7">
      <w:pPr>
        <w:numPr>
          <w:ilvl w:val="0"/>
          <w:numId w:val="74"/>
        </w:numPr>
      </w:pPr>
      <w:r>
        <w:t xml:space="preserve">La grotte </w:t>
      </w:r>
      <w:r>
        <w:rPr>
          <w:i/>
          <w:iCs/>
        </w:rPr>
        <w:t>Ideon Andron</w:t>
      </w:r>
      <w:r>
        <w:t xml:space="preserve"> en Crète (</w:t>
      </w:r>
      <w:r>
        <w:rPr>
          <w:rStyle w:val="VerbatimChar"/>
        </w:rPr>
        <w:t>E26_Caractéristique_physique</w:t>
      </w:r>
      <w:r>
        <w:t>) (Smith, 1844-49)</w:t>
      </w:r>
    </w:p>
    <w:p w14:paraId="4118ECC4" w14:textId="390EBA80" w:rsidR="00A81E78" w:rsidRPr="00241DFB" w:rsidRDefault="005C7BF7" w:rsidP="00241DFB">
      <w:pPr>
        <w:numPr>
          <w:ilvl w:val="0"/>
          <w:numId w:val="74"/>
        </w:numPr>
      </w:pPr>
      <w:r>
        <w:t xml:space="preserve">La </w:t>
      </w:r>
      <w:r>
        <w:rPr>
          <w:i/>
          <w:iCs/>
        </w:rPr>
        <w:t>Monna Lisa</w:t>
      </w:r>
      <w:r>
        <w:t xml:space="preserve"> (</w:t>
      </w:r>
      <w:r>
        <w:rPr>
          <w:rStyle w:val="VerbatimChar"/>
        </w:rPr>
        <w:t>E22_Objet_élaboré_par_l</w:t>
      </w:r>
      <w:r w:rsidR="00E84B0E">
        <w:rPr>
          <w:rStyle w:val="VerbatimChar"/>
        </w:rPr>
        <w:t>’</w:t>
      </w:r>
      <w:r>
        <w:rPr>
          <w:rStyle w:val="VerbatimChar"/>
        </w:rPr>
        <w:t>humain</w:t>
      </w:r>
      <w:r>
        <w:t>) (Mohen, 2006)</w:t>
      </w:r>
    </w:p>
    <w:p w14:paraId="2B77CFCA" w14:textId="6441885B" w:rsidR="00065317" w:rsidRDefault="005C7BF7">
      <w:pPr>
        <w:pStyle w:val="FirstParagraph"/>
      </w:pPr>
      <w:r>
        <w:rPr>
          <w:b/>
          <w:bCs/>
        </w:rPr>
        <w:t>Logique</w:t>
      </w:r>
    </w:p>
    <w:p w14:paraId="2E6B36F3" w14:textId="77777777" w:rsidR="00065317" w:rsidRDefault="005C7BF7">
      <w:pPr>
        <w:pStyle w:val="Corpsdetexte"/>
      </w:pPr>
      <w:r>
        <w:t>E18(x) ⇒ E72(x)</w:t>
      </w:r>
    </w:p>
    <w:p w14:paraId="6227D574" w14:textId="77777777" w:rsidR="00065317" w:rsidRDefault="005C7BF7">
      <w:pPr>
        <w:pStyle w:val="Corpsdetexte"/>
      </w:pPr>
      <w:r>
        <w:rPr>
          <w:b/>
          <w:bCs/>
        </w:rPr>
        <w:t>Propriétés</w:t>
      </w:r>
    </w:p>
    <w:p w14:paraId="2D34A06E" w14:textId="29B1E310" w:rsidR="00065317" w:rsidRDefault="005C7BF7">
      <w:pPr>
        <w:pStyle w:val="Corpsdetexte"/>
      </w:pPr>
      <w:r>
        <w:rPr>
          <w:rStyle w:val="VerbatimChar"/>
        </w:rPr>
        <w:t>P44_a_pour_état_matériel (est_l</w:t>
      </w:r>
      <w:r w:rsidR="00E84B0E">
        <w:rPr>
          <w:rStyle w:val="VerbatimChar"/>
        </w:rPr>
        <w:t>’</w:t>
      </w:r>
      <w:r>
        <w:rPr>
          <w:rStyle w:val="VerbatimChar"/>
        </w:rPr>
        <w:t>état_matériel_de)</w:t>
      </w:r>
      <w:r>
        <w:t xml:space="preserve"> : </w:t>
      </w:r>
      <w:r>
        <w:rPr>
          <w:rStyle w:val="VerbatimChar"/>
        </w:rPr>
        <w:t>E3_État_matérielP45_comprend (est_inclus_dans)</w:t>
      </w:r>
      <w:r>
        <w:t xml:space="preserve"> : </w:t>
      </w:r>
      <w:r>
        <w:rPr>
          <w:rStyle w:val="VerbatimChar"/>
        </w:rPr>
        <w:t>E57_Matériau</w:t>
      </w:r>
    </w:p>
    <w:p w14:paraId="56FB54E8" w14:textId="77777777" w:rsidR="00065317" w:rsidRDefault="005C7BF7">
      <w:pPr>
        <w:pStyle w:val="Corpsdetexte"/>
      </w:pPr>
      <w:r>
        <w:rPr>
          <w:rStyle w:val="VerbatimChar"/>
        </w:rPr>
        <w:t>P46_est_composé_de (fait_partie_de)</w:t>
      </w:r>
      <w:r>
        <w:t xml:space="preserve"> : </w:t>
      </w:r>
      <w:r>
        <w:rPr>
          <w:rStyle w:val="VerbatimChar"/>
        </w:rPr>
        <w:t>E18_Chose_matérielle</w:t>
      </w:r>
    </w:p>
    <w:p w14:paraId="02F523EC" w14:textId="1E6EF752" w:rsidR="00065317" w:rsidRDefault="005C7BF7">
      <w:pPr>
        <w:pStyle w:val="Corpsdetexte"/>
      </w:pPr>
      <w:r>
        <w:rPr>
          <w:rStyle w:val="VerbatimChar"/>
        </w:rPr>
        <w:t>P49_a_pour_actant_détenteur_actuel_ou_antérieur (est_l</w:t>
      </w:r>
      <w:r w:rsidR="00E84B0E">
        <w:rPr>
          <w:rStyle w:val="VerbatimChar"/>
        </w:rPr>
        <w:t>’</w:t>
      </w:r>
      <w:r>
        <w:rPr>
          <w:rStyle w:val="VerbatimChar"/>
        </w:rPr>
        <w:t>actant_détenteur_actuel_ou_antérieur_de)</w:t>
      </w:r>
      <w:r>
        <w:t xml:space="preserve"> : </w:t>
      </w:r>
      <w:r>
        <w:rPr>
          <w:rStyle w:val="VerbatimChar"/>
        </w:rPr>
        <w:t>E39_Actant</w:t>
      </w:r>
    </w:p>
    <w:p w14:paraId="116FCDD5" w14:textId="77777777" w:rsidR="00065317" w:rsidRDefault="005C7BF7">
      <w:pPr>
        <w:pStyle w:val="Corpsdetexte"/>
      </w:pPr>
      <w:r>
        <w:rPr>
          <w:rStyle w:val="VerbatimChar"/>
        </w:rPr>
        <w:t>P50_a_pour_actant_détenteur_actuel (est_actant_détenteur_actuel_de)</w:t>
      </w:r>
      <w:r>
        <w:t xml:space="preserve"> : </w:t>
      </w:r>
      <w:r>
        <w:rPr>
          <w:rStyle w:val="VerbatimChar"/>
        </w:rPr>
        <w:t>E39_Actant</w:t>
      </w:r>
    </w:p>
    <w:p w14:paraId="09382798" w14:textId="45646128" w:rsidR="00065317" w:rsidRDefault="005C7BF7">
      <w:pPr>
        <w:pStyle w:val="Corpsdetexte"/>
      </w:pPr>
      <w:r>
        <w:rPr>
          <w:rStyle w:val="VerbatimChar"/>
        </w:rPr>
        <w:t>P51_a_pour_propriétaire_actuel_ou_antérieur (est_l</w:t>
      </w:r>
      <w:r w:rsidR="00E84B0E">
        <w:rPr>
          <w:rStyle w:val="VerbatimChar"/>
        </w:rPr>
        <w:t>’</w:t>
      </w:r>
      <w:r>
        <w:rPr>
          <w:rStyle w:val="VerbatimChar"/>
        </w:rPr>
        <w:t>actant_propriétaire_actuel_ou_antérieur_de)</w:t>
      </w:r>
      <w:r>
        <w:t xml:space="preserve"> : </w:t>
      </w:r>
      <w:r>
        <w:rPr>
          <w:rStyle w:val="VerbatimChar"/>
        </w:rPr>
        <w:t>E39_Actant</w:t>
      </w:r>
    </w:p>
    <w:p w14:paraId="4A53BA13" w14:textId="33AD0C78" w:rsidR="00065317" w:rsidRDefault="005C7BF7">
      <w:pPr>
        <w:pStyle w:val="Corpsdetexte"/>
      </w:pPr>
      <w:r>
        <w:rPr>
          <w:rStyle w:val="VerbatimChar"/>
        </w:rPr>
        <w:t>P52_a_pour_propriétaire_actuel (est_l</w:t>
      </w:r>
      <w:r w:rsidR="00E84B0E">
        <w:rPr>
          <w:rStyle w:val="VerbatimChar"/>
        </w:rPr>
        <w:t>’</w:t>
      </w:r>
      <w:r>
        <w:rPr>
          <w:rStyle w:val="VerbatimChar"/>
        </w:rPr>
        <w:t>actant_propriétaire_actuel_de)</w:t>
      </w:r>
      <w:r>
        <w:t xml:space="preserve"> : </w:t>
      </w:r>
      <w:r>
        <w:rPr>
          <w:rStyle w:val="VerbatimChar"/>
        </w:rPr>
        <w:t>E39_Actant</w:t>
      </w:r>
    </w:p>
    <w:p w14:paraId="09164C2A" w14:textId="77777777" w:rsidR="00065317" w:rsidRDefault="005C7BF7">
      <w:pPr>
        <w:pStyle w:val="Corpsdetexte"/>
      </w:pPr>
      <w:r>
        <w:rPr>
          <w:rStyle w:val="VerbatimChar"/>
        </w:rPr>
        <w:t>P53_a_pour_localisation_actuelle_ou_antérieure (est_la_localisation_actuelle_ou_antérieure_de)</w:t>
      </w:r>
      <w:r>
        <w:t xml:space="preserve"> : </w:t>
      </w:r>
      <w:r>
        <w:rPr>
          <w:rStyle w:val="VerbatimChar"/>
        </w:rPr>
        <w:t>E53_Lieu</w:t>
      </w:r>
      <w:r>
        <w:t xml:space="preserve"> </w:t>
      </w:r>
      <w:r>
        <w:rPr>
          <w:rStyle w:val="VerbatimChar"/>
        </w:rPr>
        <w:t>P59_a_pour_section (se_situe_sur_ou_dans)</w:t>
      </w:r>
      <w:r>
        <w:t xml:space="preserve"> : </w:t>
      </w:r>
      <w:r>
        <w:rPr>
          <w:rStyle w:val="VerbatimChar"/>
        </w:rPr>
        <w:t>E53_Lieu</w:t>
      </w:r>
    </w:p>
    <w:p w14:paraId="377491E5" w14:textId="77777777" w:rsidR="00065317" w:rsidRDefault="005C7BF7">
      <w:pPr>
        <w:pStyle w:val="Corpsdetexte"/>
      </w:pPr>
      <w:r>
        <w:rPr>
          <w:rStyle w:val="VerbatimChar"/>
        </w:rPr>
        <w:t>P128_est_le_support_de (a_pour_support)</w:t>
      </w:r>
      <w:r>
        <w:t xml:space="preserve"> : </w:t>
      </w:r>
      <w:r>
        <w:rPr>
          <w:rStyle w:val="VerbatimChar"/>
        </w:rPr>
        <w:t>E90_Objet_symbolique</w:t>
      </w:r>
    </w:p>
    <w:p w14:paraId="0E0DBF3C" w14:textId="77777777" w:rsidR="00065317" w:rsidRDefault="005C7BF7">
      <w:pPr>
        <w:pStyle w:val="Corpsdetexte"/>
      </w:pPr>
      <w:r>
        <w:rPr>
          <w:rStyle w:val="VerbatimChar"/>
        </w:rPr>
        <w:t>P156_occupe (est_occupé_par)</w:t>
      </w:r>
      <w:r>
        <w:t xml:space="preserve"> : </w:t>
      </w:r>
      <w:r>
        <w:rPr>
          <w:rStyle w:val="VerbatimChar"/>
        </w:rPr>
        <w:t>E53_Lieu</w:t>
      </w:r>
    </w:p>
    <w:p w14:paraId="406E0763" w14:textId="77777777" w:rsidR="00065317" w:rsidRDefault="005C7BF7">
      <w:pPr>
        <w:pStyle w:val="Corpsdetexte"/>
      </w:pPr>
      <w:r>
        <w:rPr>
          <w:rStyle w:val="VerbatimChar"/>
        </w:rPr>
        <w:t>P196_définit (est_défini_par)</w:t>
      </w:r>
      <w:r>
        <w:t xml:space="preserve"> : </w:t>
      </w:r>
      <w:r>
        <w:rPr>
          <w:rStyle w:val="VerbatimChar"/>
        </w:rPr>
        <w:t>E92_Volume_spatio-temporel</w:t>
      </w:r>
    </w:p>
    <w:p w14:paraId="581E2958" w14:textId="77777777" w:rsidR="00065317" w:rsidRDefault="005C7BF7">
      <w:pPr>
        <w:pStyle w:val="Corpsdetexte"/>
      </w:pPr>
      <w:r>
        <w:rPr>
          <w:rStyle w:val="VerbatimChar"/>
        </w:rPr>
        <w:t>P198_contient_ou_soutient (est_contenu_ou_soutenu_par)</w:t>
      </w:r>
      <w:r>
        <w:t xml:space="preserve"> : </w:t>
      </w:r>
      <w:r>
        <w:rPr>
          <w:rStyle w:val="VerbatimChar"/>
        </w:rPr>
        <w:t>E18_Chose_matérielle</w:t>
      </w:r>
    </w:p>
    <w:p w14:paraId="182500A5" w14:textId="77777777" w:rsidR="00065317" w:rsidRDefault="005C7BF7">
      <w:pPr>
        <w:pStyle w:val="Normalcentr"/>
      </w:pPr>
      <w:r>
        <w:rPr>
          <w:b/>
          <w:bCs/>
          <w:i/>
          <w:iCs/>
        </w:rPr>
        <w:t>Note de traduction</w:t>
      </w:r>
    </w:p>
    <w:p w14:paraId="5E966E17" w14:textId="1866090C" w:rsidR="00065317" w:rsidRDefault="005C7BF7">
      <w:pPr>
        <w:pStyle w:val="Normalcentr"/>
      </w:pPr>
      <w:r>
        <w:t>Dans la première phrase de la note d</w:t>
      </w:r>
      <w:r w:rsidR="00E84B0E">
        <w:t>’</w:t>
      </w:r>
      <w:r>
        <w:t>application, il existe une incertitude à savoir si « human-made » et « natural » font référence aux « items » ou à la « stable form ». Cette incertitude n</w:t>
      </w:r>
      <w:r w:rsidR="00E84B0E">
        <w:t>’</w:t>
      </w:r>
      <w:r>
        <w:t>empêche pas la compréhension de la phrase, mais la décision a été prise de faire référence aux « items » par l</w:t>
      </w:r>
      <w:r w:rsidR="00E84B0E">
        <w:t>’</w:t>
      </w:r>
      <w:r>
        <w:t>ajout de « qu</w:t>
      </w:r>
      <w:r w:rsidR="00E84B0E">
        <w:t>’</w:t>
      </w:r>
      <w:r>
        <w:t>elles soient ».</w:t>
      </w:r>
    </w:p>
    <w:p w14:paraId="4C0A5261" w14:textId="338FCBE4" w:rsidR="00065317" w:rsidRDefault="005C7BF7">
      <w:pPr>
        <w:pStyle w:val="Normalcentr"/>
      </w:pPr>
      <w:r>
        <w:t>La première phrase du second paragraphe de la note d</w:t>
      </w:r>
      <w:r w:rsidR="00E84B0E">
        <w:t>’</w:t>
      </w:r>
      <w:r>
        <w:t>application a été revue entièrement, c</w:t>
      </w:r>
      <w:r w:rsidR="00E84B0E">
        <w:t>’</w:t>
      </w:r>
      <w:r>
        <w:t>est pour cette raison que la traduction se trouve entre crochets.</w:t>
      </w:r>
    </w:p>
    <w:p w14:paraId="2BF4FDD1" w14:textId="6161E041" w:rsidR="00065317" w:rsidRPr="008D39EE" w:rsidRDefault="005C7BF7" w:rsidP="00C86352">
      <w:pPr>
        <w:pStyle w:val="Normalcentr"/>
      </w:pPr>
      <w:r>
        <w:t>À la fin du second paragraphe, il a été décidé d</w:t>
      </w:r>
      <w:r w:rsidR="00E84B0E">
        <w:t>’</w:t>
      </w:r>
      <w:r>
        <w:t xml:space="preserve">ajouter « </w:t>
      </w:r>
      <w:r>
        <w:rPr>
          <w:rStyle w:val="VerbatimChar"/>
        </w:rPr>
        <w:t>E26_Caractéristique_physique</w:t>
      </w:r>
      <w:r>
        <w:t xml:space="preserve"> » afin d</w:t>
      </w:r>
      <w:r w:rsidR="00E84B0E">
        <w:t>’</w:t>
      </w:r>
      <w:r>
        <w:t>indiquer plus clairement le sens du terme « features ».</w:t>
      </w:r>
    </w:p>
    <w:p w14:paraId="0578C885" w14:textId="77777777" w:rsidR="00065317" w:rsidRDefault="005C7BF7">
      <w:pPr>
        <w:pStyle w:val="Normalcentr"/>
      </w:pPr>
      <w:r>
        <w:rPr>
          <w:b/>
          <w:bCs/>
          <w:i/>
          <w:iCs/>
        </w:rPr>
        <w:lastRenderedPageBreak/>
        <w:t>Références</w:t>
      </w:r>
    </w:p>
    <w:p w14:paraId="05B14261" w14:textId="77777777" w:rsidR="00065317" w:rsidRDefault="005C7BF7">
      <w:pPr>
        <w:pStyle w:val="Normalcentr"/>
      </w:pPr>
      <w:r>
        <w:t xml:space="preserve">De Vinci, Léonard. </w:t>
      </w:r>
      <w:r>
        <w:rPr>
          <w:i/>
          <w:iCs/>
        </w:rPr>
        <w:t>Portrait de Lisa Gherardini, épouse de Francesco del Giocondo, dit La Joconde ou Monna Lisa</w:t>
      </w:r>
      <w:r>
        <w:t>. 1503. Huile sur bois (peuplier), 77 x 53 cm. Salle 711. Musée du Louvre.</w:t>
      </w:r>
      <w:hyperlink r:id="rId179">
        <w:r>
          <w:rPr>
            <w:rStyle w:val="Lienhypertexte"/>
          </w:rPr>
          <w:t xml:space="preserve"> </w:t>
        </w:r>
      </w:hyperlink>
      <w:hyperlink r:id="rId180">
        <w:r>
          <w:rPr>
            <w:rStyle w:val="Lienhypertexte"/>
          </w:rPr>
          <w:t>https://collections.louvre.fr/en/ark:/53355/cl010062370</w:t>
        </w:r>
      </w:hyperlink>
      <w:r>
        <w:t>.</w:t>
      </w:r>
    </w:p>
    <w:p w14:paraId="7C4C2F38" w14:textId="77777777" w:rsidR="00065317" w:rsidRDefault="005C7BF7" w:rsidP="00914F34">
      <w:pPr>
        <w:pStyle w:val="Titre3"/>
      </w:pPr>
      <w:bookmarkStart w:id="142" w:name="_Toc154048756"/>
      <w:bookmarkStart w:id="143" w:name="e19-objet-materiel"/>
      <w:bookmarkEnd w:id="141"/>
      <w:r>
        <w:t>E19 Objet matériel</w:t>
      </w:r>
      <w:bookmarkEnd w:id="142"/>
    </w:p>
    <w:p w14:paraId="11BC6917" w14:textId="77777777" w:rsidR="00065317" w:rsidRDefault="005C7BF7">
      <w:pPr>
        <w:pStyle w:val="FirstParagraph"/>
      </w:pPr>
      <w:r>
        <w:rPr>
          <w:b/>
          <w:bCs/>
        </w:rPr>
        <w:t>Sous-classe de</w:t>
      </w:r>
    </w:p>
    <w:p w14:paraId="217DCDF6" w14:textId="440742E5" w:rsidR="00A81E78" w:rsidRPr="00241DFB" w:rsidRDefault="005C7BF7">
      <w:pPr>
        <w:pStyle w:val="Corpsdetexte"/>
      </w:pPr>
      <w:r>
        <w:rPr>
          <w:rStyle w:val="VerbatimChar"/>
        </w:rPr>
        <w:t>E18_Chose_matérielle</w:t>
      </w:r>
    </w:p>
    <w:p w14:paraId="3174B0A4" w14:textId="5A5C4988" w:rsidR="00065317" w:rsidRDefault="005C7BF7">
      <w:pPr>
        <w:pStyle w:val="Corpsdetexte"/>
      </w:pPr>
      <w:r>
        <w:rPr>
          <w:b/>
          <w:bCs/>
        </w:rPr>
        <w:t>Super-classe de</w:t>
      </w:r>
    </w:p>
    <w:p w14:paraId="64A94DFB" w14:textId="77777777" w:rsidR="00065317" w:rsidRDefault="005C7BF7">
      <w:pPr>
        <w:pStyle w:val="Corpsdetexte"/>
      </w:pPr>
      <w:r>
        <w:rPr>
          <w:rStyle w:val="VerbatimChar"/>
        </w:rPr>
        <w:t>E20_Objet_biologique</w:t>
      </w:r>
    </w:p>
    <w:p w14:paraId="4E217E2F" w14:textId="5388742F" w:rsidR="00065317" w:rsidRDefault="005C7BF7">
      <w:pPr>
        <w:pStyle w:val="Corpsdetexte"/>
      </w:pPr>
      <w:r>
        <w:rPr>
          <w:rStyle w:val="VerbatimChar"/>
        </w:rPr>
        <w:t>E22_Objet_élaboré_par_l</w:t>
      </w:r>
      <w:r w:rsidR="00E84B0E">
        <w:rPr>
          <w:rStyle w:val="VerbatimChar"/>
        </w:rPr>
        <w:t>’</w:t>
      </w:r>
      <w:r>
        <w:rPr>
          <w:rStyle w:val="VerbatimChar"/>
        </w:rPr>
        <w:t>humain</w:t>
      </w:r>
    </w:p>
    <w:p w14:paraId="75F2AF68" w14:textId="463F3CB6" w:rsidR="00065317" w:rsidRDefault="005C7BF7">
      <w:pPr>
        <w:pStyle w:val="Corpsdetexte"/>
      </w:pPr>
      <w:r>
        <w:rPr>
          <w:b/>
          <w:bCs/>
        </w:rPr>
        <w:t>Note d</w:t>
      </w:r>
      <w:r w:rsidR="00E84B0E">
        <w:rPr>
          <w:b/>
          <w:bCs/>
        </w:rPr>
        <w:t>’</w:t>
      </w:r>
      <w:r>
        <w:rPr>
          <w:b/>
          <w:bCs/>
        </w:rPr>
        <w:t>application</w:t>
      </w:r>
    </w:p>
    <w:p w14:paraId="7A401CEB" w14:textId="0A8A0E13" w:rsidR="00065317" w:rsidRDefault="005C7BF7">
      <w:pPr>
        <w:pStyle w:val="Corpsdetexte"/>
      </w:pPr>
      <w:r>
        <w:t>Cette classe comprend les entités de nature matérielle qui constituent des unités pour la documentation et possèdent des limites physiques qui les séparent complètement et objectivement d</w:t>
      </w:r>
      <w:r w:rsidR="00E84B0E">
        <w:t>’</w:t>
      </w:r>
      <w:r>
        <w:t>autres objets.</w:t>
      </w:r>
    </w:p>
    <w:p w14:paraId="08A25232" w14:textId="7F2E0D69" w:rsidR="00065317" w:rsidRDefault="005C7BF7">
      <w:pPr>
        <w:pStyle w:val="Corpsdetexte"/>
      </w:pPr>
      <w:r>
        <w:t>Cette classe inclut aussi toutes les agrégations d</w:t>
      </w:r>
      <w:r w:rsidR="00E84B0E">
        <w:t>’</w:t>
      </w:r>
      <w:r>
        <w:t>objets produits pour de quelconques buts fonctionnels, indépendamment de leur cohérence physique, comme un ensemble de pièces de jeu d</w:t>
      </w:r>
      <w:r w:rsidR="00E84B0E">
        <w:t>’</w:t>
      </w:r>
      <w:r>
        <w:t xml:space="preserve">échecs. Généralement, les instances de </w:t>
      </w:r>
      <w:r>
        <w:rPr>
          <w:rStyle w:val="VerbatimChar"/>
        </w:rPr>
        <w:t>E19_Objet_matériel</w:t>
      </w:r>
      <w:r>
        <w:t xml:space="preserve"> peuvent être déplacées (si elles ne sont pas trop lourdes).</w:t>
      </w:r>
    </w:p>
    <w:p w14:paraId="5637EE27" w14:textId="21F05358" w:rsidR="00065317" w:rsidRDefault="005C7BF7">
      <w:pPr>
        <w:pStyle w:val="Corpsdetexte"/>
      </w:pPr>
      <w:r>
        <w:t>Dans certains contextes [</w:t>
      </w:r>
      <w:r w:rsidR="00AF51A3">
        <w:t xml:space="preserve">n.d.t. </w:t>
      </w:r>
      <w:r>
        <w:t>comme dans le domaine de la philosophie de la spatialité], de tels objets, à l</w:t>
      </w:r>
      <w:r w:rsidR="00E84B0E">
        <w:t>’</w:t>
      </w:r>
      <w:r>
        <w:t xml:space="preserve">exception des agrégats, sont aussi appelés </w:t>
      </w:r>
      <w:r w:rsidR="00CF0FD9">
        <w:t>« </w:t>
      </w:r>
      <w:r>
        <w:t>objets bona fide</w:t>
      </w:r>
      <w:r w:rsidR="00CF0FD9">
        <w:t> »</w:t>
      </w:r>
      <w:r>
        <w:t xml:space="preserve"> (Smith et Varzi, 2000,</w:t>
      </w:r>
      <w:r w:rsidR="00C8288F">
        <w:t> p. </w:t>
      </w:r>
      <w:r>
        <w:t>401-420), c.-à-d. des objets naturellement définis.</w:t>
      </w:r>
    </w:p>
    <w:p w14:paraId="3AB82B87" w14:textId="062AAC1C" w:rsidR="00065317" w:rsidRDefault="005C7BF7">
      <w:pPr>
        <w:pStyle w:val="Corpsdetexte"/>
      </w:pPr>
      <w:r>
        <w:t>La décision de documenter un objet comme un ensemble complet plutôt que de documenter ses parties ou composants peut être motivée par des raisons purement administratives ou être le résultat de l</w:t>
      </w:r>
      <w:r w:rsidR="00E84B0E">
        <w:t>’</w:t>
      </w:r>
      <w:r>
        <w:t>ordre d</w:t>
      </w:r>
      <w:r w:rsidR="00E84B0E">
        <w:t>’</w:t>
      </w:r>
      <w:r>
        <w:t>acquisition des objets.</w:t>
      </w:r>
    </w:p>
    <w:p w14:paraId="466AC052" w14:textId="77777777" w:rsidR="00065317" w:rsidRDefault="005C7BF7">
      <w:pPr>
        <w:pStyle w:val="Corpsdetexte"/>
      </w:pPr>
      <w:r>
        <w:rPr>
          <w:b/>
          <w:bCs/>
        </w:rPr>
        <w:t>Exemples</w:t>
      </w:r>
    </w:p>
    <w:p w14:paraId="0860E14F" w14:textId="786F0E29" w:rsidR="00065317" w:rsidRDefault="005C7BF7">
      <w:pPr>
        <w:numPr>
          <w:ilvl w:val="0"/>
          <w:numId w:val="75"/>
        </w:numPr>
      </w:pPr>
      <w:r>
        <w:t>L</w:t>
      </w:r>
      <w:r w:rsidR="00E84B0E">
        <w:t>’</w:t>
      </w:r>
      <w:r>
        <w:t>Aphrodite de Milos (</w:t>
      </w:r>
      <w:r>
        <w:rPr>
          <w:rStyle w:val="VerbatimChar"/>
        </w:rPr>
        <w:t>E22_Objet_élaboré_par_l</w:t>
      </w:r>
      <w:r w:rsidR="00E84B0E">
        <w:rPr>
          <w:rStyle w:val="VerbatimChar"/>
        </w:rPr>
        <w:t>’</w:t>
      </w:r>
      <w:r>
        <w:rPr>
          <w:rStyle w:val="VerbatimChar"/>
        </w:rPr>
        <w:t>humain</w:t>
      </w:r>
      <w:r>
        <w:t>) (Kousser, 2005)</w:t>
      </w:r>
    </w:p>
    <w:p w14:paraId="07B04D2C" w14:textId="6CD9C937" w:rsidR="00065317" w:rsidRDefault="005C7BF7">
      <w:pPr>
        <w:numPr>
          <w:ilvl w:val="0"/>
          <w:numId w:val="75"/>
        </w:numPr>
      </w:pPr>
      <w:r>
        <w:t>Le diamant Cullinan (Scarratt &amp; Shor, 2006)</w:t>
      </w:r>
    </w:p>
    <w:p w14:paraId="118D50AD" w14:textId="7A09243C" w:rsidR="00065317" w:rsidRDefault="005C7BF7">
      <w:pPr>
        <w:numPr>
          <w:ilvl w:val="0"/>
          <w:numId w:val="75"/>
        </w:numPr>
      </w:pPr>
      <w:r>
        <w:t>Apollo 13 au moment de son lancement (</w:t>
      </w:r>
      <w:r>
        <w:rPr>
          <w:rStyle w:val="VerbatimChar"/>
        </w:rPr>
        <w:t>E22_Objet_élaboré_par_l</w:t>
      </w:r>
      <w:r w:rsidR="00E84B0E">
        <w:rPr>
          <w:rStyle w:val="VerbatimChar"/>
        </w:rPr>
        <w:t>’</w:t>
      </w:r>
      <w:r>
        <w:rPr>
          <w:rStyle w:val="VerbatimChar"/>
        </w:rPr>
        <w:t>humain</w:t>
      </w:r>
      <w:r>
        <w:t>) (Lovell &amp; Kluger, 1994)</w:t>
      </w:r>
    </w:p>
    <w:p w14:paraId="755CBF75" w14:textId="77777777" w:rsidR="00065317" w:rsidRDefault="005C7BF7">
      <w:pPr>
        <w:pStyle w:val="FirstParagraph"/>
      </w:pPr>
      <w:r>
        <w:rPr>
          <w:b/>
          <w:bCs/>
        </w:rPr>
        <w:t>Logique</w:t>
      </w:r>
    </w:p>
    <w:p w14:paraId="4E83ECB4" w14:textId="1226EEFD" w:rsidR="00241DFB" w:rsidRPr="003F44C6" w:rsidRDefault="005C7BF7">
      <w:pPr>
        <w:pStyle w:val="Corpsdetexte"/>
      </w:pPr>
      <w:r>
        <w:t>E19(x) ⇒ E18(x)</w:t>
      </w:r>
    </w:p>
    <w:p w14:paraId="1A44D2F5" w14:textId="057E049F" w:rsidR="00065317" w:rsidRDefault="005C7BF7">
      <w:pPr>
        <w:pStyle w:val="Corpsdetexte"/>
      </w:pPr>
      <w:r>
        <w:rPr>
          <w:b/>
          <w:bCs/>
        </w:rPr>
        <w:t>Propriétés</w:t>
      </w:r>
    </w:p>
    <w:p w14:paraId="5D5DCE2E" w14:textId="77777777" w:rsidR="00065317" w:rsidRDefault="005C7BF7">
      <w:pPr>
        <w:pStyle w:val="Corpsdetexte"/>
      </w:pPr>
      <w:r>
        <w:rPr>
          <w:rStyle w:val="VerbatimChar"/>
        </w:rPr>
        <w:t>P54_a_actuellement_pour_localisation_fixe (est_actuellement_la_localisation_fixe_de)</w:t>
      </w:r>
      <w:r>
        <w:t xml:space="preserve"> : </w:t>
      </w:r>
      <w:r>
        <w:rPr>
          <w:rStyle w:val="VerbatimChar"/>
        </w:rPr>
        <w:t>E53_Lieu</w:t>
      </w:r>
    </w:p>
    <w:p w14:paraId="72BBAEFF" w14:textId="77777777" w:rsidR="00065317" w:rsidRDefault="005C7BF7">
      <w:pPr>
        <w:pStyle w:val="Corpsdetexte"/>
      </w:pPr>
      <w:r>
        <w:rPr>
          <w:rStyle w:val="VerbatimChar"/>
        </w:rPr>
        <w:t>P55_a_actuellement_pour_localisation (est_actuellement_la_localisation_de)</w:t>
      </w:r>
      <w:r>
        <w:t xml:space="preserve"> : </w:t>
      </w:r>
      <w:r>
        <w:rPr>
          <w:rStyle w:val="VerbatimChar"/>
        </w:rPr>
        <w:t>E53_Lieu</w:t>
      </w:r>
    </w:p>
    <w:p w14:paraId="2535693F" w14:textId="77777777" w:rsidR="00065317" w:rsidRDefault="005C7BF7">
      <w:pPr>
        <w:pStyle w:val="Corpsdetexte"/>
      </w:pPr>
      <w:r>
        <w:rPr>
          <w:rStyle w:val="VerbatimChar"/>
        </w:rPr>
        <w:t>P56_a_pour_caractéristique (se_trouve_sur)</w:t>
      </w:r>
      <w:r>
        <w:t xml:space="preserve"> : </w:t>
      </w:r>
      <w:r>
        <w:rPr>
          <w:rStyle w:val="VerbatimChar"/>
        </w:rPr>
        <w:t>E26_Caractéristique_physique</w:t>
      </w:r>
    </w:p>
    <w:p w14:paraId="0D134C10" w14:textId="18B6EA12" w:rsidR="00065317" w:rsidRDefault="005C7BF7">
      <w:pPr>
        <w:pStyle w:val="Corpsdetexte"/>
      </w:pPr>
      <w:r>
        <w:rPr>
          <w:rStyle w:val="VerbatimChar"/>
        </w:rPr>
        <w:t>P57_a_pour_nombre_d</w:t>
      </w:r>
      <w:r w:rsidR="00E84B0E">
        <w:rPr>
          <w:rStyle w:val="VerbatimChar"/>
        </w:rPr>
        <w:t>’</w:t>
      </w:r>
      <w:r>
        <w:rPr>
          <w:rStyle w:val="VerbatimChar"/>
        </w:rPr>
        <w:t>éléments</w:t>
      </w:r>
      <w:r>
        <w:t xml:space="preserve"> : </w:t>
      </w:r>
      <w:r>
        <w:rPr>
          <w:rStyle w:val="VerbatimChar"/>
        </w:rPr>
        <w:t>E60_Nombre</w:t>
      </w:r>
      <w:r>
        <w:t xml:space="preserve"> </w:t>
      </w:r>
    </w:p>
    <w:p w14:paraId="3859C1CD" w14:textId="77777777" w:rsidR="00065317" w:rsidRDefault="005C7BF7">
      <w:pPr>
        <w:pStyle w:val="Normalcentr"/>
      </w:pPr>
      <w:r>
        <w:rPr>
          <w:b/>
          <w:bCs/>
          <w:i/>
          <w:iCs/>
        </w:rPr>
        <w:lastRenderedPageBreak/>
        <w:t>Note de traduction</w:t>
      </w:r>
    </w:p>
    <w:p w14:paraId="734099B7" w14:textId="36A8B323" w:rsidR="00065317" w:rsidRDefault="005C7BF7" w:rsidP="00F02C72">
      <w:pPr>
        <w:pStyle w:val="Normalcentr"/>
      </w:pPr>
      <w:r>
        <w:rPr>
          <w:b/>
          <w:bCs/>
          <w:i/>
          <w:iCs/>
        </w:rPr>
        <w:t>Références</w:t>
      </w:r>
    </w:p>
    <w:p w14:paraId="1055E7E9" w14:textId="77777777" w:rsidR="00065317" w:rsidRDefault="005C7BF7" w:rsidP="00914F34">
      <w:pPr>
        <w:pStyle w:val="Titre3"/>
      </w:pPr>
      <w:bookmarkStart w:id="144" w:name="_Toc154048757"/>
      <w:bookmarkStart w:id="145" w:name="e20-objet-biologique"/>
      <w:bookmarkEnd w:id="143"/>
      <w:r>
        <w:t>E20 Objet biologique</w:t>
      </w:r>
      <w:bookmarkEnd w:id="144"/>
    </w:p>
    <w:p w14:paraId="4AAE94CF" w14:textId="77777777" w:rsidR="00065317" w:rsidRDefault="005C7BF7">
      <w:pPr>
        <w:pStyle w:val="FirstParagraph"/>
      </w:pPr>
      <w:r>
        <w:rPr>
          <w:b/>
          <w:bCs/>
        </w:rPr>
        <w:t>Sous-classe de</w:t>
      </w:r>
    </w:p>
    <w:p w14:paraId="268FA7C3" w14:textId="77777777" w:rsidR="00065317" w:rsidRDefault="005C7BF7">
      <w:pPr>
        <w:pStyle w:val="Corpsdetexte"/>
      </w:pPr>
      <w:r>
        <w:rPr>
          <w:rStyle w:val="VerbatimChar"/>
        </w:rPr>
        <w:t>E19_Objet_matériel</w:t>
      </w:r>
    </w:p>
    <w:p w14:paraId="7023A028" w14:textId="77777777" w:rsidR="00065317" w:rsidRDefault="005C7BF7">
      <w:pPr>
        <w:pStyle w:val="Corpsdetexte"/>
      </w:pPr>
      <w:r>
        <w:rPr>
          <w:b/>
          <w:bCs/>
        </w:rPr>
        <w:t>Super-classe de</w:t>
      </w:r>
    </w:p>
    <w:p w14:paraId="21C400D7" w14:textId="77777777" w:rsidR="00065317" w:rsidRDefault="005C7BF7">
      <w:pPr>
        <w:pStyle w:val="Corpsdetexte"/>
      </w:pPr>
      <w:r>
        <w:rPr>
          <w:rStyle w:val="VerbatimChar"/>
        </w:rPr>
        <w:t>E21_Personne</w:t>
      </w:r>
    </w:p>
    <w:p w14:paraId="7760F791" w14:textId="41B60CCA" w:rsidR="00065317" w:rsidRDefault="005C7BF7">
      <w:pPr>
        <w:pStyle w:val="Corpsdetexte"/>
      </w:pPr>
      <w:r>
        <w:rPr>
          <w:b/>
          <w:bCs/>
        </w:rPr>
        <w:t>Note d</w:t>
      </w:r>
      <w:r w:rsidR="00E84B0E">
        <w:rPr>
          <w:b/>
          <w:bCs/>
        </w:rPr>
        <w:t>’</w:t>
      </w:r>
      <w:r>
        <w:rPr>
          <w:b/>
          <w:bCs/>
        </w:rPr>
        <w:t>application</w:t>
      </w:r>
    </w:p>
    <w:p w14:paraId="5E06701B" w14:textId="518FBD9D" w:rsidR="00065317" w:rsidRDefault="005C7BF7">
      <w:pPr>
        <w:pStyle w:val="Corpsdetexte"/>
      </w:pPr>
      <w:r>
        <w:t>Cette classe comprend les entités distinctes de nature matérielle qui vivent, ont vécu ou sont les produits naturels provenant d</w:t>
      </w:r>
      <w:r w:rsidR="00E84B0E">
        <w:t>’</w:t>
      </w:r>
      <w:r>
        <w:t>organismes vivants ou issus par ces derniers.</w:t>
      </w:r>
    </w:p>
    <w:p w14:paraId="3807B485" w14:textId="77375310" w:rsidR="00065317" w:rsidRDefault="005C7BF7">
      <w:pPr>
        <w:pStyle w:val="Corpsdetexte"/>
      </w:pPr>
      <w:r>
        <w:t>Les objets artificiels qui intègrent des éléments biologiques, tels que des cadres d</w:t>
      </w:r>
      <w:r w:rsidR="00E84B0E">
        <w:t>’</w:t>
      </w:r>
      <w:r>
        <w:t xml:space="preserve">époque victorienne contenant des papillons, peuvent être documentés à la fois comme des instances de </w:t>
      </w:r>
      <w:r>
        <w:rPr>
          <w:rStyle w:val="VerbatimChar"/>
        </w:rPr>
        <w:t>E20_Objet_biologique</w:t>
      </w:r>
      <w:r>
        <w:t xml:space="preserve"> et </w:t>
      </w:r>
      <w:r>
        <w:rPr>
          <w:rStyle w:val="VerbatimChar"/>
        </w:rPr>
        <w:t>E22_Objet_élaboré_par_l</w:t>
      </w:r>
      <w:r w:rsidR="00E84B0E">
        <w:rPr>
          <w:rStyle w:val="VerbatimChar"/>
        </w:rPr>
        <w:t>’</w:t>
      </w:r>
      <w:r>
        <w:rPr>
          <w:rStyle w:val="VerbatimChar"/>
        </w:rPr>
        <w:t>humain</w:t>
      </w:r>
      <w:r>
        <w:t>.</w:t>
      </w:r>
    </w:p>
    <w:p w14:paraId="1AA51DB2" w14:textId="77777777" w:rsidR="00065317" w:rsidRDefault="005C7BF7">
      <w:pPr>
        <w:pStyle w:val="Corpsdetexte"/>
      </w:pPr>
      <w:r>
        <w:rPr>
          <w:b/>
          <w:bCs/>
        </w:rPr>
        <w:t>Exemples</w:t>
      </w:r>
    </w:p>
    <w:p w14:paraId="4B71052A" w14:textId="77777777" w:rsidR="00065317" w:rsidRDefault="005C7BF7">
      <w:pPr>
        <w:numPr>
          <w:ilvl w:val="0"/>
          <w:numId w:val="76"/>
        </w:numPr>
      </w:pPr>
      <w:r>
        <w:t>Moi (fictif)</w:t>
      </w:r>
    </w:p>
    <w:p w14:paraId="49DFEB62" w14:textId="4BC0094F" w:rsidR="00065317" w:rsidRDefault="005C7BF7">
      <w:pPr>
        <w:numPr>
          <w:ilvl w:val="0"/>
          <w:numId w:val="76"/>
        </w:numPr>
      </w:pPr>
      <w:r>
        <w:t>Toutânkhamon (Edwards &amp; Boltin, 1979)</w:t>
      </w:r>
    </w:p>
    <w:p w14:paraId="2E55E140" w14:textId="18F0BF3C" w:rsidR="00065317" w:rsidRDefault="005C7BF7">
      <w:pPr>
        <w:numPr>
          <w:ilvl w:val="0"/>
          <w:numId w:val="76"/>
        </w:numPr>
      </w:pPr>
      <w:r>
        <w:t>Bucéphale [le cheval d</w:t>
      </w:r>
      <w:r w:rsidR="00E84B0E">
        <w:t>’</w:t>
      </w:r>
      <w:r>
        <w:t>Alexandre le Grand] (Lamb, 2005)</w:t>
      </w:r>
    </w:p>
    <w:p w14:paraId="2FAF1524" w14:textId="77777777" w:rsidR="00065317" w:rsidRDefault="005C7BF7">
      <w:pPr>
        <w:numPr>
          <w:ilvl w:val="0"/>
          <w:numId w:val="76"/>
        </w:numPr>
      </w:pPr>
      <w:r>
        <w:t>Coprolithe de dinosaure PA1906-344</w:t>
      </w:r>
    </w:p>
    <w:p w14:paraId="6ACAC517" w14:textId="77777777" w:rsidR="00065317" w:rsidRDefault="005C7BF7">
      <w:pPr>
        <w:pStyle w:val="FirstParagraph"/>
      </w:pPr>
      <w:r>
        <w:rPr>
          <w:b/>
          <w:bCs/>
        </w:rPr>
        <w:t>Logique</w:t>
      </w:r>
    </w:p>
    <w:p w14:paraId="7FF7FA57" w14:textId="77777777" w:rsidR="00065317" w:rsidRDefault="005C7BF7">
      <w:pPr>
        <w:pStyle w:val="Corpsdetexte"/>
      </w:pPr>
      <w:r>
        <w:t>E20(x) ⇒ E19(x)</w:t>
      </w:r>
    </w:p>
    <w:p w14:paraId="724270C3" w14:textId="7AAB1555" w:rsidR="00241DFB" w:rsidRPr="003F44C6" w:rsidRDefault="005C7BF7">
      <w:pPr>
        <w:pStyle w:val="Corpsdetexte"/>
        <w:rPr>
          <w:b/>
          <w:bCs/>
        </w:rPr>
      </w:pPr>
      <w:r>
        <w:rPr>
          <w:b/>
          <w:bCs/>
        </w:rPr>
        <w:t>Propriétés</w:t>
      </w:r>
    </w:p>
    <w:p w14:paraId="610C0AAC" w14:textId="77777777" w:rsidR="00065317" w:rsidRDefault="005C7BF7">
      <w:pPr>
        <w:pStyle w:val="Normalcentr"/>
      </w:pPr>
      <w:r>
        <w:rPr>
          <w:b/>
          <w:bCs/>
          <w:i/>
          <w:iCs/>
        </w:rPr>
        <w:t>Note de traduction</w:t>
      </w:r>
    </w:p>
    <w:p w14:paraId="570319CE" w14:textId="00ED0FF9" w:rsidR="003F44C6" w:rsidRPr="003F44C6" w:rsidRDefault="005C7BF7" w:rsidP="00914F34">
      <w:pPr>
        <w:pStyle w:val="Normalcentr"/>
      </w:pPr>
      <w:r>
        <w:rPr>
          <w:b/>
          <w:bCs/>
          <w:i/>
          <w:iCs/>
        </w:rPr>
        <w:t>Références</w:t>
      </w:r>
      <w:bookmarkStart w:id="146" w:name="e21-personne"/>
      <w:bookmarkEnd w:id="145"/>
    </w:p>
    <w:p w14:paraId="6CF06F19" w14:textId="361C896B" w:rsidR="00065317" w:rsidRDefault="005C7BF7" w:rsidP="00914F34">
      <w:pPr>
        <w:pStyle w:val="Titre3"/>
      </w:pPr>
      <w:bookmarkStart w:id="147" w:name="_Toc154048758"/>
      <w:r>
        <w:t>E21 Personne</w:t>
      </w:r>
      <w:bookmarkEnd w:id="147"/>
    </w:p>
    <w:p w14:paraId="5EE31594" w14:textId="77777777" w:rsidR="00065317" w:rsidRDefault="005C7BF7">
      <w:pPr>
        <w:pStyle w:val="FirstParagraph"/>
      </w:pPr>
      <w:r>
        <w:rPr>
          <w:b/>
          <w:bCs/>
        </w:rPr>
        <w:t>Sous-classe de</w:t>
      </w:r>
    </w:p>
    <w:p w14:paraId="48BFC693" w14:textId="77777777" w:rsidR="00065317" w:rsidRDefault="005C7BF7">
      <w:pPr>
        <w:pStyle w:val="Corpsdetexte"/>
      </w:pPr>
      <w:r>
        <w:rPr>
          <w:rStyle w:val="VerbatimChar"/>
        </w:rPr>
        <w:t>E20_Objet_biologique</w:t>
      </w:r>
    </w:p>
    <w:p w14:paraId="0031E041" w14:textId="77777777" w:rsidR="00065317" w:rsidRDefault="005C7BF7">
      <w:pPr>
        <w:pStyle w:val="Corpsdetexte"/>
      </w:pPr>
      <w:r>
        <w:rPr>
          <w:rStyle w:val="VerbatimChar"/>
        </w:rPr>
        <w:t>E39_Actant</w:t>
      </w:r>
    </w:p>
    <w:p w14:paraId="195441D5" w14:textId="2793B0AE" w:rsidR="008D39EE" w:rsidRDefault="005C7BF7" w:rsidP="00C86352">
      <w:pPr>
        <w:pStyle w:val="Corpsdetexte"/>
        <w:rPr>
          <w:b/>
          <w:bCs/>
        </w:rPr>
      </w:pPr>
      <w:r>
        <w:rPr>
          <w:b/>
          <w:bCs/>
        </w:rPr>
        <w:t>Super-classe de</w:t>
      </w:r>
    </w:p>
    <w:p w14:paraId="60A2EFBC" w14:textId="2383FB81" w:rsidR="00065317" w:rsidRDefault="005C7BF7">
      <w:pPr>
        <w:pStyle w:val="Corpsdetexte"/>
      </w:pPr>
      <w:r>
        <w:rPr>
          <w:b/>
          <w:bCs/>
        </w:rPr>
        <w:t>Note d</w:t>
      </w:r>
      <w:r w:rsidR="00E84B0E">
        <w:rPr>
          <w:b/>
          <w:bCs/>
        </w:rPr>
        <w:t>’</w:t>
      </w:r>
      <w:r>
        <w:rPr>
          <w:b/>
          <w:bCs/>
        </w:rPr>
        <w:t>application</w:t>
      </w:r>
    </w:p>
    <w:p w14:paraId="65D3E434" w14:textId="77777777" w:rsidR="00065317" w:rsidRDefault="005C7BF7">
      <w:pPr>
        <w:pStyle w:val="Corpsdetexte"/>
      </w:pPr>
      <w:r>
        <w:t>Cette classe comprend les personnes réelles qui vivent ou sont admises avoir vécu.</w:t>
      </w:r>
    </w:p>
    <w:p w14:paraId="0CE69A4D" w14:textId="6BD7CC81" w:rsidR="00065317" w:rsidRDefault="005C7BF7">
      <w:pPr>
        <w:pStyle w:val="Corpsdetexte"/>
      </w:pPr>
      <w:r>
        <w:t>Des personnages légendaires comme Ulysse ou le Roi Arthur sont des exemples de personnes s</w:t>
      </w:r>
      <w:r w:rsidR="00E84B0E">
        <w:t>’</w:t>
      </w:r>
      <w:r>
        <w:t>inscrivant dans cette classe dans la mesure où elles sont considérées comme des figures historiques plutôt que fictives [</w:t>
      </w:r>
      <w:r w:rsidR="00AF51A3">
        <w:t xml:space="preserve">n.d.t. </w:t>
      </w:r>
      <w:r>
        <w:t>dans le cadre de leur enregistrement d</w:t>
      </w:r>
      <w:r w:rsidR="00E84B0E">
        <w:t>’</w:t>
      </w:r>
      <w:r>
        <w:t>origine]. Dans la mesure où il y aurait un doute quant au fait que plusieurs personnes ne constituent qu</w:t>
      </w:r>
      <w:r w:rsidR="00E84B0E">
        <w:t>’</w:t>
      </w:r>
      <w:r>
        <w:t xml:space="preserve">un seul et unique individu, plusieurs instances </w:t>
      </w:r>
      <w:r>
        <w:lastRenderedPageBreak/>
        <w:t>peuvent être créées et liées afin d</w:t>
      </w:r>
      <w:r w:rsidR="00E84B0E">
        <w:t>’</w:t>
      </w:r>
      <w:r>
        <w:t xml:space="preserve">indiquer leur relation. Le </w:t>
      </w:r>
      <w:r w:rsidR="00C8288F">
        <w:t>CIDOC CRM</w:t>
      </w:r>
      <w:r>
        <w:t xml:space="preserve"> ne propose pas de forme spécifique de raisonnement quant aux identités possibles.</w:t>
      </w:r>
    </w:p>
    <w:p w14:paraId="05BA35AC" w14:textId="5CED8D9D" w:rsidR="00065317" w:rsidRDefault="005C7BF7">
      <w:pPr>
        <w:pStyle w:val="Corpsdetexte"/>
      </w:pPr>
      <w:r>
        <w:t>En contexte bibliographique, un nom présenté selon les conventions régissant normalement l</w:t>
      </w:r>
      <w:r w:rsidR="00E84B0E">
        <w:t>’</w:t>
      </w:r>
      <w:r>
        <w:t xml:space="preserve">utilisation de noms personnels sera admis correspondre à une personne réelle (une instance de </w:t>
      </w:r>
      <w:r>
        <w:rPr>
          <w:rStyle w:val="VerbatimChar"/>
        </w:rPr>
        <w:t>E21_Personne</w:t>
      </w:r>
      <w:r>
        <w:t>) à moins que d</w:t>
      </w:r>
      <w:r w:rsidR="00E84B0E">
        <w:t>’</w:t>
      </w:r>
      <w:r>
        <w:t>autres éléments n</w:t>
      </w:r>
      <w:r w:rsidR="00E84B0E">
        <w:t>’</w:t>
      </w:r>
      <w:r>
        <w:t>indiquent le contraire. Le fait qu</w:t>
      </w:r>
      <w:r w:rsidR="00E84B0E">
        <w:t>’</w:t>
      </w:r>
      <w:r>
        <w:t xml:space="preserve">un personnage fictif soit classifié de manière erronée comme une instance de </w:t>
      </w:r>
      <w:r>
        <w:rPr>
          <w:rStyle w:val="VerbatimChar"/>
        </w:rPr>
        <w:t>E21_Personne</w:t>
      </w:r>
      <w:r>
        <w:t xml:space="preserve"> n</w:t>
      </w:r>
      <w:r w:rsidR="00E84B0E">
        <w:t>’</w:t>
      </w:r>
      <w:r>
        <w:t>implique pas l</w:t>
      </w:r>
      <w:r w:rsidR="00E84B0E">
        <w:t>’</w:t>
      </w:r>
      <w:r>
        <w:t>inclusion de tels personnages dans le concept de personne.</w:t>
      </w:r>
    </w:p>
    <w:p w14:paraId="53A9B5B7" w14:textId="77777777" w:rsidR="00065317" w:rsidRDefault="005C7BF7">
      <w:pPr>
        <w:pStyle w:val="Corpsdetexte"/>
      </w:pPr>
      <w:r>
        <w:rPr>
          <w:b/>
          <w:bCs/>
        </w:rPr>
        <w:t>Exemples</w:t>
      </w:r>
    </w:p>
    <w:p w14:paraId="30AD0A18" w14:textId="7FAF2539" w:rsidR="00065317" w:rsidRDefault="005C7BF7">
      <w:pPr>
        <w:numPr>
          <w:ilvl w:val="0"/>
          <w:numId w:val="77"/>
        </w:numPr>
      </w:pPr>
      <w:r>
        <w:t>Toutânkhamon (Edwards &amp; Boltin, 1979)</w:t>
      </w:r>
    </w:p>
    <w:p w14:paraId="796901AC" w14:textId="7D33FB3C" w:rsidR="00065317" w:rsidRDefault="005C7BF7">
      <w:pPr>
        <w:numPr>
          <w:ilvl w:val="0"/>
          <w:numId w:val="77"/>
        </w:numPr>
      </w:pPr>
      <w:r>
        <w:t>Nelson Mandela (Brown &amp; Hort, 2006)</w:t>
      </w:r>
    </w:p>
    <w:p w14:paraId="4C722436" w14:textId="77777777" w:rsidR="00065317" w:rsidRDefault="005C7BF7">
      <w:pPr>
        <w:pStyle w:val="FirstParagraph"/>
      </w:pPr>
      <w:r>
        <w:rPr>
          <w:b/>
          <w:bCs/>
        </w:rPr>
        <w:t>Logique</w:t>
      </w:r>
    </w:p>
    <w:p w14:paraId="51E407DA" w14:textId="77777777" w:rsidR="00065317" w:rsidRDefault="005C7BF7">
      <w:pPr>
        <w:pStyle w:val="Corpsdetexte"/>
      </w:pPr>
      <w:r>
        <w:t>E21(x) ⇒ E20(x)</w:t>
      </w:r>
    </w:p>
    <w:p w14:paraId="340E270A" w14:textId="77777777" w:rsidR="00065317" w:rsidRDefault="005C7BF7">
      <w:pPr>
        <w:pStyle w:val="Corpsdetexte"/>
      </w:pPr>
      <w:r>
        <w:t>E21(x) ⇒ E39(x)</w:t>
      </w:r>
    </w:p>
    <w:p w14:paraId="1DFC733E" w14:textId="77777777" w:rsidR="00065317" w:rsidRDefault="005C7BF7">
      <w:pPr>
        <w:pStyle w:val="Corpsdetexte"/>
      </w:pPr>
      <w:r>
        <w:rPr>
          <w:b/>
          <w:bCs/>
        </w:rPr>
        <w:t>Propriétés</w:t>
      </w:r>
    </w:p>
    <w:p w14:paraId="78DDC55F" w14:textId="46105B69" w:rsidR="00065317" w:rsidRDefault="005C7BF7">
      <w:pPr>
        <w:pStyle w:val="Corpsdetexte"/>
      </w:pPr>
      <w:r>
        <w:rPr>
          <w:rStyle w:val="VerbatimChar"/>
        </w:rPr>
        <w:t>P152_a_pour_parent (est_le_parent_de)</w:t>
      </w:r>
      <w:r w:rsidR="006B536C">
        <w:t xml:space="preserve"> </w:t>
      </w:r>
      <w:r>
        <w:t xml:space="preserve">: </w:t>
      </w:r>
      <w:r>
        <w:rPr>
          <w:rStyle w:val="VerbatimChar"/>
        </w:rPr>
        <w:t>E21_Personne</w:t>
      </w:r>
    </w:p>
    <w:p w14:paraId="6EE9C206" w14:textId="77777777" w:rsidR="00065317" w:rsidRDefault="005C7BF7">
      <w:pPr>
        <w:pStyle w:val="Normalcentr"/>
      </w:pPr>
      <w:r>
        <w:rPr>
          <w:b/>
          <w:bCs/>
          <w:i/>
          <w:iCs/>
        </w:rPr>
        <w:t>Note de traduction</w:t>
      </w:r>
    </w:p>
    <w:p w14:paraId="18C54B68" w14:textId="2F6BBAA6" w:rsidR="00065317" w:rsidRDefault="005C7BF7">
      <w:pPr>
        <w:pStyle w:val="Normalcentr"/>
      </w:pPr>
      <w:r>
        <w:t>L</w:t>
      </w:r>
      <w:r w:rsidR="00E84B0E">
        <w:t>’</w:t>
      </w:r>
      <w:r>
        <w:t>utilisation du terme « documentation » dans la définition fait ici référence aux données qui sont soumises en entrée. Le texte a été bonifié afin de clarifier de quoi il s</w:t>
      </w:r>
      <w:r w:rsidR="00E84B0E">
        <w:t>’</w:t>
      </w:r>
      <w:r>
        <w:t>agit, car le terme documentation, en français, n</w:t>
      </w:r>
      <w:r w:rsidR="00E84B0E">
        <w:t>’</w:t>
      </w:r>
      <w:r>
        <w:t>a pas la même acception qu</w:t>
      </w:r>
      <w:r w:rsidR="00E84B0E">
        <w:t>’</w:t>
      </w:r>
      <w:r>
        <w:t>en anglais et ne recoupe pas vraiment l</w:t>
      </w:r>
      <w:r w:rsidR="00E84B0E">
        <w:t>’</w:t>
      </w:r>
      <w:r>
        <w:t>usage qui en est fait ici.</w:t>
      </w:r>
    </w:p>
    <w:p w14:paraId="63EA858F" w14:textId="64CD37A9" w:rsidR="00065317" w:rsidRDefault="005C7BF7">
      <w:pPr>
        <w:pStyle w:val="Normalcentr"/>
      </w:pPr>
      <w:r>
        <w:t>La définition anglophone fait une distinction entre des « historical figures » et des « person</w:t>
      </w:r>
      <w:r w:rsidR="00F52177">
        <w:t>ae</w:t>
      </w:r>
      <w:r>
        <w:t> » et semble indiquer que cette distinction se situerait au niveau du soumissionnaire et de la manière dont l</w:t>
      </w:r>
      <w:r w:rsidR="00E84B0E">
        <w:t>’</w:t>
      </w:r>
      <w:r>
        <w:t xml:space="preserve">individu est perçu (personnage imaginaire ou fictif). Une vérification auprès du </w:t>
      </w:r>
      <w:r w:rsidR="008B430C">
        <w:t>CRM SIG</w:t>
      </w:r>
      <w:r>
        <w:t xml:space="preserve"> confirme cette interprétation.</w:t>
      </w:r>
    </w:p>
    <w:p w14:paraId="60E95EA1" w14:textId="580A201C" w:rsidR="00065317" w:rsidRDefault="005C7BF7" w:rsidP="00F02C72">
      <w:pPr>
        <w:pStyle w:val="Normalcentr"/>
      </w:pPr>
      <w:r>
        <w:rPr>
          <w:b/>
          <w:bCs/>
          <w:i/>
          <w:iCs/>
        </w:rPr>
        <w:t>Références</w:t>
      </w:r>
    </w:p>
    <w:p w14:paraId="73E02D96" w14:textId="1939652C" w:rsidR="00065317" w:rsidRDefault="005C7BF7" w:rsidP="00914F34">
      <w:pPr>
        <w:pStyle w:val="Titre3"/>
      </w:pPr>
      <w:bookmarkStart w:id="148" w:name="_Toc154048759"/>
      <w:bookmarkStart w:id="149" w:name="e22-objet-elabore-par-lhumain"/>
      <w:bookmarkEnd w:id="146"/>
      <w:r>
        <w:t>E22 Objet élaboré par l</w:t>
      </w:r>
      <w:r w:rsidR="00E84B0E">
        <w:t>’</w:t>
      </w:r>
      <w:r>
        <w:t>humain</w:t>
      </w:r>
      <w:bookmarkEnd w:id="148"/>
    </w:p>
    <w:p w14:paraId="7A41D14B" w14:textId="77777777" w:rsidR="00065317" w:rsidRDefault="005C7BF7">
      <w:pPr>
        <w:pStyle w:val="FirstParagraph"/>
      </w:pPr>
      <w:r>
        <w:rPr>
          <w:b/>
          <w:bCs/>
        </w:rPr>
        <w:t>Sous-classe de</w:t>
      </w:r>
    </w:p>
    <w:p w14:paraId="4A07298D" w14:textId="5ACF3F67" w:rsidR="00065317" w:rsidRDefault="005C7BF7">
      <w:pPr>
        <w:pStyle w:val="Corpsdetexte"/>
      </w:pPr>
      <w:r>
        <w:rPr>
          <w:rStyle w:val="VerbatimChar"/>
        </w:rPr>
        <w:t>E19_Objet_matérielE24_Chose_matérielle_élaborée_par_l</w:t>
      </w:r>
      <w:r w:rsidR="00E84B0E">
        <w:rPr>
          <w:rStyle w:val="VerbatimChar"/>
        </w:rPr>
        <w:t>’</w:t>
      </w:r>
      <w:r>
        <w:rPr>
          <w:rStyle w:val="VerbatimChar"/>
        </w:rPr>
        <w:t>humain</w:t>
      </w:r>
    </w:p>
    <w:p w14:paraId="0FD1D114" w14:textId="77777777" w:rsidR="00065317" w:rsidRDefault="005C7BF7">
      <w:pPr>
        <w:pStyle w:val="Corpsdetexte"/>
      </w:pPr>
      <w:r>
        <w:rPr>
          <w:b/>
          <w:bCs/>
        </w:rPr>
        <w:t>Super-classe de</w:t>
      </w:r>
    </w:p>
    <w:p w14:paraId="7F4EB159" w14:textId="794BB0AB" w:rsidR="00065317" w:rsidRDefault="005C7BF7">
      <w:pPr>
        <w:pStyle w:val="Corpsdetexte"/>
      </w:pPr>
      <w:r>
        <w:rPr>
          <w:b/>
          <w:bCs/>
        </w:rPr>
        <w:t>Note d</w:t>
      </w:r>
      <w:r w:rsidR="00E84B0E">
        <w:rPr>
          <w:b/>
          <w:bCs/>
        </w:rPr>
        <w:t>’</w:t>
      </w:r>
      <w:r>
        <w:rPr>
          <w:b/>
          <w:bCs/>
        </w:rPr>
        <w:t>application</w:t>
      </w:r>
    </w:p>
    <w:p w14:paraId="08F68F4F" w14:textId="1EEB8C99" w:rsidR="00065317" w:rsidRDefault="005C7BF7">
      <w:pPr>
        <w:pStyle w:val="Corpsdetexte"/>
      </w:pPr>
      <w:r>
        <w:t>Cette classe comprend tous les objets physiques persistants, quelle que soit leur taille, qui sont créés intentionnellement par l</w:t>
      </w:r>
      <w:r w:rsidR="00E84B0E">
        <w:t>’</w:t>
      </w:r>
      <w:r>
        <w:t>activité humaine et qui possèdent des limites physiques qui les séparent complètement et objectivement des autres objets.</w:t>
      </w:r>
    </w:p>
    <w:p w14:paraId="75E4736E" w14:textId="25F96C37" w:rsidR="00065317" w:rsidRDefault="005C7BF7">
      <w:pPr>
        <w:pStyle w:val="Corpsdetexte"/>
      </w:pPr>
      <w:r>
        <w:t>Cette classe inclut aussi toutes les agrégations d</w:t>
      </w:r>
      <w:r w:rsidR="00E84B0E">
        <w:t>’</w:t>
      </w:r>
      <w:r>
        <w:t>objets produits pour de quelconques buts fonctionnels, indépendamment de leur cohérence physique, comme un ensemble de pièces de jeu d</w:t>
      </w:r>
      <w:r w:rsidR="00E84B0E">
        <w:t>’</w:t>
      </w:r>
      <w:r>
        <w:t>échecs.</w:t>
      </w:r>
    </w:p>
    <w:p w14:paraId="2B09C71D" w14:textId="77777777" w:rsidR="00C86352" w:rsidRDefault="00C86352">
      <w:pPr>
        <w:spacing w:after="0"/>
        <w:rPr>
          <w:b/>
          <w:bCs/>
        </w:rPr>
      </w:pPr>
      <w:r>
        <w:rPr>
          <w:b/>
          <w:bCs/>
        </w:rPr>
        <w:br w:type="page"/>
      </w:r>
    </w:p>
    <w:p w14:paraId="582D49D5" w14:textId="67EDDB7A" w:rsidR="00065317" w:rsidRDefault="005C7BF7">
      <w:pPr>
        <w:pStyle w:val="Corpsdetexte"/>
      </w:pPr>
      <w:r>
        <w:rPr>
          <w:b/>
          <w:bCs/>
        </w:rPr>
        <w:lastRenderedPageBreak/>
        <w:t>Exemples</w:t>
      </w:r>
    </w:p>
    <w:p w14:paraId="5C76486B" w14:textId="1784AE01" w:rsidR="00065317" w:rsidRDefault="005C7BF7">
      <w:pPr>
        <w:numPr>
          <w:ilvl w:val="0"/>
          <w:numId w:val="78"/>
        </w:numPr>
      </w:pPr>
      <w:r>
        <w:t>La pierre de rosette (Rosetta Stone) (</w:t>
      </w:r>
      <w:r>
        <w:rPr>
          <w:rStyle w:val="VerbatimChar"/>
        </w:rPr>
        <w:t>E22_Objet_élaboré_par_l</w:t>
      </w:r>
      <w:r w:rsidR="00E84B0E">
        <w:rPr>
          <w:rStyle w:val="VerbatimChar"/>
        </w:rPr>
        <w:t>’</w:t>
      </w:r>
      <w:r>
        <w:rPr>
          <w:rStyle w:val="VerbatimChar"/>
        </w:rPr>
        <w:t>humain</w:t>
      </w:r>
      <w:r>
        <w:t>)</w:t>
      </w:r>
    </w:p>
    <w:p w14:paraId="40C51B1F" w14:textId="77777777" w:rsidR="00065317" w:rsidRDefault="005C7BF7">
      <w:pPr>
        <w:numPr>
          <w:ilvl w:val="0"/>
          <w:numId w:val="78"/>
        </w:numPr>
      </w:pPr>
      <w:r>
        <w:t>La Mallard LNER Class A4 4468 (la locomotive à vapeur la plus rapide du monde conservée au National Railway Museum of York au Royaume-Uni) (Solomon, 2003)</w:t>
      </w:r>
    </w:p>
    <w:p w14:paraId="76D5B354" w14:textId="715499AC" w:rsidR="00A81E78" w:rsidRPr="00241DFB" w:rsidRDefault="005C7BF7" w:rsidP="00241DFB">
      <w:pPr>
        <w:numPr>
          <w:ilvl w:val="0"/>
          <w:numId w:val="78"/>
        </w:numPr>
      </w:pPr>
      <w:r>
        <w:t>Le vase Portland (Walker, 2004)</w:t>
      </w:r>
    </w:p>
    <w:p w14:paraId="0B78E9D5" w14:textId="72530AE4" w:rsidR="00065317" w:rsidRDefault="005C7BF7">
      <w:pPr>
        <w:pStyle w:val="FirstParagraph"/>
      </w:pPr>
      <w:r>
        <w:rPr>
          <w:b/>
          <w:bCs/>
        </w:rPr>
        <w:t>Logique</w:t>
      </w:r>
    </w:p>
    <w:p w14:paraId="38AF3D90" w14:textId="77777777" w:rsidR="00065317" w:rsidRDefault="005C7BF7">
      <w:pPr>
        <w:pStyle w:val="Corpsdetexte"/>
      </w:pPr>
      <w:r>
        <w:t>E22(x) ⇒ E19(x)E22(x) ⇒ E24(x)</w:t>
      </w:r>
    </w:p>
    <w:p w14:paraId="45AE4D16" w14:textId="3AA6673A" w:rsidR="00241DFB" w:rsidRPr="003F44C6" w:rsidRDefault="005C7BF7">
      <w:pPr>
        <w:pStyle w:val="Corpsdetexte"/>
        <w:rPr>
          <w:b/>
          <w:bCs/>
        </w:rPr>
      </w:pPr>
      <w:r>
        <w:rPr>
          <w:b/>
          <w:bCs/>
        </w:rPr>
        <w:t>Propriétés</w:t>
      </w:r>
    </w:p>
    <w:p w14:paraId="74D3C401" w14:textId="77777777" w:rsidR="00065317" w:rsidRDefault="005C7BF7">
      <w:pPr>
        <w:pStyle w:val="Normalcentr"/>
      </w:pPr>
      <w:r>
        <w:rPr>
          <w:b/>
          <w:bCs/>
          <w:i/>
          <w:iCs/>
        </w:rPr>
        <w:t>Note de traduction</w:t>
      </w:r>
    </w:p>
    <w:p w14:paraId="2FD1267F" w14:textId="177EAAB4" w:rsidR="00065317" w:rsidRDefault="005C7BF7" w:rsidP="00F02C72">
      <w:pPr>
        <w:pStyle w:val="Normalcentr"/>
      </w:pPr>
      <w:r>
        <w:rPr>
          <w:b/>
          <w:bCs/>
          <w:i/>
          <w:iCs/>
        </w:rPr>
        <w:t>Références</w:t>
      </w:r>
    </w:p>
    <w:p w14:paraId="05BEA6B0" w14:textId="18AFCEBD" w:rsidR="00065317" w:rsidRDefault="005C7BF7" w:rsidP="00914F34">
      <w:pPr>
        <w:pStyle w:val="Titre3"/>
      </w:pPr>
      <w:bookmarkStart w:id="150" w:name="_Toc154048760"/>
      <w:bookmarkStart w:id="151" w:name="Xb27fbdf86ebbc8f56ffe1a9ad7de822e3b2f7ab"/>
      <w:bookmarkEnd w:id="149"/>
      <w:r>
        <w:t>E24 Chose matérielle élaborée par l</w:t>
      </w:r>
      <w:r w:rsidR="00E84B0E">
        <w:t>’</w:t>
      </w:r>
      <w:r>
        <w:t>humain</w:t>
      </w:r>
      <w:bookmarkEnd w:id="150"/>
    </w:p>
    <w:p w14:paraId="7E0D6B86" w14:textId="77777777" w:rsidR="00065317" w:rsidRDefault="005C7BF7">
      <w:pPr>
        <w:pStyle w:val="FirstParagraph"/>
      </w:pPr>
      <w:r>
        <w:rPr>
          <w:b/>
          <w:bCs/>
        </w:rPr>
        <w:t>Sous-classe de</w:t>
      </w:r>
    </w:p>
    <w:p w14:paraId="63E2FFB8" w14:textId="77777777" w:rsidR="00065317" w:rsidRDefault="005C7BF7">
      <w:pPr>
        <w:pStyle w:val="Corpsdetexte"/>
      </w:pPr>
      <w:r>
        <w:rPr>
          <w:rStyle w:val="VerbatimChar"/>
        </w:rPr>
        <w:t>E18_Chose_matérielle</w:t>
      </w:r>
    </w:p>
    <w:p w14:paraId="1679226B" w14:textId="73460AFB" w:rsidR="00065317" w:rsidRDefault="005C7BF7">
      <w:pPr>
        <w:pStyle w:val="Corpsdetexte"/>
      </w:pPr>
      <w:r>
        <w:rPr>
          <w:rStyle w:val="VerbatimChar"/>
        </w:rPr>
        <w:t>E71_Chose_élaborée_par_l</w:t>
      </w:r>
      <w:r w:rsidR="00E84B0E">
        <w:rPr>
          <w:rStyle w:val="VerbatimChar"/>
        </w:rPr>
        <w:t>’</w:t>
      </w:r>
      <w:r>
        <w:rPr>
          <w:rStyle w:val="VerbatimChar"/>
        </w:rPr>
        <w:t>humain</w:t>
      </w:r>
      <w:r>
        <w:t xml:space="preserve"> </w:t>
      </w:r>
    </w:p>
    <w:p w14:paraId="402A1DEA" w14:textId="77777777" w:rsidR="00065317" w:rsidRDefault="005C7BF7">
      <w:pPr>
        <w:pStyle w:val="Corpsdetexte"/>
      </w:pPr>
      <w:r>
        <w:rPr>
          <w:b/>
          <w:bCs/>
        </w:rPr>
        <w:t>Super-classe de</w:t>
      </w:r>
    </w:p>
    <w:p w14:paraId="2ACA78F2" w14:textId="2CE78DD1" w:rsidR="00065317" w:rsidRDefault="005C7BF7">
      <w:pPr>
        <w:pStyle w:val="Corpsdetexte"/>
      </w:pPr>
      <w:r>
        <w:rPr>
          <w:rStyle w:val="VerbatimChar"/>
        </w:rPr>
        <w:t>E22_Objet_élaboré_par_l</w:t>
      </w:r>
      <w:r w:rsidR="00E84B0E">
        <w:rPr>
          <w:rStyle w:val="VerbatimChar"/>
        </w:rPr>
        <w:t>’</w:t>
      </w:r>
      <w:r>
        <w:rPr>
          <w:rStyle w:val="VerbatimChar"/>
        </w:rPr>
        <w:t>humain</w:t>
      </w:r>
    </w:p>
    <w:p w14:paraId="348E94B6" w14:textId="6F0BB58E" w:rsidR="00065317" w:rsidRDefault="005C7BF7">
      <w:pPr>
        <w:pStyle w:val="Corpsdetexte"/>
      </w:pPr>
      <w:r>
        <w:rPr>
          <w:rStyle w:val="VerbatimChar"/>
        </w:rPr>
        <w:t>E25_Caractéristique_élaborée_par_l</w:t>
      </w:r>
      <w:r w:rsidR="00E84B0E">
        <w:rPr>
          <w:rStyle w:val="VerbatimChar"/>
        </w:rPr>
        <w:t>’</w:t>
      </w:r>
      <w:r>
        <w:rPr>
          <w:rStyle w:val="VerbatimChar"/>
        </w:rPr>
        <w:t>humain</w:t>
      </w:r>
    </w:p>
    <w:p w14:paraId="5CEBD7D1" w14:textId="77777777" w:rsidR="00065317" w:rsidRDefault="005C7BF7">
      <w:pPr>
        <w:pStyle w:val="Corpsdetexte"/>
      </w:pPr>
      <w:r>
        <w:rPr>
          <w:rStyle w:val="VerbatimChar"/>
        </w:rPr>
        <w:t>E78_Collection</w:t>
      </w:r>
    </w:p>
    <w:p w14:paraId="5EC354A0" w14:textId="6C17E945" w:rsidR="00065317" w:rsidRDefault="005C7BF7">
      <w:pPr>
        <w:pStyle w:val="Corpsdetexte"/>
      </w:pPr>
      <w:r>
        <w:rPr>
          <w:b/>
          <w:bCs/>
        </w:rPr>
        <w:t>Note d</w:t>
      </w:r>
      <w:r w:rsidR="00E84B0E">
        <w:rPr>
          <w:b/>
          <w:bCs/>
        </w:rPr>
        <w:t>’</w:t>
      </w:r>
      <w:r>
        <w:rPr>
          <w:b/>
          <w:bCs/>
        </w:rPr>
        <w:t>application</w:t>
      </w:r>
    </w:p>
    <w:p w14:paraId="069266F4" w14:textId="66788FC4" w:rsidR="00065317" w:rsidRDefault="005C7BF7">
      <w:pPr>
        <w:pStyle w:val="Corpsdetexte"/>
      </w:pPr>
      <w:r>
        <w:t>Cette classe comprend toutes les entités physiques persistantes de n</w:t>
      </w:r>
      <w:r w:rsidR="00E84B0E">
        <w:t>’</w:t>
      </w:r>
      <w:r>
        <w:t>importe quelle taille qui sont créées volontairement par l</w:t>
      </w:r>
      <w:r w:rsidR="00E84B0E">
        <w:t>’</w:t>
      </w:r>
      <w:r>
        <w:t xml:space="preserve">activité humaine. Cette classe comprend, entre autres, des instances de </w:t>
      </w:r>
      <w:r>
        <w:rPr>
          <w:rStyle w:val="VerbatimChar"/>
        </w:rPr>
        <w:t>E22_Objet_élaboré_par_l</w:t>
      </w:r>
      <w:r w:rsidR="00E84B0E">
        <w:rPr>
          <w:rStyle w:val="VerbatimChar"/>
        </w:rPr>
        <w:t>’</w:t>
      </w:r>
      <w:r>
        <w:rPr>
          <w:rStyle w:val="VerbatimChar"/>
        </w:rPr>
        <w:t>humain</w:t>
      </w:r>
      <w:r>
        <w:t xml:space="preserve">, comme une épée, ainsi que des instances de </w:t>
      </w:r>
      <w:r>
        <w:rPr>
          <w:rStyle w:val="VerbatimChar"/>
        </w:rPr>
        <w:t>E25_Caractéristique_élaborée_par_l</w:t>
      </w:r>
      <w:r w:rsidR="00E84B0E">
        <w:rPr>
          <w:rStyle w:val="VerbatimChar"/>
        </w:rPr>
        <w:t>’</w:t>
      </w:r>
      <w:r>
        <w:rPr>
          <w:rStyle w:val="VerbatimChar"/>
        </w:rPr>
        <w:t>humain</w:t>
      </w:r>
      <w:r>
        <w:t>, comme une œuvre d</w:t>
      </w:r>
      <w:r w:rsidR="00E84B0E">
        <w:t>’</w:t>
      </w:r>
      <w:r>
        <w:t xml:space="preserve">art rupestre. Par exemple, une « cupule » gravée dans un substrat rocheux est considérée comme une instance de </w:t>
      </w:r>
      <w:r>
        <w:rPr>
          <w:rStyle w:val="VerbatimChar"/>
        </w:rPr>
        <w:t>E24_Chose_matérielle_élaborée_par_l</w:t>
      </w:r>
      <w:r w:rsidR="00E84B0E">
        <w:rPr>
          <w:rStyle w:val="VerbatimChar"/>
        </w:rPr>
        <w:t>’</w:t>
      </w:r>
      <w:r>
        <w:rPr>
          <w:rStyle w:val="VerbatimChar"/>
        </w:rPr>
        <w:t>humain</w:t>
      </w:r>
      <w:r>
        <w:t>.</w:t>
      </w:r>
    </w:p>
    <w:p w14:paraId="3984568A" w14:textId="28B32536" w:rsidR="00065317" w:rsidRDefault="005C7BF7">
      <w:pPr>
        <w:pStyle w:val="Corpsdetexte"/>
      </w:pPr>
      <w:r>
        <w:t xml:space="preserve">Les instances de </w:t>
      </w:r>
      <w:r>
        <w:rPr>
          <w:rStyle w:val="VerbatimChar"/>
        </w:rPr>
        <w:t>E71_Chose_élaborée_par_l</w:t>
      </w:r>
      <w:r w:rsidR="00E84B0E">
        <w:rPr>
          <w:rStyle w:val="VerbatimChar"/>
        </w:rPr>
        <w:t>’</w:t>
      </w:r>
      <w:r>
        <w:rPr>
          <w:rStyle w:val="VerbatimChar"/>
        </w:rPr>
        <w:t>humain</w:t>
      </w:r>
      <w:r>
        <w:t xml:space="preserve"> peuvent être le résultat de la modification de choses matérielles préexistantes, tant que de grandes parties ou la majorité de la matière originale et de la structure sont préservées. [</w:t>
      </w:r>
      <w:r w:rsidR="00AF51A3">
        <w:t xml:space="preserve">n.d.t. </w:t>
      </w:r>
      <w:r>
        <w:t>Le fait que ces instances peuvent provenir d</w:t>
      </w:r>
      <w:r w:rsidR="00E84B0E">
        <w:t>’</w:t>
      </w:r>
      <w:r>
        <w:t>une modification] soulève la question de savoir si elles sont nouvelles ou même élaborées par l</w:t>
      </w:r>
      <w:r w:rsidR="00E84B0E">
        <w:t>’</w:t>
      </w:r>
      <w:r>
        <w:t>humain. [</w:t>
      </w:r>
      <w:r w:rsidR="00AF51A3">
        <w:t xml:space="preserve">n.d.t. </w:t>
      </w:r>
      <w:r>
        <w:t>Afin de déterminer s</w:t>
      </w:r>
      <w:r w:rsidR="00E84B0E">
        <w:t>’</w:t>
      </w:r>
      <w:r>
        <w:t>il s</w:t>
      </w:r>
      <w:r w:rsidR="00E84B0E">
        <w:t>’</w:t>
      </w:r>
      <w:r>
        <w:t>agit effectivement d</w:t>
      </w:r>
      <w:r w:rsidR="00E84B0E">
        <w:t>’</w:t>
      </w:r>
      <w:r>
        <w:t xml:space="preserve">une nouvelle instance de </w:t>
      </w:r>
      <w:r>
        <w:rPr>
          <w:rStyle w:val="VerbatimChar"/>
        </w:rPr>
        <w:t>E24_Chose_matérielle_élaborée_par_l</w:t>
      </w:r>
      <w:r w:rsidR="00E84B0E">
        <w:rPr>
          <w:rStyle w:val="VerbatimChar"/>
        </w:rPr>
        <w:t>’</w:t>
      </w:r>
      <w:r>
        <w:rPr>
          <w:rStyle w:val="VerbatimChar"/>
        </w:rPr>
        <w:t>humain</w:t>
      </w:r>
      <w:r>
        <w:t>, il faut que] les interventions de production sur ce matériau d</w:t>
      </w:r>
      <w:r w:rsidR="00E84B0E">
        <w:t>’</w:t>
      </w:r>
      <w:r>
        <w:t>origine soient respectivement évidentes et suffisantes pour considérer que le produit a une identité nouvelle et distincte, une fonction prévue ainsi qu</w:t>
      </w:r>
      <w:r w:rsidR="00E84B0E">
        <w:t>’</w:t>
      </w:r>
      <w:r>
        <w:t>il soit fabriqué par l</w:t>
      </w:r>
      <w:r w:rsidR="00E84B0E">
        <w:t>’</w:t>
      </w:r>
      <w:r>
        <w:t xml:space="preserve">humain. La continuité substantielle de la matière et de la structure précédentes dans le nouveau produit peut être documentée en décrivant le processus de production également comme une instance de </w:t>
      </w:r>
      <w:r>
        <w:rPr>
          <w:rStyle w:val="VerbatimChar"/>
        </w:rPr>
        <w:t>E81_Transformation</w:t>
      </w:r>
      <w:r>
        <w:t>.</w:t>
      </w:r>
    </w:p>
    <w:p w14:paraId="24F8B2F1" w14:textId="144E293B" w:rsidR="00065317" w:rsidRDefault="005C7BF7">
      <w:pPr>
        <w:pStyle w:val="Corpsdetexte"/>
      </w:pPr>
      <w:r>
        <w:t xml:space="preserve">Alors que les interventions de conservation et de réparation ne sont pas considérées comme produisant une nouvelle instance de </w:t>
      </w:r>
      <w:r>
        <w:rPr>
          <w:rStyle w:val="VerbatimChar"/>
        </w:rPr>
        <w:t>E71_Chose_élaborée_par_l</w:t>
      </w:r>
      <w:r w:rsidR="00E84B0E">
        <w:rPr>
          <w:rStyle w:val="VerbatimChar"/>
        </w:rPr>
        <w:t>’</w:t>
      </w:r>
      <w:r>
        <w:rPr>
          <w:rStyle w:val="VerbatimChar"/>
        </w:rPr>
        <w:t>humain</w:t>
      </w:r>
      <w:r>
        <w:t>, les résultats de préparation de spécimens d</w:t>
      </w:r>
      <w:r w:rsidR="00E84B0E">
        <w:t>’</w:t>
      </w:r>
      <w:r>
        <w:t xml:space="preserve">histoire naturelle qui modifient substantiellement leur état naturel ou original devraient être </w:t>
      </w:r>
      <w:r>
        <w:lastRenderedPageBreak/>
        <w:t xml:space="preserve">considérés comme des instances de </w:t>
      </w:r>
      <w:r>
        <w:rPr>
          <w:rStyle w:val="VerbatimChar"/>
        </w:rPr>
        <w:t>E71_Chose_élaborée_par_l</w:t>
      </w:r>
      <w:r w:rsidR="00E84B0E">
        <w:rPr>
          <w:rStyle w:val="VerbatimChar"/>
        </w:rPr>
        <w:t>’</w:t>
      </w:r>
      <w:r>
        <w:rPr>
          <w:rStyle w:val="VerbatimChar"/>
        </w:rPr>
        <w:t>humain</w:t>
      </w:r>
      <w:r>
        <w:t>, y compris la découverte de composants biologiques pétrifiés au sein d</w:t>
      </w:r>
      <w:r w:rsidR="00E84B0E">
        <w:t>’</w:t>
      </w:r>
      <w:r>
        <w:t>un morceau de pierre solide. D</w:t>
      </w:r>
      <w:r w:rsidR="00E84B0E">
        <w:t>’</w:t>
      </w:r>
      <w:r>
        <w:t>un autre côté, griffonner un numéro de musée sur un objet naturel ne devrait pas être considéré comme une activité créant une chose élaborée par l</w:t>
      </w:r>
      <w:r w:rsidR="00E84B0E">
        <w:t>’</w:t>
      </w:r>
      <w:r>
        <w:t>humain. Nonobstant cela, des parties, sections ou caractéristiques d</w:t>
      </w:r>
      <w:r w:rsidR="00E84B0E">
        <w:t>’</w:t>
      </w:r>
      <w:r>
        <w:t xml:space="preserve">une instance de </w:t>
      </w:r>
      <w:r>
        <w:rPr>
          <w:rStyle w:val="VerbatimChar"/>
        </w:rPr>
        <w:t>E24_Chose_matérielle_élaborée_par_l</w:t>
      </w:r>
      <w:r w:rsidR="00E84B0E">
        <w:rPr>
          <w:rStyle w:val="VerbatimChar"/>
        </w:rPr>
        <w:t>’</w:t>
      </w:r>
      <w:r>
        <w:rPr>
          <w:rStyle w:val="VerbatimChar"/>
        </w:rPr>
        <w:t>humain</w:t>
      </w:r>
      <w:r>
        <w:t xml:space="preserve"> peuvent continuer à ne pas être élaborées par l</w:t>
      </w:r>
      <w:r w:rsidR="00E84B0E">
        <w:t>’</w:t>
      </w:r>
      <w:r>
        <w:t>humain et préservées pendant le processus de production, par exemple les perles naturelles utilisées comme une partie de boucle d</w:t>
      </w:r>
      <w:r w:rsidR="00E84B0E">
        <w:t>’</w:t>
      </w:r>
      <w:r>
        <w:t>oreille.</w:t>
      </w:r>
    </w:p>
    <w:p w14:paraId="73F593FA" w14:textId="77777777" w:rsidR="00065317" w:rsidRDefault="005C7BF7">
      <w:pPr>
        <w:pStyle w:val="Corpsdetexte"/>
      </w:pPr>
      <w:r>
        <w:rPr>
          <w:b/>
          <w:bCs/>
        </w:rPr>
        <w:t>Exemples</w:t>
      </w:r>
    </w:p>
    <w:p w14:paraId="2F3AC227" w14:textId="27A43D5F" w:rsidR="00065317" w:rsidRDefault="005C7BF7">
      <w:pPr>
        <w:numPr>
          <w:ilvl w:val="0"/>
          <w:numId w:val="79"/>
        </w:numPr>
      </w:pPr>
      <w:r>
        <w:t>Le Pont du Forth (Forth Railway Bridge) (</w:t>
      </w:r>
      <w:r>
        <w:rPr>
          <w:rStyle w:val="VerbatimChar"/>
        </w:rPr>
        <w:t>E22_Objet_élaboré_par_l</w:t>
      </w:r>
      <w:r w:rsidR="00E84B0E">
        <w:rPr>
          <w:rStyle w:val="VerbatimChar"/>
        </w:rPr>
        <w:t>’</w:t>
      </w:r>
      <w:r>
        <w:rPr>
          <w:rStyle w:val="VerbatimChar"/>
        </w:rPr>
        <w:t>humain</w:t>
      </w:r>
      <w:r>
        <w:t>) (Shipway, Bouch, Baker &amp; Fowler, 1990)</w:t>
      </w:r>
    </w:p>
    <w:p w14:paraId="7C370E08" w14:textId="62D31E15" w:rsidR="00065317" w:rsidRDefault="005C7BF7">
      <w:pPr>
        <w:numPr>
          <w:ilvl w:val="0"/>
          <w:numId w:val="79"/>
        </w:numPr>
      </w:pPr>
      <w:r>
        <w:t>Le tunnel sous la manche (</w:t>
      </w:r>
      <w:r>
        <w:rPr>
          <w:rStyle w:val="VerbatimChar"/>
        </w:rPr>
        <w:t>E25_Caractéristique_élaborée_par_l</w:t>
      </w:r>
      <w:r w:rsidR="00E84B0E">
        <w:rPr>
          <w:rStyle w:val="VerbatimChar"/>
        </w:rPr>
        <w:t>’</w:t>
      </w:r>
      <w:r>
        <w:rPr>
          <w:rStyle w:val="VerbatimChar"/>
        </w:rPr>
        <w:t>humain</w:t>
      </w:r>
      <w:r>
        <w:t>) (Holliday, Marcou &amp; Vickerman, 1991)</w:t>
      </w:r>
    </w:p>
    <w:p w14:paraId="67224E20" w14:textId="77777777" w:rsidR="00065317" w:rsidRDefault="005C7BF7">
      <w:pPr>
        <w:numPr>
          <w:ilvl w:val="0"/>
          <w:numId w:val="79"/>
        </w:numPr>
      </w:pPr>
      <w:r>
        <w:t>Le palais de Knossos (Evans, 1921)</w:t>
      </w:r>
    </w:p>
    <w:p w14:paraId="2A1C2055" w14:textId="4C74606E" w:rsidR="00065317" w:rsidRDefault="005C7BF7">
      <w:pPr>
        <w:numPr>
          <w:ilvl w:val="0"/>
          <w:numId w:val="79"/>
        </w:numPr>
      </w:pPr>
      <w:r>
        <w:t>Le Colisée de Rome en Italie (Hopkins &amp; Beard, 2011)</w:t>
      </w:r>
    </w:p>
    <w:p w14:paraId="14111647" w14:textId="77777777" w:rsidR="00065317" w:rsidRDefault="005C7BF7">
      <w:pPr>
        <w:numPr>
          <w:ilvl w:val="0"/>
          <w:numId w:val="79"/>
        </w:numPr>
      </w:pPr>
      <w:r>
        <w:t>La collection historique du Musée Benaki à Athènes (</w:t>
      </w:r>
      <w:r>
        <w:rPr>
          <w:rStyle w:val="VerbatimChar"/>
        </w:rPr>
        <w:t>E78_Collection</w:t>
      </w:r>
      <w:r>
        <w:t>) (Georgoula, 2005)</w:t>
      </w:r>
    </w:p>
    <w:p w14:paraId="6E905A83" w14:textId="31E4F6C6" w:rsidR="00065317" w:rsidRDefault="005C7BF7">
      <w:pPr>
        <w:numPr>
          <w:ilvl w:val="0"/>
          <w:numId w:val="79"/>
        </w:numPr>
      </w:pPr>
      <w:r>
        <w:t>La pierre de Rosette (Rosetta Stone) (</w:t>
      </w:r>
      <w:r>
        <w:rPr>
          <w:rStyle w:val="VerbatimChar"/>
        </w:rPr>
        <w:t>E22_Objet_élaboré_par_l</w:t>
      </w:r>
      <w:r w:rsidR="00E84B0E">
        <w:rPr>
          <w:rStyle w:val="VerbatimChar"/>
        </w:rPr>
        <w:t>’</w:t>
      </w:r>
      <w:r>
        <w:rPr>
          <w:rStyle w:val="VerbatimChar"/>
        </w:rPr>
        <w:t>humain</w:t>
      </w:r>
      <w:r>
        <w:t>)</w:t>
      </w:r>
    </w:p>
    <w:p w14:paraId="32ED40B0" w14:textId="0628E300" w:rsidR="00065317" w:rsidRDefault="005C7BF7">
      <w:pPr>
        <w:numPr>
          <w:ilvl w:val="0"/>
          <w:numId w:val="79"/>
        </w:numPr>
      </w:pPr>
      <w:r>
        <w:t xml:space="preserve">Ma copie de poche de </w:t>
      </w:r>
      <w:r>
        <w:rPr>
          <w:i/>
          <w:iCs/>
        </w:rPr>
        <w:t>Crime et Châtiment</w:t>
      </w:r>
      <w:r>
        <w:t xml:space="preserve"> </w:t>
      </w:r>
      <w:r>
        <w:rPr>
          <w:i/>
          <w:iCs/>
        </w:rPr>
        <w:t>Преступление и наказание</w:t>
      </w:r>
      <w:r>
        <w:t xml:space="preserve"> (</w:t>
      </w:r>
      <w:r>
        <w:rPr>
          <w:rStyle w:val="VerbatimChar"/>
        </w:rPr>
        <w:t>E22_Objet_élaboré_par_l</w:t>
      </w:r>
      <w:r w:rsidR="00E84B0E">
        <w:rPr>
          <w:rStyle w:val="VerbatimChar"/>
        </w:rPr>
        <w:t>’</w:t>
      </w:r>
      <w:r>
        <w:rPr>
          <w:rStyle w:val="VerbatimChar"/>
        </w:rPr>
        <w:t>humain</w:t>
      </w:r>
      <w:r>
        <w:t>) (fictif)</w:t>
      </w:r>
    </w:p>
    <w:p w14:paraId="52D76565" w14:textId="70FC5303" w:rsidR="00065317" w:rsidRDefault="005C7BF7">
      <w:pPr>
        <w:numPr>
          <w:ilvl w:val="0"/>
          <w:numId w:val="79"/>
        </w:numPr>
      </w:pPr>
      <w:r>
        <w:t>Le disque informatique à l</w:t>
      </w:r>
      <w:r w:rsidR="00E84B0E">
        <w:t>’</w:t>
      </w:r>
      <w:r>
        <w:t xml:space="preserve">Institute of Computer Science - Foundation for Research and Technology - Hellas (ICS-FORTH) qui contient la Définition canonique du </w:t>
      </w:r>
      <w:r w:rsidR="00C8288F">
        <w:t>CIDOC CRM</w:t>
      </w:r>
      <w:r>
        <w:t xml:space="preserve"> v.3.2 (</w:t>
      </w:r>
      <w:r>
        <w:rPr>
          <w:rStyle w:val="VerbatimChar"/>
        </w:rPr>
        <w:t>E22_Objet_élaboré_par_l</w:t>
      </w:r>
      <w:r w:rsidR="00E84B0E">
        <w:rPr>
          <w:rStyle w:val="VerbatimChar"/>
        </w:rPr>
        <w:t>’</w:t>
      </w:r>
      <w:r>
        <w:rPr>
          <w:rStyle w:val="VerbatimChar"/>
        </w:rPr>
        <w:t>humain</w:t>
      </w:r>
      <w:r>
        <w:t>)</w:t>
      </w:r>
    </w:p>
    <w:p w14:paraId="2C59BC25" w14:textId="225F8643" w:rsidR="00065317" w:rsidRDefault="005C7BF7">
      <w:pPr>
        <w:numPr>
          <w:ilvl w:val="0"/>
          <w:numId w:val="79"/>
        </w:numPr>
      </w:pPr>
      <w:r>
        <w:t>Mon disque DVD vide (</w:t>
      </w:r>
      <w:r>
        <w:rPr>
          <w:rStyle w:val="VerbatimChar"/>
        </w:rPr>
        <w:t>E22_Objet_élaboré_par_l</w:t>
      </w:r>
      <w:r w:rsidR="00E84B0E">
        <w:rPr>
          <w:rStyle w:val="VerbatimChar"/>
        </w:rPr>
        <w:t>’</w:t>
      </w:r>
      <w:r>
        <w:rPr>
          <w:rStyle w:val="VerbatimChar"/>
        </w:rPr>
        <w:t>humain</w:t>
      </w:r>
      <w:r>
        <w:t>) (fictif)</w:t>
      </w:r>
    </w:p>
    <w:p w14:paraId="099392DD" w14:textId="77777777" w:rsidR="00065317" w:rsidRDefault="005C7BF7">
      <w:pPr>
        <w:pStyle w:val="FirstParagraph"/>
      </w:pPr>
      <w:r>
        <w:rPr>
          <w:b/>
          <w:bCs/>
        </w:rPr>
        <w:t>Logique</w:t>
      </w:r>
    </w:p>
    <w:p w14:paraId="7D75DD55" w14:textId="77777777" w:rsidR="00065317" w:rsidRDefault="005C7BF7">
      <w:pPr>
        <w:pStyle w:val="Corpsdetexte"/>
      </w:pPr>
      <w:r>
        <w:t>E24(x) ⇒ E18(x)</w:t>
      </w:r>
    </w:p>
    <w:p w14:paraId="2DB8F6CC" w14:textId="77777777" w:rsidR="00065317" w:rsidRDefault="005C7BF7">
      <w:pPr>
        <w:pStyle w:val="Corpsdetexte"/>
      </w:pPr>
      <w:r>
        <w:t>E24(x) ⇒ E71(x)</w:t>
      </w:r>
    </w:p>
    <w:p w14:paraId="2BE0BFC2" w14:textId="77777777" w:rsidR="00065317" w:rsidRDefault="005C7BF7">
      <w:pPr>
        <w:pStyle w:val="Corpsdetexte"/>
      </w:pPr>
      <w:r>
        <w:rPr>
          <w:b/>
          <w:bCs/>
        </w:rPr>
        <w:t>Propriétés</w:t>
      </w:r>
    </w:p>
    <w:p w14:paraId="68295289" w14:textId="504858A4" w:rsidR="00065317" w:rsidRDefault="005C7BF7">
      <w:pPr>
        <w:pStyle w:val="Corpsdetexte"/>
      </w:pPr>
      <w:r>
        <w:rPr>
          <w:rStyle w:val="VerbatimChar"/>
        </w:rPr>
        <w:t>P62_illustre (est_illustré_par)</w:t>
      </w:r>
      <w:r>
        <w:t xml:space="preserve"> : </w:t>
      </w:r>
      <w:r>
        <w:rPr>
          <w:rStyle w:val="VerbatimChar"/>
        </w:rPr>
        <w:t>E1_Entité_CRM</w:t>
      </w:r>
      <w:r>
        <w:t xml:space="preserve"> (</w:t>
      </w:r>
      <w:r>
        <w:rPr>
          <w:rStyle w:val="VerbatimChar"/>
        </w:rPr>
        <w:t>P62.1_mode_d</w:t>
      </w:r>
      <w:r w:rsidR="00E84B0E">
        <w:rPr>
          <w:rStyle w:val="VerbatimChar"/>
        </w:rPr>
        <w:t>’</w:t>
      </w:r>
      <w:r>
        <w:rPr>
          <w:rStyle w:val="VerbatimChar"/>
        </w:rPr>
        <w:t>illustration</w:t>
      </w:r>
      <w:r>
        <w:t xml:space="preserve"> : </w:t>
      </w:r>
      <w:r>
        <w:rPr>
          <w:rStyle w:val="VerbatimChar"/>
        </w:rPr>
        <w:t>E55_Type</w:t>
      </w:r>
      <w:r>
        <w:t>)</w:t>
      </w:r>
    </w:p>
    <w:p w14:paraId="1450428A" w14:textId="1E07BE4C" w:rsidR="00065317" w:rsidRDefault="005C7BF7">
      <w:pPr>
        <w:pStyle w:val="Corpsdetexte"/>
      </w:pPr>
      <w:r>
        <w:rPr>
          <w:rStyle w:val="VerbatimChar"/>
        </w:rPr>
        <w:t>P65_représente_l</w:t>
      </w:r>
      <w:r w:rsidR="00E84B0E">
        <w:rPr>
          <w:rStyle w:val="VerbatimChar"/>
        </w:rPr>
        <w:t>’</w:t>
      </w:r>
      <w:r>
        <w:rPr>
          <w:rStyle w:val="VerbatimChar"/>
        </w:rPr>
        <w:t>entité_visuelle (est_représenté_par)</w:t>
      </w:r>
      <w:r>
        <w:t xml:space="preserve"> : </w:t>
      </w:r>
      <w:r>
        <w:rPr>
          <w:rStyle w:val="VerbatimChar"/>
        </w:rPr>
        <w:t>E36_Entité_visuelle</w:t>
      </w:r>
    </w:p>
    <w:p w14:paraId="661569C5" w14:textId="77777777" w:rsidR="00065317" w:rsidRDefault="005C7BF7">
      <w:pPr>
        <w:pStyle w:val="Normalcentr"/>
      </w:pPr>
      <w:r>
        <w:rPr>
          <w:b/>
          <w:bCs/>
          <w:i/>
          <w:iCs/>
        </w:rPr>
        <w:t>Note de traduction</w:t>
      </w:r>
    </w:p>
    <w:p w14:paraId="313A23E0" w14:textId="796A1D07" w:rsidR="008D39EE" w:rsidRPr="00C86352" w:rsidRDefault="005C7BF7" w:rsidP="00C86352">
      <w:pPr>
        <w:pStyle w:val="Normalcentr"/>
      </w:pPr>
      <w:r>
        <w:rPr>
          <w:b/>
          <w:bCs/>
          <w:i/>
          <w:iCs/>
        </w:rPr>
        <w:t>Références</w:t>
      </w:r>
      <w:bookmarkStart w:id="152" w:name="X8203b2b217bbb19c606aeda82e42506f36cdcbd"/>
      <w:bookmarkEnd w:id="151"/>
    </w:p>
    <w:p w14:paraId="45151BF8" w14:textId="506E442C" w:rsidR="00065317" w:rsidRDefault="005C7BF7" w:rsidP="00914F34">
      <w:pPr>
        <w:pStyle w:val="Titre3"/>
      </w:pPr>
      <w:bookmarkStart w:id="153" w:name="_Toc154048761"/>
      <w:r>
        <w:t>E25 Caractéristique élaborée par l</w:t>
      </w:r>
      <w:r w:rsidR="00E84B0E">
        <w:t>’</w:t>
      </w:r>
      <w:r>
        <w:t>humain</w:t>
      </w:r>
      <w:bookmarkEnd w:id="153"/>
    </w:p>
    <w:p w14:paraId="55DEDDCC" w14:textId="77777777" w:rsidR="00065317" w:rsidRDefault="005C7BF7">
      <w:pPr>
        <w:pStyle w:val="FirstParagraph"/>
      </w:pPr>
      <w:r>
        <w:rPr>
          <w:b/>
          <w:bCs/>
        </w:rPr>
        <w:t>Sous-classe de</w:t>
      </w:r>
    </w:p>
    <w:p w14:paraId="61EFB9BE" w14:textId="182C8411" w:rsidR="00065317" w:rsidRDefault="005C7BF7">
      <w:pPr>
        <w:pStyle w:val="Corpsdetexte"/>
      </w:pPr>
      <w:r>
        <w:rPr>
          <w:rStyle w:val="VerbatimChar"/>
        </w:rPr>
        <w:t>E24_Chose_matérielle_élaborée_par_l</w:t>
      </w:r>
      <w:r w:rsidR="00E84B0E">
        <w:rPr>
          <w:rStyle w:val="VerbatimChar"/>
        </w:rPr>
        <w:t>’</w:t>
      </w:r>
      <w:r>
        <w:rPr>
          <w:rStyle w:val="VerbatimChar"/>
        </w:rPr>
        <w:t>humain</w:t>
      </w:r>
    </w:p>
    <w:p w14:paraId="44B597AC" w14:textId="77777777" w:rsidR="00065317" w:rsidRDefault="005C7BF7">
      <w:pPr>
        <w:pStyle w:val="Corpsdetexte"/>
      </w:pPr>
      <w:r>
        <w:rPr>
          <w:rStyle w:val="VerbatimChar"/>
        </w:rPr>
        <w:t>E26_Caractéristique_physique</w:t>
      </w:r>
    </w:p>
    <w:p w14:paraId="513BEF5C" w14:textId="77777777" w:rsidR="00C86352" w:rsidRDefault="00C86352">
      <w:pPr>
        <w:spacing w:after="0"/>
        <w:rPr>
          <w:b/>
          <w:bCs/>
        </w:rPr>
      </w:pPr>
      <w:r>
        <w:rPr>
          <w:b/>
          <w:bCs/>
        </w:rPr>
        <w:br w:type="page"/>
      </w:r>
    </w:p>
    <w:p w14:paraId="6096A952" w14:textId="76E884CF" w:rsidR="00065317" w:rsidRDefault="005C7BF7">
      <w:pPr>
        <w:pStyle w:val="Corpsdetexte"/>
      </w:pPr>
      <w:r>
        <w:rPr>
          <w:b/>
          <w:bCs/>
        </w:rPr>
        <w:lastRenderedPageBreak/>
        <w:t>Super-classe de</w:t>
      </w:r>
    </w:p>
    <w:p w14:paraId="0EEAA5B4" w14:textId="0806D89E" w:rsidR="00065317" w:rsidRDefault="005C7BF7">
      <w:pPr>
        <w:pStyle w:val="Corpsdetexte"/>
      </w:pPr>
      <w:r>
        <w:rPr>
          <w:b/>
          <w:bCs/>
        </w:rPr>
        <w:t>Note d</w:t>
      </w:r>
      <w:r w:rsidR="00E84B0E">
        <w:rPr>
          <w:b/>
          <w:bCs/>
        </w:rPr>
        <w:t>’</w:t>
      </w:r>
      <w:r>
        <w:rPr>
          <w:b/>
          <w:bCs/>
        </w:rPr>
        <w:t>application</w:t>
      </w:r>
    </w:p>
    <w:p w14:paraId="5AE3A7FB" w14:textId="50AF98EB" w:rsidR="00065317" w:rsidRDefault="005C7BF7">
      <w:pPr>
        <w:pStyle w:val="Corpsdetexte"/>
      </w:pPr>
      <w:r>
        <w:t>Cette classe comprend les caractéristiques physiques créées délibérément par l</w:t>
      </w:r>
      <w:r w:rsidR="00E84B0E">
        <w:t>’</w:t>
      </w:r>
      <w:r>
        <w:t>activité humaine, telles que les rayures, les grottes artificielles, les chenaux artificiels, etc. En particulier, elle comprend les caractéristiques d</w:t>
      </w:r>
      <w:r w:rsidR="00E84B0E">
        <w:t>’</w:t>
      </w:r>
      <w:r>
        <w:t>encodage de l</w:t>
      </w:r>
      <w:r w:rsidR="00E84B0E">
        <w:t>’</w:t>
      </w:r>
      <w:r>
        <w:t>information sur des supports mécaniques ou numériques.</w:t>
      </w:r>
    </w:p>
    <w:p w14:paraId="6AB02DDC" w14:textId="77777777" w:rsidR="00065317" w:rsidRDefault="005C7BF7">
      <w:pPr>
        <w:pStyle w:val="Corpsdetexte"/>
      </w:pPr>
      <w:r>
        <w:rPr>
          <w:b/>
          <w:bCs/>
        </w:rPr>
        <w:t>Exemples</w:t>
      </w:r>
    </w:p>
    <w:p w14:paraId="03DC3D6C" w14:textId="77777777" w:rsidR="00065317" w:rsidRDefault="005C7BF7">
      <w:pPr>
        <w:numPr>
          <w:ilvl w:val="0"/>
          <w:numId w:val="80"/>
        </w:numPr>
      </w:pPr>
      <w:r>
        <w:t>Le Canal maritime de Manchester (Farnie, 1980)</w:t>
      </w:r>
    </w:p>
    <w:p w14:paraId="332D0C50" w14:textId="0F5ED10C" w:rsidR="00065317" w:rsidRDefault="005C7BF7">
      <w:pPr>
        <w:numPr>
          <w:ilvl w:val="0"/>
          <w:numId w:val="80"/>
        </w:numPr>
      </w:pPr>
      <w:r>
        <w:t>Le nez de Mich</w:t>
      </w:r>
      <w:r w:rsidR="00B40400">
        <w:t>ae</w:t>
      </w:r>
      <w:r>
        <w:t>l Jackson après la chirurgie esthétique</w:t>
      </w:r>
    </w:p>
    <w:p w14:paraId="623E15C1" w14:textId="03F4EA23" w:rsidR="00065317" w:rsidRDefault="005C7BF7">
      <w:pPr>
        <w:numPr>
          <w:ilvl w:val="0"/>
          <w:numId w:val="80"/>
        </w:numPr>
      </w:pPr>
      <w:r>
        <w:t>Les « creux » lisibles au laser et gravés en</w:t>
      </w:r>
      <w:r w:rsidR="00056DCD">
        <w:t> juin </w:t>
      </w:r>
      <w:r>
        <w:t>2014 sur le CD-R de Martin D</w:t>
      </w:r>
      <w:r w:rsidR="003C7A4A">
        <w:t>oe</w:t>
      </w:r>
      <w:r>
        <w:t>rr, copiant des chansons d</w:t>
      </w:r>
      <w:r w:rsidR="00E84B0E">
        <w:t>’</w:t>
      </w:r>
      <w:r>
        <w:t>Édith Piaf</w:t>
      </w:r>
    </w:p>
    <w:p w14:paraId="02D56BE7" w14:textId="77777777" w:rsidR="00065317" w:rsidRDefault="005C7BF7">
      <w:pPr>
        <w:numPr>
          <w:ilvl w:val="0"/>
          <w:numId w:val="80"/>
        </w:numPr>
      </w:pPr>
      <w:r>
        <w:t>Les lettres gravées sur la pierre de Rosette</w:t>
      </w:r>
    </w:p>
    <w:p w14:paraId="509927C7" w14:textId="77777777" w:rsidR="00065317" w:rsidRDefault="005C7BF7">
      <w:pPr>
        <w:pStyle w:val="FirstParagraph"/>
      </w:pPr>
      <w:r>
        <w:rPr>
          <w:b/>
          <w:bCs/>
        </w:rPr>
        <w:t>Logique</w:t>
      </w:r>
    </w:p>
    <w:p w14:paraId="1E97D33E" w14:textId="77777777" w:rsidR="00065317" w:rsidRDefault="005C7BF7">
      <w:pPr>
        <w:pStyle w:val="Corpsdetexte"/>
      </w:pPr>
      <w:r>
        <w:t>E25(x) ⇒ E24(x)</w:t>
      </w:r>
    </w:p>
    <w:p w14:paraId="418FA2C0" w14:textId="77777777" w:rsidR="00065317" w:rsidRDefault="005C7BF7">
      <w:pPr>
        <w:pStyle w:val="Corpsdetexte"/>
      </w:pPr>
      <w:r>
        <w:t>E25(x) ⇒ E26(x)</w:t>
      </w:r>
    </w:p>
    <w:p w14:paraId="0B2DB128" w14:textId="1CD2E0EF" w:rsidR="00065317" w:rsidRDefault="005C7BF7">
      <w:pPr>
        <w:pStyle w:val="Corpsdetexte"/>
      </w:pPr>
      <w:r>
        <w:rPr>
          <w:b/>
          <w:bCs/>
        </w:rPr>
        <w:t>Propriétés</w:t>
      </w:r>
    </w:p>
    <w:p w14:paraId="72F20E84" w14:textId="77777777" w:rsidR="00065317" w:rsidRDefault="005C7BF7">
      <w:pPr>
        <w:pStyle w:val="Normalcentr"/>
      </w:pPr>
      <w:r>
        <w:rPr>
          <w:b/>
          <w:bCs/>
          <w:i/>
          <w:iCs/>
        </w:rPr>
        <w:t>Note de traduction</w:t>
      </w:r>
    </w:p>
    <w:p w14:paraId="3687DEE3" w14:textId="48F5D320" w:rsidR="00065317" w:rsidRDefault="005C7BF7" w:rsidP="00F86224">
      <w:pPr>
        <w:pStyle w:val="Normalcentr"/>
      </w:pPr>
      <w:r>
        <w:rPr>
          <w:b/>
          <w:bCs/>
          <w:i/>
          <w:iCs/>
        </w:rPr>
        <w:t>Références</w:t>
      </w:r>
    </w:p>
    <w:p w14:paraId="157E807C" w14:textId="77777777" w:rsidR="00065317" w:rsidRDefault="005C7BF7" w:rsidP="00914F34">
      <w:pPr>
        <w:pStyle w:val="Titre3"/>
      </w:pPr>
      <w:bookmarkStart w:id="154" w:name="_Toc154048762"/>
      <w:bookmarkStart w:id="155" w:name="e26-caracteristique-physique"/>
      <w:bookmarkEnd w:id="152"/>
      <w:r>
        <w:t>E26 Caractéristique physique</w:t>
      </w:r>
      <w:bookmarkEnd w:id="154"/>
    </w:p>
    <w:p w14:paraId="3113DC9B" w14:textId="77777777" w:rsidR="00065317" w:rsidRDefault="005C7BF7">
      <w:pPr>
        <w:pStyle w:val="FirstParagraph"/>
      </w:pPr>
      <w:r>
        <w:rPr>
          <w:b/>
          <w:bCs/>
        </w:rPr>
        <w:t>Sous-classe de</w:t>
      </w:r>
    </w:p>
    <w:p w14:paraId="6202EBB1" w14:textId="77777777" w:rsidR="00065317" w:rsidRDefault="005C7BF7">
      <w:pPr>
        <w:pStyle w:val="Corpsdetexte"/>
      </w:pPr>
      <w:r>
        <w:rPr>
          <w:rStyle w:val="VerbatimChar"/>
        </w:rPr>
        <w:t>E18_Chose_matérielle</w:t>
      </w:r>
    </w:p>
    <w:p w14:paraId="2518C6C9" w14:textId="77777777" w:rsidR="00065317" w:rsidRDefault="005C7BF7">
      <w:pPr>
        <w:pStyle w:val="Corpsdetexte"/>
      </w:pPr>
      <w:r>
        <w:rPr>
          <w:b/>
          <w:bCs/>
        </w:rPr>
        <w:t>Super-classe de</w:t>
      </w:r>
    </w:p>
    <w:p w14:paraId="428ECC8F" w14:textId="66735CEF" w:rsidR="00065317" w:rsidRDefault="005C7BF7">
      <w:pPr>
        <w:pStyle w:val="Corpsdetexte"/>
      </w:pPr>
      <w:r>
        <w:rPr>
          <w:rStyle w:val="VerbatimChar"/>
        </w:rPr>
        <w:t>E25_Caractéristique_élaborée_par_l</w:t>
      </w:r>
      <w:r w:rsidR="00E84B0E">
        <w:rPr>
          <w:rStyle w:val="VerbatimChar"/>
        </w:rPr>
        <w:t>’</w:t>
      </w:r>
      <w:r>
        <w:rPr>
          <w:rStyle w:val="VerbatimChar"/>
        </w:rPr>
        <w:t>humain</w:t>
      </w:r>
    </w:p>
    <w:p w14:paraId="7B4A64FC" w14:textId="77777777" w:rsidR="00065317" w:rsidRDefault="005C7BF7">
      <w:pPr>
        <w:pStyle w:val="Corpsdetexte"/>
      </w:pPr>
      <w:r>
        <w:rPr>
          <w:rStyle w:val="VerbatimChar"/>
        </w:rPr>
        <w:t>E27_Site</w:t>
      </w:r>
    </w:p>
    <w:p w14:paraId="70110BFC" w14:textId="785ADDB7" w:rsidR="00065317" w:rsidRDefault="005C7BF7">
      <w:pPr>
        <w:pStyle w:val="Corpsdetexte"/>
      </w:pPr>
      <w:r>
        <w:rPr>
          <w:b/>
          <w:bCs/>
        </w:rPr>
        <w:t>Note d</w:t>
      </w:r>
      <w:r w:rsidR="00E84B0E">
        <w:rPr>
          <w:b/>
          <w:bCs/>
        </w:rPr>
        <w:t>’</w:t>
      </w:r>
      <w:r>
        <w:rPr>
          <w:b/>
          <w:bCs/>
        </w:rPr>
        <w:t>application</w:t>
      </w:r>
    </w:p>
    <w:p w14:paraId="5905A6E0" w14:textId="77777777" w:rsidR="00065317" w:rsidRDefault="005C7BF7">
      <w:pPr>
        <w:pStyle w:val="Corpsdetexte"/>
      </w:pPr>
      <w:r>
        <w:t>Cette classe comprend des caractéristiques identifiables qui sont physiquement attachées de manière intégrale à des objets physiques particuliers.</w:t>
      </w:r>
    </w:p>
    <w:p w14:paraId="48DFC19B" w14:textId="0F2FE9F4" w:rsidR="00065317" w:rsidRDefault="005C7BF7">
      <w:pPr>
        <w:pStyle w:val="Corpsdetexte"/>
      </w:pPr>
      <w:r>
        <w:t xml:space="preserve">Les instances de </w:t>
      </w:r>
      <w:r>
        <w:rPr>
          <w:rStyle w:val="VerbatimChar"/>
        </w:rPr>
        <w:t>E26_Caractéristique_physique</w:t>
      </w:r>
      <w:r>
        <w:t xml:space="preserve"> partagent de nombreux attributs avec les instances de </w:t>
      </w:r>
      <w:r>
        <w:rPr>
          <w:rStyle w:val="VerbatimChar"/>
        </w:rPr>
        <w:t>E19_Objet_matériel</w:t>
      </w:r>
      <w:r>
        <w:t>. Elles peuvent avoir une étendue géométrique à une, deux ou trois dimensions, mais il n</w:t>
      </w:r>
      <w:r w:rsidR="00E84B0E">
        <w:t>’</w:t>
      </w:r>
      <w:r>
        <w:t>y a pas de limites naturelles qui les séparent complètement et objectivement des objets auxquels elles s</w:t>
      </w:r>
      <w:r w:rsidR="00E84B0E">
        <w:t>’</w:t>
      </w:r>
      <w:r>
        <w:t>intègrent. Par exemple, l</w:t>
      </w:r>
      <w:r w:rsidR="00E84B0E">
        <w:t>’</w:t>
      </w:r>
      <w:r>
        <w:t>embrasure d</w:t>
      </w:r>
      <w:r w:rsidR="00E84B0E">
        <w:t>’</w:t>
      </w:r>
      <w:r>
        <w:t>une porte est une caractéristique, mais la porte elle-même, étant fixée par des charnières, ne l</w:t>
      </w:r>
      <w:r w:rsidR="00E84B0E">
        <w:t>’</w:t>
      </w:r>
      <w:r>
        <w:t>est pas.</w:t>
      </w:r>
    </w:p>
    <w:p w14:paraId="4B13362B" w14:textId="0B7C5B1B" w:rsidR="00065317" w:rsidRDefault="005C7BF7">
      <w:pPr>
        <w:pStyle w:val="Corpsdetexte"/>
      </w:pPr>
      <w:r>
        <w:t xml:space="preserve">Les instances de </w:t>
      </w:r>
      <w:r>
        <w:rPr>
          <w:rStyle w:val="VerbatimChar"/>
        </w:rPr>
        <w:t>E26_Caractéristique_physique</w:t>
      </w:r>
      <w:r>
        <w:t xml:space="preserve"> peuvent être des caractéristiques au sens strict, telles que des rayures, des trous, des reliefs, des couleurs de surface, des zones de réflexion dans un cristal d</w:t>
      </w:r>
      <w:r w:rsidR="00E84B0E">
        <w:t>’</w:t>
      </w:r>
      <w:r>
        <w:t>opale ou un changement de densité dans un morceau de bois. Au sens large, ce sont des parties d</w:t>
      </w:r>
      <w:r w:rsidR="00E84B0E">
        <w:t>’</w:t>
      </w:r>
      <w:r>
        <w:t>objets particuliers aux limites partiellement imaginaires, comme le noyau de la Terre, une zone de propriété à la surface de la Terre, un paysage ou la tête d</w:t>
      </w:r>
      <w:r w:rsidR="00E84B0E">
        <w:t>’</w:t>
      </w:r>
      <w:r>
        <w:t xml:space="preserve">une statue de marbre contiguë. Ces parties peuvent être </w:t>
      </w:r>
      <w:r>
        <w:lastRenderedPageBreak/>
        <w:t>mesurées et datées, et il est parfois possible d</w:t>
      </w:r>
      <w:r w:rsidR="00E84B0E">
        <w:t>’</w:t>
      </w:r>
      <w:r>
        <w:t xml:space="preserve">indiquer qui ou quoi en est ou en était le responsable. Les instances de </w:t>
      </w:r>
      <w:r>
        <w:rPr>
          <w:rStyle w:val="VerbatimChar"/>
        </w:rPr>
        <w:t>E26_Caractéristique_physique</w:t>
      </w:r>
      <w:r>
        <w:t xml:space="preserve"> ne peuvent pas être séparées de l</w:t>
      </w:r>
      <w:r w:rsidR="00E84B0E">
        <w:t>’</w:t>
      </w:r>
      <w:r>
        <w:t>objet auquel elles s</w:t>
      </w:r>
      <w:r w:rsidR="00E84B0E">
        <w:t>’</w:t>
      </w:r>
      <w:r>
        <w:t>intègrent, mais un segment de cet objet intégrant une caractéristique complète peut être identifié (ou parfois retiré).</w:t>
      </w:r>
    </w:p>
    <w:p w14:paraId="3B11E7D0" w14:textId="47B740A3" w:rsidR="00065317" w:rsidRDefault="005C7BF7">
      <w:pPr>
        <w:pStyle w:val="Corpsdetexte"/>
      </w:pPr>
      <w:r>
        <w:t>Cette définition coïncide avec celle des « objets fiat » [</w:t>
      </w:r>
      <w:r w:rsidR="00AF51A3">
        <w:t xml:space="preserve">n.d.t. </w:t>
      </w:r>
      <w:r>
        <w:t>dont les limites sont artificielles] (Smith et Varzi, 2000,</w:t>
      </w:r>
      <w:r w:rsidR="00C8288F">
        <w:t> p. </w:t>
      </w:r>
      <w:r>
        <w:t>401-420), à l</w:t>
      </w:r>
      <w:r w:rsidR="00E84B0E">
        <w:t>’</w:t>
      </w:r>
      <w:r>
        <w:t>exception des agrégats d</w:t>
      </w:r>
      <w:r w:rsidR="00E84B0E">
        <w:t>’</w:t>
      </w:r>
      <w:r>
        <w:t>« objets bona fide » [</w:t>
      </w:r>
      <w:r w:rsidR="00AF51A3">
        <w:t xml:space="preserve">n.d.t. </w:t>
      </w:r>
      <w:r>
        <w:t>dont les limites sont naturelles].</w:t>
      </w:r>
    </w:p>
    <w:p w14:paraId="38F6E863" w14:textId="77777777" w:rsidR="00065317" w:rsidRDefault="005C7BF7">
      <w:pPr>
        <w:pStyle w:val="Corpsdetexte"/>
      </w:pPr>
      <w:r>
        <w:rPr>
          <w:b/>
          <w:bCs/>
        </w:rPr>
        <w:t>Exemples</w:t>
      </w:r>
    </w:p>
    <w:p w14:paraId="733DDEED" w14:textId="77777777" w:rsidR="00065317" w:rsidRDefault="005C7BF7">
      <w:pPr>
        <w:numPr>
          <w:ilvl w:val="0"/>
          <w:numId w:val="81"/>
        </w:numPr>
      </w:pPr>
      <w:r>
        <w:t>La cave de Diros à Mani en Grèce (Psimenos, 2005)</w:t>
      </w:r>
    </w:p>
    <w:p w14:paraId="279E1672" w14:textId="400C4FA8" w:rsidR="00065317" w:rsidRDefault="005C7BF7">
      <w:pPr>
        <w:numPr>
          <w:ilvl w:val="0"/>
          <w:numId w:val="81"/>
        </w:numPr>
      </w:pPr>
      <w:r>
        <w:t>Le temple d</w:t>
      </w:r>
      <w:r w:rsidR="00E84B0E">
        <w:t>’</w:t>
      </w:r>
      <w:r>
        <w:t>Abou Simbel avant son démontage, qui a été taillé dans la roche solide (</w:t>
      </w:r>
      <w:r>
        <w:rPr>
          <w:rStyle w:val="VerbatimChar"/>
        </w:rPr>
        <w:t>E25_Caractéristique_élaborée_par_l</w:t>
      </w:r>
      <w:r w:rsidR="00E84B0E">
        <w:rPr>
          <w:rStyle w:val="VerbatimChar"/>
        </w:rPr>
        <w:t>’</w:t>
      </w:r>
      <w:r>
        <w:rPr>
          <w:rStyle w:val="VerbatimChar"/>
        </w:rPr>
        <w:t>humain</w:t>
      </w:r>
      <w:r>
        <w:t>) (Hawass, 2000)</w:t>
      </w:r>
    </w:p>
    <w:p w14:paraId="76CFE010" w14:textId="42FB4409" w:rsidR="00065317" w:rsidRDefault="005C7BF7">
      <w:pPr>
        <w:numPr>
          <w:ilvl w:val="0"/>
          <w:numId w:val="81"/>
        </w:numPr>
      </w:pPr>
      <w:r>
        <w:t>La signature d</w:t>
      </w:r>
      <w:r w:rsidR="00E84B0E">
        <w:t>’</w:t>
      </w:r>
      <w:r>
        <w:t>Albrecht Dürer sur son œuvre peinte de Charles le Grand (</w:t>
      </w:r>
      <w:r>
        <w:rPr>
          <w:rStyle w:val="VerbatimChar"/>
        </w:rPr>
        <w:t>E25_Caractéristique_élaborée_par_l</w:t>
      </w:r>
      <w:r w:rsidR="00E84B0E">
        <w:rPr>
          <w:rStyle w:val="VerbatimChar"/>
        </w:rPr>
        <w:t>’</w:t>
      </w:r>
      <w:r>
        <w:rPr>
          <w:rStyle w:val="VerbatimChar"/>
        </w:rPr>
        <w:t>humain</w:t>
      </w:r>
      <w:r>
        <w:t>) (Strauss, 1974)</w:t>
      </w:r>
    </w:p>
    <w:p w14:paraId="1FD3BF0C" w14:textId="77777777" w:rsidR="00065317" w:rsidRDefault="005C7BF7">
      <w:pPr>
        <w:numPr>
          <w:ilvl w:val="0"/>
          <w:numId w:val="81"/>
        </w:numPr>
      </w:pPr>
      <w:r>
        <w:t>Les dommages causés au nez du Grand Sphinx de Gizeh (Temple, 2009)</w:t>
      </w:r>
    </w:p>
    <w:p w14:paraId="1955054E" w14:textId="73F4A410" w:rsidR="00065317" w:rsidRDefault="005C7BF7">
      <w:pPr>
        <w:numPr>
          <w:ilvl w:val="0"/>
          <w:numId w:val="81"/>
        </w:numPr>
      </w:pPr>
      <w:r>
        <w:t>Le nez de Mich</w:t>
      </w:r>
      <w:r w:rsidR="00B40400">
        <w:t>ae</w:t>
      </w:r>
      <w:r>
        <w:t>l Jackson avant la chirurgie esthétique</w:t>
      </w:r>
    </w:p>
    <w:p w14:paraId="6DB941EC" w14:textId="77777777" w:rsidR="00065317" w:rsidRDefault="005C7BF7">
      <w:pPr>
        <w:pStyle w:val="FirstParagraph"/>
      </w:pPr>
      <w:r>
        <w:rPr>
          <w:b/>
          <w:bCs/>
        </w:rPr>
        <w:t>Logique</w:t>
      </w:r>
    </w:p>
    <w:p w14:paraId="7722EA99" w14:textId="77777777" w:rsidR="00065317" w:rsidRDefault="005C7BF7">
      <w:pPr>
        <w:pStyle w:val="Corpsdetexte"/>
      </w:pPr>
      <w:r>
        <w:t>E26(x) ⇒ E18(x)</w:t>
      </w:r>
    </w:p>
    <w:p w14:paraId="34AB7718" w14:textId="610BE187" w:rsidR="00065317" w:rsidRDefault="005C7BF7">
      <w:pPr>
        <w:pStyle w:val="Corpsdetexte"/>
      </w:pPr>
      <w:r>
        <w:rPr>
          <w:b/>
          <w:bCs/>
        </w:rPr>
        <w:t>Propriétés</w:t>
      </w:r>
    </w:p>
    <w:p w14:paraId="31049FD9" w14:textId="77777777" w:rsidR="00065317" w:rsidRDefault="005C7BF7">
      <w:pPr>
        <w:pStyle w:val="Normalcentr"/>
      </w:pPr>
      <w:r>
        <w:rPr>
          <w:b/>
          <w:bCs/>
          <w:i/>
          <w:iCs/>
        </w:rPr>
        <w:t>Note de traduction</w:t>
      </w:r>
    </w:p>
    <w:p w14:paraId="3AFEB329" w14:textId="7867314A" w:rsidR="00065317" w:rsidRDefault="005C7BF7" w:rsidP="00F02C72">
      <w:pPr>
        <w:pStyle w:val="Normalcentr"/>
      </w:pPr>
      <w:r>
        <w:rPr>
          <w:b/>
          <w:bCs/>
          <w:i/>
          <w:iCs/>
        </w:rPr>
        <w:t>Références</w:t>
      </w:r>
    </w:p>
    <w:p w14:paraId="582C0249" w14:textId="77777777" w:rsidR="00065317" w:rsidRDefault="005C7BF7" w:rsidP="00914F34">
      <w:pPr>
        <w:pStyle w:val="Titre3"/>
      </w:pPr>
      <w:bookmarkStart w:id="156" w:name="_Toc154048763"/>
      <w:bookmarkStart w:id="157" w:name="e27-site"/>
      <w:bookmarkEnd w:id="155"/>
      <w:r>
        <w:t>E27 Site</w:t>
      </w:r>
      <w:bookmarkEnd w:id="156"/>
    </w:p>
    <w:p w14:paraId="2B6094EB" w14:textId="77777777" w:rsidR="00065317" w:rsidRDefault="005C7BF7">
      <w:pPr>
        <w:pStyle w:val="FirstParagraph"/>
      </w:pPr>
      <w:r>
        <w:rPr>
          <w:b/>
          <w:bCs/>
        </w:rPr>
        <w:t>Sous-classe de</w:t>
      </w:r>
    </w:p>
    <w:p w14:paraId="333DD284" w14:textId="77777777" w:rsidR="00065317" w:rsidRDefault="005C7BF7">
      <w:pPr>
        <w:pStyle w:val="Corpsdetexte"/>
      </w:pPr>
      <w:r>
        <w:rPr>
          <w:rStyle w:val="VerbatimChar"/>
        </w:rPr>
        <w:t>E26_Caractéristique_physique</w:t>
      </w:r>
    </w:p>
    <w:p w14:paraId="572CEE35" w14:textId="1FD7D46F" w:rsidR="00065317" w:rsidRDefault="005C7BF7">
      <w:pPr>
        <w:pStyle w:val="Corpsdetexte"/>
      </w:pPr>
      <w:r>
        <w:rPr>
          <w:b/>
          <w:bCs/>
        </w:rPr>
        <w:t>Super-classe de</w:t>
      </w:r>
    </w:p>
    <w:p w14:paraId="71BB4E5A" w14:textId="5F678D6B" w:rsidR="00065317" w:rsidRDefault="005C7BF7">
      <w:pPr>
        <w:pStyle w:val="Corpsdetexte"/>
      </w:pPr>
      <w:r>
        <w:rPr>
          <w:b/>
          <w:bCs/>
        </w:rPr>
        <w:t>Note d</w:t>
      </w:r>
      <w:r w:rsidR="00E84B0E">
        <w:rPr>
          <w:b/>
          <w:bCs/>
        </w:rPr>
        <w:t>’</w:t>
      </w:r>
      <w:r>
        <w:rPr>
          <w:b/>
          <w:bCs/>
        </w:rPr>
        <w:t>application</w:t>
      </w:r>
    </w:p>
    <w:p w14:paraId="39B9D080" w14:textId="77777777" w:rsidR="00065317" w:rsidRDefault="005C7BF7">
      <w:pPr>
        <w:pStyle w:val="Corpsdetexte"/>
      </w:pPr>
      <w:r>
        <w:t>Cette classe comprend des étendues de terre ou des fonds marins.</w:t>
      </w:r>
    </w:p>
    <w:p w14:paraId="28809771" w14:textId="513C1160" w:rsidR="00065317" w:rsidRDefault="005C7BF7">
      <w:pPr>
        <w:pStyle w:val="Corpsdetexte"/>
      </w:pPr>
      <w:r>
        <w:t xml:space="preserve">Contrairement à la notion purement géométrique de </w:t>
      </w:r>
      <w:r>
        <w:rPr>
          <w:rStyle w:val="VerbatimChar"/>
        </w:rPr>
        <w:t>E53_Lieu</w:t>
      </w:r>
      <w:r>
        <w:t>, cette classe décrit des regroupements de matière à la surface de la Terre ou d</w:t>
      </w:r>
      <w:r w:rsidR="00E84B0E">
        <w:t>’</w:t>
      </w:r>
      <w:r>
        <w:t>un autre corps céleste, qui peuvent être représentés par des photographies, des œuvres peintes et des cartes.</w:t>
      </w:r>
    </w:p>
    <w:p w14:paraId="683E94D4" w14:textId="524059E6" w:rsidR="00065317" w:rsidRDefault="005C7BF7">
      <w:pPr>
        <w:pStyle w:val="Corpsdetexte"/>
      </w:pPr>
      <w:r>
        <w:t xml:space="preserve">Les instances de </w:t>
      </w:r>
      <w:r>
        <w:rPr>
          <w:rStyle w:val="VerbatimChar"/>
        </w:rPr>
        <w:t>E27_Site</w:t>
      </w:r>
      <w:r>
        <w:t xml:space="preserve"> sont composées d</w:t>
      </w:r>
      <w:r w:rsidR="00E84B0E">
        <w:t>’</w:t>
      </w:r>
      <w:r>
        <w:t>éléments matériels relativement immobiles et de caractéristiques dans une configuration particulière à un emplacement particulier.</w:t>
      </w:r>
    </w:p>
    <w:p w14:paraId="43E06D7F" w14:textId="77777777" w:rsidR="00065317" w:rsidRDefault="005C7BF7">
      <w:pPr>
        <w:pStyle w:val="Corpsdetexte"/>
      </w:pPr>
      <w:r>
        <w:rPr>
          <w:b/>
          <w:bCs/>
        </w:rPr>
        <w:t>Exemples</w:t>
      </w:r>
    </w:p>
    <w:p w14:paraId="13D56ADF" w14:textId="77777777" w:rsidR="00065317" w:rsidRDefault="005C7BF7">
      <w:pPr>
        <w:numPr>
          <w:ilvl w:val="0"/>
          <w:numId w:val="82"/>
        </w:numPr>
      </w:pPr>
      <w:r>
        <w:t>Le bassin du fleuve Amazone (Hegen, 1966)</w:t>
      </w:r>
    </w:p>
    <w:p w14:paraId="7D71964B" w14:textId="77777777" w:rsidR="00065317" w:rsidRDefault="005C7BF7">
      <w:pPr>
        <w:numPr>
          <w:ilvl w:val="0"/>
          <w:numId w:val="82"/>
        </w:numPr>
      </w:pPr>
      <w:r>
        <w:t>Cnossos (Evans, 1921)</w:t>
      </w:r>
    </w:p>
    <w:p w14:paraId="099FBEAD" w14:textId="5835EAC9" w:rsidR="00065317" w:rsidRDefault="005C7BF7">
      <w:pPr>
        <w:numPr>
          <w:ilvl w:val="0"/>
          <w:numId w:val="82"/>
        </w:numPr>
      </w:pPr>
      <w:r>
        <w:t>Le site d</w:t>
      </w:r>
      <w:r w:rsidR="00E84B0E">
        <w:t>’</w:t>
      </w:r>
      <w:r>
        <w:t>atterrissage d</w:t>
      </w:r>
      <w:r w:rsidR="00E84B0E">
        <w:t>’</w:t>
      </w:r>
      <w:r>
        <w:t>Apollo 11 (Siegler &amp; Smrekar, 2014)</w:t>
      </w:r>
    </w:p>
    <w:p w14:paraId="5062970A" w14:textId="1612CF86" w:rsidR="00065317" w:rsidRDefault="005C7BF7">
      <w:pPr>
        <w:numPr>
          <w:ilvl w:val="0"/>
          <w:numId w:val="82"/>
        </w:numPr>
      </w:pPr>
      <w:r>
        <w:lastRenderedPageBreak/>
        <w:t>L</w:t>
      </w:r>
      <w:r w:rsidR="00E84B0E">
        <w:t>’</w:t>
      </w:r>
      <w:r>
        <w:t>aéroport d</w:t>
      </w:r>
      <w:r w:rsidR="00E84B0E">
        <w:t>’</w:t>
      </w:r>
      <w:r>
        <w:t>Heathrow (Wicks, 2014)</w:t>
      </w:r>
    </w:p>
    <w:p w14:paraId="71492A34" w14:textId="2C5F10F0" w:rsidR="00065317" w:rsidRDefault="005C7BF7">
      <w:pPr>
        <w:numPr>
          <w:ilvl w:val="0"/>
          <w:numId w:val="82"/>
        </w:numPr>
      </w:pPr>
      <w:r>
        <w:t>Le port submergé de l</w:t>
      </w:r>
      <w:r w:rsidR="00E84B0E">
        <w:t>’</w:t>
      </w:r>
      <w:r>
        <w:t>occupation min</w:t>
      </w:r>
      <w:r w:rsidR="00C012B4">
        <w:t>œ</w:t>
      </w:r>
      <w:r>
        <w:t>nne de Gournia, en Crète (Watrous, 2012)</w:t>
      </w:r>
    </w:p>
    <w:p w14:paraId="1EE50959" w14:textId="41531B67" w:rsidR="00065317" w:rsidRDefault="005C7BF7">
      <w:pPr>
        <w:numPr>
          <w:ilvl w:val="0"/>
          <w:numId w:val="82"/>
        </w:numPr>
      </w:pPr>
      <w:r>
        <w:t>L</w:t>
      </w:r>
      <w:r w:rsidR="00E84B0E">
        <w:t>’</w:t>
      </w:r>
      <w:r>
        <w:t>île de Crète</w:t>
      </w:r>
    </w:p>
    <w:p w14:paraId="53A469EE" w14:textId="77777777" w:rsidR="00065317" w:rsidRDefault="005C7BF7">
      <w:pPr>
        <w:pStyle w:val="FirstParagraph"/>
      </w:pPr>
      <w:r>
        <w:rPr>
          <w:b/>
          <w:bCs/>
        </w:rPr>
        <w:t>Logique</w:t>
      </w:r>
    </w:p>
    <w:p w14:paraId="6580BE0E" w14:textId="77777777" w:rsidR="00065317" w:rsidRDefault="005C7BF7">
      <w:pPr>
        <w:pStyle w:val="Corpsdetexte"/>
      </w:pPr>
      <w:r>
        <w:t>E27(x) ⇒ E26(x)</w:t>
      </w:r>
    </w:p>
    <w:p w14:paraId="287AE70C" w14:textId="35FD5861" w:rsidR="00065317" w:rsidRDefault="005C7BF7">
      <w:pPr>
        <w:pStyle w:val="Corpsdetexte"/>
      </w:pPr>
      <w:r>
        <w:rPr>
          <w:b/>
          <w:bCs/>
        </w:rPr>
        <w:t>Propriétés</w:t>
      </w:r>
    </w:p>
    <w:p w14:paraId="0DFE7A46" w14:textId="77777777" w:rsidR="00065317" w:rsidRDefault="005C7BF7">
      <w:pPr>
        <w:pStyle w:val="Normalcentr"/>
      </w:pPr>
      <w:r>
        <w:rPr>
          <w:b/>
          <w:bCs/>
          <w:i/>
          <w:iCs/>
        </w:rPr>
        <w:t>Note de traduction</w:t>
      </w:r>
    </w:p>
    <w:p w14:paraId="47C9A260" w14:textId="29DAED14" w:rsidR="00065317" w:rsidRDefault="005C7BF7" w:rsidP="00F02C72">
      <w:pPr>
        <w:pStyle w:val="Normalcentr"/>
      </w:pPr>
      <w:r>
        <w:rPr>
          <w:b/>
          <w:bCs/>
          <w:i/>
          <w:iCs/>
        </w:rPr>
        <w:t>Références</w:t>
      </w:r>
    </w:p>
    <w:p w14:paraId="1D670BA1" w14:textId="77777777" w:rsidR="00065317" w:rsidRDefault="005C7BF7" w:rsidP="00914F34">
      <w:pPr>
        <w:pStyle w:val="Titre3"/>
      </w:pPr>
      <w:bookmarkStart w:id="158" w:name="_Toc154048764"/>
      <w:bookmarkStart w:id="159" w:name="e28-objet-conceptuel"/>
      <w:bookmarkEnd w:id="157"/>
      <w:r>
        <w:t>E28 Objet conceptuel</w:t>
      </w:r>
      <w:bookmarkEnd w:id="158"/>
    </w:p>
    <w:p w14:paraId="1535CF4C" w14:textId="77777777" w:rsidR="00065317" w:rsidRDefault="005C7BF7">
      <w:pPr>
        <w:pStyle w:val="FirstParagraph"/>
      </w:pPr>
      <w:r>
        <w:rPr>
          <w:b/>
          <w:bCs/>
        </w:rPr>
        <w:t>Sous-classe de</w:t>
      </w:r>
    </w:p>
    <w:p w14:paraId="4C5E45BD" w14:textId="70EF72D2" w:rsidR="00065317" w:rsidRDefault="005C7BF7">
      <w:pPr>
        <w:pStyle w:val="Corpsdetexte"/>
      </w:pPr>
      <w:r>
        <w:rPr>
          <w:rStyle w:val="VerbatimChar"/>
        </w:rPr>
        <w:t>E71_Chose_élaborée_par_l</w:t>
      </w:r>
      <w:r w:rsidR="00E84B0E">
        <w:rPr>
          <w:rStyle w:val="VerbatimChar"/>
        </w:rPr>
        <w:t>’</w:t>
      </w:r>
      <w:r>
        <w:rPr>
          <w:rStyle w:val="VerbatimChar"/>
        </w:rPr>
        <w:t>humain</w:t>
      </w:r>
    </w:p>
    <w:p w14:paraId="57A6472A" w14:textId="77777777" w:rsidR="00065317" w:rsidRDefault="005C7BF7">
      <w:pPr>
        <w:pStyle w:val="Corpsdetexte"/>
      </w:pPr>
      <w:r>
        <w:rPr>
          <w:b/>
          <w:bCs/>
        </w:rPr>
        <w:t>Super-classe de</w:t>
      </w:r>
    </w:p>
    <w:p w14:paraId="2104F87E" w14:textId="77777777" w:rsidR="00065317" w:rsidRDefault="005C7BF7">
      <w:pPr>
        <w:pStyle w:val="Corpsdetexte"/>
      </w:pPr>
      <w:r>
        <w:rPr>
          <w:rStyle w:val="VerbatimChar"/>
        </w:rPr>
        <w:t>E55_Type</w:t>
      </w:r>
      <w:r>
        <w:t xml:space="preserve"> </w:t>
      </w:r>
      <w:r>
        <w:rPr>
          <w:rStyle w:val="VerbatimChar"/>
        </w:rPr>
        <w:t>E89_Objet_propositionnelE90_Objet_symbolique</w:t>
      </w:r>
    </w:p>
    <w:p w14:paraId="56BDB245" w14:textId="1125BCDB" w:rsidR="00065317" w:rsidRDefault="005C7BF7">
      <w:pPr>
        <w:pStyle w:val="Corpsdetexte"/>
      </w:pPr>
      <w:r>
        <w:rPr>
          <w:b/>
          <w:bCs/>
        </w:rPr>
        <w:t>Note d</w:t>
      </w:r>
      <w:r w:rsidR="00E84B0E">
        <w:rPr>
          <w:b/>
          <w:bCs/>
        </w:rPr>
        <w:t>’</w:t>
      </w:r>
      <w:r>
        <w:rPr>
          <w:b/>
          <w:bCs/>
        </w:rPr>
        <w:t>application</w:t>
      </w:r>
    </w:p>
    <w:p w14:paraId="466CD942" w14:textId="1F404D5F" w:rsidR="00065317" w:rsidRDefault="005C7BF7">
      <w:pPr>
        <w:pStyle w:val="Corpsdetexte"/>
      </w:pPr>
      <w:r>
        <w:t>Cette classe comprend les productions immatérielles de l</w:t>
      </w:r>
      <w:r w:rsidR="00E84B0E">
        <w:t>’</w:t>
      </w:r>
      <w:r>
        <w:t>esprit et d</w:t>
      </w:r>
      <w:r w:rsidR="00E84B0E">
        <w:t>’</w:t>
      </w:r>
      <w:r>
        <w:t>autres données produites par l</w:t>
      </w:r>
      <w:r w:rsidR="00E84B0E">
        <w:t>’</w:t>
      </w:r>
      <w:r>
        <w:t>humain qui sont devenus des objets de discours à propos de leur identité, les circonstances de leur création ou leur rôle historique. La création de ce type d</w:t>
      </w:r>
      <w:r w:rsidR="00E84B0E">
        <w:t>’</w:t>
      </w:r>
      <w:r>
        <w:t>information peut avoir été soutenue par l</w:t>
      </w:r>
      <w:r w:rsidR="00E84B0E">
        <w:t>’</w:t>
      </w:r>
      <w:r>
        <w:t>utilisation de dispositifs techniques tels que des caméras ou des ordinateurs.</w:t>
      </w:r>
    </w:p>
    <w:p w14:paraId="58D78ACC" w14:textId="7E87B1FD" w:rsidR="00065317" w:rsidRDefault="005C7BF7">
      <w:pPr>
        <w:pStyle w:val="Corpsdetexte"/>
      </w:pPr>
      <w:r>
        <w:t>Les instances de cette classe sont typiquement créées, inventées ou pensées par quelqu</w:t>
      </w:r>
      <w:r w:rsidR="00E84B0E">
        <w:t>’</w:t>
      </w:r>
      <w:r>
        <w:t xml:space="preserve">un et peuvent alors être documentées ou communiquées entre personnes. Les instances de </w:t>
      </w:r>
      <w:r>
        <w:rPr>
          <w:rStyle w:val="VerbatimChar"/>
        </w:rPr>
        <w:t>E28_Objet_conceptuel</w:t>
      </w:r>
      <w:r>
        <w:t xml:space="preserve"> ont la faculté d</w:t>
      </w:r>
      <w:r w:rsidR="00E84B0E">
        <w:t>’</w:t>
      </w:r>
      <w:r>
        <w:t>exister sur plus d</w:t>
      </w:r>
      <w:r w:rsidR="00E84B0E">
        <w:t>’</w:t>
      </w:r>
      <w:r>
        <w:t>un support à la fois, par exemple du papier, des signaux électroniques, des marques, des médias sonores, des peintures, des photos, la mémoire humaine, etc.</w:t>
      </w:r>
    </w:p>
    <w:p w14:paraId="0EAF4563" w14:textId="430CDC44" w:rsidR="00065317" w:rsidRDefault="005C7BF7" w:rsidP="00C86352">
      <w:pPr>
        <w:pStyle w:val="Corpsdetexte"/>
      </w:pPr>
      <w:r>
        <w:t>Ces instances ne peuvent être détruites. Elles existent aussi longtemps qu</w:t>
      </w:r>
      <w:r w:rsidR="00E84B0E">
        <w:t>’</w:t>
      </w:r>
      <w:r>
        <w:t>elles peuvent être trouvées sur au moins un support, y compris la mémoire humaine. Leur existence cesse lorsque le dernier support, incluant la mémoire humaine, est perdu.</w:t>
      </w:r>
    </w:p>
    <w:p w14:paraId="45FBDDAC" w14:textId="77777777" w:rsidR="00065317" w:rsidRDefault="005C7BF7">
      <w:pPr>
        <w:pStyle w:val="Corpsdetexte"/>
      </w:pPr>
      <w:r>
        <w:rPr>
          <w:b/>
          <w:bCs/>
        </w:rPr>
        <w:t>Exemples</w:t>
      </w:r>
    </w:p>
    <w:p w14:paraId="6A73DBFC" w14:textId="49DA6233" w:rsidR="00065317" w:rsidRDefault="005C7BF7">
      <w:pPr>
        <w:numPr>
          <w:ilvl w:val="0"/>
          <w:numId w:val="83"/>
        </w:numPr>
      </w:pPr>
      <w:r>
        <w:t>L</w:t>
      </w:r>
      <w:r w:rsidR="00E84B0E">
        <w:t>’</w:t>
      </w:r>
      <w:r>
        <w:t>« Hymne à la joie » dans la 9</w:t>
      </w:r>
      <w:r>
        <w:rPr>
          <w:vertAlign w:val="superscript"/>
        </w:rPr>
        <w:t>e</w:t>
      </w:r>
      <w:r>
        <w:t xml:space="preserve"> Symphonie de Beethoven (</w:t>
      </w:r>
      <w:r>
        <w:rPr>
          <w:rStyle w:val="VerbatimChar"/>
        </w:rPr>
        <w:t>E73_Objet_informationnel</w:t>
      </w:r>
      <w:r>
        <w:t>) (Kershaw, 1999)</w:t>
      </w:r>
    </w:p>
    <w:p w14:paraId="79CB3DD7" w14:textId="516ABBCF" w:rsidR="00065317" w:rsidRDefault="005C7BF7">
      <w:pPr>
        <w:numPr>
          <w:ilvl w:val="0"/>
          <w:numId w:val="83"/>
        </w:numPr>
      </w:pPr>
      <w:r>
        <w:t>La définition du terme « ontologie » dans l</w:t>
      </w:r>
      <w:r w:rsidR="00E84B0E">
        <w:t>’</w:t>
      </w:r>
      <w:r>
        <w:rPr>
          <w:i/>
          <w:iCs/>
        </w:rPr>
        <w:t>Oxford English Dictionary</w:t>
      </w:r>
      <w:r>
        <w:t xml:space="preserve"> (</w:t>
      </w:r>
      <w:r>
        <w:rPr>
          <w:rStyle w:val="VerbatimChar"/>
        </w:rPr>
        <w:t>E73_Objet_informationnel</w:t>
      </w:r>
      <w:r>
        <w:t>) (Oxford University Press, 1989)</w:t>
      </w:r>
    </w:p>
    <w:p w14:paraId="05106582" w14:textId="277D1516" w:rsidR="00065317" w:rsidRDefault="005C7BF7">
      <w:pPr>
        <w:numPr>
          <w:ilvl w:val="0"/>
          <w:numId w:val="83"/>
        </w:numPr>
      </w:pPr>
      <w:r>
        <w:t>La nouvelle de la victoire de Marathon, apportée par le célèbre coureur Philippidès (Lagos &amp; Karyanos, 2020)</w:t>
      </w:r>
    </w:p>
    <w:p w14:paraId="6112DE34" w14:textId="3EBCDBB9" w:rsidR="00065317" w:rsidRDefault="005C7BF7">
      <w:pPr>
        <w:pStyle w:val="FirstParagraph"/>
      </w:pPr>
      <w:r>
        <w:t>[Note explicative : Dans les exemples suivants, nous illustrons la distinction entre un objet propositionnel, ses noms et ses formes encodées. Les équations de Maxwell (Ball, 1962) sont un bon exemple, parce qu</w:t>
      </w:r>
      <w:r w:rsidR="00E84B0E">
        <w:t>’</w:t>
      </w:r>
      <w:r>
        <w:t>elles relèvent des lois fondamentales de la physique et que leur contenu mathématique produit des résultats identiques et sans ambiguïté indépendamment de leur formulation et de leur encodage.]</w:t>
      </w:r>
    </w:p>
    <w:p w14:paraId="2BE350A7" w14:textId="4186BD08" w:rsidR="00065317" w:rsidRDefault="005C7BF7">
      <w:pPr>
        <w:numPr>
          <w:ilvl w:val="0"/>
          <w:numId w:val="84"/>
        </w:numPr>
      </w:pPr>
      <w:r>
        <w:lastRenderedPageBreak/>
        <w:t>« Équations de Maxwell » (</w:t>
      </w:r>
      <w:r>
        <w:rPr>
          <w:rStyle w:val="VerbatimChar"/>
        </w:rPr>
        <w:t>E41_Appellation</w:t>
      </w:r>
      <w:r>
        <w:t>) [point d</w:t>
      </w:r>
      <w:r w:rsidR="00E84B0E">
        <w:t>’</w:t>
      </w:r>
      <w:r>
        <w:t xml:space="preserve">accès sujet préféré selon LCSH, </w:t>
      </w:r>
      <w:hyperlink r:id="rId181">
        <w:r>
          <w:rPr>
            <w:rStyle w:val="Lienhypertexte"/>
          </w:rPr>
          <w:t>http://lccn.loc.gov/sh85082387</w:t>
        </w:r>
      </w:hyperlink>
      <w:r>
        <w:t xml:space="preserve"> en date du 18</w:t>
      </w:r>
      <w:r w:rsidR="00056DCD">
        <w:t> avril </w:t>
      </w:r>
      <w:r>
        <w:t>2021. Il s</w:t>
      </w:r>
      <w:r w:rsidR="00E84B0E">
        <w:t>’</w:t>
      </w:r>
      <w:r>
        <w:t xml:space="preserve">agit seulement du nom des équations de Maxwell tel que standardisé par la </w:t>
      </w:r>
      <w:r w:rsidRPr="006B536C">
        <w:rPr>
          <w:i/>
          <w:iCs/>
        </w:rPr>
        <w:t>Library of Congress</w:t>
      </w:r>
      <w:r>
        <w:t xml:space="preserve"> et non les équations elles-mêmes]</w:t>
      </w:r>
    </w:p>
    <w:p w14:paraId="4A99CF63" w14:textId="7276880B" w:rsidR="00065317" w:rsidRDefault="005C7BF7">
      <w:pPr>
        <w:numPr>
          <w:ilvl w:val="0"/>
          <w:numId w:val="84"/>
        </w:numPr>
      </w:pPr>
      <w:r>
        <w:t>« Équations, Maxwell » (</w:t>
      </w:r>
      <w:r>
        <w:rPr>
          <w:rStyle w:val="VerbatimChar"/>
        </w:rPr>
        <w:t>E41_Appellation</w:t>
      </w:r>
      <w:r>
        <w:t>) [variante de point d</w:t>
      </w:r>
      <w:r w:rsidR="00E84B0E">
        <w:t>’</w:t>
      </w:r>
      <w:r>
        <w:t xml:space="preserve">accès selon LCSH, </w:t>
      </w:r>
      <w:hyperlink r:id="rId182">
        <w:r>
          <w:rPr>
            <w:rStyle w:val="Lienhypertexte"/>
          </w:rPr>
          <w:t>http://lccn.loc.gov/sh85082387</w:t>
        </w:r>
      </w:hyperlink>
      <w:r>
        <w:t xml:space="preserve"> en date du 18</w:t>
      </w:r>
      <w:r w:rsidR="00056DCD">
        <w:t> avril </w:t>
      </w:r>
      <w:r>
        <w:t>2021. Il s</w:t>
      </w:r>
      <w:r w:rsidR="00E84B0E">
        <w:t>’</w:t>
      </w:r>
      <w:r>
        <w:t>agit d</w:t>
      </w:r>
      <w:r w:rsidR="00E84B0E">
        <w:t>’</w:t>
      </w:r>
      <w:r>
        <w:t xml:space="preserve">un autre nom pour les équations, standardisé par la </w:t>
      </w:r>
      <w:r w:rsidRPr="006B536C">
        <w:rPr>
          <w:i/>
          <w:iCs/>
        </w:rPr>
        <w:t>Library of Congress</w:t>
      </w:r>
      <w:r>
        <w:rPr>
          <w:i/>
          <w:iCs/>
        </w:rPr>
        <w:t>,</w:t>
      </w:r>
      <w:r>
        <w:t xml:space="preserve"> et non les équations elles-mêmes]</w:t>
      </w:r>
    </w:p>
    <w:p w14:paraId="09B5F610" w14:textId="14FECCAB" w:rsidR="00065317" w:rsidRDefault="005C7BF7">
      <w:pPr>
        <w:numPr>
          <w:ilvl w:val="0"/>
          <w:numId w:val="84"/>
        </w:numPr>
      </w:pPr>
      <w:r>
        <w:t>Les équations de Maxwell (</w:t>
      </w:r>
      <w:r>
        <w:rPr>
          <w:rStyle w:val="VerbatimChar"/>
        </w:rPr>
        <w:t>E89_Objet_propositionnel</w:t>
      </w:r>
      <w:r>
        <w:t>) [Il s</w:t>
      </w:r>
      <w:r w:rsidR="00E84B0E">
        <w:t>’</w:t>
      </w:r>
      <w:r>
        <w:t>agit du contenu propositionnel à proprement parler des équations, indépendamment de toute notation particulière ou formalisme mathématique] (Ball, 1962)</w:t>
      </w:r>
    </w:p>
    <w:p w14:paraId="24AD8946" w14:textId="7133BDEF" w:rsidR="00065317" w:rsidRDefault="005C7BF7">
      <w:pPr>
        <w:numPr>
          <w:ilvl w:val="0"/>
          <w:numId w:val="84"/>
        </w:numPr>
      </w:pPr>
      <w:r>
        <w:t>L</w:t>
      </w:r>
      <w:r w:rsidR="00E84B0E">
        <w:t>’</w:t>
      </w:r>
      <w:r>
        <w:t xml:space="preserve">encodage des équations de Maxwell comme dans </w:t>
      </w:r>
      <w:hyperlink r:id="rId183">
        <w:r>
          <w:rPr>
            <w:rStyle w:val="Lienhypertexte"/>
          </w:rPr>
          <w:t>https://upload.wikimedia.org/wikipedia/commons/c/c4/Maxwell%27sEquations.svg</w:t>
        </w:r>
      </w:hyperlink>
      <w:r>
        <w:t xml:space="preserve"> (</w:t>
      </w:r>
      <w:r>
        <w:rPr>
          <w:rStyle w:val="VerbatimChar"/>
        </w:rPr>
        <w:t>E73_Objet_informationnel</w:t>
      </w:r>
      <w:r>
        <w:t>) [en date du 18</w:t>
      </w:r>
      <w:r w:rsidR="00056DCD">
        <w:t> avril </w:t>
      </w:r>
      <w:r>
        <w:t>2021. Il s</w:t>
      </w:r>
      <w:r w:rsidR="00E84B0E">
        <w:t>’</w:t>
      </w:r>
      <w:r>
        <w:t>agit d</w:t>
      </w:r>
      <w:r w:rsidR="00E84B0E">
        <w:t>’</w:t>
      </w:r>
      <w:r>
        <w:t>un encodage possible du contenu propositionnel des équations]</w:t>
      </w:r>
    </w:p>
    <w:p w14:paraId="30780485" w14:textId="77777777" w:rsidR="00065317" w:rsidRDefault="005C7BF7">
      <w:pPr>
        <w:pStyle w:val="FirstParagraph"/>
      </w:pPr>
      <w:r>
        <w:rPr>
          <w:b/>
          <w:bCs/>
        </w:rPr>
        <w:t>Logique</w:t>
      </w:r>
    </w:p>
    <w:p w14:paraId="07521DBD" w14:textId="77777777" w:rsidR="00065317" w:rsidRDefault="005C7BF7">
      <w:pPr>
        <w:pStyle w:val="Corpsdetexte"/>
      </w:pPr>
      <w:r>
        <w:t>E28(x) ⇒ E71(x)</w:t>
      </w:r>
    </w:p>
    <w:p w14:paraId="744B90B5" w14:textId="77777777" w:rsidR="00065317" w:rsidRDefault="005C7BF7">
      <w:pPr>
        <w:pStyle w:val="Corpsdetexte"/>
      </w:pPr>
      <w:r>
        <w:rPr>
          <w:b/>
          <w:bCs/>
        </w:rPr>
        <w:t>Propriétés</w:t>
      </w:r>
    </w:p>
    <w:p w14:paraId="11FB60AD" w14:textId="77777777" w:rsidR="00065317" w:rsidRDefault="005C7BF7">
      <w:pPr>
        <w:pStyle w:val="Normalcentr"/>
      </w:pPr>
      <w:r>
        <w:rPr>
          <w:b/>
          <w:bCs/>
          <w:i/>
          <w:iCs/>
        </w:rPr>
        <w:t>Note de traduction</w:t>
      </w:r>
    </w:p>
    <w:p w14:paraId="0698D36B" w14:textId="4EC5E238" w:rsidR="00065317" w:rsidRDefault="005C7BF7" w:rsidP="00F02C72">
      <w:pPr>
        <w:pStyle w:val="Normalcentr"/>
      </w:pPr>
      <w:r>
        <w:rPr>
          <w:b/>
          <w:bCs/>
          <w:i/>
          <w:iCs/>
        </w:rPr>
        <w:t>Références</w:t>
      </w:r>
    </w:p>
    <w:p w14:paraId="2FF35410" w14:textId="77777777" w:rsidR="00065317" w:rsidRDefault="005C7BF7" w:rsidP="00914F34">
      <w:pPr>
        <w:pStyle w:val="Titre3"/>
      </w:pPr>
      <w:bookmarkStart w:id="160" w:name="_Toc154048765"/>
      <w:bookmarkStart w:id="161" w:name="e29-conceptualisation-ou-procedure"/>
      <w:bookmarkEnd w:id="159"/>
      <w:r>
        <w:t>E29 Conceptualisation ou procédure</w:t>
      </w:r>
      <w:bookmarkEnd w:id="160"/>
    </w:p>
    <w:p w14:paraId="24ECB963" w14:textId="77777777" w:rsidR="00065317" w:rsidRDefault="005C7BF7">
      <w:pPr>
        <w:pStyle w:val="FirstParagraph"/>
      </w:pPr>
      <w:r>
        <w:rPr>
          <w:b/>
          <w:bCs/>
        </w:rPr>
        <w:t>Sous-classe de</w:t>
      </w:r>
    </w:p>
    <w:p w14:paraId="2890E10F" w14:textId="77777777" w:rsidR="00065317" w:rsidRDefault="005C7BF7">
      <w:pPr>
        <w:pStyle w:val="Corpsdetexte"/>
      </w:pPr>
      <w:r>
        <w:rPr>
          <w:rStyle w:val="VerbatimChar"/>
        </w:rPr>
        <w:t>E73_Objet_informationnel</w:t>
      </w:r>
    </w:p>
    <w:p w14:paraId="1CE377EB" w14:textId="271EF18C" w:rsidR="008D39EE" w:rsidRPr="00C86352" w:rsidRDefault="005C7BF7" w:rsidP="00C86352">
      <w:pPr>
        <w:pStyle w:val="Corpsdetexte"/>
      </w:pPr>
      <w:r>
        <w:rPr>
          <w:b/>
          <w:bCs/>
        </w:rPr>
        <w:t>Super-classe de</w:t>
      </w:r>
    </w:p>
    <w:p w14:paraId="5A759A15" w14:textId="1F04F97A" w:rsidR="00065317" w:rsidRDefault="005C7BF7">
      <w:pPr>
        <w:pStyle w:val="Corpsdetexte"/>
      </w:pPr>
      <w:r>
        <w:rPr>
          <w:b/>
          <w:bCs/>
        </w:rPr>
        <w:t>Note d</w:t>
      </w:r>
      <w:r w:rsidR="00E84B0E">
        <w:rPr>
          <w:b/>
          <w:bCs/>
        </w:rPr>
        <w:t>’</w:t>
      </w:r>
      <w:r>
        <w:rPr>
          <w:b/>
          <w:bCs/>
        </w:rPr>
        <w:t>application</w:t>
      </w:r>
    </w:p>
    <w:p w14:paraId="6CA4F97C" w14:textId="2978828A" w:rsidR="00065317" w:rsidRDefault="005C7BF7">
      <w:pPr>
        <w:pStyle w:val="Corpsdetexte"/>
      </w:pPr>
      <w:r>
        <w:t>Cette classe comprend des plans documentés concernant l</w:t>
      </w:r>
      <w:r w:rsidR="00E84B0E">
        <w:t>’</w:t>
      </w:r>
      <w:r>
        <w:t>exécution d</w:t>
      </w:r>
      <w:r w:rsidR="00E84B0E">
        <w:t>’</w:t>
      </w:r>
      <w:r>
        <w:t>actions dans l</w:t>
      </w:r>
      <w:r w:rsidR="00E84B0E">
        <w:t>’</w:t>
      </w:r>
      <w:r>
        <w:t>objectif d</w:t>
      </w:r>
      <w:r w:rsidR="00E84B0E">
        <w:t>’</w:t>
      </w:r>
      <w:r>
        <w:t>atteindre un résultat d</w:t>
      </w:r>
      <w:r w:rsidR="00E84B0E">
        <w:t>’</w:t>
      </w:r>
      <w:r>
        <w:t>une qualité, d</w:t>
      </w:r>
      <w:r w:rsidR="00E84B0E">
        <w:t>’</w:t>
      </w:r>
      <w:r>
        <w:t>une forme et d</w:t>
      </w:r>
      <w:r w:rsidR="00E84B0E">
        <w:t>’</w:t>
      </w:r>
      <w:r>
        <w:t>un contenu spécifique. Plus particulièrement, cette classe comprend des plans pour :</w:t>
      </w:r>
    </w:p>
    <w:p w14:paraId="1003EC6E" w14:textId="731F805D" w:rsidR="00065317" w:rsidRDefault="005C7BF7">
      <w:pPr>
        <w:numPr>
          <w:ilvl w:val="0"/>
          <w:numId w:val="85"/>
        </w:numPr>
      </w:pPr>
      <w:r>
        <w:t xml:space="preserve">des activités humaines délibérées qui peuvent avoir pour résultat de nouvelles instances de </w:t>
      </w:r>
      <w:r>
        <w:rPr>
          <w:rStyle w:val="VerbatimChar"/>
        </w:rPr>
        <w:t>E71_Chose_élaborée_par_l</w:t>
      </w:r>
      <w:r w:rsidR="00E84B0E">
        <w:rPr>
          <w:rStyle w:val="VerbatimChar"/>
        </w:rPr>
        <w:t>’</w:t>
      </w:r>
      <w:r>
        <w:rPr>
          <w:rStyle w:val="VerbatimChar"/>
        </w:rPr>
        <w:t>humain</w:t>
      </w:r>
      <w:r>
        <w:t>;</w:t>
      </w:r>
    </w:p>
    <w:p w14:paraId="0191FE79" w14:textId="113B3992" w:rsidR="00065317" w:rsidRDefault="005C7BF7">
      <w:pPr>
        <w:numPr>
          <w:ilvl w:val="0"/>
          <w:numId w:val="85"/>
        </w:numPr>
      </w:pPr>
      <w:r>
        <w:t>mettre en place ou guider l</w:t>
      </w:r>
      <w:r w:rsidR="00E84B0E">
        <w:t>’</w:t>
      </w:r>
      <w:r>
        <w:t>exécution d</w:t>
      </w:r>
      <w:r w:rsidR="00E84B0E">
        <w:t>’</w:t>
      </w:r>
      <w:r>
        <w:t xml:space="preserve">une instance de </w:t>
      </w:r>
      <w:r>
        <w:rPr>
          <w:rStyle w:val="VerbatimChar"/>
        </w:rPr>
        <w:t>E7_Activité</w:t>
      </w:r>
      <w:r>
        <w:t>.</w:t>
      </w:r>
    </w:p>
    <w:p w14:paraId="58DC1882" w14:textId="63E35498" w:rsidR="00065317" w:rsidRDefault="005C7BF7">
      <w:pPr>
        <w:pStyle w:val="FirstParagraph"/>
      </w:pPr>
      <w:r>
        <w:t xml:space="preserve">Les instances de </w:t>
      </w:r>
      <w:r>
        <w:rPr>
          <w:rStyle w:val="VerbatimChar"/>
        </w:rPr>
        <w:t>E29_Conceptualisation_ou_procédure</w:t>
      </w:r>
      <w:r>
        <w:t xml:space="preserve"> peuvent être structurées en parties et en séquences, ou dépendre d</w:t>
      </w:r>
      <w:r w:rsidR="00E84B0E">
        <w:t>’</w:t>
      </w:r>
      <w:r>
        <w:t>autres instances.</w:t>
      </w:r>
    </w:p>
    <w:p w14:paraId="0EA5280B" w14:textId="049EAE55" w:rsidR="00065317" w:rsidRDefault="00714434">
      <w:pPr>
        <w:pStyle w:val="Corpsdetexte"/>
      </w:pPr>
      <w:r>
        <w:t>Cela</w:t>
      </w:r>
      <w:r w:rsidR="005C7BF7">
        <w:t xml:space="preserve"> est modélisé à l</w:t>
      </w:r>
      <w:r w:rsidR="00E84B0E">
        <w:t>’</w:t>
      </w:r>
      <w:r w:rsidR="005C7BF7">
        <w:t xml:space="preserve">aide de </w:t>
      </w:r>
      <w:r w:rsidR="005C7BF7">
        <w:rPr>
          <w:rStyle w:val="VerbatimChar"/>
        </w:rPr>
        <w:t>P69_est_associé_à (est_associé_à)</w:t>
      </w:r>
      <w:r w:rsidR="005C7BF7">
        <w:t xml:space="preserve"> : </w:t>
      </w:r>
      <w:r w:rsidR="005C7BF7">
        <w:rPr>
          <w:rStyle w:val="VerbatimChar"/>
        </w:rPr>
        <w:t>E29_Conceptualisation_ou_procédure</w:t>
      </w:r>
      <w:r w:rsidR="005C7BF7">
        <w:t>.</w:t>
      </w:r>
    </w:p>
    <w:p w14:paraId="2F808EBF" w14:textId="77777777" w:rsidR="00C86352" w:rsidRDefault="00C86352">
      <w:pPr>
        <w:spacing w:after="0"/>
      </w:pPr>
      <w:r>
        <w:br w:type="page"/>
      </w:r>
    </w:p>
    <w:p w14:paraId="70FDF3C0" w14:textId="363878D7" w:rsidR="00065317" w:rsidRDefault="005C7BF7">
      <w:pPr>
        <w:pStyle w:val="Corpsdetexte"/>
      </w:pPr>
      <w:r>
        <w:lastRenderedPageBreak/>
        <w:t>Les conceptualisations ou procédures peuvent être considérées comme l</w:t>
      </w:r>
      <w:r w:rsidR="00E84B0E">
        <w:t>’</w:t>
      </w:r>
      <w:r>
        <w:t>un ou l</w:t>
      </w:r>
      <w:r w:rsidR="00E84B0E">
        <w:t>’</w:t>
      </w:r>
      <w:r>
        <w:t>autre des éléments suivants :</w:t>
      </w:r>
    </w:p>
    <w:p w14:paraId="597D1112" w14:textId="2F3E8124" w:rsidR="00065317" w:rsidRDefault="00847208" w:rsidP="00847208">
      <w:pPr>
        <w:numPr>
          <w:ilvl w:val="0"/>
          <w:numId w:val="314"/>
        </w:numPr>
      </w:pPr>
      <w:r>
        <w:t>u</w:t>
      </w:r>
      <w:r w:rsidR="005C7BF7">
        <w:t>n schéma représentant les activités évoquées par la conceptualisation ou la procédure;</w:t>
      </w:r>
    </w:p>
    <w:p w14:paraId="2E04D75A" w14:textId="201E9186" w:rsidR="00065317" w:rsidRDefault="00847208" w:rsidP="00847208">
      <w:pPr>
        <w:numPr>
          <w:ilvl w:val="0"/>
          <w:numId w:val="314"/>
        </w:numPr>
      </w:pPr>
      <w:r>
        <w:t>u</w:t>
      </w:r>
      <w:r w:rsidR="005C7BF7">
        <w:t>n schéma des produits qui résulte de leur application;</w:t>
      </w:r>
    </w:p>
    <w:p w14:paraId="0AC65C2F" w14:textId="4C95A73F" w:rsidR="00065317" w:rsidRDefault="00847208" w:rsidP="00847208">
      <w:pPr>
        <w:numPr>
          <w:ilvl w:val="0"/>
          <w:numId w:val="314"/>
        </w:numPr>
      </w:pPr>
      <w:r>
        <w:t>u</w:t>
      </w:r>
      <w:r w:rsidR="005C7BF7">
        <w:t>n produit intellectuel indépendant, lequel peut ne jamais avoir eu d</w:t>
      </w:r>
      <w:r w:rsidR="00E84B0E">
        <w:t>’</w:t>
      </w:r>
      <w:r w:rsidR="005C7BF7">
        <w:t>application (p. ex. les réputés plans de Léonard de Vinci pour des machines volantes).</w:t>
      </w:r>
    </w:p>
    <w:p w14:paraId="76CB2B4C" w14:textId="51BBCB2C" w:rsidR="00065317" w:rsidRDefault="005C7BF7">
      <w:pPr>
        <w:pStyle w:val="FirstParagraph"/>
      </w:pPr>
      <w:r>
        <w:t>Du fait que les conceptualisations ou procédures peuvent ne jamais avoir d</w:t>
      </w:r>
      <w:r w:rsidR="00E84B0E">
        <w:t>’</w:t>
      </w:r>
      <w:r>
        <w:t>application ou qu</w:t>
      </w:r>
      <w:r w:rsidR="00E84B0E">
        <w:t>’</w:t>
      </w:r>
      <w:r>
        <w:t>elles peuvent n</w:t>
      </w:r>
      <w:r w:rsidR="00E84B0E">
        <w:t>’</w:t>
      </w:r>
      <w:r>
        <w:t xml:space="preserve">être que partiellement exécutées, le </w:t>
      </w:r>
      <w:r w:rsidR="00C8288F">
        <w:t>CIDOC CRM</w:t>
      </w:r>
      <w:r>
        <w:t xml:space="preserve"> modélise une relation imprécise entre le plan et le produit auquel il est relié.</w:t>
      </w:r>
    </w:p>
    <w:p w14:paraId="6B48F399" w14:textId="77777777" w:rsidR="00065317" w:rsidRDefault="005C7BF7">
      <w:pPr>
        <w:pStyle w:val="Corpsdetexte"/>
      </w:pPr>
      <w:r>
        <w:rPr>
          <w:b/>
          <w:bCs/>
        </w:rPr>
        <w:t>Exemples</w:t>
      </w:r>
    </w:p>
    <w:p w14:paraId="68B6317C" w14:textId="2636031C" w:rsidR="00065317" w:rsidRDefault="005C7BF7">
      <w:pPr>
        <w:numPr>
          <w:ilvl w:val="0"/>
          <w:numId w:val="87"/>
        </w:numPr>
      </w:pPr>
      <w:r>
        <w:t>La procédure de normalisation de l</w:t>
      </w:r>
      <w:r w:rsidR="00E84B0E">
        <w:t>’</w:t>
      </w:r>
      <w:r>
        <w:t>Organisation internationale de normalisation (ISO)</w:t>
      </w:r>
    </w:p>
    <w:p w14:paraId="30955A75" w14:textId="113F2E76" w:rsidR="00065317" w:rsidRDefault="005C7BF7">
      <w:pPr>
        <w:numPr>
          <w:ilvl w:val="0"/>
          <w:numId w:val="87"/>
        </w:numPr>
      </w:pPr>
      <w:r>
        <w:t>La notation musicale de l</w:t>
      </w:r>
      <w:r w:rsidR="00E84B0E">
        <w:t>’</w:t>
      </w:r>
      <w:r>
        <w:rPr>
          <w:i/>
          <w:iCs/>
        </w:rPr>
        <w:t>Ode à la joie</w:t>
      </w:r>
      <w:r>
        <w:t xml:space="preserve"> de Ludwig van Beethoven (Kershaw, 1999)</w:t>
      </w:r>
    </w:p>
    <w:p w14:paraId="6CBC105F" w14:textId="77777777" w:rsidR="00065317" w:rsidRDefault="005C7BF7">
      <w:pPr>
        <w:numPr>
          <w:ilvl w:val="0"/>
          <w:numId w:val="87"/>
        </w:numPr>
      </w:pPr>
      <w:r>
        <w:t>Les dessins architecturaux pour la cathédrale de Cologne en Allemagne (Wolff, 1999)</w:t>
      </w:r>
    </w:p>
    <w:p w14:paraId="05CCEC80" w14:textId="77777777" w:rsidR="00065317" w:rsidRDefault="005C7BF7">
      <w:pPr>
        <w:numPr>
          <w:ilvl w:val="0"/>
          <w:numId w:val="87"/>
        </w:numPr>
      </w:pPr>
      <w:r>
        <w:t xml:space="preserve">Les dessins du folio « 860 » du </w:t>
      </w:r>
      <w:r>
        <w:rPr>
          <w:i/>
          <w:iCs/>
        </w:rPr>
        <w:t>Codex Atlanticus</w:t>
      </w:r>
      <w:r>
        <w:t xml:space="preserve"> (1486-1490) de Léonard de Vinci qui se trouvent à la Biblioteca Ambrosiana à Milan</w:t>
      </w:r>
    </w:p>
    <w:p w14:paraId="219991D7" w14:textId="77777777" w:rsidR="00065317" w:rsidRDefault="005C7BF7">
      <w:pPr>
        <w:pStyle w:val="FirstParagraph"/>
      </w:pPr>
      <w:r>
        <w:rPr>
          <w:b/>
          <w:bCs/>
        </w:rPr>
        <w:t>Logique</w:t>
      </w:r>
    </w:p>
    <w:p w14:paraId="1B7CA672" w14:textId="77777777" w:rsidR="00065317" w:rsidRDefault="005C7BF7">
      <w:pPr>
        <w:pStyle w:val="Corpsdetexte"/>
      </w:pPr>
      <w:r>
        <w:t>E29(x) ⇒ E73(x)</w:t>
      </w:r>
    </w:p>
    <w:p w14:paraId="180A25E1" w14:textId="77777777" w:rsidR="00065317" w:rsidRDefault="005C7BF7">
      <w:pPr>
        <w:pStyle w:val="Corpsdetexte"/>
      </w:pPr>
      <w:r>
        <w:rPr>
          <w:b/>
          <w:bCs/>
        </w:rPr>
        <w:t>Propriétés</w:t>
      </w:r>
    </w:p>
    <w:p w14:paraId="585BE0A2" w14:textId="79D07EAC" w:rsidR="00065317" w:rsidRDefault="005C7BF7">
      <w:pPr>
        <w:pStyle w:val="Corpsdetexte"/>
      </w:pPr>
      <w:r>
        <w:rPr>
          <w:rStyle w:val="VerbatimChar"/>
        </w:rPr>
        <w:t>P68_prévoit_l</w:t>
      </w:r>
      <w:r w:rsidR="00E84B0E">
        <w:rPr>
          <w:rStyle w:val="VerbatimChar"/>
        </w:rPr>
        <w:t>’</w:t>
      </w:r>
      <w:r>
        <w:rPr>
          <w:rStyle w:val="VerbatimChar"/>
        </w:rPr>
        <w:t xml:space="preserve">usage_de (usage_prévu_de) </w:t>
      </w:r>
      <w:r>
        <w:t xml:space="preserve">: </w:t>
      </w:r>
      <w:r>
        <w:rPr>
          <w:rStyle w:val="VerbatimChar"/>
        </w:rPr>
        <w:t>E57_Matériau</w:t>
      </w:r>
    </w:p>
    <w:p w14:paraId="57C59405" w14:textId="77777777" w:rsidR="00065317" w:rsidRDefault="005C7BF7">
      <w:pPr>
        <w:pStyle w:val="Corpsdetexte"/>
      </w:pPr>
      <w:r>
        <w:rPr>
          <w:rStyle w:val="VerbatimChar"/>
        </w:rPr>
        <w:t xml:space="preserve">P69_est_associé_à (est_associé_à) </w:t>
      </w:r>
      <w:r>
        <w:t xml:space="preserve">: </w:t>
      </w:r>
      <w:r>
        <w:rPr>
          <w:rStyle w:val="VerbatimChar"/>
        </w:rPr>
        <w:t>E29_Conceptualisation_ou_procédure</w:t>
      </w:r>
    </w:p>
    <w:p w14:paraId="51CC769B" w14:textId="77777777" w:rsidR="00065317" w:rsidRDefault="005C7BF7">
      <w:pPr>
        <w:pStyle w:val="Corpsdetexte"/>
      </w:pPr>
      <w:r>
        <w:t>(</w:t>
      </w:r>
      <w:r>
        <w:rPr>
          <w:rStyle w:val="VerbatimChar"/>
        </w:rPr>
        <w:t>P69.1_a_pour_type</w:t>
      </w:r>
      <w:r>
        <w:t xml:space="preserve"> : </w:t>
      </w:r>
      <w:r>
        <w:rPr>
          <w:rStyle w:val="VerbatimChar"/>
        </w:rPr>
        <w:t>E55_Type</w:t>
      </w:r>
      <w:r>
        <w:t>)</w:t>
      </w:r>
    </w:p>
    <w:p w14:paraId="2BEEFCA4" w14:textId="77777777" w:rsidR="00065317" w:rsidRDefault="005C7BF7">
      <w:pPr>
        <w:pStyle w:val="Normalcentr"/>
      </w:pPr>
      <w:r>
        <w:rPr>
          <w:b/>
          <w:bCs/>
          <w:i/>
          <w:iCs/>
        </w:rPr>
        <w:t>Note de traduction</w:t>
      </w:r>
    </w:p>
    <w:p w14:paraId="7412A366" w14:textId="188462E6" w:rsidR="00065317" w:rsidRDefault="005C7BF7" w:rsidP="00F02C72">
      <w:pPr>
        <w:pStyle w:val="Normalcentr"/>
      </w:pPr>
      <w:r>
        <w:rPr>
          <w:b/>
          <w:bCs/>
          <w:i/>
          <w:iCs/>
        </w:rPr>
        <w:t>Références</w:t>
      </w:r>
    </w:p>
    <w:p w14:paraId="0A1382BC" w14:textId="77777777" w:rsidR="00065317" w:rsidRDefault="005C7BF7" w:rsidP="00914F34">
      <w:pPr>
        <w:pStyle w:val="Titre3"/>
      </w:pPr>
      <w:bookmarkStart w:id="162" w:name="_Toc154048766"/>
      <w:bookmarkStart w:id="163" w:name="e30-droit"/>
      <w:bookmarkEnd w:id="161"/>
      <w:r>
        <w:t>E30 Droit</w:t>
      </w:r>
      <w:bookmarkEnd w:id="162"/>
    </w:p>
    <w:p w14:paraId="298B1162" w14:textId="77777777" w:rsidR="00065317" w:rsidRDefault="005C7BF7">
      <w:pPr>
        <w:pStyle w:val="FirstParagraph"/>
      </w:pPr>
      <w:r>
        <w:rPr>
          <w:b/>
          <w:bCs/>
        </w:rPr>
        <w:t>Sous-classe de</w:t>
      </w:r>
    </w:p>
    <w:p w14:paraId="5726A116" w14:textId="77777777" w:rsidR="00065317" w:rsidRDefault="005C7BF7">
      <w:pPr>
        <w:pStyle w:val="Corpsdetexte"/>
      </w:pPr>
      <w:r>
        <w:rPr>
          <w:rStyle w:val="VerbatimChar"/>
        </w:rPr>
        <w:t>E89_Objet_propositionnel</w:t>
      </w:r>
    </w:p>
    <w:p w14:paraId="7FFEA394" w14:textId="77777777" w:rsidR="00065317" w:rsidRDefault="005C7BF7">
      <w:pPr>
        <w:pStyle w:val="Corpsdetexte"/>
      </w:pPr>
      <w:r>
        <w:rPr>
          <w:b/>
          <w:bCs/>
        </w:rPr>
        <w:t>Super-classe de</w:t>
      </w:r>
    </w:p>
    <w:p w14:paraId="66D655C1" w14:textId="4D572DE3" w:rsidR="00065317" w:rsidRDefault="005C7BF7">
      <w:pPr>
        <w:pStyle w:val="Corpsdetexte"/>
      </w:pPr>
      <w:r>
        <w:rPr>
          <w:b/>
          <w:bCs/>
        </w:rPr>
        <w:t>Note d</w:t>
      </w:r>
      <w:r w:rsidR="00E84B0E">
        <w:rPr>
          <w:b/>
          <w:bCs/>
        </w:rPr>
        <w:t>’</w:t>
      </w:r>
      <w:r>
        <w:rPr>
          <w:b/>
          <w:bCs/>
        </w:rPr>
        <w:t>application</w:t>
      </w:r>
    </w:p>
    <w:p w14:paraId="47A4CA05" w14:textId="77777777" w:rsidR="00065317" w:rsidRDefault="005C7BF7">
      <w:pPr>
        <w:pStyle w:val="Corpsdetexte"/>
      </w:pPr>
      <w:r>
        <w:t>Cette classe comprend les privilèges juridiques concernant des choses matérielles et immatérielles ou leurs dérivés.</w:t>
      </w:r>
    </w:p>
    <w:p w14:paraId="5CB18FBB" w14:textId="29D2E241" w:rsidR="00A81E78" w:rsidRDefault="005C7BF7">
      <w:pPr>
        <w:pStyle w:val="Corpsdetexte"/>
        <w:rPr>
          <w:b/>
          <w:bCs/>
        </w:rPr>
      </w:pPr>
      <w:r>
        <w:t>Ces privilèges incluent notamment les droits de reproduction et de propriété.</w:t>
      </w:r>
    </w:p>
    <w:p w14:paraId="47077F92" w14:textId="77777777" w:rsidR="00C86352" w:rsidRDefault="00C86352">
      <w:pPr>
        <w:spacing w:after="0"/>
        <w:rPr>
          <w:b/>
          <w:bCs/>
        </w:rPr>
      </w:pPr>
      <w:r>
        <w:rPr>
          <w:b/>
          <w:bCs/>
        </w:rPr>
        <w:br w:type="page"/>
      </w:r>
    </w:p>
    <w:p w14:paraId="12235B49" w14:textId="71F10987" w:rsidR="00065317" w:rsidRDefault="005C7BF7">
      <w:pPr>
        <w:pStyle w:val="Corpsdetexte"/>
      </w:pPr>
      <w:r>
        <w:rPr>
          <w:b/>
          <w:bCs/>
        </w:rPr>
        <w:lastRenderedPageBreak/>
        <w:t>Exemples</w:t>
      </w:r>
    </w:p>
    <w:p w14:paraId="7171BD42" w14:textId="3C62DFC6" w:rsidR="00065317" w:rsidRDefault="005C7BF7">
      <w:pPr>
        <w:numPr>
          <w:ilvl w:val="0"/>
          <w:numId w:val="88"/>
        </w:numPr>
      </w:pPr>
      <w:r>
        <w:t>Le droit d</w:t>
      </w:r>
      <w:r w:rsidR="00E84B0E">
        <w:t>’</w:t>
      </w:r>
      <w:r>
        <w:t>auteur détenu par l</w:t>
      </w:r>
      <w:r w:rsidR="00E84B0E">
        <w:t>’</w:t>
      </w:r>
      <w:r>
        <w:t>ISO sur la norme ISO 21127</w:t>
      </w:r>
    </w:p>
    <w:p w14:paraId="33768098" w14:textId="77777777" w:rsidR="00065317" w:rsidRDefault="005C7BF7">
      <w:pPr>
        <w:numPr>
          <w:ilvl w:val="0"/>
          <w:numId w:val="88"/>
        </w:numPr>
      </w:pPr>
      <w:r>
        <w:t xml:space="preserve">Le droit de propriété sur la </w:t>
      </w:r>
      <w:r>
        <w:rPr>
          <w:i/>
          <w:iCs/>
        </w:rPr>
        <w:t>Monna Lisa</w:t>
      </w:r>
      <w:r>
        <w:t xml:space="preserve"> détenu par le Louvre à Paris en France</w:t>
      </w:r>
    </w:p>
    <w:p w14:paraId="6430052F" w14:textId="77777777" w:rsidR="00065317" w:rsidRDefault="005C7BF7">
      <w:pPr>
        <w:pStyle w:val="FirstParagraph"/>
      </w:pPr>
      <w:r>
        <w:rPr>
          <w:b/>
          <w:bCs/>
        </w:rPr>
        <w:t>Logique</w:t>
      </w:r>
    </w:p>
    <w:p w14:paraId="2143BE3C" w14:textId="77777777" w:rsidR="00065317" w:rsidRDefault="005C7BF7">
      <w:pPr>
        <w:pStyle w:val="Corpsdetexte"/>
      </w:pPr>
      <w:r>
        <w:t>E30(x) ⇒ E89(x)</w:t>
      </w:r>
    </w:p>
    <w:p w14:paraId="3EE5B553" w14:textId="77777777" w:rsidR="00065317" w:rsidRPr="00EB3960" w:rsidRDefault="005C7BF7">
      <w:pPr>
        <w:pStyle w:val="Corpsdetexte"/>
      </w:pPr>
      <w:r w:rsidRPr="00EB3960">
        <w:rPr>
          <w:b/>
          <w:bCs/>
        </w:rPr>
        <w:t>Propriétés</w:t>
      </w:r>
    </w:p>
    <w:p w14:paraId="0D6A0D78" w14:textId="77777777" w:rsidR="00065317" w:rsidRPr="00EB3960" w:rsidRDefault="005C7BF7">
      <w:pPr>
        <w:pStyle w:val="Normalcentr"/>
      </w:pPr>
      <w:r w:rsidRPr="00EB3960">
        <w:rPr>
          <w:b/>
          <w:bCs/>
          <w:i/>
          <w:iCs/>
        </w:rPr>
        <w:t>Note de traduction</w:t>
      </w:r>
    </w:p>
    <w:p w14:paraId="38935FAE" w14:textId="77777777" w:rsidR="00065317" w:rsidRPr="00EB3960" w:rsidRDefault="005C7BF7">
      <w:pPr>
        <w:pStyle w:val="Normalcentr"/>
      </w:pPr>
      <w:r w:rsidRPr="00EB3960">
        <w:rPr>
          <w:b/>
          <w:bCs/>
          <w:i/>
          <w:iCs/>
        </w:rPr>
        <w:t>Références</w:t>
      </w:r>
    </w:p>
    <w:p w14:paraId="08CA5AB3" w14:textId="77777777" w:rsidR="00065317" w:rsidRPr="00EB3960" w:rsidRDefault="005C7BF7" w:rsidP="00914F34">
      <w:pPr>
        <w:pStyle w:val="Titre3"/>
      </w:pPr>
      <w:bookmarkStart w:id="164" w:name="_Toc154048767"/>
      <w:bookmarkStart w:id="165" w:name="e31-document"/>
      <w:bookmarkEnd w:id="163"/>
      <w:r w:rsidRPr="00EB3960">
        <w:t>E31 Document</w:t>
      </w:r>
      <w:bookmarkEnd w:id="164"/>
    </w:p>
    <w:p w14:paraId="56063940" w14:textId="77777777" w:rsidR="00065317" w:rsidRPr="00EB3960" w:rsidRDefault="005C7BF7">
      <w:pPr>
        <w:pStyle w:val="FirstParagraph"/>
      </w:pPr>
      <w:r w:rsidRPr="00EB3960">
        <w:rPr>
          <w:b/>
          <w:bCs/>
        </w:rPr>
        <w:t>Sous-classe de</w:t>
      </w:r>
    </w:p>
    <w:p w14:paraId="47CF3D3E" w14:textId="77777777" w:rsidR="00065317" w:rsidRPr="00EB3960" w:rsidRDefault="005C7BF7">
      <w:pPr>
        <w:pStyle w:val="Corpsdetexte"/>
      </w:pPr>
      <w:r w:rsidRPr="00EB3960">
        <w:rPr>
          <w:rStyle w:val="VerbatimChar"/>
        </w:rPr>
        <w:t>E73_Objet_informationnel</w:t>
      </w:r>
    </w:p>
    <w:p w14:paraId="746D4A10" w14:textId="77777777" w:rsidR="00065317" w:rsidRPr="00EB3960" w:rsidRDefault="005C7BF7">
      <w:pPr>
        <w:pStyle w:val="Corpsdetexte"/>
      </w:pPr>
      <w:r w:rsidRPr="00EB3960">
        <w:rPr>
          <w:b/>
          <w:bCs/>
        </w:rPr>
        <w:t>Super-classe de</w:t>
      </w:r>
    </w:p>
    <w:p w14:paraId="1FBF4026" w14:textId="77777777" w:rsidR="00065317" w:rsidRDefault="005C7BF7">
      <w:pPr>
        <w:pStyle w:val="Corpsdetexte"/>
      </w:pPr>
      <w:r w:rsidRPr="00EB3960">
        <w:rPr>
          <w:rStyle w:val="VerbatimChar"/>
        </w:rPr>
        <w:t>E32_Document_de_référence</w:t>
      </w:r>
    </w:p>
    <w:p w14:paraId="070CC0DC" w14:textId="12F7DB3B" w:rsidR="00065317" w:rsidRDefault="005C7BF7">
      <w:pPr>
        <w:pStyle w:val="Corpsdetexte"/>
      </w:pPr>
      <w:r>
        <w:rPr>
          <w:b/>
          <w:bCs/>
        </w:rPr>
        <w:t>Note d</w:t>
      </w:r>
      <w:r w:rsidR="00E84B0E">
        <w:rPr>
          <w:b/>
          <w:bCs/>
        </w:rPr>
        <w:t>’</w:t>
      </w:r>
      <w:r>
        <w:rPr>
          <w:b/>
          <w:bCs/>
        </w:rPr>
        <w:t>application</w:t>
      </w:r>
    </w:p>
    <w:p w14:paraId="0F4F5D3D" w14:textId="77777777" w:rsidR="00065317" w:rsidRDefault="005C7BF7">
      <w:pPr>
        <w:pStyle w:val="Corpsdetexte"/>
      </w:pPr>
      <w:r>
        <w:t>Cette classe comprend les entités immatérielles et identifiables qui contiennent des informations à propos de la réalité.</w:t>
      </w:r>
    </w:p>
    <w:p w14:paraId="7F0404A8" w14:textId="2DF3C811" w:rsidR="008D39EE" w:rsidRPr="00C86352" w:rsidRDefault="005C7BF7" w:rsidP="00C86352">
      <w:pPr>
        <w:pStyle w:val="Corpsdetexte"/>
      </w:pPr>
      <w:r>
        <w:t>Ces informations peuvent être exprimées sous forme de textes, de graphiques, d</w:t>
      </w:r>
      <w:r w:rsidR="00E84B0E">
        <w:t>’</w:t>
      </w:r>
      <w:r>
        <w:t>images, d</w:t>
      </w:r>
      <w:r w:rsidR="00E84B0E">
        <w:t>’</w:t>
      </w:r>
      <w:r>
        <w:t>audiogrammes, de vidéogrammes ou sous d</w:t>
      </w:r>
      <w:r w:rsidR="00E84B0E">
        <w:t>’</w:t>
      </w:r>
      <w:r>
        <w:t xml:space="preserve">autres formes similaires. Les bases de données documentaires sont considérées comme des instances de </w:t>
      </w:r>
      <w:r>
        <w:rPr>
          <w:rStyle w:val="VerbatimChar"/>
        </w:rPr>
        <w:t>E31_Document</w:t>
      </w:r>
      <w:r>
        <w:t>. Cette classe ne doit pas être confondue avec le concept de « document » utilisé dans le domaine des technologies de l</w:t>
      </w:r>
      <w:r w:rsidR="00E84B0E">
        <w:t>’</w:t>
      </w:r>
      <w:r>
        <w:t xml:space="preserve">information, ce dernier se rapportant plutôt à la classe </w:t>
      </w:r>
      <w:r>
        <w:rPr>
          <w:rStyle w:val="VerbatimChar"/>
        </w:rPr>
        <w:t>E73_Objet_informationnel</w:t>
      </w:r>
      <w:r>
        <w:t>.</w:t>
      </w:r>
    </w:p>
    <w:p w14:paraId="329800A0" w14:textId="5D7C277E" w:rsidR="00065317" w:rsidRDefault="005C7BF7">
      <w:pPr>
        <w:pStyle w:val="Corpsdetexte"/>
      </w:pPr>
      <w:r>
        <w:rPr>
          <w:b/>
          <w:bCs/>
        </w:rPr>
        <w:t>Exemples</w:t>
      </w:r>
    </w:p>
    <w:p w14:paraId="0C5CCE46" w14:textId="28DB527B" w:rsidR="00065317" w:rsidRDefault="005C7BF7">
      <w:pPr>
        <w:numPr>
          <w:ilvl w:val="0"/>
          <w:numId w:val="89"/>
        </w:numPr>
      </w:pPr>
      <w:r>
        <w:t>L</w:t>
      </w:r>
      <w:r w:rsidR="00E84B0E">
        <w:t>’</w:t>
      </w:r>
      <w:r>
        <w:rPr>
          <w:i/>
          <w:iCs/>
        </w:rPr>
        <w:t>Encyclop</w:t>
      </w:r>
      <w:r w:rsidR="00B40400">
        <w:rPr>
          <w:i/>
          <w:iCs/>
        </w:rPr>
        <w:t>ae</w:t>
      </w:r>
      <w:r>
        <w:rPr>
          <w:i/>
          <w:iCs/>
        </w:rPr>
        <w:t>dia Britannica</w:t>
      </w:r>
      <w:r>
        <w:t xml:space="preserve"> (</w:t>
      </w:r>
      <w:r>
        <w:rPr>
          <w:rStyle w:val="VerbatimChar"/>
        </w:rPr>
        <w:t>E32_Document_de_référence</w:t>
      </w:r>
      <w:r>
        <w:t>) (Kogan, 1958)</w:t>
      </w:r>
    </w:p>
    <w:p w14:paraId="5F62063B" w14:textId="77777777" w:rsidR="00065317" w:rsidRDefault="005C7BF7">
      <w:pPr>
        <w:numPr>
          <w:ilvl w:val="0"/>
          <w:numId w:val="89"/>
        </w:numPr>
      </w:pPr>
      <w:r>
        <w:t>Le contenu visuel de la photo des dirigeants alliés à la Conférence de Yalta, publiée par UPI en 1945 (</w:t>
      </w:r>
      <w:r>
        <w:rPr>
          <w:rStyle w:val="VerbatimChar"/>
        </w:rPr>
        <w:t>E36_Entité_visuelle</w:t>
      </w:r>
      <w:r>
        <w:t>)</w:t>
      </w:r>
    </w:p>
    <w:p w14:paraId="4E95E51E" w14:textId="545081C4" w:rsidR="00065317" w:rsidRDefault="005C7BF7">
      <w:pPr>
        <w:numPr>
          <w:ilvl w:val="0"/>
          <w:numId w:val="89"/>
        </w:numPr>
      </w:pPr>
      <w:r>
        <w:t xml:space="preserve">Le </w:t>
      </w:r>
      <w:r>
        <w:rPr>
          <w:i/>
          <w:iCs/>
        </w:rPr>
        <w:t>Livre du Jugement Dernier</w:t>
      </w:r>
      <w:r>
        <w:t xml:space="preserve"> [l</w:t>
      </w:r>
      <w:r w:rsidR="00E84B0E">
        <w:t>’</w:t>
      </w:r>
      <w:r>
        <w:t>enregistrement manuscrit d</w:t>
      </w:r>
      <w:r w:rsidR="00E84B0E">
        <w:t>’</w:t>
      </w:r>
      <w:r>
        <w:t>un inventaire de l</w:t>
      </w:r>
      <w:r w:rsidR="00E84B0E">
        <w:t>’</w:t>
      </w:r>
      <w:r>
        <w:t>Angleterre et de parties de la Cornouailles terminé en 1086 sous Guillaume le Conquérant] (Hallam 1986)</w:t>
      </w:r>
    </w:p>
    <w:p w14:paraId="67838803" w14:textId="77777777" w:rsidR="00065317" w:rsidRDefault="005C7BF7">
      <w:pPr>
        <w:pStyle w:val="FirstParagraph"/>
      </w:pPr>
      <w:r>
        <w:rPr>
          <w:b/>
          <w:bCs/>
        </w:rPr>
        <w:t>Logique</w:t>
      </w:r>
    </w:p>
    <w:p w14:paraId="3C05CC4F" w14:textId="77777777" w:rsidR="00065317" w:rsidRDefault="005C7BF7">
      <w:pPr>
        <w:pStyle w:val="Corpsdetexte"/>
      </w:pPr>
      <w:r>
        <w:t>E31(x) ⇒ E73(x)</w:t>
      </w:r>
    </w:p>
    <w:p w14:paraId="457BB7C8" w14:textId="77777777" w:rsidR="00065317" w:rsidRDefault="005C7BF7">
      <w:pPr>
        <w:pStyle w:val="Corpsdetexte"/>
      </w:pPr>
      <w:r>
        <w:rPr>
          <w:b/>
          <w:bCs/>
        </w:rPr>
        <w:t>Propriétés</w:t>
      </w:r>
    </w:p>
    <w:p w14:paraId="36465FA1" w14:textId="77777777" w:rsidR="00065317" w:rsidRDefault="005C7BF7">
      <w:pPr>
        <w:pStyle w:val="Corpsdetexte"/>
      </w:pPr>
      <w:r>
        <w:rPr>
          <w:rStyle w:val="VerbatimChar"/>
        </w:rPr>
        <w:t>P70_documente (est_documenté_dans)</w:t>
      </w:r>
      <w:r>
        <w:t xml:space="preserve"> : </w:t>
      </w:r>
      <w:r>
        <w:rPr>
          <w:rStyle w:val="VerbatimChar"/>
        </w:rPr>
        <w:t>E1_Entité_CRM</w:t>
      </w:r>
    </w:p>
    <w:p w14:paraId="44CF7383" w14:textId="77777777" w:rsidR="00065317" w:rsidRDefault="005C7BF7">
      <w:pPr>
        <w:pStyle w:val="Normalcentr"/>
      </w:pPr>
      <w:r>
        <w:rPr>
          <w:b/>
          <w:bCs/>
          <w:i/>
          <w:iCs/>
        </w:rPr>
        <w:t>Note de traduction</w:t>
      </w:r>
    </w:p>
    <w:p w14:paraId="1C27A46D" w14:textId="1A3EA325" w:rsidR="00A81E78" w:rsidRPr="00241DFB" w:rsidRDefault="005C7BF7" w:rsidP="00F02C72">
      <w:pPr>
        <w:pStyle w:val="Normalcentr"/>
        <w:rPr>
          <w:b/>
          <w:bCs/>
          <w:i/>
          <w:iCs/>
          <w:lang w:val="fr-CA"/>
        </w:rPr>
      </w:pPr>
      <w:r>
        <w:t>L</w:t>
      </w:r>
      <w:r w:rsidR="00E84B0E">
        <w:t>’</w:t>
      </w:r>
      <w:r>
        <w:t>acronyme UPI, pour United Press International, ne semble pas avoir d</w:t>
      </w:r>
      <w:r w:rsidR="00E84B0E">
        <w:t>’</w:t>
      </w:r>
      <w:r>
        <w:t xml:space="preserve">équivalent en français, et </w:t>
      </w:r>
      <w:r w:rsidR="00F02C72">
        <w:t>a</w:t>
      </w:r>
      <w:r>
        <w:t xml:space="preserve"> donc été laissé dans sa version anglaise.</w:t>
      </w:r>
    </w:p>
    <w:p w14:paraId="7C5E6936" w14:textId="77777777" w:rsidR="00C86352" w:rsidRPr="003C7A4A" w:rsidRDefault="00C86352">
      <w:pPr>
        <w:spacing w:after="0"/>
        <w:rPr>
          <w:b/>
          <w:bCs/>
          <w:i/>
          <w:iCs/>
          <w:sz w:val="22"/>
          <w:lang w:val="fr-CA"/>
        </w:rPr>
      </w:pPr>
      <w:r w:rsidRPr="003C7A4A">
        <w:rPr>
          <w:b/>
          <w:bCs/>
          <w:i/>
          <w:iCs/>
          <w:lang w:val="fr-CA"/>
        </w:rPr>
        <w:br w:type="page"/>
      </w:r>
    </w:p>
    <w:p w14:paraId="43E8C826" w14:textId="7C4EF6C9" w:rsidR="00065317" w:rsidRPr="00EC2D6E" w:rsidRDefault="005C7BF7">
      <w:pPr>
        <w:pStyle w:val="Normalcentr"/>
        <w:rPr>
          <w:lang w:val="en-CA"/>
        </w:rPr>
      </w:pPr>
      <w:r w:rsidRPr="00EC2D6E">
        <w:rPr>
          <w:b/>
          <w:bCs/>
          <w:i/>
          <w:iCs/>
          <w:lang w:val="en-CA"/>
        </w:rPr>
        <w:lastRenderedPageBreak/>
        <w:t>Références</w:t>
      </w:r>
    </w:p>
    <w:p w14:paraId="545343AD" w14:textId="4EA276C6" w:rsidR="00065317" w:rsidRDefault="005C7BF7">
      <w:pPr>
        <w:pStyle w:val="Normalcentr"/>
      </w:pPr>
      <w:r w:rsidRPr="00EC2D6E">
        <w:rPr>
          <w:lang w:val="en-CA"/>
        </w:rPr>
        <w:t xml:space="preserve">Wikipédia. « United Press International ». Dans </w:t>
      </w:r>
      <w:r w:rsidRPr="00EC2D6E">
        <w:rPr>
          <w:i/>
          <w:iCs/>
          <w:lang w:val="en-CA"/>
        </w:rPr>
        <w:t>Wikipédia</w:t>
      </w:r>
      <w:r w:rsidRPr="00EC2D6E">
        <w:rPr>
          <w:lang w:val="en-CA"/>
        </w:rPr>
        <w:t>. San Francisco, US-CA: Wikipédia, 15</w:t>
      </w:r>
      <w:r w:rsidR="00056DCD">
        <w:rPr>
          <w:lang w:val="en-CA"/>
        </w:rPr>
        <w:t> mai </w:t>
      </w:r>
      <w:r w:rsidRPr="00EC2D6E">
        <w:rPr>
          <w:lang w:val="en-CA"/>
        </w:rPr>
        <w:t>2021.</w:t>
      </w:r>
      <w:hyperlink r:id="rId184">
        <w:r w:rsidRPr="00EC2D6E">
          <w:rPr>
            <w:rStyle w:val="Lienhypertexte"/>
            <w:lang w:val="en-CA"/>
          </w:rPr>
          <w:t xml:space="preserve"> </w:t>
        </w:r>
      </w:hyperlink>
      <w:hyperlink r:id="rId185">
        <w:r>
          <w:rPr>
            <w:rStyle w:val="Lienhypertexte"/>
          </w:rPr>
          <w:t>https://fr.wikipedia.org/w/index.php?title=United_Press_International&amp;oldid=182934531</w:t>
        </w:r>
      </w:hyperlink>
      <w:r>
        <w:t>.</w:t>
      </w:r>
    </w:p>
    <w:p w14:paraId="195836F1" w14:textId="77777777" w:rsidR="00065317" w:rsidRDefault="005C7BF7" w:rsidP="00914F34">
      <w:pPr>
        <w:pStyle w:val="Titre3"/>
      </w:pPr>
      <w:bookmarkStart w:id="166" w:name="_Toc154048768"/>
      <w:bookmarkStart w:id="167" w:name="e32-document-de-reference"/>
      <w:bookmarkEnd w:id="165"/>
      <w:r>
        <w:t>E32 Document de référence</w:t>
      </w:r>
      <w:bookmarkEnd w:id="166"/>
    </w:p>
    <w:p w14:paraId="68406F06" w14:textId="77777777" w:rsidR="00065317" w:rsidRDefault="005C7BF7">
      <w:pPr>
        <w:pStyle w:val="FirstParagraph"/>
      </w:pPr>
      <w:r>
        <w:rPr>
          <w:b/>
          <w:bCs/>
        </w:rPr>
        <w:t>Sous-classe de</w:t>
      </w:r>
    </w:p>
    <w:p w14:paraId="0AF03138" w14:textId="77777777" w:rsidR="00065317" w:rsidRDefault="005C7BF7">
      <w:pPr>
        <w:pStyle w:val="Corpsdetexte"/>
      </w:pPr>
      <w:r>
        <w:rPr>
          <w:rStyle w:val="VerbatimChar"/>
        </w:rPr>
        <w:t>E31_Document</w:t>
      </w:r>
    </w:p>
    <w:p w14:paraId="3B9CE45F" w14:textId="77777777" w:rsidR="00065317" w:rsidRDefault="005C7BF7">
      <w:pPr>
        <w:pStyle w:val="Corpsdetexte"/>
      </w:pPr>
      <w:r>
        <w:rPr>
          <w:b/>
          <w:bCs/>
        </w:rPr>
        <w:t>Super-classe de</w:t>
      </w:r>
    </w:p>
    <w:p w14:paraId="0CF1DEBE" w14:textId="5551C4B7" w:rsidR="00065317" w:rsidRDefault="005C7BF7">
      <w:pPr>
        <w:pStyle w:val="Corpsdetexte"/>
      </w:pPr>
      <w:r>
        <w:rPr>
          <w:b/>
          <w:bCs/>
        </w:rPr>
        <w:t>Note d</w:t>
      </w:r>
      <w:r w:rsidR="00E84B0E">
        <w:rPr>
          <w:b/>
          <w:bCs/>
        </w:rPr>
        <w:t>’</w:t>
      </w:r>
      <w:r>
        <w:rPr>
          <w:b/>
          <w:bCs/>
        </w:rPr>
        <w:t>application</w:t>
      </w:r>
    </w:p>
    <w:p w14:paraId="35FAC46A" w14:textId="0D4707F6" w:rsidR="00065317" w:rsidRDefault="005C7BF7">
      <w:pPr>
        <w:pStyle w:val="Corpsdetexte"/>
      </w:pPr>
      <w:r>
        <w:t>Cette classe comprend les encyclopédies, les thésaurus, les listes d</w:t>
      </w:r>
      <w:r w:rsidR="00E84B0E">
        <w:t>’</w:t>
      </w:r>
      <w:r>
        <w:t>autorité et autres documents qui définissent des terminologies ou des systèmes conceptuels afin de favoriser un usage uniforme.</w:t>
      </w:r>
    </w:p>
    <w:p w14:paraId="704DE27C" w14:textId="77777777" w:rsidR="00065317" w:rsidRDefault="005C7BF7">
      <w:pPr>
        <w:pStyle w:val="Corpsdetexte"/>
      </w:pPr>
      <w:r>
        <w:rPr>
          <w:b/>
          <w:bCs/>
        </w:rPr>
        <w:t>Exemples</w:t>
      </w:r>
    </w:p>
    <w:p w14:paraId="76F68FED" w14:textId="77777777" w:rsidR="00065317" w:rsidRDefault="005C7BF7">
      <w:pPr>
        <w:numPr>
          <w:ilvl w:val="0"/>
          <w:numId w:val="90"/>
        </w:numPr>
      </w:pPr>
      <w:r>
        <w:t>Le dictionnaire Webster (Herbert, 1994)</w:t>
      </w:r>
    </w:p>
    <w:p w14:paraId="6BFC720D" w14:textId="6C8C8A00" w:rsidR="00065317" w:rsidRPr="00EC2D6E" w:rsidRDefault="005C7BF7">
      <w:pPr>
        <w:numPr>
          <w:ilvl w:val="0"/>
          <w:numId w:val="90"/>
        </w:numPr>
        <w:rPr>
          <w:lang w:val="en-CA"/>
        </w:rPr>
      </w:pPr>
      <w:r w:rsidRPr="00EC2D6E">
        <w:rPr>
          <w:lang w:val="en-CA"/>
        </w:rPr>
        <w:t>L</w:t>
      </w:r>
      <w:r w:rsidR="00E84B0E">
        <w:rPr>
          <w:lang w:val="en-CA"/>
        </w:rPr>
        <w:t>’</w:t>
      </w:r>
      <w:r w:rsidRPr="00EC2D6E">
        <w:rPr>
          <w:i/>
          <w:iCs/>
          <w:lang w:val="en-CA"/>
        </w:rPr>
        <w:t>Art and Architecture Thesaurus</w:t>
      </w:r>
      <w:r w:rsidRPr="00EC2D6E">
        <w:rPr>
          <w:lang w:val="en-CA"/>
        </w:rPr>
        <w:t xml:space="preserve"> du Getty Research Institute (Getty Trust, 1990)</w:t>
      </w:r>
    </w:p>
    <w:p w14:paraId="4EB05FC6" w14:textId="67CBCFA6" w:rsidR="00065317" w:rsidRDefault="005C7BF7">
      <w:pPr>
        <w:numPr>
          <w:ilvl w:val="0"/>
          <w:numId w:val="90"/>
        </w:numPr>
      </w:pPr>
      <w:r>
        <w:t>Le modèle conceptuel de référence du CIDOC (Gergatsoulis &amp; al, 2010)</w:t>
      </w:r>
    </w:p>
    <w:p w14:paraId="5F56FCEE" w14:textId="77777777" w:rsidR="00065317" w:rsidRDefault="005C7BF7">
      <w:pPr>
        <w:pStyle w:val="FirstParagraph"/>
      </w:pPr>
      <w:r>
        <w:rPr>
          <w:b/>
          <w:bCs/>
        </w:rPr>
        <w:t>Logique</w:t>
      </w:r>
    </w:p>
    <w:p w14:paraId="273213AC" w14:textId="77777777" w:rsidR="00065317" w:rsidRDefault="005C7BF7">
      <w:pPr>
        <w:pStyle w:val="Corpsdetexte"/>
      </w:pPr>
      <w:r>
        <w:t>E32(x) ⇒ E31(x)</w:t>
      </w:r>
    </w:p>
    <w:p w14:paraId="472985D3" w14:textId="77777777" w:rsidR="00065317" w:rsidRDefault="005C7BF7">
      <w:pPr>
        <w:pStyle w:val="Corpsdetexte"/>
      </w:pPr>
      <w:r>
        <w:rPr>
          <w:b/>
          <w:bCs/>
        </w:rPr>
        <w:t>Propriétés</w:t>
      </w:r>
    </w:p>
    <w:p w14:paraId="1EFFCF6A" w14:textId="77777777" w:rsidR="00065317" w:rsidRDefault="005C7BF7">
      <w:pPr>
        <w:pStyle w:val="Corpsdetexte"/>
      </w:pPr>
      <w:r>
        <w:rPr>
          <w:rStyle w:val="VerbatimChar"/>
        </w:rPr>
        <w:t>P71_énumère (est_énuméré_par)</w:t>
      </w:r>
      <w:r>
        <w:t xml:space="preserve"> : </w:t>
      </w:r>
      <w:r>
        <w:rPr>
          <w:rStyle w:val="VerbatimChar"/>
        </w:rPr>
        <w:t>E1_Entité_CRM</w:t>
      </w:r>
    </w:p>
    <w:p w14:paraId="56C4CE3A" w14:textId="77777777" w:rsidR="00065317" w:rsidRDefault="005C7BF7">
      <w:pPr>
        <w:pStyle w:val="Normalcentr"/>
      </w:pPr>
      <w:r>
        <w:rPr>
          <w:b/>
          <w:bCs/>
          <w:i/>
          <w:iCs/>
        </w:rPr>
        <w:t>Note de traduction</w:t>
      </w:r>
    </w:p>
    <w:p w14:paraId="45FD5B14" w14:textId="1D1383D6" w:rsidR="00065317" w:rsidRDefault="005C7BF7" w:rsidP="00F02C72">
      <w:pPr>
        <w:pStyle w:val="Normalcentr"/>
      </w:pPr>
      <w:r>
        <w:rPr>
          <w:b/>
          <w:bCs/>
          <w:i/>
          <w:iCs/>
        </w:rPr>
        <w:t>Références</w:t>
      </w:r>
    </w:p>
    <w:p w14:paraId="239BF6B8" w14:textId="77777777" w:rsidR="00065317" w:rsidRDefault="005C7BF7" w:rsidP="00914F34">
      <w:pPr>
        <w:pStyle w:val="Titre3"/>
      </w:pPr>
      <w:bookmarkStart w:id="168" w:name="_Toc154048769"/>
      <w:bookmarkStart w:id="169" w:name="e33-objet-linguistique"/>
      <w:bookmarkEnd w:id="167"/>
      <w:r>
        <w:t>E33 Objet linguistique</w:t>
      </w:r>
      <w:bookmarkEnd w:id="168"/>
    </w:p>
    <w:p w14:paraId="3154AC43" w14:textId="77777777" w:rsidR="00065317" w:rsidRDefault="005C7BF7">
      <w:pPr>
        <w:pStyle w:val="FirstParagraph"/>
      </w:pPr>
      <w:r>
        <w:rPr>
          <w:b/>
          <w:bCs/>
        </w:rPr>
        <w:t>Sous-classe de</w:t>
      </w:r>
    </w:p>
    <w:p w14:paraId="186161C1" w14:textId="77777777" w:rsidR="00065317" w:rsidRDefault="005C7BF7">
      <w:pPr>
        <w:pStyle w:val="Corpsdetexte"/>
      </w:pPr>
      <w:r>
        <w:rPr>
          <w:rStyle w:val="VerbatimChar"/>
        </w:rPr>
        <w:t>E73_Objet_informationnel</w:t>
      </w:r>
    </w:p>
    <w:p w14:paraId="6AEFF3AA" w14:textId="77777777" w:rsidR="00065317" w:rsidRDefault="005C7BF7">
      <w:pPr>
        <w:pStyle w:val="Corpsdetexte"/>
      </w:pPr>
      <w:r>
        <w:rPr>
          <w:b/>
          <w:bCs/>
        </w:rPr>
        <w:t>Super-classe de</w:t>
      </w:r>
    </w:p>
    <w:p w14:paraId="1263B6B3" w14:textId="77777777" w:rsidR="00065317" w:rsidRDefault="005C7BF7">
      <w:pPr>
        <w:pStyle w:val="Corpsdetexte"/>
      </w:pPr>
      <w:r>
        <w:rPr>
          <w:rStyle w:val="VerbatimChar"/>
        </w:rPr>
        <w:t>E34_Inscription</w:t>
      </w:r>
    </w:p>
    <w:p w14:paraId="1664A0E9" w14:textId="77777777" w:rsidR="00065317" w:rsidRDefault="005C7BF7">
      <w:pPr>
        <w:pStyle w:val="Corpsdetexte"/>
      </w:pPr>
      <w:r>
        <w:rPr>
          <w:rStyle w:val="VerbatimChar"/>
        </w:rPr>
        <w:t>E35_Titre</w:t>
      </w:r>
    </w:p>
    <w:p w14:paraId="2D7DC0BF" w14:textId="4F1EF59A" w:rsidR="00065317" w:rsidRDefault="005C7BF7">
      <w:pPr>
        <w:pStyle w:val="Corpsdetexte"/>
      </w:pPr>
      <w:r>
        <w:rPr>
          <w:b/>
          <w:bCs/>
        </w:rPr>
        <w:t>Note d</w:t>
      </w:r>
      <w:r w:rsidR="00E84B0E">
        <w:rPr>
          <w:b/>
          <w:bCs/>
        </w:rPr>
        <w:t>’</w:t>
      </w:r>
      <w:r>
        <w:rPr>
          <w:b/>
          <w:bCs/>
        </w:rPr>
        <w:t>application</w:t>
      </w:r>
    </w:p>
    <w:p w14:paraId="4C581868" w14:textId="77777777" w:rsidR="00065317" w:rsidRDefault="005C7BF7">
      <w:pPr>
        <w:pStyle w:val="Corpsdetexte"/>
      </w:pPr>
      <w:r>
        <w:t>Cette classe comprend les expressions identifiables en une ou plusieurs langues naturelles.</w:t>
      </w:r>
    </w:p>
    <w:p w14:paraId="6AAD3062" w14:textId="6DA27789" w:rsidR="00065317" w:rsidRDefault="005C7BF7">
      <w:pPr>
        <w:pStyle w:val="Corpsdetexte"/>
      </w:pPr>
      <w:r>
        <w:t xml:space="preserve">Les instances de </w:t>
      </w:r>
      <w:r>
        <w:rPr>
          <w:rStyle w:val="VerbatimChar"/>
        </w:rPr>
        <w:t>E33_Objet_linguistique</w:t>
      </w:r>
      <w:r>
        <w:t xml:space="preserve"> peuvent prendre plusieurs formes d</w:t>
      </w:r>
      <w:r w:rsidR="00E84B0E">
        <w:t>’</w:t>
      </w:r>
      <w:r>
        <w:t xml:space="preserve">expression comme des textes écrits ou des discours enregistrés ou en langue des signes. Toutefois, le </w:t>
      </w:r>
      <w:r w:rsidR="00C8288F">
        <w:t>CIDOC CRM</w:t>
      </w:r>
      <w:r>
        <w:t xml:space="preserve"> traite les instances de </w:t>
      </w:r>
      <w:r>
        <w:rPr>
          <w:rStyle w:val="VerbatimChar"/>
        </w:rPr>
        <w:t>E33_Objet_linguistique</w:t>
      </w:r>
      <w:r>
        <w:t xml:space="preserve"> indépendamment du médium ou de la méthode qui permet leur expression.</w:t>
      </w:r>
    </w:p>
    <w:p w14:paraId="1126214E" w14:textId="3CCC7F1F" w:rsidR="00065317" w:rsidRDefault="005C7BF7">
      <w:pPr>
        <w:pStyle w:val="Corpsdetexte"/>
      </w:pPr>
      <w:r>
        <w:lastRenderedPageBreak/>
        <w:t xml:space="preserve">Des expressions en langage formel (p. ex. du code informatique ou des formules mathématiques) ne sont pas considérées par le </w:t>
      </w:r>
      <w:r w:rsidR="00C8288F">
        <w:t>CIDOC CRM</w:t>
      </w:r>
      <w:r>
        <w:t xml:space="preserve"> comme des instances de </w:t>
      </w:r>
      <w:r>
        <w:rPr>
          <w:rStyle w:val="VerbatimChar"/>
        </w:rPr>
        <w:t>E33_Objet_linguistique</w:t>
      </w:r>
      <w:r>
        <w:t xml:space="preserve">. De telles expressions devraient être modélisées comme des instances de </w:t>
      </w:r>
      <w:r>
        <w:rPr>
          <w:rStyle w:val="VerbatimChar"/>
        </w:rPr>
        <w:t>E73_Objet_informationnel</w:t>
      </w:r>
      <w:r>
        <w:t>.</w:t>
      </w:r>
    </w:p>
    <w:p w14:paraId="7ED870EB" w14:textId="10B57C4A" w:rsidR="00065317" w:rsidRDefault="005C7BF7">
      <w:pPr>
        <w:pStyle w:val="Corpsdetexte"/>
      </w:pPr>
      <w:r>
        <w:t xml:space="preserve">De manière générale, une instance de </w:t>
      </w:r>
      <w:r>
        <w:rPr>
          <w:rStyle w:val="VerbatimChar"/>
        </w:rPr>
        <w:t>E33_Objet_linguistique</w:t>
      </w:r>
      <w:r>
        <w:t xml:space="preserve"> peut contenir de l</w:t>
      </w:r>
      <w:r w:rsidR="00E84B0E">
        <w:t>’</w:t>
      </w:r>
      <w:r>
        <w:t>information non</w:t>
      </w:r>
      <w:r w:rsidR="003773B9">
        <w:t xml:space="preserve"> </w:t>
      </w:r>
      <w:r>
        <w:t>linguistique, laquelle possède souvent une valeur artistique ou esthétique. Ce n</w:t>
      </w:r>
      <w:r w:rsidR="00E84B0E">
        <w:t>’</w:t>
      </w:r>
      <w:r>
        <w:t>est que lorsque le contenu d</w:t>
      </w:r>
      <w:r w:rsidR="00E84B0E">
        <w:t>’</w:t>
      </w:r>
      <w:r>
        <w:t xml:space="preserve">une instance de </w:t>
      </w:r>
      <w:r>
        <w:rPr>
          <w:rStyle w:val="VerbatimChar"/>
        </w:rPr>
        <w:t>E33_Objet_linguistique</w:t>
      </w:r>
      <w:r>
        <w:t xml:space="preserve"> peut entièrement être exprimé par une série de symboles codés de manière binaire que ces contenus peuvent être documentés dans une base de connaissances par la propriété </w:t>
      </w:r>
      <w:r>
        <w:rPr>
          <w:rStyle w:val="VerbatimChar"/>
        </w:rPr>
        <w:t>P190_a_pour_contenu_symbolique</w:t>
      </w:r>
      <w:r>
        <w:t xml:space="preserve"> : </w:t>
      </w:r>
      <w:r>
        <w:rPr>
          <w:rStyle w:val="VerbatimChar"/>
        </w:rPr>
        <w:t>E62_Chaîne_de_caractères</w:t>
      </w:r>
      <w:r>
        <w:t>. Sinon, ces contenus devraient être considérés comme une ressource numérique identifiable qui n</w:t>
      </w:r>
      <w:r w:rsidR="00E84B0E">
        <w:t>’</w:t>
      </w:r>
      <w:r>
        <w:t>est disponible qu</w:t>
      </w:r>
      <w:r w:rsidR="00E84B0E">
        <w:t>’</w:t>
      </w:r>
      <w:r>
        <w:t>indépendamment de la base de connaissances.</w:t>
      </w:r>
    </w:p>
    <w:p w14:paraId="5070E16E" w14:textId="1D6DEAAB" w:rsidR="00065317" w:rsidRDefault="005C7BF7">
      <w:pPr>
        <w:pStyle w:val="Corpsdetexte"/>
      </w:pPr>
      <w:r>
        <w:t>Dans d</w:t>
      </w:r>
      <w:r w:rsidR="00E84B0E">
        <w:t>’</w:t>
      </w:r>
      <w:r>
        <w:t>autres cas, comme les pages d</w:t>
      </w:r>
      <w:r w:rsidR="00E84B0E">
        <w:t>’</w:t>
      </w:r>
      <w:r>
        <w:t>un manuscrit enluminé ou des enregistrements de paroles dans un langage ayant aussi un système écrit, la part linguistique de l</w:t>
      </w:r>
      <w:r w:rsidR="00E84B0E">
        <w:t>’</w:t>
      </w:r>
      <w:r>
        <w:t xml:space="preserve">instance de </w:t>
      </w:r>
      <w:r>
        <w:rPr>
          <w:rStyle w:val="VerbatimChar"/>
        </w:rPr>
        <w:t>E33_Objet_linguistique</w:t>
      </w:r>
      <w:r>
        <w:t xml:space="preserve"> peut être documentée dans une base de connaissances avec une note </w:t>
      </w:r>
      <w:r>
        <w:rPr>
          <w:rStyle w:val="VerbatimChar"/>
        </w:rPr>
        <w:t>P3_a_pour_note</w:t>
      </w:r>
      <w:r w:rsidR="00CF0FD9">
        <w:t> </w:t>
      </w:r>
      <w:r>
        <w:t xml:space="preserve">: </w:t>
      </w:r>
      <w:r>
        <w:rPr>
          <w:rStyle w:val="VerbatimChar"/>
        </w:rPr>
        <w:t>E62_Chaîne_de_caractères</w:t>
      </w:r>
      <w:r>
        <w:t xml:space="preserve">. Sinon, ces contenus peuvent être décrits en utilisant la propriété </w:t>
      </w:r>
      <w:r>
        <w:rPr>
          <w:rStyle w:val="VerbatimChar"/>
        </w:rPr>
        <w:t>P165_inclut (est_inclus_dans)</w:t>
      </w:r>
      <w:r>
        <w:t xml:space="preserve"> : </w:t>
      </w:r>
      <w:r>
        <w:rPr>
          <w:rStyle w:val="VerbatimChar"/>
        </w:rPr>
        <w:t>E73_Objet_informationnel</w:t>
      </w:r>
      <w:r>
        <w:t>, lequel représente un objet différent doté de sa propre identité.</w:t>
      </w:r>
    </w:p>
    <w:p w14:paraId="15850EC2" w14:textId="77777777" w:rsidR="00065317" w:rsidRDefault="005C7BF7">
      <w:pPr>
        <w:pStyle w:val="Corpsdetexte"/>
      </w:pPr>
      <w:r>
        <w:rPr>
          <w:b/>
          <w:bCs/>
        </w:rPr>
        <w:t>Exemples</w:t>
      </w:r>
    </w:p>
    <w:p w14:paraId="2C93DB21" w14:textId="77777777" w:rsidR="00065317" w:rsidRDefault="005C7BF7">
      <w:pPr>
        <w:numPr>
          <w:ilvl w:val="0"/>
          <w:numId w:val="91"/>
        </w:numPr>
      </w:pPr>
      <w:r>
        <w:t xml:space="preserve">Le texte du manuscrit </w:t>
      </w:r>
      <w:r>
        <w:rPr>
          <w:i/>
          <w:iCs/>
        </w:rPr>
        <w:t>Ellesmere</w:t>
      </w:r>
      <w:r>
        <w:t xml:space="preserve"> de Chaucer (Hilmo, 2019)</w:t>
      </w:r>
    </w:p>
    <w:p w14:paraId="3F4A52BC" w14:textId="77777777" w:rsidR="00065317" w:rsidRDefault="005C7BF7">
      <w:pPr>
        <w:numPr>
          <w:ilvl w:val="0"/>
          <w:numId w:val="91"/>
        </w:numPr>
      </w:pPr>
      <w:r>
        <w:t xml:space="preserve">Les paroles de la chanson </w:t>
      </w:r>
      <w:r>
        <w:rPr>
          <w:i/>
          <w:iCs/>
        </w:rPr>
        <w:t>Blue Suede Shoes</w:t>
      </w:r>
      <w:r>
        <w:t xml:space="preserve"> (Cooper, 2008)</w:t>
      </w:r>
    </w:p>
    <w:p w14:paraId="2154D6A8" w14:textId="77777777" w:rsidR="00065317" w:rsidRDefault="005C7BF7">
      <w:pPr>
        <w:numPr>
          <w:ilvl w:val="0"/>
          <w:numId w:val="91"/>
        </w:numPr>
      </w:pPr>
      <w:r>
        <w:t xml:space="preserve">Le texte du </w:t>
      </w:r>
      <w:r>
        <w:rPr>
          <w:i/>
          <w:iCs/>
        </w:rPr>
        <w:t>Jabberwocky</w:t>
      </w:r>
      <w:r>
        <w:t xml:space="preserve"> de Lewis Carroll (Carroll, 1981)</w:t>
      </w:r>
    </w:p>
    <w:p w14:paraId="4EBBB522" w14:textId="268D738B" w:rsidR="00065317" w:rsidRDefault="005C7BF7">
      <w:pPr>
        <w:numPr>
          <w:ilvl w:val="0"/>
          <w:numId w:val="91"/>
        </w:numPr>
      </w:pPr>
      <w:r>
        <w:t xml:space="preserve">Le texte du « Doktoro Jekyll kaj Sinjoro Hyde » [une traduction en esperanto de </w:t>
      </w:r>
      <w:r>
        <w:rPr>
          <w:i/>
          <w:iCs/>
        </w:rPr>
        <w:t>L</w:t>
      </w:r>
      <w:r w:rsidR="00E84B0E">
        <w:rPr>
          <w:i/>
          <w:iCs/>
        </w:rPr>
        <w:t>’</w:t>
      </w:r>
      <w:r>
        <w:rPr>
          <w:i/>
          <w:iCs/>
        </w:rPr>
        <w:t>Étrange Cas du docteur Jekyll et de M. Hyde</w:t>
      </w:r>
      <w:r>
        <w:t xml:space="preserve"> (</w:t>
      </w:r>
      <w:r>
        <w:rPr>
          <w:i/>
          <w:iCs/>
        </w:rPr>
        <w:t>Dr Jekyll and Mr Hyde</w:t>
      </w:r>
      <w:r>
        <w:t>)] (Stevenson, Morrison &amp; Mann, 1909)</w:t>
      </w:r>
    </w:p>
    <w:p w14:paraId="4D956560" w14:textId="72E1F297" w:rsidR="008D39EE" w:rsidRPr="00C86352" w:rsidRDefault="005C7BF7" w:rsidP="00C86352">
      <w:pPr>
        <w:numPr>
          <w:ilvl w:val="0"/>
          <w:numId w:val="91"/>
        </w:numPr>
      </w:pPr>
      <w:r>
        <w:t>La conversation, en dialecte local, enregistrée en 1958 dans le comté de Telemark en Norvège et enregistrée sur bande magnétique or.7-89.s1 (00.15:46-00:34), Collection des langues de la bibliothèque universitaire de Bergen, Norvège (vérifié en 2020)</w:t>
      </w:r>
    </w:p>
    <w:p w14:paraId="0F38E5ED" w14:textId="583392D9" w:rsidR="00065317" w:rsidRDefault="005C7BF7">
      <w:pPr>
        <w:pStyle w:val="FirstParagraph"/>
      </w:pPr>
      <w:r>
        <w:rPr>
          <w:b/>
          <w:bCs/>
        </w:rPr>
        <w:t>Logique</w:t>
      </w:r>
    </w:p>
    <w:p w14:paraId="14D98161" w14:textId="77777777" w:rsidR="00065317" w:rsidRDefault="005C7BF7">
      <w:pPr>
        <w:pStyle w:val="Corpsdetexte"/>
      </w:pPr>
      <w:r>
        <w:t>E33(x) ⇒ E73(x)</w:t>
      </w:r>
    </w:p>
    <w:p w14:paraId="77451644" w14:textId="77777777" w:rsidR="00065317" w:rsidRDefault="005C7BF7">
      <w:pPr>
        <w:pStyle w:val="Corpsdetexte"/>
      </w:pPr>
      <w:r>
        <w:rPr>
          <w:b/>
          <w:bCs/>
        </w:rPr>
        <w:t>Propriétés</w:t>
      </w:r>
    </w:p>
    <w:p w14:paraId="3074191A" w14:textId="77777777" w:rsidR="00065317" w:rsidRDefault="005C7BF7">
      <w:pPr>
        <w:pStyle w:val="Corpsdetexte"/>
      </w:pPr>
      <w:r>
        <w:rPr>
          <w:rStyle w:val="VerbatimChar"/>
        </w:rPr>
        <w:t>P72_a_pour_langue (est_la_langue_de)</w:t>
      </w:r>
      <w:r>
        <w:t xml:space="preserve"> : </w:t>
      </w:r>
      <w:r>
        <w:rPr>
          <w:rStyle w:val="VerbatimChar"/>
        </w:rPr>
        <w:t>E56_Langue</w:t>
      </w:r>
    </w:p>
    <w:p w14:paraId="70F3D196" w14:textId="77777777" w:rsidR="00065317" w:rsidRDefault="005C7BF7">
      <w:pPr>
        <w:pStyle w:val="Corpsdetexte"/>
      </w:pPr>
      <w:r>
        <w:rPr>
          <w:rStyle w:val="VerbatimChar"/>
        </w:rPr>
        <w:t>P73_a_pour_traduction (est_traduction_de)</w:t>
      </w:r>
      <w:r>
        <w:t xml:space="preserve"> : </w:t>
      </w:r>
      <w:r>
        <w:rPr>
          <w:rStyle w:val="VerbatimChar"/>
        </w:rPr>
        <w:t>E33_Objet_linguistique</w:t>
      </w:r>
    </w:p>
    <w:p w14:paraId="54BC4AD9" w14:textId="77777777" w:rsidR="00065317" w:rsidRDefault="005C7BF7">
      <w:pPr>
        <w:pStyle w:val="Normalcentr"/>
      </w:pPr>
      <w:r>
        <w:rPr>
          <w:b/>
          <w:bCs/>
          <w:i/>
          <w:iCs/>
        </w:rPr>
        <w:t>Note de traduction</w:t>
      </w:r>
    </w:p>
    <w:p w14:paraId="763EE177" w14:textId="1CD0560D" w:rsidR="00065317" w:rsidRDefault="005C7BF7" w:rsidP="00F02C72">
      <w:pPr>
        <w:pStyle w:val="Normalcentr"/>
      </w:pPr>
      <w:r>
        <w:rPr>
          <w:b/>
          <w:bCs/>
          <w:i/>
          <w:iCs/>
        </w:rPr>
        <w:t>Références</w:t>
      </w:r>
    </w:p>
    <w:p w14:paraId="655C87CA" w14:textId="77777777" w:rsidR="00065317" w:rsidRDefault="005C7BF7" w:rsidP="00914F34">
      <w:pPr>
        <w:pStyle w:val="Titre3"/>
      </w:pPr>
      <w:bookmarkStart w:id="170" w:name="_Toc154048770"/>
      <w:bookmarkStart w:id="171" w:name="e34-inscription"/>
      <w:bookmarkEnd w:id="169"/>
      <w:r>
        <w:t>E34 Inscription</w:t>
      </w:r>
      <w:bookmarkEnd w:id="170"/>
    </w:p>
    <w:p w14:paraId="29D25070" w14:textId="77777777" w:rsidR="00065317" w:rsidRDefault="005C7BF7">
      <w:pPr>
        <w:pStyle w:val="FirstParagraph"/>
      </w:pPr>
      <w:r>
        <w:rPr>
          <w:b/>
          <w:bCs/>
        </w:rPr>
        <w:t>Sous-classe de</w:t>
      </w:r>
    </w:p>
    <w:p w14:paraId="04649C6D" w14:textId="77777777" w:rsidR="00065317" w:rsidRDefault="005C7BF7">
      <w:pPr>
        <w:pStyle w:val="Corpsdetexte"/>
      </w:pPr>
      <w:r>
        <w:rPr>
          <w:rStyle w:val="VerbatimChar"/>
        </w:rPr>
        <w:t>E33_Objet_linguistique</w:t>
      </w:r>
    </w:p>
    <w:p w14:paraId="22D1BCDE" w14:textId="77777777" w:rsidR="00065317" w:rsidRDefault="005C7BF7">
      <w:pPr>
        <w:pStyle w:val="Corpsdetexte"/>
      </w:pPr>
      <w:r>
        <w:rPr>
          <w:rStyle w:val="VerbatimChar"/>
        </w:rPr>
        <w:t>E37_Marque</w:t>
      </w:r>
    </w:p>
    <w:p w14:paraId="63475E1F" w14:textId="77777777" w:rsidR="00065317" w:rsidRDefault="005C7BF7">
      <w:pPr>
        <w:pStyle w:val="Corpsdetexte"/>
      </w:pPr>
      <w:r>
        <w:rPr>
          <w:b/>
          <w:bCs/>
        </w:rPr>
        <w:t>Super-classe de</w:t>
      </w:r>
    </w:p>
    <w:p w14:paraId="43F2C46C" w14:textId="75617964" w:rsidR="00065317" w:rsidRDefault="005C7BF7">
      <w:pPr>
        <w:pStyle w:val="Corpsdetexte"/>
      </w:pPr>
      <w:r>
        <w:rPr>
          <w:b/>
          <w:bCs/>
        </w:rPr>
        <w:lastRenderedPageBreak/>
        <w:t>Note d</w:t>
      </w:r>
      <w:r w:rsidR="00E84B0E">
        <w:rPr>
          <w:b/>
          <w:bCs/>
        </w:rPr>
        <w:t>’</w:t>
      </w:r>
      <w:r>
        <w:rPr>
          <w:b/>
          <w:bCs/>
        </w:rPr>
        <w:t>application</w:t>
      </w:r>
    </w:p>
    <w:p w14:paraId="5366320F" w14:textId="7F663B8C" w:rsidR="00065317" w:rsidRDefault="005C7BF7">
      <w:pPr>
        <w:pStyle w:val="Corpsdetexte"/>
      </w:pPr>
      <w:r>
        <w:t xml:space="preserve">Cette classe comprend des textes reconnaissables rattachés à des instances de </w:t>
      </w:r>
      <w:r>
        <w:rPr>
          <w:rStyle w:val="VerbatimChar"/>
        </w:rPr>
        <w:t>E24_Chose_matérielle_élaborée_par_l</w:t>
      </w:r>
      <w:r w:rsidR="00E84B0E">
        <w:rPr>
          <w:rStyle w:val="VerbatimChar"/>
        </w:rPr>
        <w:t>’</w:t>
      </w:r>
      <w:r>
        <w:rPr>
          <w:rStyle w:val="VerbatimChar"/>
        </w:rPr>
        <w:t>humain</w:t>
      </w:r>
      <w:r>
        <w:t>.</w:t>
      </w:r>
    </w:p>
    <w:p w14:paraId="129B4697" w14:textId="0198659C" w:rsidR="00065317" w:rsidRDefault="005C7BF7">
      <w:pPr>
        <w:pStyle w:val="Corpsdetexte"/>
      </w:pPr>
      <w:r>
        <w:t xml:space="preserve">La transcription du texte peut être documentée dans une note par </w:t>
      </w:r>
      <w:r>
        <w:rPr>
          <w:rStyle w:val="VerbatimChar"/>
        </w:rPr>
        <w:t>P3_a_pour_note</w:t>
      </w:r>
      <w:r>
        <w:t xml:space="preserve"> : </w:t>
      </w:r>
      <w:r>
        <w:rPr>
          <w:rStyle w:val="VerbatimChar"/>
        </w:rPr>
        <w:t>E62_Chaîne_de_caractères</w:t>
      </w:r>
      <w:r>
        <w:t>. L</w:t>
      </w:r>
      <w:r w:rsidR="00E84B0E">
        <w:t>’</w:t>
      </w:r>
      <w:r>
        <w:t xml:space="preserve">alphabet utilisé peut être documenté par </w:t>
      </w:r>
      <w:r>
        <w:rPr>
          <w:rStyle w:val="VerbatimChar"/>
        </w:rPr>
        <w:t>P2_a_pour_type (est_le_type_de)</w:t>
      </w:r>
      <w:r>
        <w:t xml:space="preserve"> : </w:t>
      </w:r>
      <w:r>
        <w:rPr>
          <w:rStyle w:val="VerbatimChar"/>
        </w:rPr>
        <w:t>E55_Type</w:t>
      </w:r>
      <w:r>
        <w:t>. Cette classe n</w:t>
      </w:r>
      <w:r w:rsidR="00E84B0E">
        <w:t>’</w:t>
      </w:r>
      <w:r>
        <w:t>a pas pour objectif de décrire les caractéristiques idiosyncratiques de l</w:t>
      </w:r>
      <w:r w:rsidR="00E84B0E">
        <w:t>’</w:t>
      </w:r>
      <w:r>
        <w:t>incarnation physique d</w:t>
      </w:r>
      <w:r w:rsidR="00E84B0E">
        <w:t>’</w:t>
      </w:r>
      <w:r>
        <w:t>une inscription, mais le prototype sous-jacent. L</w:t>
      </w:r>
      <w:r w:rsidR="00E84B0E">
        <w:t>’</w:t>
      </w:r>
      <w:r>
        <w:t xml:space="preserve">incarnation physique est modélisée dans le </w:t>
      </w:r>
      <w:r w:rsidR="00C8288F">
        <w:t>CIDOC CRM</w:t>
      </w:r>
      <w:r>
        <w:t xml:space="preserve"> par les instances de </w:t>
      </w:r>
      <w:r>
        <w:rPr>
          <w:rStyle w:val="VerbatimChar"/>
        </w:rPr>
        <w:t>E24_Chose_matérielle_élaborée_par_l</w:t>
      </w:r>
      <w:r w:rsidR="00E84B0E">
        <w:rPr>
          <w:rStyle w:val="VerbatimChar"/>
        </w:rPr>
        <w:t>’</w:t>
      </w:r>
      <w:r>
        <w:rPr>
          <w:rStyle w:val="VerbatimChar"/>
        </w:rPr>
        <w:t>humain</w:t>
      </w:r>
      <w:r>
        <w:t>.</w:t>
      </w:r>
    </w:p>
    <w:p w14:paraId="69EFB9DD" w14:textId="59E1F437" w:rsidR="00065317" w:rsidRDefault="005C7BF7">
      <w:pPr>
        <w:pStyle w:val="Corpsdetexte"/>
      </w:pPr>
      <w:r>
        <w:t>La relation entre un exemplaire physique et le texte qu</w:t>
      </w:r>
      <w:r w:rsidR="00E84B0E">
        <w:t>’</w:t>
      </w:r>
      <w:r>
        <w:t>il contient est modélisée à l</w:t>
      </w:r>
      <w:r w:rsidR="00E84B0E">
        <w:t>’</w:t>
      </w:r>
      <w:r>
        <w:t xml:space="preserve">aide de : </w:t>
      </w:r>
      <w:r>
        <w:rPr>
          <w:rStyle w:val="VerbatimChar"/>
        </w:rPr>
        <w:t>E18_Chose_matérielle</w:t>
      </w:r>
      <w:r>
        <w:t xml:space="preserve">. </w:t>
      </w:r>
      <w:r>
        <w:rPr>
          <w:rStyle w:val="VerbatimChar"/>
        </w:rPr>
        <w:t>P128_est_le_support_de (a_pour_support)</w:t>
      </w:r>
      <w:r>
        <w:t xml:space="preserve"> : </w:t>
      </w:r>
      <w:r>
        <w:rPr>
          <w:rStyle w:val="VerbatimChar"/>
        </w:rPr>
        <w:t>E33_Objet_linguistique</w:t>
      </w:r>
      <w:r>
        <w:t>.</w:t>
      </w:r>
    </w:p>
    <w:p w14:paraId="2CBA372B" w14:textId="77777777" w:rsidR="00065317" w:rsidRDefault="005C7BF7">
      <w:pPr>
        <w:pStyle w:val="Corpsdetexte"/>
      </w:pPr>
      <w:r>
        <w:rPr>
          <w:b/>
          <w:bCs/>
        </w:rPr>
        <w:t>Exemples</w:t>
      </w:r>
    </w:p>
    <w:p w14:paraId="7EE324F7" w14:textId="77777777" w:rsidR="00065317" w:rsidRDefault="005C7BF7">
      <w:pPr>
        <w:numPr>
          <w:ilvl w:val="0"/>
          <w:numId w:val="92"/>
        </w:numPr>
      </w:pPr>
      <w:r>
        <w:t>« Défense de marcher sur la pelouse » [inscrit sur une enseigne piquée dans le quadrilatère de Balliol College à Oxford au Royaume-Uni]</w:t>
      </w:r>
    </w:p>
    <w:p w14:paraId="6B0E0858" w14:textId="77777777" w:rsidR="00065317" w:rsidRDefault="005C7BF7">
      <w:pPr>
        <w:numPr>
          <w:ilvl w:val="0"/>
          <w:numId w:val="92"/>
        </w:numPr>
      </w:pPr>
      <w:r>
        <w:t>Le texte publié dans le Corpus Inscriptionum Latinarum V 895 (Mommsen, 1872)</w:t>
      </w:r>
    </w:p>
    <w:p w14:paraId="14631879" w14:textId="77777777" w:rsidR="00065317" w:rsidRDefault="005C7BF7">
      <w:pPr>
        <w:numPr>
          <w:ilvl w:val="0"/>
          <w:numId w:val="92"/>
        </w:numPr>
      </w:pPr>
      <w:r>
        <w:t>« Kilroy was here »</w:t>
      </w:r>
    </w:p>
    <w:p w14:paraId="38AEA137" w14:textId="77777777" w:rsidR="00065317" w:rsidRDefault="005C7BF7">
      <w:pPr>
        <w:pStyle w:val="FirstParagraph"/>
      </w:pPr>
      <w:r>
        <w:rPr>
          <w:b/>
          <w:bCs/>
        </w:rPr>
        <w:t>Logique</w:t>
      </w:r>
    </w:p>
    <w:p w14:paraId="1E6B8ADB" w14:textId="77777777" w:rsidR="00065317" w:rsidRDefault="005C7BF7">
      <w:pPr>
        <w:pStyle w:val="Corpsdetexte"/>
      </w:pPr>
      <w:r>
        <w:t>E34(x) ⇒ E33(x)</w:t>
      </w:r>
    </w:p>
    <w:p w14:paraId="1EBABF2A" w14:textId="77777777" w:rsidR="00065317" w:rsidRDefault="005C7BF7">
      <w:pPr>
        <w:pStyle w:val="Corpsdetexte"/>
      </w:pPr>
      <w:r>
        <w:t>E34(x) ⇒ E37(x)</w:t>
      </w:r>
    </w:p>
    <w:p w14:paraId="7D446C4C" w14:textId="77777777" w:rsidR="00065317" w:rsidRDefault="005C7BF7">
      <w:pPr>
        <w:pStyle w:val="Corpsdetexte"/>
      </w:pPr>
      <w:r>
        <w:rPr>
          <w:b/>
          <w:bCs/>
        </w:rPr>
        <w:t>Propriétés</w:t>
      </w:r>
    </w:p>
    <w:p w14:paraId="44FB88BC" w14:textId="77777777" w:rsidR="00065317" w:rsidRDefault="005C7BF7">
      <w:pPr>
        <w:pStyle w:val="Normalcentr"/>
      </w:pPr>
      <w:r>
        <w:rPr>
          <w:b/>
          <w:bCs/>
          <w:i/>
          <w:iCs/>
        </w:rPr>
        <w:t>Note de traduction</w:t>
      </w:r>
    </w:p>
    <w:p w14:paraId="63DD10BB" w14:textId="7F81DF79" w:rsidR="00065317" w:rsidRDefault="005C7BF7" w:rsidP="00F02C72">
      <w:pPr>
        <w:pStyle w:val="Normalcentr"/>
      </w:pPr>
      <w:r>
        <w:rPr>
          <w:b/>
          <w:bCs/>
          <w:i/>
          <w:iCs/>
        </w:rPr>
        <w:t>Références</w:t>
      </w:r>
    </w:p>
    <w:p w14:paraId="32D7C61B" w14:textId="77777777" w:rsidR="00065317" w:rsidRDefault="005C7BF7" w:rsidP="00914F34">
      <w:pPr>
        <w:pStyle w:val="Titre3"/>
      </w:pPr>
      <w:bookmarkStart w:id="172" w:name="_Toc154048771"/>
      <w:bookmarkStart w:id="173" w:name="e35-titre"/>
      <w:bookmarkEnd w:id="171"/>
      <w:r>
        <w:t>E35 Titre</w:t>
      </w:r>
      <w:bookmarkEnd w:id="172"/>
    </w:p>
    <w:p w14:paraId="1AD7B587" w14:textId="77777777" w:rsidR="00065317" w:rsidRDefault="005C7BF7">
      <w:pPr>
        <w:pStyle w:val="FirstParagraph"/>
      </w:pPr>
      <w:r>
        <w:rPr>
          <w:b/>
          <w:bCs/>
        </w:rPr>
        <w:t>Sous-classe de</w:t>
      </w:r>
    </w:p>
    <w:p w14:paraId="605BCCF7" w14:textId="77777777" w:rsidR="00065317" w:rsidRDefault="005C7BF7">
      <w:pPr>
        <w:pStyle w:val="Corpsdetexte"/>
      </w:pPr>
      <w:r>
        <w:rPr>
          <w:rStyle w:val="VerbatimChar"/>
        </w:rPr>
        <w:t>E33_Objet_linguistique</w:t>
      </w:r>
    </w:p>
    <w:p w14:paraId="3CD3002A" w14:textId="77777777" w:rsidR="00065317" w:rsidRDefault="005C7BF7">
      <w:pPr>
        <w:pStyle w:val="Corpsdetexte"/>
      </w:pPr>
      <w:r>
        <w:rPr>
          <w:rStyle w:val="VerbatimChar"/>
        </w:rPr>
        <w:t>E41_Appellation</w:t>
      </w:r>
    </w:p>
    <w:p w14:paraId="05BA1C56" w14:textId="77777777" w:rsidR="00065317" w:rsidRDefault="005C7BF7">
      <w:pPr>
        <w:pStyle w:val="Corpsdetexte"/>
      </w:pPr>
      <w:r>
        <w:rPr>
          <w:b/>
          <w:bCs/>
        </w:rPr>
        <w:t>Super-classe de</w:t>
      </w:r>
    </w:p>
    <w:p w14:paraId="4FDDB0E2" w14:textId="01D7E3F5" w:rsidR="00065317" w:rsidRDefault="005C7BF7">
      <w:pPr>
        <w:pStyle w:val="Corpsdetexte"/>
      </w:pPr>
      <w:r>
        <w:rPr>
          <w:b/>
          <w:bCs/>
        </w:rPr>
        <w:t>Note d</w:t>
      </w:r>
      <w:r w:rsidR="00E84B0E">
        <w:rPr>
          <w:b/>
          <w:bCs/>
        </w:rPr>
        <w:t>’</w:t>
      </w:r>
      <w:r>
        <w:rPr>
          <w:b/>
          <w:bCs/>
        </w:rPr>
        <w:t>application</w:t>
      </w:r>
    </w:p>
    <w:p w14:paraId="06D7BD4D" w14:textId="42B7B16F" w:rsidR="00065317" w:rsidRDefault="005C7BF7">
      <w:pPr>
        <w:pStyle w:val="Corpsdetexte"/>
      </w:pPr>
      <w:r>
        <w:t xml:space="preserve">Cette classe comprend les chaînes de caractères textuels qui, dans un contexte culturel, peuvent être clairement identifiées comme des titres en raison de leur forme. En tant que sous-classe de </w:t>
      </w:r>
      <w:r>
        <w:rPr>
          <w:rStyle w:val="VerbatimChar"/>
        </w:rPr>
        <w:t>E41_Appellation</w:t>
      </w:r>
      <w:r>
        <w:t xml:space="preserve">, la classe </w:t>
      </w:r>
      <w:r>
        <w:rPr>
          <w:rStyle w:val="VerbatimChar"/>
        </w:rPr>
        <w:t>E35_Titre</w:t>
      </w:r>
      <w:r>
        <w:t xml:space="preserve"> peut être utilisée uniquement lorsqu</w:t>
      </w:r>
      <w:r w:rsidR="00E84B0E">
        <w:t>’</w:t>
      </w:r>
      <w:r>
        <w:t>une telle chaîne est réellement utilisée comme le titre d</w:t>
      </w:r>
      <w:r w:rsidR="00E84B0E">
        <w:t>’</w:t>
      </w:r>
      <w:r>
        <w:t>une œuvre, comme dans le cas d</w:t>
      </w:r>
      <w:r w:rsidR="00E84B0E">
        <w:t>’</w:t>
      </w:r>
      <w:r>
        <w:t>un texte, d</w:t>
      </w:r>
      <w:r w:rsidR="00E84B0E">
        <w:t>’</w:t>
      </w:r>
      <w:r>
        <w:t>une œuvre d</w:t>
      </w:r>
      <w:r w:rsidR="00E84B0E">
        <w:t>’</w:t>
      </w:r>
      <w:r>
        <w:t>art ou d</w:t>
      </w:r>
      <w:r w:rsidR="00E84B0E">
        <w:t>’</w:t>
      </w:r>
      <w:r>
        <w:t>une pièce musicale.</w:t>
      </w:r>
    </w:p>
    <w:p w14:paraId="1D85D55E" w14:textId="330D19CA" w:rsidR="00065317" w:rsidRDefault="005C7BF7">
      <w:pPr>
        <w:pStyle w:val="Corpsdetexte"/>
      </w:pPr>
      <w:r>
        <w:t>Les titres sont des phrases nominales ou verbales; ils ne doivent pas être confondus avec les noms d</w:t>
      </w:r>
      <w:r w:rsidR="00E84B0E">
        <w:t>’</w:t>
      </w:r>
      <w:r>
        <w:t xml:space="preserve">objets génériques, tels que « chaise », « peinture » ou « livre » (ces derniers sont des noms communs qui représentent des instances de </w:t>
      </w:r>
      <w:r>
        <w:rPr>
          <w:rStyle w:val="VerbatimChar"/>
        </w:rPr>
        <w:t>E55_Type</w:t>
      </w:r>
      <w:r>
        <w:t>). Les titres peuvent être attribués par la personne ayant créé l</w:t>
      </w:r>
      <w:r w:rsidR="00E84B0E">
        <w:t>’</w:t>
      </w:r>
      <w:r>
        <w:t>œuvre ou par un groupe social.</w:t>
      </w:r>
    </w:p>
    <w:p w14:paraId="325738F0" w14:textId="77777777" w:rsidR="00065317" w:rsidRDefault="005C7BF7">
      <w:pPr>
        <w:pStyle w:val="Corpsdetexte"/>
      </w:pPr>
      <w:r>
        <w:lastRenderedPageBreak/>
        <w:t>Cette classe comprend également les traductions de titres, qui sont utilisées comme substituts des titres originaux dans différents contextes sociaux.</w:t>
      </w:r>
    </w:p>
    <w:p w14:paraId="57301518" w14:textId="77777777" w:rsidR="00065317" w:rsidRDefault="005C7BF7">
      <w:pPr>
        <w:pStyle w:val="Corpsdetexte"/>
      </w:pPr>
      <w:r>
        <w:rPr>
          <w:b/>
          <w:bCs/>
        </w:rPr>
        <w:t>Exemples</w:t>
      </w:r>
    </w:p>
    <w:p w14:paraId="6AA6259D" w14:textId="77777777" w:rsidR="00065317" w:rsidRDefault="005C7BF7">
      <w:pPr>
        <w:numPr>
          <w:ilvl w:val="0"/>
          <w:numId w:val="93"/>
        </w:numPr>
      </w:pPr>
      <w:r>
        <w:rPr>
          <w:i/>
          <w:iCs/>
        </w:rPr>
        <w:t>Le marchand de Venise</w:t>
      </w:r>
      <w:r>
        <w:t xml:space="preserve"> (McCullough, 2005)</w:t>
      </w:r>
    </w:p>
    <w:p w14:paraId="02FDE775" w14:textId="46FF0D22" w:rsidR="00065317" w:rsidRDefault="005C7BF7">
      <w:pPr>
        <w:numPr>
          <w:ilvl w:val="0"/>
          <w:numId w:val="93"/>
        </w:numPr>
      </w:pPr>
      <w:r>
        <w:rPr>
          <w:i/>
          <w:iCs/>
        </w:rPr>
        <w:t>Monna Lisa</w:t>
      </w:r>
      <w:r>
        <w:t xml:space="preserve"> (Mohen, Menu &amp; Mottin, 2006)</w:t>
      </w:r>
    </w:p>
    <w:p w14:paraId="61A52ACD" w14:textId="77777777" w:rsidR="00065317" w:rsidRDefault="005C7BF7">
      <w:pPr>
        <w:numPr>
          <w:ilvl w:val="0"/>
          <w:numId w:val="93"/>
        </w:numPr>
      </w:pPr>
      <w:r>
        <w:rPr>
          <w:i/>
          <w:iCs/>
        </w:rPr>
        <w:t>La Pie</w:t>
      </w:r>
      <w:r>
        <w:t xml:space="preserve"> (Bortolatto, 1981)</w:t>
      </w:r>
    </w:p>
    <w:p w14:paraId="1867D644" w14:textId="77777777" w:rsidR="00065317" w:rsidRPr="00EC2D6E" w:rsidRDefault="005C7BF7">
      <w:pPr>
        <w:numPr>
          <w:ilvl w:val="0"/>
          <w:numId w:val="93"/>
        </w:numPr>
        <w:rPr>
          <w:lang w:val="en-CA"/>
        </w:rPr>
      </w:pPr>
      <w:r w:rsidRPr="00EC2D6E">
        <w:rPr>
          <w:i/>
          <w:iCs/>
          <w:lang w:val="en-CA"/>
        </w:rPr>
        <w:t>Lucy in the Sky with Diamonds</w:t>
      </w:r>
      <w:r w:rsidRPr="00EC2D6E">
        <w:rPr>
          <w:lang w:val="en-CA"/>
        </w:rPr>
        <w:t xml:space="preserve"> (Lennon, 1967)</w:t>
      </w:r>
    </w:p>
    <w:p w14:paraId="6293A660" w14:textId="77777777" w:rsidR="00065317" w:rsidRDefault="005C7BF7">
      <w:pPr>
        <w:pStyle w:val="FirstParagraph"/>
      </w:pPr>
      <w:r>
        <w:rPr>
          <w:b/>
          <w:bCs/>
        </w:rPr>
        <w:t>Logique</w:t>
      </w:r>
    </w:p>
    <w:p w14:paraId="55628924" w14:textId="77777777" w:rsidR="00065317" w:rsidRDefault="005C7BF7">
      <w:pPr>
        <w:pStyle w:val="Corpsdetexte"/>
      </w:pPr>
      <w:r>
        <w:t>E35(x) ⇒ E33(x)</w:t>
      </w:r>
    </w:p>
    <w:p w14:paraId="403402DE" w14:textId="77777777" w:rsidR="00065317" w:rsidRDefault="005C7BF7">
      <w:pPr>
        <w:pStyle w:val="Corpsdetexte"/>
      </w:pPr>
      <w:r>
        <w:t>E35(x) ⇒ E41(x)</w:t>
      </w:r>
    </w:p>
    <w:p w14:paraId="265EE1DB" w14:textId="77777777" w:rsidR="00065317" w:rsidRDefault="005C7BF7">
      <w:pPr>
        <w:pStyle w:val="Corpsdetexte"/>
      </w:pPr>
      <w:r>
        <w:rPr>
          <w:b/>
          <w:bCs/>
        </w:rPr>
        <w:t>Propriétés</w:t>
      </w:r>
    </w:p>
    <w:p w14:paraId="210B54EB" w14:textId="77777777" w:rsidR="00065317" w:rsidRDefault="005C7BF7">
      <w:pPr>
        <w:pStyle w:val="Normalcentr"/>
      </w:pPr>
      <w:r>
        <w:rPr>
          <w:b/>
          <w:bCs/>
          <w:i/>
          <w:iCs/>
        </w:rPr>
        <w:t>Note de traduction</w:t>
      </w:r>
    </w:p>
    <w:p w14:paraId="16734764" w14:textId="34673259" w:rsidR="00065317" w:rsidRDefault="005C7BF7" w:rsidP="00F02C72">
      <w:pPr>
        <w:pStyle w:val="Normalcentr"/>
      </w:pPr>
      <w:r>
        <w:rPr>
          <w:b/>
          <w:bCs/>
          <w:i/>
          <w:iCs/>
        </w:rPr>
        <w:t>Références</w:t>
      </w:r>
    </w:p>
    <w:p w14:paraId="5F8680DF" w14:textId="77777777" w:rsidR="00065317" w:rsidRDefault="005C7BF7" w:rsidP="00914F34">
      <w:pPr>
        <w:pStyle w:val="Titre3"/>
      </w:pPr>
      <w:bookmarkStart w:id="174" w:name="_Toc154048772"/>
      <w:bookmarkStart w:id="175" w:name="e36-entite-visuelle"/>
      <w:bookmarkEnd w:id="173"/>
      <w:r>
        <w:t>E36 Entité visuelle</w:t>
      </w:r>
      <w:bookmarkEnd w:id="174"/>
    </w:p>
    <w:p w14:paraId="460AD808" w14:textId="77777777" w:rsidR="00065317" w:rsidRDefault="005C7BF7">
      <w:pPr>
        <w:pStyle w:val="FirstParagraph"/>
      </w:pPr>
      <w:r>
        <w:rPr>
          <w:b/>
          <w:bCs/>
        </w:rPr>
        <w:t>Sous-classe de</w:t>
      </w:r>
    </w:p>
    <w:p w14:paraId="290E8FC3" w14:textId="77777777" w:rsidR="00065317" w:rsidRDefault="005C7BF7">
      <w:pPr>
        <w:pStyle w:val="Corpsdetexte"/>
      </w:pPr>
      <w:r>
        <w:rPr>
          <w:rStyle w:val="VerbatimChar"/>
        </w:rPr>
        <w:t>E73_Objet_informationnel</w:t>
      </w:r>
    </w:p>
    <w:p w14:paraId="2EADF20D" w14:textId="77777777" w:rsidR="00065317" w:rsidRDefault="005C7BF7">
      <w:pPr>
        <w:pStyle w:val="Corpsdetexte"/>
      </w:pPr>
      <w:r>
        <w:rPr>
          <w:b/>
          <w:bCs/>
        </w:rPr>
        <w:t>Super-classe de</w:t>
      </w:r>
    </w:p>
    <w:p w14:paraId="0EA484BC" w14:textId="52E62589" w:rsidR="00065317" w:rsidRPr="008D39EE" w:rsidRDefault="005C7BF7" w:rsidP="00C86352">
      <w:pPr>
        <w:pStyle w:val="Corpsdetexte"/>
        <w:rPr>
          <w:rFonts w:ascii="Consolas" w:hAnsi="Consolas"/>
          <w:sz w:val="22"/>
          <w:shd w:val="clear" w:color="auto" w:fill="EAEEF3"/>
        </w:rPr>
      </w:pPr>
      <w:r>
        <w:rPr>
          <w:rStyle w:val="VerbatimChar"/>
        </w:rPr>
        <w:t>E37_Marque</w:t>
      </w:r>
    </w:p>
    <w:p w14:paraId="3D6A1923" w14:textId="47D2437C" w:rsidR="00065317" w:rsidRDefault="005C7BF7">
      <w:pPr>
        <w:pStyle w:val="Corpsdetexte"/>
      </w:pPr>
      <w:r>
        <w:rPr>
          <w:b/>
          <w:bCs/>
        </w:rPr>
        <w:t>Note d</w:t>
      </w:r>
      <w:r w:rsidR="00E84B0E">
        <w:rPr>
          <w:b/>
          <w:bCs/>
        </w:rPr>
        <w:t>’</w:t>
      </w:r>
      <w:r>
        <w:rPr>
          <w:b/>
          <w:bCs/>
        </w:rPr>
        <w:t>application</w:t>
      </w:r>
    </w:p>
    <w:p w14:paraId="2A5332E0" w14:textId="77777777" w:rsidR="00065317" w:rsidRDefault="005C7BF7">
      <w:pPr>
        <w:pStyle w:val="Corpsdetexte"/>
      </w:pPr>
      <w:r>
        <w:t>Cette classe comprend les aspects intellectuels ou conceptuels des marques, images et autres œuvres visuelles reconnaissables.</w:t>
      </w:r>
    </w:p>
    <w:p w14:paraId="54D38913" w14:textId="37D0D4DE" w:rsidR="00065317" w:rsidRDefault="005C7BF7">
      <w:pPr>
        <w:pStyle w:val="Corpsdetexte"/>
      </w:pPr>
      <w:r>
        <w:t>Cette classe n</w:t>
      </w:r>
      <w:r w:rsidR="00E84B0E">
        <w:t>’</w:t>
      </w:r>
      <w:r>
        <w:t>a pas pour objectif de décrire les caractéristiques idiosyncratiques d</w:t>
      </w:r>
      <w:r w:rsidR="00E84B0E">
        <w:t>’</w:t>
      </w:r>
      <w:r>
        <w:t>une incarnation physique individuelle d</w:t>
      </w:r>
      <w:r w:rsidR="00E84B0E">
        <w:t>’</w:t>
      </w:r>
      <w:r>
        <w:t>une entité visuelle, mais le prototype qui lui est sous-jacent. Par exemple, une marque telle que le logo de l</w:t>
      </w:r>
      <w:r w:rsidR="00E84B0E">
        <w:t>’</w:t>
      </w:r>
      <w:r>
        <w:t>ICOM est généralement considérée comme un seul et même logo même lorsque cette marque est utilisée dans plusieurs publications différentes. La taille, l</w:t>
      </w:r>
      <w:r w:rsidR="00E84B0E">
        <w:t>’</w:t>
      </w:r>
      <w:r>
        <w:t>orientation et la couleur peuvent changer, mais le logo demeure uniquement identifiable. Il en est de même pour les images reproduites plusieurs fois. Cela signifie que les entités visuelles sont indépendantes de leur support physique.</w:t>
      </w:r>
    </w:p>
    <w:p w14:paraId="523E859A" w14:textId="0F739968" w:rsidR="00065317" w:rsidRDefault="005C7BF7">
      <w:pPr>
        <w:pStyle w:val="Corpsdetexte"/>
      </w:pPr>
      <w:r>
        <w:t xml:space="preserve">La classe </w:t>
      </w:r>
      <w:r>
        <w:rPr>
          <w:rStyle w:val="VerbatimChar"/>
        </w:rPr>
        <w:t>E36_Entité_visuelle</w:t>
      </w:r>
      <w:r>
        <w:t xml:space="preserve"> fournit un moyen d</w:t>
      </w:r>
      <w:r w:rsidR="00E84B0E">
        <w:t>’</w:t>
      </w:r>
      <w:r>
        <w:t xml:space="preserve">identifier et de relier entre elles des instances de </w:t>
      </w:r>
      <w:r>
        <w:rPr>
          <w:rStyle w:val="VerbatimChar"/>
        </w:rPr>
        <w:t>E24_Chose_matérielle_élaborée_par_l</w:t>
      </w:r>
      <w:r w:rsidR="00E84B0E">
        <w:rPr>
          <w:rStyle w:val="VerbatimChar"/>
        </w:rPr>
        <w:t>’</w:t>
      </w:r>
      <w:r>
        <w:rPr>
          <w:rStyle w:val="VerbatimChar"/>
        </w:rPr>
        <w:t>humain</w:t>
      </w:r>
      <w:r>
        <w:t xml:space="preserve"> qui portent les mêmes qualités visuelles (symboles, marques ou images, etc.). La propriété </w:t>
      </w:r>
      <w:r>
        <w:rPr>
          <w:rStyle w:val="VerbatimChar"/>
        </w:rPr>
        <w:t>P62_illustre (est_illustré_par)</w:t>
      </w:r>
      <w:r>
        <w:t xml:space="preserve"> entre une instance de </w:t>
      </w:r>
      <w:r>
        <w:rPr>
          <w:rStyle w:val="VerbatimChar"/>
        </w:rPr>
        <w:t>E24_Chose_matérielle_élaborée_par_l</w:t>
      </w:r>
      <w:r w:rsidR="00E84B0E">
        <w:rPr>
          <w:rStyle w:val="VerbatimChar"/>
        </w:rPr>
        <w:t>’</w:t>
      </w:r>
      <w:r>
        <w:rPr>
          <w:rStyle w:val="VerbatimChar"/>
        </w:rPr>
        <w:t>humain</w:t>
      </w:r>
      <w:r>
        <w:t xml:space="preserve"> et les sujets représentés (</w:t>
      </w:r>
      <w:r>
        <w:rPr>
          <w:rStyle w:val="VerbatimChar"/>
        </w:rPr>
        <w:t>E1_Entité_CRM</w:t>
      </w:r>
      <w:r>
        <w:t xml:space="preserve">) est un raccourci du chemin sémantique suivant : </w:t>
      </w:r>
      <w:r>
        <w:rPr>
          <w:rStyle w:val="VerbatimChar"/>
        </w:rPr>
        <w:t>E24_Chose_matérielle_élaborée_par_l</w:t>
      </w:r>
      <w:r w:rsidR="00E84B0E">
        <w:rPr>
          <w:rStyle w:val="VerbatimChar"/>
        </w:rPr>
        <w:t>’</w:t>
      </w:r>
      <w:r>
        <w:rPr>
          <w:rStyle w:val="VerbatimChar"/>
        </w:rPr>
        <w:t>humain</w:t>
      </w:r>
      <w:r>
        <w:t xml:space="preserve">, </w:t>
      </w:r>
      <w:r>
        <w:rPr>
          <w:rStyle w:val="VerbatimChar"/>
        </w:rPr>
        <w:t>P65_représente_l</w:t>
      </w:r>
      <w:r w:rsidR="00E84B0E">
        <w:rPr>
          <w:rStyle w:val="VerbatimChar"/>
        </w:rPr>
        <w:t>’</w:t>
      </w:r>
      <w:r>
        <w:rPr>
          <w:rStyle w:val="VerbatimChar"/>
        </w:rPr>
        <w:t>entité_visuelle (est_représenté_par)</w:t>
      </w:r>
      <w:r>
        <w:t xml:space="preserve">, </w:t>
      </w:r>
      <w:r>
        <w:rPr>
          <w:rStyle w:val="VerbatimChar"/>
        </w:rPr>
        <w:t>E36_Entité_visuelle</w:t>
      </w:r>
      <w:r>
        <w:t xml:space="preserve">, </w:t>
      </w:r>
      <w:r>
        <w:rPr>
          <w:rStyle w:val="VerbatimChar"/>
        </w:rPr>
        <w:t>P138_représente (est_représenté_par)</w:t>
      </w:r>
      <w:r>
        <w:t xml:space="preserve">, </w:t>
      </w:r>
      <w:r>
        <w:rPr>
          <w:rStyle w:val="VerbatimChar"/>
        </w:rPr>
        <w:t>E1_Entité_CRM</w:t>
      </w:r>
      <w:r>
        <w:t>. [Ce chemin sémantique développé] permet de saisir les caractéristiques optiques de la représentation, [ce que le raccourci ne permet pas].</w:t>
      </w:r>
    </w:p>
    <w:p w14:paraId="082F7F82" w14:textId="77777777" w:rsidR="00C86352" w:rsidRDefault="00C86352">
      <w:pPr>
        <w:spacing w:after="0"/>
        <w:rPr>
          <w:b/>
          <w:bCs/>
        </w:rPr>
      </w:pPr>
      <w:r>
        <w:rPr>
          <w:b/>
          <w:bCs/>
        </w:rPr>
        <w:br w:type="page"/>
      </w:r>
    </w:p>
    <w:p w14:paraId="43984DC5" w14:textId="623AE351" w:rsidR="00065317" w:rsidRDefault="005C7BF7">
      <w:pPr>
        <w:pStyle w:val="Corpsdetexte"/>
      </w:pPr>
      <w:r>
        <w:rPr>
          <w:b/>
          <w:bCs/>
        </w:rPr>
        <w:lastRenderedPageBreak/>
        <w:t>Exemples</w:t>
      </w:r>
    </w:p>
    <w:p w14:paraId="44EC5CD4" w14:textId="46618D5E" w:rsidR="00065317" w:rsidRDefault="005C7BF7">
      <w:pPr>
        <w:numPr>
          <w:ilvl w:val="0"/>
          <w:numId w:val="94"/>
        </w:numPr>
      </w:pPr>
      <w:r>
        <w:t>L</w:t>
      </w:r>
      <w:r w:rsidR="00E84B0E">
        <w:t>’</w:t>
      </w:r>
      <w:r>
        <w:t xml:space="preserve">apparence visuelle de </w:t>
      </w:r>
      <w:r>
        <w:rPr>
          <w:i/>
          <w:iCs/>
        </w:rPr>
        <w:t>La Pie</w:t>
      </w:r>
      <w:r>
        <w:t xml:space="preserve"> de Monet (Bortolatto, 1981)</w:t>
      </w:r>
    </w:p>
    <w:p w14:paraId="3AB1F7D3" w14:textId="77777777" w:rsidR="00065317" w:rsidRDefault="005C7BF7">
      <w:pPr>
        <w:numPr>
          <w:ilvl w:val="0"/>
          <w:numId w:val="94"/>
        </w:numPr>
      </w:pPr>
      <w:r>
        <w:t>Le logo de Coca-Cola (</w:t>
      </w:r>
      <w:r>
        <w:rPr>
          <w:rStyle w:val="VerbatimChar"/>
        </w:rPr>
        <w:t>E34_Inscription</w:t>
      </w:r>
      <w:r>
        <w:t>)</w:t>
      </w:r>
    </w:p>
    <w:p w14:paraId="587D2614" w14:textId="77777777" w:rsidR="00065317" w:rsidRDefault="005C7BF7">
      <w:pPr>
        <w:numPr>
          <w:ilvl w:val="0"/>
          <w:numId w:val="94"/>
        </w:numPr>
      </w:pPr>
      <w:r>
        <w:t>Le Chrisme constantinien (Chi-Rhô) (</w:t>
      </w:r>
      <w:r>
        <w:rPr>
          <w:rStyle w:val="VerbatimChar"/>
        </w:rPr>
        <w:t>E37_Marque</w:t>
      </w:r>
      <w:r>
        <w:t>)</w:t>
      </w:r>
    </w:p>
    <w:p w14:paraId="542AB198" w14:textId="6C74371C" w:rsidR="00065317" w:rsidRDefault="005C7BF7">
      <w:pPr>
        <w:numPr>
          <w:ilvl w:val="0"/>
          <w:numId w:val="94"/>
        </w:numPr>
      </w:pPr>
      <w:r>
        <w:t>L</w:t>
      </w:r>
      <w:r w:rsidR="00E84B0E">
        <w:t>’</w:t>
      </w:r>
      <w:r>
        <w:t>étoile rouge communiste (</w:t>
      </w:r>
      <w:r>
        <w:rPr>
          <w:rStyle w:val="VerbatimChar"/>
        </w:rPr>
        <w:t>E37_Marque</w:t>
      </w:r>
      <w:r>
        <w:t>)</w:t>
      </w:r>
    </w:p>
    <w:p w14:paraId="04EBF661" w14:textId="5816B955" w:rsidR="00065317" w:rsidRDefault="005C7BF7">
      <w:pPr>
        <w:numPr>
          <w:ilvl w:val="0"/>
          <w:numId w:val="94"/>
        </w:numPr>
      </w:pPr>
      <w:r>
        <w:t xml:space="preserve">La forme de la surface de la statue </w:t>
      </w:r>
      <w:r>
        <w:rPr>
          <w:i/>
          <w:iCs/>
        </w:rPr>
        <w:t>Le Penseur</w:t>
      </w:r>
      <w:r>
        <w:t xml:space="preserve"> d</w:t>
      </w:r>
      <w:r w:rsidR="00E84B0E">
        <w:t>’</w:t>
      </w:r>
      <w:r>
        <w:t>Auguste Rodin [il en existe plus de 20 épreuves et même de tailles différentes. Il s</w:t>
      </w:r>
      <w:r w:rsidR="00E84B0E">
        <w:t>’</w:t>
      </w:r>
      <w:r>
        <w:t>agit alors d</w:t>
      </w:r>
      <w:r w:rsidR="00E84B0E">
        <w:t>’</w:t>
      </w:r>
      <w:r>
        <w:t>un bon exemple que ce n</w:t>
      </w:r>
      <w:r w:rsidR="00E84B0E">
        <w:t>’</w:t>
      </w:r>
      <w:r>
        <w:t>est que la forme commune de la surface, une entité visuelle immatérielle, qui justifie d</w:t>
      </w:r>
      <w:r w:rsidR="00E84B0E">
        <w:t>’</w:t>
      </w:r>
      <w:r>
        <w:t>exposer ces copies comme des œuvres d</w:t>
      </w:r>
      <w:r w:rsidR="00E84B0E">
        <w:t>’</w:t>
      </w:r>
      <w:r>
        <w:t>Auguste Rodin. Comme il était courant à l</w:t>
      </w:r>
      <w:r w:rsidR="00E84B0E">
        <w:t>’</w:t>
      </w:r>
      <w:r>
        <w:t>époque, Rodin lui-même n</w:t>
      </w:r>
      <w:r w:rsidR="00E84B0E">
        <w:t>’</w:t>
      </w:r>
      <w:r>
        <w:t>a pas produit la statue de bronze, mais seulement le prototype.]</w:t>
      </w:r>
    </w:p>
    <w:p w14:paraId="6B5798C3" w14:textId="77777777" w:rsidR="00065317" w:rsidRDefault="005C7BF7">
      <w:pPr>
        <w:pStyle w:val="FirstParagraph"/>
      </w:pPr>
      <w:r>
        <w:rPr>
          <w:b/>
          <w:bCs/>
        </w:rPr>
        <w:t>Logique</w:t>
      </w:r>
    </w:p>
    <w:p w14:paraId="1A8C7384" w14:textId="77777777" w:rsidR="00065317" w:rsidRDefault="005C7BF7">
      <w:pPr>
        <w:pStyle w:val="Corpsdetexte"/>
      </w:pPr>
      <w:r>
        <w:t>E36(x) ⇒ E73(x)</w:t>
      </w:r>
    </w:p>
    <w:p w14:paraId="19386067" w14:textId="77777777" w:rsidR="00065317" w:rsidRDefault="005C7BF7">
      <w:pPr>
        <w:pStyle w:val="Corpsdetexte"/>
      </w:pPr>
      <w:r>
        <w:rPr>
          <w:b/>
          <w:bCs/>
        </w:rPr>
        <w:t>Propriétés</w:t>
      </w:r>
    </w:p>
    <w:p w14:paraId="22D713E8" w14:textId="77777777" w:rsidR="00065317" w:rsidRDefault="005C7BF7">
      <w:pPr>
        <w:pStyle w:val="Corpsdetexte"/>
      </w:pPr>
      <w:r>
        <w:rPr>
          <w:rStyle w:val="VerbatimChar"/>
        </w:rPr>
        <w:t>P138_représente (est_représenté_par)</w:t>
      </w:r>
      <w:r>
        <w:t xml:space="preserve"> : </w:t>
      </w:r>
      <w:r>
        <w:rPr>
          <w:rStyle w:val="VerbatimChar"/>
        </w:rPr>
        <w:t>E1_Entité_CRM</w:t>
      </w:r>
      <w:r>
        <w:t xml:space="preserve"> (</w:t>
      </w:r>
      <w:r>
        <w:rPr>
          <w:rStyle w:val="VerbatimChar"/>
        </w:rPr>
        <w:t>P138.1_mode_de_représentation</w:t>
      </w:r>
      <w:r>
        <w:t xml:space="preserve"> : </w:t>
      </w:r>
      <w:r>
        <w:rPr>
          <w:rStyle w:val="VerbatimChar"/>
        </w:rPr>
        <w:t>E55_Type</w:t>
      </w:r>
      <w:r>
        <w:t>)</w:t>
      </w:r>
    </w:p>
    <w:p w14:paraId="30235F82" w14:textId="77777777" w:rsidR="00065317" w:rsidRDefault="005C7BF7">
      <w:pPr>
        <w:pStyle w:val="Normalcentr"/>
      </w:pPr>
      <w:r>
        <w:rPr>
          <w:b/>
          <w:bCs/>
          <w:i/>
          <w:iCs/>
        </w:rPr>
        <w:t>Note de traduction</w:t>
      </w:r>
    </w:p>
    <w:p w14:paraId="5813C8DB" w14:textId="40561777" w:rsidR="00065317" w:rsidRDefault="005C7BF7">
      <w:pPr>
        <w:pStyle w:val="Normalcentr"/>
      </w:pPr>
      <w:r>
        <w:t xml:space="preserve">Selon </w:t>
      </w:r>
      <w:r w:rsidR="00AB469F">
        <w:t>Wikipédia</w:t>
      </w:r>
      <w:r>
        <w:t>, le Chi-Rho (Chi-Rhô) est un chrisme particulier composé des lettres grecques X (chi) et P (rhô) qui est connu sous le nom de Chrisme constantinien. À ce titre, il a été décidé de faire référence à ce symbole en utilisant le terme français reconnu, mais aussi d</w:t>
      </w:r>
      <w:r w:rsidR="00E84B0E">
        <w:t>’</w:t>
      </w:r>
      <w:r>
        <w:t>indiquer les lettres grecques formant celui-ci.</w:t>
      </w:r>
    </w:p>
    <w:p w14:paraId="0A0D501B" w14:textId="77777777" w:rsidR="00065317" w:rsidRDefault="005C7BF7">
      <w:pPr>
        <w:pStyle w:val="Normalcentr"/>
      </w:pPr>
      <w:r>
        <w:rPr>
          <w:b/>
          <w:bCs/>
          <w:i/>
          <w:iCs/>
        </w:rPr>
        <w:t>Références</w:t>
      </w:r>
    </w:p>
    <w:p w14:paraId="3BC6C76B" w14:textId="4B17F075" w:rsidR="00065317" w:rsidRDefault="005C7BF7">
      <w:pPr>
        <w:pStyle w:val="Normalcentr"/>
      </w:pPr>
      <w:r>
        <w:t xml:space="preserve">Wikipédia. « Chrisme ». Dans </w:t>
      </w:r>
      <w:r>
        <w:rPr>
          <w:i/>
          <w:iCs/>
        </w:rPr>
        <w:t>Wikipédia</w:t>
      </w:r>
      <w:r>
        <w:t xml:space="preserve">. </w:t>
      </w:r>
      <w:r w:rsidRPr="00AB469F">
        <w:rPr>
          <w:lang w:val="en-CA"/>
        </w:rPr>
        <w:t>San Francisco, US-CA: Wikipédia, 30</w:t>
      </w:r>
      <w:r w:rsidR="00056DCD">
        <w:rPr>
          <w:lang w:val="en-CA"/>
        </w:rPr>
        <w:t> juin </w:t>
      </w:r>
      <w:r w:rsidRPr="00AB469F">
        <w:rPr>
          <w:lang w:val="en-CA"/>
        </w:rPr>
        <w:t>2021.</w:t>
      </w:r>
      <w:hyperlink r:id="rId186">
        <w:r w:rsidRPr="00AB469F">
          <w:rPr>
            <w:rStyle w:val="Lienhypertexte"/>
            <w:lang w:val="en-CA"/>
          </w:rPr>
          <w:t xml:space="preserve"> </w:t>
        </w:r>
      </w:hyperlink>
      <w:hyperlink r:id="rId187">
        <w:r>
          <w:rPr>
            <w:rStyle w:val="Lienhypertexte"/>
          </w:rPr>
          <w:t>https://fr.wikipedia.org/w/index.php</w:t>
        </w:r>
        <w:r w:rsidR="001458EA">
          <w:rPr>
            <w:rStyle w:val="Lienhypertexte"/>
          </w:rPr>
          <w:t> </w:t>
        </w:r>
        <w:r>
          <w:rPr>
            <w:rStyle w:val="Lienhypertexte"/>
          </w:rPr>
          <w:t>?title=Chrisme&amp;oldid=184249375</w:t>
        </w:r>
      </w:hyperlink>
      <w:r>
        <w:t>.</w:t>
      </w:r>
    </w:p>
    <w:p w14:paraId="53DD22C5" w14:textId="77777777" w:rsidR="00065317" w:rsidRDefault="005C7BF7" w:rsidP="00914F34">
      <w:pPr>
        <w:pStyle w:val="Titre3"/>
      </w:pPr>
      <w:bookmarkStart w:id="176" w:name="_Toc154048773"/>
      <w:bookmarkStart w:id="177" w:name="e37-marque"/>
      <w:bookmarkEnd w:id="175"/>
      <w:r>
        <w:t>E37 Marque</w:t>
      </w:r>
      <w:bookmarkEnd w:id="176"/>
    </w:p>
    <w:p w14:paraId="658BC3AB" w14:textId="77777777" w:rsidR="00065317" w:rsidRDefault="005C7BF7">
      <w:pPr>
        <w:pStyle w:val="FirstParagraph"/>
      </w:pPr>
      <w:r>
        <w:rPr>
          <w:b/>
          <w:bCs/>
        </w:rPr>
        <w:t>Sous-classe de</w:t>
      </w:r>
    </w:p>
    <w:p w14:paraId="3DDE6ABC" w14:textId="77777777" w:rsidR="00065317" w:rsidRDefault="005C7BF7">
      <w:pPr>
        <w:pStyle w:val="Corpsdetexte"/>
      </w:pPr>
      <w:r>
        <w:rPr>
          <w:rStyle w:val="VerbatimChar"/>
        </w:rPr>
        <w:t>E36_Entité_visuelle</w:t>
      </w:r>
    </w:p>
    <w:p w14:paraId="18B1928E" w14:textId="77777777" w:rsidR="00065317" w:rsidRDefault="005C7BF7">
      <w:pPr>
        <w:pStyle w:val="Corpsdetexte"/>
      </w:pPr>
      <w:r>
        <w:rPr>
          <w:b/>
          <w:bCs/>
        </w:rPr>
        <w:t>Super-classe de</w:t>
      </w:r>
    </w:p>
    <w:p w14:paraId="6F500668" w14:textId="77777777" w:rsidR="00065317" w:rsidRDefault="005C7BF7">
      <w:pPr>
        <w:pStyle w:val="Corpsdetexte"/>
      </w:pPr>
      <w:r>
        <w:rPr>
          <w:rStyle w:val="VerbatimChar"/>
        </w:rPr>
        <w:t>E34_Inscription</w:t>
      </w:r>
    </w:p>
    <w:p w14:paraId="6C12C627" w14:textId="17E23014" w:rsidR="00065317" w:rsidRDefault="005C7BF7">
      <w:pPr>
        <w:pStyle w:val="Corpsdetexte"/>
      </w:pPr>
      <w:r>
        <w:rPr>
          <w:b/>
          <w:bCs/>
        </w:rPr>
        <w:t>Note d</w:t>
      </w:r>
      <w:r w:rsidR="00E84B0E">
        <w:rPr>
          <w:b/>
          <w:bCs/>
        </w:rPr>
        <w:t>’</w:t>
      </w:r>
      <w:r>
        <w:rPr>
          <w:b/>
          <w:bCs/>
        </w:rPr>
        <w:t>application</w:t>
      </w:r>
    </w:p>
    <w:p w14:paraId="2748C878" w14:textId="2205D41E" w:rsidR="00065317" w:rsidRDefault="005C7BF7">
      <w:pPr>
        <w:pStyle w:val="Corpsdetexte"/>
      </w:pPr>
      <w:r>
        <w:t xml:space="preserve">Cette classe comprend les symboles, signes, signatures ou courts textes appliqués par des techniques arbitraires à des instances de </w:t>
      </w:r>
      <w:r>
        <w:rPr>
          <w:rStyle w:val="VerbatimChar"/>
        </w:rPr>
        <w:t>E24_Chose_matérielle_élaborée_par_l</w:t>
      </w:r>
      <w:r w:rsidR="00E84B0E">
        <w:rPr>
          <w:rStyle w:val="VerbatimChar"/>
        </w:rPr>
        <w:t>’</w:t>
      </w:r>
      <w:r>
        <w:rPr>
          <w:rStyle w:val="VerbatimChar"/>
        </w:rPr>
        <w:t>humain</w:t>
      </w:r>
      <w:r>
        <w:t xml:space="preserve">, souvent pour indiquer des choses telles que le créateur, le propriétaire, des dédicaces, le but ou pour communiquer des informations en général. Les instances de </w:t>
      </w:r>
      <w:r>
        <w:rPr>
          <w:rStyle w:val="VerbatimChar"/>
        </w:rPr>
        <w:t>E37_Marque</w:t>
      </w:r>
      <w:r>
        <w:t xml:space="preserve"> ne représentent pas l</w:t>
      </w:r>
      <w:r w:rsidR="00E84B0E">
        <w:t>’</w:t>
      </w:r>
      <w:r>
        <w:t>image réelle d</w:t>
      </w:r>
      <w:r w:rsidR="00E84B0E">
        <w:t>’</w:t>
      </w:r>
      <w:r>
        <w:t>une marque, mais son idéal abstrait (ou archétype) tel qu</w:t>
      </w:r>
      <w:r w:rsidR="00E84B0E">
        <w:t>’</w:t>
      </w:r>
      <w:r>
        <w:t>il est utilisé pour la codification dans les documents de référence constituant la documentation culturelle.</w:t>
      </w:r>
    </w:p>
    <w:p w14:paraId="2E3F78A4" w14:textId="5E87CEBA" w:rsidR="00065317" w:rsidRDefault="005C7BF7">
      <w:pPr>
        <w:pStyle w:val="Corpsdetexte"/>
      </w:pPr>
      <w:r>
        <w:t>Cette classe exclut de manière spécifique les caractéristiques qui n</w:t>
      </w:r>
      <w:r w:rsidR="00E84B0E">
        <w:t>’</w:t>
      </w:r>
      <w:r>
        <w:t>ont pas de signification sémantique, telles que des éraflures ou des marques d</w:t>
      </w:r>
      <w:r w:rsidR="00E84B0E">
        <w:t>’</w:t>
      </w:r>
      <w:r>
        <w:t xml:space="preserve">outil. Celles-ci doivent être documentées comme des instances de </w:t>
      </w:r>
      <w:r>
        <w:rPr>
          <w:rStyle w:val="VerbatimChar"/>
        </w:rPr>
        <w:t>E25_Caractéristique_élaborée_par_l</w:t>
      </w:r>
      <w:r w:rsidR="00E84B0E">
        <w:rPr>
          <w:rStyle w:val="VerbatimChar"/>
        </w:rPr>
        <w:t>’</w:t>
      </w:r>
      <w:r>
        <w:rPr>
          <w:rStyle w:val="VerbatimChar"/>
        </w:rPr>
        <w:t>humain</w:t>
      </w:r>
      <w:r>
        <w:t>.</w:t>
      </w:r>
    </w:p>
    <w:p w14:paraId="5403E546" w14:textId="77777777" w:rsidR="00065317" w:rsidRDefault="005C7BF7">
      <w:pPr>
        <w:pStyle w:val="Corpsdetexte"/>
      </w:pPr>
      <w:r>
        <w:rPr>
          <w:b/>
          <w:bCs/>
        </w:rPr>
        <w:lastRenderedPageBreak/>
        <w:t>Exemples</w:t>
      </w:r>
    </w:p>
    <w:p w14:paraId="347F8306" w14:textId="2D637C53" w:rsidR="00065317" w:rsidRDefault="005C7BF7">
      <w:pPr>
        <w:numPr>
          <w:ilvl w:val="0"/>
          <w:numId w:val="95"/>
        </w:numPr>
      </w:pPr>
      <w:r>
        <w:t>Symbole de la double hache min</w:t>
      </w:r>
      <w:r w:rsidR="00C012B4">
        <w:t>œ</w:t>
      </w:r>
      <w:r>
        <w:t>nne (Lowe Fri, 2011)</w:t>
      </w:r>
    </w:p>
    <w:p w14:paraId="1AD259CB" w14:textId="77777777" w:rsidR="00065317" w:rsidRDefault="005C7BF7">
      <w:pPr>
        <w:numPr>
          <w:ilvl w:val="0"/>
          <w:numId w:val="95"/>
        </w:numPr>
      </w:pPr>
      <w:r>
        <w:t>©</w:t>
      </w:r>
    </w:p>
    <w:p w14:paraId="12CB87B5" w14:textId="77777777" w:rsidR="00065317" w:rsidRDefault="005C7BF7">
      <w:pPr>
        <w:numPr>
          <w:ilvl w:val="0"/>
          <w:numId w:val="95"/>
        </w:numPr>
      </w:pPr>
      <w:r>
        <w:t>☺</w:t>
      </w:r>
    </w:p>
    <w:p w14:paraId="2521DEC2" w14:textId="77777777" w:rsidR="00065317" w:rsidRDefault="005C7BF7">
      <w:pPr>
        <w:pStyle w:val="FirstParagraph"/>
      </w:pPr>
      <w:r>
        <w:rPr>
          <w:b/>
          <w:bCs/>
        </w:rPr>
        <w:t>Logique</w:t>
      </w:r>
    </w:p>
    <w:p w14:paraId="1F6B6E34" w14:textId="77777777" w:rsidR="00065317" w:rsidRDefault="005C7BF7">
      <w:pPr>
        <w:pStyle w:val="Corpsdetexte"/>
      </w:pPr>
      <w:r>
        <w:t>E37(x) ⇒ E36(x)</w:t>
      </w:r>
    </w:p>
    <w:p w14:paraId="776F7D6E" w14:textId="77777777" w:rsidR="00065317" w:rsidRDefault="005C7BF7">
      <w:pPr>
        <w:pStyle w:val="Corpsdetexte"/>
      </w:pPr>
      <w:r>
        <w:rPr>
          <w:b/>
          <w:bCs/>
        </w:rPr>
        <w:t>Propriétés</w:t>
      </w:r>
    </w:p>
    <w:p w14:paraId="0B2BDC2D" w14:textId="77777777" w:rsidR="00065317" w:rsidRDefault="005C7BF7">
      <w:pPr>
        <w:pStyle w:val="Normalcentr"/>
      </w:pPr>
      <w:r>
        <w:rPr>
          <w:b/>
          <w:bCs/>
          <w:i/>
          <w:iCs/>
        </w:rPr>
        <w:t>Note de traduction</w:t>
      </w:r>
    </w:p>
    <w:p w14:paraId="1ED2B9D8" w14:textId="760350E1" w:rsidR="00065317" w:rsidRDefault="005C7BF7" w:rsidP="00F02C72">
      <w:pPr>
        <w:pStyle w:val="Normalcentr"/>
      </w:pPr>
      <w:r>
        <w:rPr>
          <w:b/>
          <w:bCs/>
          <w:i/>
          <w:iCs/>
        </w:rPr>
        <w:t>Références</w:t>
      </w:r>
    </w:p>
    <w:p w14:paraId="153056FB" w14:textId="77777777" w:rsidR="00065317" w:rsidRDefault="005C7BF7" w:rsidP="00914F34">
      <w:pPr>
        <w:pStyle w:val="Titre3"/>
      </w:pPr>
      <w:bookmarkStart w:id="178" w:name="_Toc154048774"/>
      <w:bookmarkStart w:id="179" w:name="e39-actant"/>
      <w:bookmarkEnd w:id="177"/>
      <w:r>
        <w:t>E39 Actant</w:t>
      </w:r>
      <w:bookmarkEnd w:id="178"/>
    </w:p>
    <w:p w14:paraId="7A85A7E8" w14:textId="77777777" w:rsidR="00065317" w:rsidRDefault="005C7BF7">
      <w:pPr>
        <w:pStyle w:val="FirstParagraph"/>
      </w:pPr>
      <w:r>
        <w:rPr>
          <w:b/>
          <w:bCs/>
        </w:rPr>
        <w:t>Sous-classe de</w:t>
      </w:r>
    </w:p>
    <w:p w14:paraId="74876F7B" w14:textId="77777777" w:rsidR="00065317" w:rsidRDefault="005C7BF7">
      <w:pPr>
        <w:pStyle w:val="Corpsdetexte"/>
      </w:pPr>
      <w:r>
        <w:rPr>
          <w:rStyle w:val="VerbatimChar"/>
        </w:rPr>
        <w:t>E77_Entité_persistante</w:t>
      </w:r>
    </w:p>
    <w:p w14:paraId="0ACCB9CC" w14:textId="77777777" w:rsidR="00065317" w:rsidRDefault="005C7BF7">
      <w:pPr>
        <w:pStyle w:val="Corpsdetexte"/>
      </w:pPr>
      <w:r>
        <w:rPr>
          <w:b/>
          <w:bCs/>
        </w:rPr>
        <w:t>Super-classe de</w:t>
      </w:r>
    </w:p>
    <w:p w14:paraId="6B00812D" w14:textId="77777777" w:rsidR="00065317" w:rsidRDefault="005C7BF7">
      <w:pPr>
        <w:pStyle w:val="Corpsdetexte"/>
      </w:pPr>
      <w:r>
        <w:rPr>
          <w:rStyle w:val="VerbatimChar"/>
        </w:rPr>
        <w:t>E21_Personne</w:t>
      </w:r>
    </w:p>
    <w:p w14:paraId="0D6892C9" w14:textId="77777777" w:rsidR="00065317" w:rsidRDefault="005C7BF7">
      <w:pPr>
        <w:pStyle w:val="Corpsdetexte"/>
      </w:pPr>
      <w:r>
        <w:rPr>
          <w:rStyle w:val="VerbatimChar"/>
        </w:rPr>
        <w:t>E74_Groupe</w:t>
      </w:r>
    </w:p>
    <w:p w14:paraId="7FD3F12C" w14:textId="33D7CC83" w:rsidR="00065317" w:rsidRDefault="005C7BF7">
      <w:pPr>
        <w:pStyle w:val="Corpsdetexte"/>
      </w:pPr>
      <w:r>
        <w:rPr>
          <w:b/>
          <w:bCs/>
        </w:rPr>
        <w:t>Note d</w:t>
      </w:r>
      <w:r w:rsidR="00E84B0E">
        <w:rPr>
          <w:b/>
          <w:bCs/>
        </w:rPr>
        <w:t>’</w:t>
      </w:r>
      <w:r>
        <w:rPr>
          <w:b/>
          <w:bCs/>
        </w:rPr>
        <w:t>application</w:t>
      </w:r>
    </w:p>
    <w:p w14:paraId="5470D623" w14:textId="7BEB15DC" w:rsidR="00065317" w:rsidRDefault="005C7BF7" w:rsidP="00C86352">
      <w:pPr>
        <w:pStyle w:val="Corpsdetexte"/>
      </w:pPr>
      <w:r>
        <w:t>Cette classe comprend les personnes, que ce soit des individus ou des groupes, qui ont le potentiel d</w:t>
      </w:r>
      <w:r w:rsidR="00E84B0E">
        <w:t>’</w:t>
      </w:r>
      <w:r>
        <w:t>effectuer intentionnellement des actions pour lesquelles elles peuvent être tenues responsables.</w:t>
      </w:r>
    </w:p>
    <w:p w14:paraId="7EA1998F" w14:textId="77777777" w:rsidR="00065317" w:rsidRDefault="005C7BF7">
      <w:pPr>
        <w:pStyle w:val="Corpsdetexte"/>
      </w:pPr>
      <w:r>
        <w:rPr>
          <w:b/>
          <w:bCs/>
        </w:rPr>
        <w:t>Exemples</w:t>
      </w:r>
    </w:p>
    <w:p w14:paraId="188CF9CA" w14:textId="77777777" w:rsidR="00065317" w:rsidRPr="00EC2D6E" w:rsidRDefault="005C7BF7">
      <w:pPr>
        <w:numPr>
          <w:ilvl w:val="0"/>
          <w:numId w:val="96"/>
        </w:numPr>
        <w:rPr>
          <w:lang w:val="en-CA"/>
        </w:rPr>
      </w:pPr>
      <w:r w:rsidRPr="00EC2D6E">
        <w:rPr>
          <w:lang w:val="en-CA"/>
        </w:rPr>
        <w:t>London and Continental Railways (</w:t>
      </w:r>
      <w:r w:rsidRPr="00EC2D6E">
        <w:rPr>
          <w:rStyle w:val="VerbatimChar"/>
          <w:lang w:val="en-CA"/>
        </w:rPr>
        <w:t>E74_Groupe</w:t>
      </w:r>
      <w:r w:rsidRPr="00EC2D6E">
        <w:rPr>
          <w:lang w:val="en-CA"/>
        </w:rPr>
        <w:t>)</w:t>
      </w:r>
    </w:p>
    <w:p w14:paraId="73577C8B" w14:textId="17F3BD66" w:rsidR="00065317" w:rsidRDefault="005C7BF7">
      <w:pPr>
        <w:numPr>
          <w:ilvl w:val="0"/>
          <w:numId w:val="96"/>
        </w:numPr>
      </w:pPr>
      <w:r>
        <w:t>Le Gouverneur de la Banque d</w:t>
      </w:r>
      <w:r w:rsidR="00E84B0E">
        <w:t>’</w:t>
      </w:r>
      <w:r>
        <w:t>Angleterre en 1975 (</w:t>
      </w:r>
      <w:r>
        <w:rPr>
          <w:rStyle w:val="VerbatimChar"/>
        </w:rPr>
        <w:t>E21_Personne</w:t>
      </w:r>
      <w:r>
        <w:t>)</w:t>
      </w:r>
    </w:p>
    <w:p w14:paraId="7E51C93E" w14:textId="77777777" w:rsidR="00065317" w:rsidRDefault="005C7BF7">
      <w:pPr>
        <w:numPr>
          <w:ilvl w:val="0"/>
          <w:numId w:val="96"/>
        </w:numPr>
      </w:pPr>
      <w:r>
        <w:t>Sir Ian McKellen (</w:t>
      </w:r>
      <w:r>
        <w:rPr>
          <w:rStyle w:val="VerbatimChar"/>
        </w:rPr>
        <w:t>E21_Personne</w:t>
      </w:r>
      <w:r>
        <w:t>) (Gibson, 1986)</w:t>
      </w:r>
    </w:p>
    <w:p w14:paraId="22A24D55" w14:textId="77777777" w:rsidR="00065317" w:rsidRDefault="005C7BF7">
      <w:pPr>
        <w:pStyle w:val="FirstParagraph"/>
      </w:pPr>
      <w:r>
        <w:rPr>
          <w:b/>
          <w:bCs/>
        </w:rPr>
        <w:t>Logique</w:t>
      </w:r>
    </w:p>
    <w:p w14:paraId="5E534CCE" w14:textId="460E180D" w:rsidR="00A81E78" w:rsidRDefault="005C7BF7">
      <w:pPr>
        <w:pStyle w:val="Corpsdetexte"/>
        <w:rPr>
          <w:b/>
          <w:bCs/>
        </w:rPr>
      </w:pPr>
      <w:r>
        <w:t>E39(x) ⇒ E77(x)</w:t>
      </w:r>
    </w:p>
    <w:p w14:paraId="311D1B49" w14:textId="3E3DA798" w:rsidR="00065317" w:rsidRDefault="005C7BF7">
      <w:pPr>
        <w:pStyle w:val="Corpsdetexte"/>
      </w:pPr>
      <w:r>
        <w:rPr>
          <w:b/>
          <w:bCs/>
        </w:rPr>
        <w:t>Propriétés</w:t>
      </w:r>
    </w:p>
    <w:p w14:paraId="44AC7DA3" w14:textId="3986889B" w:rsidR="00065317" w:rsidRDefault="005C7BF7">
      <w:pPr>
        <w:pStyle w:val="Corpsdetexte"/>
      </w:pPr>
      <w:r>
        <w:rPr>
          <w:rStyle w:val="VerbatimChar"/>
        </w:rPr>
        <w:t>P74_a_pour_résidence_actuelle_ou_antérieure (est_la_résidence_actuelle_ou_antérieure_de)</w:t>
      </w:r>
      <w:r w:rsidR="001458EA">
        <w:t> </w:t>
      </w:r>
      <w:r>
        <w:t xml:space="preserve">: </w:t>
      </w:r>
      <w:r>
        <w:rPr>
          <w:rStyle w:val="VerbatimChar"/>
        </w:rPr>
        <w:t>E53_Lieu</w:t>
      </w:r>
    </w:p>
    <w:p w14:paraId="285C9FF2" w14:textId="7842ABB1" w:rsidR="00065317" w:rsidRDefault="005C7BF7">
      <w:pPr>
        <w:pStyle w:val="Corpsdetexte"/>
      </w:pPr>
      <w:r>
        <w:rPr>
          <w:rStyle w:val="VerbatimChar"/>
        </w:rPr>
        <w:t>P75_possède (est_possédé_par)</w:t>
      </w:r>
      <w:r w:rsidR="001458EA">
        <w:t> </w:t>
      </w:r>
      <w:r>
        <w:t xml:space="preserve">: </w:t>
      </w:r>
      <w:r>
        <w:rPr>
          <w:rStyle w:val="VerbatimChar"/>
        </w:rPr>
        <w:t>E30_Droit</w:t>
      </w:r>
    </w:p>
    <w:p w14:paraId="0470D691" w14:textId="30C18B21" w:rsidR="00065317" w:rsidRDefault="005C7BF7">
      <w:pPr>
        <w:pStyle w:val="Corpsdetexte"/>
      </w:pPr>
      <w:r>
        <w:rPr>
          <w:rStyle w:val="VerbatimChar"/>
        </w:rPr>
        <w:t>P76_a_pour_coordonnées (permet_de_contacter)</w:t>
      </w:r>
      <w:r w:rsidR="001458EA">
        <w:t> </w:t>
      </w:r>
      <w:r>
        <w:t xml:space="preserve">: </w:t>
      </w:r>
      <w:r>
        <w:rPr>
          <w:rStyle w:val="VerbatimChar"/>
        </w:rPr>
        <w:t>E41_Appellation</w:t>
      </w:r>
      <w:r>
        <w:t>.</w:t>
      </w:r>
    </w:p>
    <w:p w14:paraId="77E42F5F" w14:textId="77777777" w:rsidR="00065317" w:rsidRDefault="005C7BF7">
      <w:pPr>
        <w:pStyle w:val="Normalcentr"/>
      </w:pPr>
      <w:r>
        <w:rPr>
          <w:b/>
          <w:bCs/>
          <w:i/>
          <w:iCs/>
        </w:rPr>
        <w:t>Note de traduction</w:t>
      </w:r>
    </w:p>
    <w:p w14:paraId="07FA4048" w14:textId="3F516A9D" w:rsidR="00065317" w:rsidRDefault="005C7BF7">
      <w:pPr>
        <w:pStyle w:val="Normalcentr"/>
      </w:pPr>
      <w:r>
        <w:t>L</w:t>
      </w:r>
      <w:r w:rsidR="00E84B0E">
        <w:t>’</w:t>
      </w:r>
      <w:r>
        <w:t>entrée anglophone réfère à « Sir Ian McKellan », qui comporte une erreur dans le nom de « Sir Ian McKellen ». La traduction francophone a choisi de ne pas reconduire cette erreur à des fins d</w:t>
      </w:r>
      <w:r w:rsidR="00E84B0E">
        <w:t>’</w:t>
      </w:r>
      <w:r>
        <w:t>exactitude.</w:t>
      </w:r>
    </w:p>
    <w:p w14:paraId="2680CBDF" w14:textId="47093203" w:rsidR="00065317" w:rsidRDefault="005C7BF7">
      <w:pPr>
        <w:pStyle w:val="Normalcentr"/>
      </w:pPr>
      <w:r>
        <w:lastRenderedPageBreak/>
        <w:t>L</w:t>
      </w:r>
      <w:r w:rsidR="00E84B0E">
        <w:t>’</w:t>
      </w:r>
      <w:r>
        <w:t>utilisation du terme « actant » a été retenu au lieu du terme « acteur » car le premier favorise est plus inclusif et ne nécessite pas l</w:t>
      </w:r>
      <w:r w:rsidR="00E84B0E">
        <w:t>’</w:t>
      </w:r>
      <w:r>
        <w:t>usage des formes binaires masculine et féminine (acteur et actrice).</w:t>
      </w:r>
    </w:p>
    <w:p w14:paraId="3619E8F4" w14:textId="77777777" w:rsidR="00065317" w:rsidRDefault="005C7BF7">
      <w:pPr>
        <w:pStyle w:val="Normalcentr"/>
      </w:pPr>
      <w:r>
        <w:rPr>
          <w:b/>
          <w:bCs/>
          <w:i/>
          <w:iCs/>
        </w:rPr>
        <w:t>Références</w:t>
      </w:r>
    </w:p>
    <w:p w14:paraId="1B0AA24C" w14:textId="320957B7" w:rsidR="00065317" w:rsidRDefault="005C7BF7">
      <w:pPr>
        <w:pStyle w:val="Normalcentr"/>
      </w:pPr>
      <w:r>
        <w:t xml:space="preserve">Antidote. « actant ». Dans </w:t>
      </w:r>
      <w:r>
        <w:rPr>
          <w:i/>
          <w:iCs/>
        </w:rPr>
        <w:t>Antidote</w:t>
      </w:r>
      <w:r>
        <w:t>. Montréal, CA-QC: Druide Informatique, 2022.</w:t>
      </w:r>
      <w:hyperlink r:id="rId188">
        <w:r>
          <w:rPr>
            <w:rStyle w:val="Lienhypertexte"/>
          </w:rPr>
          <w:t xml:space="preserve"> </w:t>
        </w:r>
      </w:hyperlink>
      <w:hyperlink r:id="rId189">
        <w:r>
          <w:rPr>
            <w:rStyle w:val="Lienhypertexte"/>
          </w:rPr>
          <w:t>https://antidote.app/dictionnaires/fr/definitions/FRUAgAAAABGUgBDZAAAQ2QAAC0AAACDTm9thmFjdGFudICAgA%3D%3Dd707/RlLvh7cyNTY2N%2B%2BHt05vbQ%3D%3D/RlLvh7cyNTY2N%2B%2BHt05vbe%2BHt2FjdGFudO%2BHt2FjdGFudA%3D%3D</w:t>
        </w:r>
      </w:hyperlink>
      <w:r>
        <w:t>.</w:t>
      </w:r>
    </w:p>
    <w:p w14:paraId="0201064B" w14:textId="77777777" w:rsidR="00065317" w:rsidRDefault="005C7BF7" w:rsidP="00914F34">
      <w:pPr>
        <w:pStyle w:val="Titre3"/>
      </w:pPr>
      <w:bookmarkStart w:id="180" w:name="_Toc154048775"/>
      <w:bookmarkStart w:id="181" w:name="e41-appellation"/>
      <w:bookmarkEnd w:id="179"/>
      <w:r>
        <w:t>E41 Appellation</w:t>
      </w:r>
      <w:bookmarkEnd w:id="180"/>
    </w:p>
    <w:p w14:paraId="7C5B2610" w14:textId="77777777" w:rsidR="00065317" w:rsidRDefault="005C7BF7">
      <w:pPr>
        <w:pStyle w:val="FirstParagraph"/>
      </w:pPr>
      <w:r>
        <w:rPr>
          <w:b/>
          <w:bCs/>
        </w:rPr>
        <w:t>Sous-classe de</w:t>
      </w:r>
    </w:p>
    <w:p w14:paraId="4FD02435" w14:textId="77777777" w:rsidR="00065317" w:rsidRDefault="005C7BF7">
      <w:pPr>
        <w:pStyle w:val="Corpsdetexte"/>
      </w:pPr>
      <w:r>
        <w:rPr>
          <w:rStyle w:val="VerbatimChar"/>
        </w:rPr>
        <w:t>E90_Objet_symbolique</w:t>
      </w:r>
    </w:p>
    <w:p w14:paraId="7F09E17D" w14:textId="77777777" w:rsidR="00065317" w:rsidRDefault="005C7BF7">
      <w:pPr>
        <w:pStyle w:val="Corpsdetexte"/>
      </w:pPr>
      <w:r>
        <w:rPr>
          <w:b/>
          <w:bCs/>
        </w:rPr>
        <w:t>Super-classe de</w:t>
      </w:r>
    </w:p>
    <w:p w14:paraId="391C6941" w14:textId="77777777" w:rsidR="00065317" w:rsidRDefault="005C7BF7">
      <w:pPr>
        <w:pStyle w:val="Corpsdetexte"/>
      </w:pPr>
      <w:r>
        <w:rPr>
          <w:rStyle w:val="VerbatimChar"/>
        </w:rPr>
        <w:t>E35_Titre</w:t>
      </w:r>
    </w:p>
    <w:p w14:paraId="11FEAB5F" w14:textId="77777777" w:rsidR="00065317" w:rsidRDefault="005C7BF7">
      <w:pPr>
        <w:pStyle w:val="Corpsdetexte"/>
      </w:pPr>
      <w:r>
        <w:rPr>
          <w:rStyle w:val="VerbatimChar"/>
        </w:rPr>
        <w:t>E42_Identifiant</w:t>
      </w:r>
    </w:p>
    <w:p w14:paraId="72011D4C" w14:textId="77777777" w:rsidR="00065317" w:rsidRDefault="005C7BF7">
      <w:pPr>
        <w:pStyle w:val="Corpsdetexte"/>
      </w:pPr>
      <w:r>
        <w:rPr>
          <w:rStyle w:val="VerbatimChar"/>
        </w:rPr>
        <w:t>E61_Primitive_temporelle</w:t>
      </w:r>
    </w:p>
    <w:p w14:paraId="2FCDD8E2" w14:textId="77777777" w:rsidR="00065317" w:rsidRDefault="005C7BF7">
      <w:pPr>
        <w:pStyle w:val="Corpsdetexte"/>
      </w:pPr>
      <w:r>
        <w:rPr>
          <w:rStyle w:val="VerbatimChar"/>
        </w:rPr>
        <w:t>E94_Primitive_spatiale</w:t>
      </w:r>
    </w:p>
    <w:p w14:paraId="07061BB7" w14:textId="77777777" w:rsidR="00065317" w:rsidRDefault="005C7BF7">
      <w:pPr>
        <w:pStyle w:val="Corpsdetexte"/>
      </w:pPr>
      <w:r>
        <w:rPr>
          <w:rStyle w:val="VerbatimChar"/>
        </w:rPr>
        <w:t>E95_Primitive_spatio-temporelle</w:t>
      </w:r>
    </w:p>
    <w:p w14:paraId="1061E525" w14:textId="46415C34" w:rsidR="00065317" w:rsidRDefault="005C7BF7">
      <w:pPr>
        <w:pStyle w:val="Corpsdetexte"/>
      </w:pPr>
      <w:r>
        <w:rPr>
          <w:b/>
          <w:bCs/>
        </w:rPr>
        <w:t>Note d</w:t>
      </w:r>
      <w:r w:rsidR="00E84B0E">
        <w:rPr>
          <w:b/>
          <w:bCs/>
        </w:rPr>
        <w:t>’</w:t>
      </w:r>
      <w:r>
        <w:rPr>
          <w:b/>
          <w:bCs/>
        </w:rPr>
        <w:t>application</w:t>
      </w:r>
    </w:p>
    <w:p w14:paraId="258BF4DB" w14:textId="5397C7B6" w:rsidR="008D39EE" w:rsidRDefault="005C7BF7" w:rsidP="00C86352">
      <w:pPr>
        <w:pStyle w:val="Corpsdetexte"/>
      </w:pPr>
      <w:r>
        <w:t>Cette classe comprend les signes, qu</w:t>
      </w:r>
      <w:r w:rsidR="00E84B0E">
        <w:t>’</w:t>
      </w:r>
      <w:r>
        <w:t>ils soient porteurs ou non de sens, ou les arrangements de signes qui suivent une syntaxe particulière et qui sont ou peuvent être utilisés pour désigner et identifier une instance spécifique d</w:t>
      </w:r>
      <w:r w:rsidR="00E84B0E">
        <w:t>’</w:t>
      </w:r>
      <w:r>
        <w:t>une classe ou d</w:t>
      </w:r>
      <w:r w:rsidR="00E84B0E">
        <w:t>’</w:t>
      </w:r>
      <w:r>
        <w:t>une catégorie dans un contexte donné.</w:t>
      </w:r>
    </w:p>
    <w:p w14:paraId="23E6DC90" w14:textId="372BC75C" w:rsidR="00065317" w:rsidRDefault="005C7BF7">
      <w:pPr>
        <w:pStyle w:val="Corpsdetexte"/>
      </w:pPr>
      <w:r>
        <w:t xml:space="preserve">Les instances de </w:t>
      </w:r>
      <w:r>
        <w:rPr>
          <w:rStyle w:val="VerbatimChar"/>
        </w:rPr>
        <w:t>E41_Appellation</w:t>
      </w:r>
      <w:r>
        <w:t xml:space="preserve"> n</w:t>
      </w:r>
      <w:r w:rsidR="00E84B0E">
        <w:t>’</w:t>
      </w:r>
      <w:r>
        <w:t xml:space="preserve">identifient pas les choses par leur sens, même si elles en ont un, mais plutôt par convention, tradition ou accord. Les instances de </w:t>
      </w:r>
      <w:r>
        <w:rPr>
          <w:rStyle w:val="VerbatimChar"/>
        </w:rPr>
        <w:t>E41_Appellation</w:t>
      </w:r>
      <w:r>
        <w:t xml:space="preserve"> sont des constructions culturelles. Comme telles, elles possèdent un contexte, une histoire et un usage dans le temps et dans l</w:t>
      </w:r>
      <w:r w:rsidR="00E84B0E">
        <w:t>’</w:t>
      </w:r>
      <w:r>
        <w:t>espace par un groupe d</w:t>
      </w:r>
      <w:r w:rsidR="00E84B0E">
        <w:t>’</w:t>
      </w:r>
      <w:r>
        <w:t xml:space="preserve">utilisateurs. Une instance donnée de </w:t>
      </w:r>
      <w:r>
        <w:rPr>
          <w:rStyle w:val="VerbatimChar"/>
        </w:rPr>
        <w:t>E41_Appellation</w:t>
      </w:r>
      <w:r>
        <w:t xml:space="preserve"> peut avoir des formes alternatives, c.-à-d. d</w:t>
      </w:r>
      <w:r w:rsidR="00E84B0E">
        <w:t>’</w:t>
      </w:r>
      <w:r>
        <w:t xml:space="preserve">autres instances de </w:t>
      </w:r>
      <w:r>
        <w:rPr>
          <w:rStyle w:val="VerbatimChar"/>
        </w:rPr>
        <w:t>E41_Appellation</w:t>
      </w:r>
      <w:r>
        <w:t xml:space="preserve"> qui sont toujours considérées comme équivalentes indépendamment de la chose qu</w:t>
      </w:r>
      <w:r w:rsidR="00E84B0E">
        <w:t>’</w:t>
      </w:r>
      <w:r>
        <w:t>elle dénote.</w:t>
      </w:r>
    </w:p>
    <w:p w14:paraId="6AA843D2" w14:textId="0C034523" w:rsidR="00065317" w:rsidRDefault="005C7BF7">
      <w:pPr>
        <w:pStyle w:val="Corpsdetexte"/>
      </w:pPr>
      <w:r>
        <w:t>Différentes langues peuvent employer différentes appellations pour référer à la même chose. [</w:t>
      </w:r>
      <w:r w:rsidR="00AF51A3">
        <w:t xml:space="preserve">n.d.t. </w:t>
      </w:r>
      <w:r>
        <w:t>C</w:t>
      </w:r>
      <w:r w:rsidR="00E84B0E">
        <w:t>’</w:t>
      </w:r>
      <w:r>
        <w:t>est le cas pour] le nom des grandes villes. Certaines appellations peuvent être formulées à l</w:t>
      </w:r>
      <w:r w:rsidR="00E84B0E">
        <w:t>’</w:t>
      </w:r>
      <w:r>
        <w:t>aide d</w:t>
      </w:r>
      <w:r w:rsidR="00E84B0E">
        <w:t>’</w:t>
      </w:r>
      <w:r>
        <w:t xml:space="preserve">un syntagme nominal valide dans une langue particulière. Dans ces cas, les instances de </w:t>
      </w:r>
      <w:r>
        <w:rPr>
          <w:rStyle w:val="VerbatimChar"/>
        </w:rPr>
        <w:t>E41_Appellation</w:t>
      </w:r>
      <w:r>
        <w:t xml:space="preserve"> doivent également être déclarées comme des instances de </w:t>
      </w:r>
      <w:r>
        <w:rPr>
          <w:rStyle w:val="VerbatimChar"/>
        </w:rPr>
        <w:t>E33_Objet_linguistique</w:t>
      </w:r>
      <w:r>
        <w:t>. Ensuite, la langue utilisant l</w:t>
      </w:r>
      <w:r w:rsidR="00E84B0E">
        <w:t>’</w:t>
      </w:r>
      <w:r>
        <w:t xml:space="preserve">appellation peut être déclarée avec la propriété </w:t>
      </w:r>
      <w:r>
        <w:rPr>
          <w:rStyle w:val="VerbatimChar"/>
        </w:rPr>
        <w:t>P72_a_pour_langue (est_la_langue_de)</w:t>
      </w:r>
      <w:r w:rsidR="00AA48C9">
        <w:t> :</w:t>
      </w:r>
      <w:r>
        <w:t xml:space="preserve"> </w:t>
      </w:r>
      <w:r>
        <w:rPr>
          <w:rStyle w:val="VerbatimChar"/>
        </w:rPr>
        <w:t>E56_Langue</w:t>
      </w:r>
      <w:r>
        <w:t>.</w:t>
      </w:r>
    </w:p>
    <w:p w14:paraId="543EC261" w14:textId="6DCE1ED6" w:rsidR="00065317" w:rsidRDefault="005C7BF7">
      <w:pPr>
        <w:pStyle w:val="Corpsdetexte"/>
      </w:pPr>
      <w:r>
        <w:t xml:space="preserve">Les instances de </w:t>
      </w:r>
      <w:r>
        <w:rPr>
          <w:rStyle w:val="VerbatimChar"/>
        </w:rPr>
        <w:t>E41_Appellation</w:t>
      </w:r>
      <w:r>
        <w:t xml:space="preserve"> peuvent être utilisées pour identifier toute instance de </w:t>
      </w:r>
      <w:r>
        <w:rPr>
          <w:rStyle w:val="VerbatimChar"/>
        </w:rPr>
        <w:t>E1_Entité_CRM</w:t>
      </w:r>
      <w:r>
        <w:t xml:space="preserve">. Elles sont parfois caractéristiques des instances de certaines sous-classes plus spécifiques de </w:t>
      </w:r>
      <w:r>
        <w:rPr>
          <w:rStyle w:val="VerbatimChar"/>
        </w:rPr>
        <w:t>E1_Entité_CRM</w:t>
      </w:r>
      <w:r>
        <w:t>. C</w:t>
      </w:r>
      <w:r w:rsidR="00E84B0E">
        <w:t>’</w:t>
      </w:r>
      <w:r>
        <w:t xml:space="preserve">est le cas des instances de </w:t>
      </w:r>
      <w:r>
        <w:rPr>
          <w:rStyle w:val="VerbatimChar"/>
        </w:rPr>
        <w:t>E52_Intervalle_temporel</w:t>
      </w:r>
      <w:r>
        <w:t xml:space="preserve"> (par exemple « dates »), </w:t>
      </w:r>
      <w:r>
        <w:rPr>
          <w:rStyle w:val="VerbatimChar"/>
        </w:rPr>
        <w:t>E39_Actant</w:t>
      </w:r>
      <w:r>
        <w:t xml:space="preserve">, </w:t>
      </w:r>
      <w:r>
        <w:rPr>
          <w:rStyle w:val="VerbatimChar"/>
        </w:rPr>
        <w:t>E53_Lieu</w:t>
      </w:r>
      <w:r>
        <w:t xml:space="preserve"> ou </w:t>
      </w:r>
      <w:r>
        <w:rPr>
          <w:rStyle w:val="VerbatimChar"/>
        </w:rPr>
        <w:t>E28_Objet_conceptuel</w:t>
      </w:r>
      <w:r>
        <w:t>. Les adresses postales et les adresses courriel sont des exemples caractéristiques d</w:t>
      </w:r>
      <w:r w:rsidR="00E84B0E">
        <w:t>’</w:t>
      </w:r>
      <w:r>
        <w:t>identifiants utilisés par des services acheminant des choses entre des clients.</w:t>
      </w:r>
    </w:p>
    <w:p w14:paraId="06B3DD15" w14:textId="2AC78D07" w:rsidR="00065317" w:rsidRDefault="005C7BF7">
      <w:pPr>
        <w:pStyle w:val="Corpsdetexte"/>
      </w:pPr>
      <w:r>
        <w:t xml:space="preserve">Même les identifiants exprimés numériquement pour désigner des étendues spatiales ou temporelles, telles que les dates du calendrier grégorien ou les coordonnées spatiales, sont considérés comme des instances de </w:t>
      </w:r>
      <w:r>
        <w:rPr>
          <w:rStyle w:val="VerbatimChar"/>
        </w:rPr>
        <w:t>E41_Appellation</w:t>
      </w:r>
      <w:r>
        <w:t>, et ce, même s</w:t>
      </w:r>
      <w:r w:rsidR="00E84B0E">
        <w:t>’</w:t>
      </w:r>
      <w:r>
        <w:t xml:space="preserve">ils permettent de déterminer un temps ou un lieu par une </w:t>
      </w:r>
      <w:r>
        <w:lastRenderedPageBreak/>
        <w:t>procédure connue à partir d</w:t>
      </w:r>
      <w:r w:rsidR="00E84B0E">
        <w:t>’</w:t>
      </w:r>
      <w:r>
        <w:t xml:space="preserve">un point de référence, jouant ainsi un double rôle comme instance de </w:t>
      </w:r>
      <w:r>
        <w:rPr>
          <w:rStyle w:val="VerbatimChar"/>
        </w:rPr>
        <w:t>E41_Appellation et</w:t>
      </w:r>
      <w:r>
        <w:t xml:space="preserve"> </w:t>
      </w:r>
      <w:r>
        <w:rPr>
          <w:rStyle w:val="VerbatimChar"/>
        </w:rPr>
        <w:t>E59_Valeur_primitive</w:t>
      </w:r>
      <w:r>
        <w:t>.</w:t>
      </w:r>
    </w:p>
    <w:p w14:paraId="3D3519F0" w14:textId="2748CA86" w:rsidR="00065317" w:rsidRDefault="005C7BF7">
      <w:pPr>
        <w:pStyle w:val="Corpsdetexte"/>
      </w:pPr>
      <w:r>
        <w:t xml:space="preserve">Les instances de </w:t>
      </w:r>
      <w:r>
        <w:rPr>
          <w:rStyle w:val="VerbatimChar"/>
        </w:rPr>
        <w:t>E41_Appellation</w:t>
      </w:r>
      <w:r>
        <w:t xml:space="preserve"> ne doivent pas être confondues avec l</w:t>
      </w:r>
      <w:r w:rsidR="00E84B0E">
        <w:t>’</w:t>
      </w:r>
      <w:r>
        <w:t xml:space="preserve">acte de nommer quelque chose. Se reporter à </w:t>
      </w:r>
      <w:r>
        <w:rPr>
          <w:rStyle w:val="VerbatimChar"/>
        </w:rPr>
        <w:t>E15_Assignation_d</w:t>
      </w:r>
      <w:r w:rsidR="00E84B0E">
        <w:rPr>
          <w:rStyle w:val="VerbatimChar"/>
        </w:rPr>
        <w:t>’</w:t>
      </w:r>
      <w:r>
        <w:rPr>
          <w:rStyle w:val="VerbatimChar"/>
        </w:rPr>
        <w:t>identifiant</w:t>
      </w:r>
      <w:r>
        <w:t>.</w:t>
      </w:r>
    </w:p>
    <w:p w14:paraId="3930E594" w14:textId="77777777" w:rsidR="00065317" w:rsidRDefault="005C7BF7">
      <w:pPr>
        <w:pStyle w:val="Corpsdetexte"/>
      </w:pPr>
      <w:r>
        <w:rPr>
          <w:b/>
          <w:bCs/>
        </w:rPr>
        <w:t>Exemples</w:t>
      </w:r>
    </w:p>
    <w:p w14:paraId="23E42CFE" w14:textId="77777777" w:rsidR="00065317" w:rsidRDefault="005C7BF7">
      <w:pPr>
        <w:numPr>
          <w:ilvl w:val="0"/>
          <w:numId w:val="97"/>
        </w:numPr>
      </w:pPr>
      <w:r>
        <w:t>« Martin »</w:t>
      </w:r>
    </w:p>
    <w:p w14:paraId="039ED808" w14:textId="10C0C3C4" w:rsidR="00065317" w:rsidRDefault="005C7BF7">
      <w:pPr>
        <w:numPr>
          <w:ilvl w:val="0"/>
          <w:numId w:val="97"/>
        </w:numPr>
      </w:pPr>
      <w:r>
        <w:t>« Aqu</w:t>
      </w:r>
      <w:r w:rsidR="00E6427C">
        <w:t>æ</w:t>
      </w:r>
      <w:r>
        <w:t xml:space="preserve"> Sulis Minerva »</w:t>
      </w:r>
    </w:p>
    <w:p w14:paraId="7FD25084" w14:textId="77777777" w:rsidR="00065317" w:rsidRDefault="005C7BF7">
      <w:pPr>
        <w:numPr>
          <w:ilvl w:val="0"/>
          <w:numId w:val="97"/>
        </w:numPr>
      </w:pPr>
      <w:r>
        <w:t>« Le Marchand de Venise » (</w:t>
      </w:r>
      <w:r>
        <w:rPr>
          <w:rStyle w:val="VerbatimChar"/>
        </w:rPr>
        <w:t>E35_Titre</w:t>
      </w:r>
      <w:r>
        <w:t>) (McCullough, 2005)</w:t>
      </w:r>
    </w:p>
    <w:p w14:paraId="4267DF33" w14:textId="43C6847D" w:rsidR="00065317" w:rsidRDefault="005C7BF7">
      <w:pPr>
        <w:numPr>
          <w:ilvl w:val="0"/>
          <w:numId w:val="97"/>
        </w:numPr>
      </w:pPr>
      <w:r>
        <w:t>« Spigelia marilandica (L.) L. » [pas l</w:t>
      </w:r>
      <w:r w:rsidR="00E84B0E">
        <w:t>’</w:t>
      </w:r>
      <w:r>
        <w:t>espèce, juste son nom] (Hershberger, Robacker &amp; Jenkins, 2015)</w:t>
      </w:r>
    </w:p>
    <w:p w14:paraId="25EA7C20" w14:textId="2AD9BABA" w:rsidR="00065317" w:rsidRDefault="005C7BF7">
      <w:pPr>
        <w:numPr>
          <w:ilvl w:val="0"/>
          <w:numId w:val="97"/>
        </w:numPr>
      </w:pPr>
      <w:r>
        <w:t>« Science de l</w:t>
      </w:r>
      <w:r w:rsidR="00E84B0E">
        <w:t>’</w:t>
      </w:r>
      <w:r>
        <w:t>information » [pas la science elle-même, mais le nom par lequel on s</w:t>
      </w:r>
      <w:r w:rsidR="00E84B0E">
        <w:t>’</w:t>
      </w:r>
      <w:r>
        <w:t>y réfère dans un contexte francophone]</w:t>
      </w:r>
    </w:p>
    <w:p w14:paraId="2FA88DE0" w14:textId="6DED61A2" w:rsidR="00065317" w:rsidRDefault="005C7BF7">
      <w:pPr>
        <w:numPr>
          <w:ilvl w:val="0"/>
          <w:numId w:val="97"/>
        </w:numPr>
      </w:pPr>
      <w:r>
        <w:t>« 安 » [[</w:t>
      </w:r>
      <w:r w:rsidR="00AF51A3">
        <w:t xml:space="preserve">n.d.t. </w:t>
      </w:r>
      <w:r>
        <w:t>Sinogramme et kanji] chinois. [</w:t>
      </w:r>
      <w:r w:rsidR="00AF51A3">
        <w:t xml:space="preserve">n.d.t. </w:t>
      </w:r>
      <w:r>
        <w:t>En transcription hanyu pinyin], « An » veut dire « paix »]</w:t>
      </w:r>
      <w:r>
        <w:rPr>
          <w:vertAlign w:val="superscript"/>
        </w:rPr>
        <w:t>1</w:t>
      </w:r>
    </w:p>
    <w:p w14:paraId="70579154" w14:textId="380DAF75" w:rsidR="00065317" w:rsidRDefault="005C7BF7">
      <w:pPr>
        <w:numPr>
          <w:ilvl w:val="0"/>
          <w:numId w:val="97"/>
        </w:numPr>
      </w:pPr>
      <w:r>
        <w:t>« 6°5</w:t>
      </w:r>
      <w:r w:rsidR="00E84B0E">
        <w:t>’</w:t>
      </w:r>
      <w:r>
        <w:t>29”N 45°12</w:t>
      </w:r>
      <w:r w:rsidR="00E84B0E">
        <w:t>’</w:t>
      </w:r>
      <w:r>
        <w:t>13”O » [exemple d</w:t>
      </w:r>
      <w:r w:rsidR="00E84B0E">
        <w:t>’</w:t>
      </w:r>
      <w:r>
        <w:t>une coordonnée géographique]</w:t>
      </w:r>
    </w:p>
    <w:p w14:paraId="6A6F443D" w14:textId="77777777" w:rsidR="00065317" w:rsidRDefault="005C7BF7">
      <w:pPr>
        <w:numPr>
          <w:ilvl w:val="0"/>
          <w:numId w:val="97"/>
        </w:numPr>
      </w:pPr>
      <w:r>
        <w:t>« Le fou de la reine noire en g4 » [une coordonnée aux échecs, un exemple de coordonnée spatiale dans un espace conceptuel (</w:t>
      </w:r>
      <w:r>
        <w:rPr>
          <w:rStyle w:val="VerbatimChar"/>
        </w:rPr>
        <w:t>E89_Objet_propositionnel</w:t>
      </w:r>
      <w:r>
        <w:t>)]</w:t>
      </w:r>
    </w:p>
    <w:p w14:paraId="4999DAC3" w14:textId="77777777" w:rsidR="00065317" w:rsidRDefault="005C7BF7">
      <w:pPr>
        <w:numPr>
          <w:ilvl w:val="0"/>
          <w:numId w:val="97"/>
        </w:numPr>
      </w:pPr>
      <w:r>
        <w:t>« 19-MAR-1922 » [exemple de date]</w:t>
      </w:r>
    </w:p>
    <w:p w14:paraId="2E6A3552" w14:textId="77777777" w:rsidR="00065317" w:rsidRDefault="005C7BF7">
      <w:pPr>
        <w:numPr>
          <w:ilvl w:val="0"/>
          <w:numId w:val="97"/>
        </w:numPr>
      </w:pPr>
      <w:r>
        <w:t>« +41 22 418 5571 » [exemple de point de contact]</w:t>
      </w:r>
    </w:p>
    <w:p w14:paraId="3B8C5365" w14:textId="77777777" w:rsidR="00065317" w:rsidRDefault="005C7BF7">
      <w:pPr>
        <w:numPr>
          <w:ilvl w:val="0"/>
          <w:numId w:val="97"/>
        </w:numPr>
      </w:pPr>
      <w:r>
        <w:t>« weasel@paveprime.com » [exemple de point de contact]</w:t>
      </w:r>
    </w:p>
    <w:p w14:paraId="116823E9" w14:textId="2644DB45" w:rsidR="00065317" w:rsidRDefault="005C7BF7">
      <w:pPr>
        <w:numPr>
          <w:ilvl w:val="0"/>
          <w:numId w:val="97"/>
        </w:numPr>
      </w:pPr>
      <w:r>
        <w:t>« CH-1211, Genève » [exemple d</w:t>
      </w:r>
      <w:r w:rsidR="00E84B0E">
        <w:t>’</w:t>
      </w:r>
      <w:r>
        <w:t>appellation de lieu]</w:t>
      </w:r>
    </w:p>
    <w:p w14:paraId="6336496E" w14:textId="29B4AF84" w:rsidR="00065317" w:rsidRDefault="005C7BF7">
      <w:pPr>
        <w:numPr>
          <w:ilvl w:val="0"/>
          <w:numId w:val="97"/>
        </w:numPr>
      </w:pPr>
      <w:r>
        <w:t>« 1-29-3 Otsuka, Bunkyo-ku, Tokyo, 121, Japan » [exemple d</w:t>
      </w:r>
      <w:r w:rsidR="00E84B0E">
        <w:t>’</w:t>
      </w:r>
      <w:r>
        <w:t>adresse postale]</w:t>
      </w:r>
    </w:p>
    <w:p w14:paraId="34ABEC1C" w14:textId="698B83DA" w:rsidR="00065317" w:rsidRDefault="005C7BF7">
      <w:pPr>
        <w:numPr>
          <w:ilvl w:val="0"/>
          <w:numId w:val="97"/>
        </w:numPr>
      </w:pPr>
      <w:r>
        <w:t>« la dunette du HMS Victory » [exemple de définition d</w:t>
      </w:r>
      <w:r w:rsidR="00E84B0E">
        <w:t>’</w:t>
      </w:r>
      <w:r>
        <w:t>une section sur un objet élaboré par l</w:t>
      </w:r>
      <w:r w:rsidR="00E84B0E">
        <w:t>’</w:t>
      </w:r>
      <w:r>
        <w:t>humain (</w:t>
      </w:r>
      <w:r>
        <w:rPr>
          <w:rStyle w:val="VerbatimChar"/>
        </w:rPr>
        <w:t>E22_Objet_élaboré_par_l</w:t>
      </w:r>
      <w:r w:rsidR="00E84B0E">
        <w:rPr>
          <w:rStyle w:val="VerbatimChar"/>
        </w:rPr>
        <w:t>’</w:t>
      </w:r>
      <w:r>
        <w:rPr>
          <w:rStyle w:val="VerbatimChar"/>
        </w:rPr>
        <w:t>humain</w:t>
      </w:r>
      <w:r>
        <w:t>)]</w:t>
      </w:r>
    </w:p>
    <w:p w14:paraId="428DBE45" w14:textId="2FFE98CF" w:rsidR="00065317" w:rsidRDefault="005C7BF7">
      <w:pPr>
        <w:numPr>
          <w:ilvl w:val="0"/>
          <w:numId w:val="97"/>
        </w:numPr>
      </w:pPr>
      <w:r>
        <w:t>« la fesse gauche de la Vénus de Milo » [exemple de définition d</w:t>
      </w:r>
      <w:r w:rsidR="00E84B0E">
        <w:t>’</w:t>
      </w:r>
      <w:r>
        <w:t>une section sur un objet élaboré par l</w:t>
      </w:r>
      <w:r w:rsidR="00E84B0E">
        <w:t>’</w:t>
      </w:r>
      <w:r>
        <w:t>humain (</w:t>
      </w:r>
      <w:r>
        <w:rPr>
          <w:rStyle w:val="VerbatimChar"/>
        </w:rPr>
        <w:t>E22_Objet_élaboré_par_l</w:t>
      </w:r>
      <w:r w:rsidR="00E84B0E">
        <w:rPr>
          <w:rStyle w:val="VerbatimChar"/>
        </w:rPr>
        <w:t>’</w:t>
      </w:r>
      <w:r>
        <w:rPr>
          <w:rStyle w:val="VerbatimChar"/>
        </w:rPr>
        <w:t>humain</w:t>
      </w:r>
      <w:r>
        <w:t>)]</w:t>
      </w:r>
    </w:p>
    <w:p w14:paraId="52C93D93" w14:textId="77777777" w:rsidR="00065317" w:rsidRDefault="005C7BF7">
      <w:pPr>
        <w:pStyle w:val="FirstParagraph"/>
      </w:pPr>
      <w:r>
        <w:rPr>
          <w:b/>
          <w:bCs/>
        </w:rPr>
        <w:t>Logique</w:t>
      </w:r>
    </w:p>
    <w:p w14:paraId="0D4C0872" w14:textId="77777777" w:rsidR="00065317" w:rsidRDefault="005C7BF7">
      <w:pPr>
        <w:pStyle w:val="Corpsdetexte"/>
      </w:pPr>
      <w:r>
        <w:t>E41(x) ⇒ E90(x)</w:t>
      </w:r>
    </w:p>
    <w:p w14:paraId="38ECC14D" w14:textId="77777777" w:rsidR="00065317" w:rsidRDefault="005C7BF7">
      <w:pPr>
        <w:pStyle w:val="Corpsdetexte"/>
      </w:pPr>
      <w:r>
        <w:rPr>
          <w:b/>
          <w:bCs/>
        </w:rPr>
        <w:t>Propriétés</w:t>
      </w:r>
    </w:p>
    <w:p w14:paraId="6DC0702D" w14:textId="77777777" w:rsidR="00065317" w:rsidRDefault="005C7BF7">
      <w:pPr>
        <w:pStyle w:val="Corpsdetexte"/>
      </w:pPr>
      <w:r>
        <w:rPr>
          <w:rStyle w:val="VerbatimChar"/>
        </w:rPr>
        <w:t>P139_a_pour_forme_alternative (est_la_forme_alternative_de)</w:t>
      </w:r>
      <w:r>
        <w:t xml:space="preserve"> : </w:t>
      </w:r>
      <w:r>
        <w:rPr>
          <w:rStyle w:val="VerbatimChar"/>
        </w:rPr>
        <w:t>E41_Appellation</w:t>
      </w:r>
    </w:p>
    <w:p w14:paraId="0A9C59F3" w14:textId="77777777" w:rsidR="00065317" w:rsidRDefault="005C7BF7">
      <w:pPr>
        <w:pStyle w:val="Corpsdetexte"/>
      </w:pPr>
      <w:r>
        <w:t>(</w:t>
      </w:r>
      <w:r>
        <w:rPr>
          <w:rStyle w:val="VerbatimChar"/>
        </w:rPr>
        <w:t>P139.1_a_pour_type</w:t>
      </w:r>
      <w:r>
        <w:t xml:space="preserve"> : </w:t>
      </w:r>
      <w:r>
        <w:rPr>
          <w:rStyle w:val="VerbatimChar"/>
        </w:rPr>
        <w:t>E55_Type</w:t>
      </w:r>
      <w:r>
        <w:t>)</w:t>
      </w:r>
    </w:p>
    <w:p w14:paraId="18F60DD7" w14:textId="77777777" w:rsidR="00C86352" w:rsidRDefault="00C86352">
      <w:pPr>
        <w:spacing w:after="0"/>
        <w:rPr>
          <w:b/>
          <w:bCs/>
          <w:i/>
          <w:iCs/>
          <w:sz w:val="22"/>
        </w:rPr>
      </w:pPr>
      <w:r>
        <w:rPr>
          <w:b/>
          <w:bCs/>
          <w:i/>
          <w:iCs/>
        </w:rPr>
        <w:br w:type="page"/>
      </w:r>
    </w:p>
    <w:p w14:paraId="2B336C76" w14:textId="00D57BAB" w:rsidR="00065317" w:rsidRDefault="005C7BF7">
      <w:pPr>
        <w:pStyle w:val="Normalcentr"/>
      </w:pPr>
      <w:r>
        <w:rPr>
          <w:b/>
          <w:bCs/>
          <w:i/>
          <w:iCs/>
        </w:rPr>
        <w:lastRenderedPageBreak/>
        <w:t>Note de traduction</w:t>
      </w:r>
    </w:p>
    <w:p w14:paraId="6ED4B2A5" w14:textId="77777777" w:rsidR="00065317" w:rsidRDefault="005C7BF7">
      <w:pPr>
        <w:pStyle w:val="Normalcentr"/>
      </w:pPr>
      <w:r>
        <w:rPr>
          <w:b/>
          <w:bCs/>
          <w:i/>
          <w:iCs/>
        </w:rPr>
        <w:t>Références</w:t>
      </w:r>
    </w:p>
    <w:p w14:paraId="70D66497" w14:textId="2E80C2E3" w:rsidR="00065317" w:rsidRDefault="005C7BF7">
      <w:pPr>
        <w:pStyle w:val="Normalcentr"/>
      </w:pPr>
      <w:r w:rsidRPr="00914F34">
        <w:rPr>
          <w:lang w:val="fr-CA"/>
        </w:rPr>
        <w:t xml:space="preserve">Wikipédia. </w:t>
      </w:r>
      <w:r w:rsidRPr="00EC2D6E">
        <w:rPr>
          <w:lang w:val="en-CA"/>
        </w:rPr>
        <w:t xml:space="preserve">« </w:t>
      </w:r>
      <w:r>
        <w:t>安</w:t>
      </w:r>
      <w:r w:rsidRPr="00EC2D6E">
        <w:rPr>
          <w:lang w:val="en-CA"/>
        </w:rPr>
        <w:t xml:space="preserve"> ». Dans </w:t>
      </w:r>
      <w:r w:rsidRPr="00EC2D6E">
        <w:rPr>
          <w:i/>
          <w:iCs/>
          <w:lang w:val="en-CA"/>
        </w:rPr>
        <w:t>Wikipédia</w:t>
      </w:r>
      <w:r w:rsidRPr="00EC2D6E">
        <w:rPr>
          <w:lang w:val="en-CA"/>
        </w:rPr>
        <w:t>. San Francisco, US-CA: Wikipédia, 21</w:t>
      </w:r>
      <w:r w:rsidR="00056DCD">
        <w:rPr>
          <w:lang w:val="en-CA"/>
        </w:rPr>
        <w:t> octobre </w:t>
      </w:r>
      <w:r w:rsidRPr="00EC2D6E">
        <w:rPr>
          <w:lang w:val="en-CA"/>
        </w:rPr>
        <w:t>2020.</w:t>
      </w:r>
      <w:hyperlink r:id="rId190">
        <w:r w:rsidRPr="00EC2D6E">
          <w:rPr>
            <w:rStyle w:val="Lienhypertexte"/>
            <w:lang w:val="en-CA"/>
          </w:rPr>
          <w:t xml:space="preserve"> </w:t>
        </w:r>
      </w:hyperlink>
      <w:hyperlink r:id="rId191">
        <w:r>
          <w:rPr>
            <w:rStyle w:val="Lienhypertexte"/>
          </w:rPr>
          <w:t>https://fr.wikipedia.org/w/index.php?title=%E5%AE%89</w:t>
        </w:r>
      </w:hyperlink>
      <w:r>
        <w:t>.</w:t>
      </w:r>
    </w:p>
    <w:p w14:paraId="6BDDF069" w14:textId="77777777" w:rsidR="00065317" w:rsidRDefault="005C7BF7" w:rsidP="00914F34">
      <w:pPr>
        <w:pStyle w:val="Titre3"/>
      </w:pPr>
      <w:bookmarkStart w:id="182" w:name="_Toc154048776"/>
      <w:bookmarkStart w:id="183" w:name="e42-identifiant"/>
      <w:bookmarkEnd w:id="181"/>
      <w:r>
        <w:t>E42 Identifiant</w:t>
      </w:r>
      <w:bookmarkEnd w:id="182"/>
    </w:p>
    <w:p w14:paraId="3C5CDA37" w14:textId="77777777" w:rsidR="00065317" w:rsidRDefault="005C7BF7">
      <w:pPr>
        <w:pStyle w:val="FirstParagraph"/>
      </w:pPr>
      <w:r>
        <w:rPr>
          <w:b/>
          <w:bCs/>
        </w:rPr>
        <w:t>Sous-classe de</w:t>
      </w:r>
    </w:p>
    <w:p w14:paraId="512C4360" w14:textId="77777777" w:rsidR="00065317" w:rsidRDefault="005C7BF7">
      <w:pPr>
        <w:pStyle w:val="Corpsdetexte"/>
      </w:pPr>
      <w:r>
        <w:rPr>
          <w:rStyle w:val="VerbatimChar"/>
        </w:rPr>
        <w:t>E41_Appellation</w:t>
      </w:r>
    </w:p>
    <w:p w14:paraId="2A219A16" w14:textId="77777777" w:rsidR="00065317" w:rsidRDefault="005C7BF7">
      <w:pPr>
        <w:pStyle w:val="Corpsdetexte"/>
      </w:pPr>
      <w:r>
        <w:rPr>
          <w:b/>
          <w:bCs/>
        </w:rPr>
        <w:t>Super-classe de</w:t>
      </w:r>
    </w:p>
    <w:p w14:paraId="6620FA28" w14:textId="0821E43C" w:rsidR="00065317" w:rsidRDefault="005C7BF7">
      <w:pPr>
        <w:pStyle w:val="Corpsdetexte"/>
      </w:pPr>
      <w:r>
        <w:rPr>
          <w:b/>
          <w:bCs/>
        </w:rPr>
        <w:t>Note d</w:t>
      </w:r>
      <w:r w:rsidR="00E84B0E">
        <w:rPr>
          <w:b/>
          <w:bCs/>
        </w:rPr>
        <w:t>’</w:t>
      </w:r>
      <w:r>
        <w:rPr>
          <w:b/>
          <w:bCs/>
        </w:rPr>
        <w:t>application</w:t>
      </w:r>
    </w:p>
    <w:p w14:paraId="1A29CB44" w14:textId="45C3C09C" w:rsidR="00065317" w:rsidRDefault="005C7BF7">
      <w:pPr>
        <w:pStyle w:val="Corpsdetexte"/>
      </w:pPr>
      <w:r>
        <w:t xml:space="preserve">Cette classe comprend des chaînes de caractères ou des codes assignés à des instances de </w:t>
      </w:r>
      <w:r>
        <w:rPr>
          <w:rStyle w:val="VerbatimChar"/>
        </w:rPr>
        <w:t>E1_Entité_CRM</w:t>
      </w:r>
      <w:r>
        <w:t xml:space="preserve"> afin de les identifier de manière unique et pérenne dans le contexte d</w:t>
      </w:r>
      <w:r w:rsidR="00E84B0E">
        <w:t>’</w:t>
      </w:r>
      <w:r>
        <w:t>une ou de plusieurs organisations. Ces codes sont souvent appelés numéros d</w:t>
      </w:r>
      <w:r w:rsidR="00E84B0E">
        <w:t>’</w:t>
      </w:r>
      <w:r>
        <w:t>inventaire, codes d</w:t>
      </w:r>
      <w:r w:rsidR="00E84B0E">
        <w:t>’</w:t>
      </w:r>
      <w:r>
        <w:t>enregistrement, etc. et sont typiquement composés de séquences alphanumériques. Les adresses postales, les numéros de téléphone, les URL et les adresses courriel sont des exemples caractéristiques d</w:t>
      </w:r>
      <w:r w:rsidR="00E84B0E">
        <w:t>’</w:t>
      </w:r>
      <w:r>
        <w:t>identifiants utilisés par des services acheminant des choses entre des clients.</w:t>
      </w:r>
    </w:p>
    <w:p w14:paraId="5067B769" w14:textId="60D6421A" w:rsidR="00065317" w:rsidRDefault="005C7BF7">
      <w:pPr>
        <w:pStyle w:val="Corpsdetexte"/>
      </w:pPr>
      <w:r>
        <w:t xml:space="preserve">La classe </w:t>
      </w:r>
      <w:r>
        <w:rPr>
          <w:rStyle w:val="VerbatimChar"/>
        </w:rPr>
        <w:t>E42_Identifiant</w:t>
      </w:r>
      <w:r>
        <w:t xml:space="preserve"> n</w:t>
      </w:r>
      <w:r w:rsidR="00E84B0E">
        <w:t>’</w:t>
      </w:r>
      <w:r>
        <w:t>est normalement pas utilisée pour représenter des identifiants générés par la machine et utilisés pour le traitement automatisé, sauf si ceux-ci sont aussi utilisés par des agents humains.</w:t>
      </w:r>
    </w:p>
    <w:p w14:paraId="35F40A77" w14:textId="77777777" w:rsidR="00065317" w:rsidRDefault="005C7BF7">
      <w:pPr>
        <w:pStyle w:val="Corpsdetexte"/>
      </w:pPr>
      <w:r>
        <w:rPr>
          <w:b/>
          <w:bCs/>
        </w:rPr>
        <w:t>Exemples</w:t>
      </w:r>
    </w:p>
    <w:p w14:paraId="6E425078" w14:textId="77777777" w:rsidR="00065317" w:rsidRDefault="005C7BF7">
      <w:pPr>
        <w:numPr>
          <w:ilvl w:val="0"/>
          <w:numId w:val="98"/>
        </w:numPr>
      </w:pPr>
      <w:r>
        <w:t>« MM.GE.195 »</w:t>
      </w:r>
    </w:p>
    <w:p w14:paraId="0115F240" w14:textId="77777777" w:rsidR="00065317" w:rsidRDefault="005C7BF7">
      <w:pPr>
        <w:numPr>
          <w:ilvl w:val="0"/>
          <w:numId w:val="98"/>
        </w:numPr>
      </w:pPr>
      <w:r>
        <w:t>« 13.45.1976 »</w:t>
      </w:r>
    </w:p>
    <w:p w14:paraId="41FB2F08" w14:textId="77777777" w:rsidR="00065317" w:rsidRDefault="005C7BF7">
      <w:pPr>
        <w:numPr>
          <w:ilvl w:val="0"/>
          <w:numId w:val="98"/>
        </w:numPr>
      </w:pPr>
      <w:r>
        <w:t>« OXCMS: 1997.4.1 » (fictif)</w:t>
      </w:r>
    </w:p>
    <w:p w14:paraId="5C481F12" w14:textId="77777777" w:rsidR="00065317" w:rsidRDefault="005C7BF7">
      <w:pPr>
        <w:numPr>
          <w:ilvl w:val="0"/>
          <w:numId w:val="98"/>
        </w:numPr>
      </w:pPr>
      <w:r>
        <w:t>ISSN « 0041-5278 » [identifiant du « The UNESCO Courier » en version imprimée]</w:t>
      </w:r>
    </w:p>
    <w:p w14:paraId="55DCE0AF" w14:textId="07615825" w:rsidR="00065317" w:rsidRDefault="005C7BF7">
      <w:pPr>
        <w:numPr>
          <w:ilvl w:val="0"/>
          <w:numId w:val="98"/>
        </w:numPr>
      </w:pPr>
      <w:r>
        <w:t>ISRC « FIFIN8900116 » [Identifiant du « Kraft (29 min 14 s) / Magnus Lindberg, comp.; Toimii Ensemble; Swedish Radio symphony orchestra; Esa-Pekka Salonen, dir. »]</w:t>
      </w:r>
    </w:p>
    <w:p w14:paraId="15A4900A" w14:textId="77777777" w:rsidR="00065317" w:rsidRDefault="005C7BF7">
      <w:pPr>
        <w:numPr>
          <w:ilvl w:val="0"/>
          <w:numId w:val="98"/>
        </w:numPr>
      </w:pPr>
      <w:r>
        <w:t>Cote « Res 8 P 10 »</w:t>
      </w:r>
    </w:p>
    <w:p w14:paraId="653689C6" w14:textId="6127B1F1" w:rsidR="00065317" w:rsidRDefault="005C7BF7">
      <w:pPr>
        <w:numPr>
          <w:ilvl w:val="0"/>
          <w:numId w:val="98"/>
        </w:numPr>
      </w:pPr>
      <w:r>
        <w:t>« Guillaume de Machaut (1300?-1377) » [un nom de personne utilisé dans une vedette d</w:t>
      </w:r>
      <w:r w:rsidR="00E84B0E">
        <w:t>’</w:t>
      </w:r>
      <w:r>
        <w:t>autorité qui suit les règles de catalogage françaises] (Reaney, 1974)</w:t>
      </w:r>
    </w:p>
    <w:p w14:paraId="78506F55" w14:textId="77777777" w:rsidR="00065317" w:rsidRDefault="005C7BF7">
      <w:pPr>
        <w:numPr>
          <w:ilvl w:val="0"/>
          <w:numId w:val="98"/>
        </w:numPr>
      </w:pPr>
      <w:r>
        <w:t>« +41 22 418 5571 »</w:t>
      </w:r>
    </w:p>
    <w:p w14:paraId="40CBFA21" w14:textId="77777777" w:rsidR="00065317" w:rsidRDefault="00C738AA">
      <w:pPr>
        <w:numPr>
          <w:ilvl w:val="0"/>
          <w:numId w:val="98"/>
        </w:numPr>
      </w:pPr>
      <w:hyperlink r:id="rId192">
        <w:r w:rsidR="005C7BF7">
          <w:rPr>
            <w:rStyle w:val="Lienhypertexte"/>
          </w:rPr>
          <w:t>weasel@paveprime.com</w:t>
        </w:r>
      </w:hyperlink>
    </w:p>
    <w:p w14:paraId="6C478D57" w14:textId="77777777" w:rsidR="00065317" w:rsidRDefault="005C7BF7">
      <w:pPr>
        <w:numPr>
          <w:ilvl w:val="0"/>
          <w:numId w:val="98"/>
        </w:numPr>
      </w:pPr>
      <w:r>
        <w:t>« Rue David Dufour 5, CH-1211, Genève »</w:t>
      </w:r>
    </w:p>
    <w:p w14:paraId="10063C24" w14:textId="77777777" w:rsidR="00065317" w:rsidRDefault="005C7BF7">
      <w:pPr>
        <w:numPr>
          <w:ilvl w:val="0"/>
          <w:numId w:val="98"/>
        </w:numPr>
      </w:pPr>
      <w:r>
        <w:t>« 1-29-3 Otsuka, Bunkyo-ku, Tokyo, 121, Japan »</w:t>
      </w:r>
    </w:p>
    <w:p w14:paraId="5A3DFC88" w14:textId="77777777" w:rsidR="00065317" w:rsidRDefault="005C7BF7">
      <w:pPr>
        <w:pStyle w:val="FirstParagraph"/>
      </w:pPr>
      <w:r>
        <w:rPr>
          <w:b/>
          <w:bCs/>
        </w:rPr>
        <w:t>Logique</w:t>
      </w:r>
    </w:p>
    <w:p w14:paraId="170DC3E0" w14:textId="77777777" w:rsidR="00065317" w:rsidRDefault="005C7BF7">
      <w:pPr>
        <w:pStyle w:val="Corpsdetexte"/>
      </w:pPr>
      <w:r>
        <w:t>E42(x) ⇒ E41(x)</w:t>
      </w:r>
    </w:p>
    <w:p w14:paraId="1950A31B" w14:textId="77777777" w:rsidR="00C86352" w:rsidRDefault="00C86352">
      <w:pPr>
        <w:spacing w:after="0"/>
        <w:rPr>
          <w:b/>
          <w:bCs/>
        </w:rPr>
      </w:pPr>
      <w:r>
        <w:rPr>
          <w:b/>
          <w:bCs/>
        </w:rPr>
        <w:br w:type="page"/>
      </w:r>
    </w:p>
    <w:p w14:paraId="06203362" w14:textId="327DA5DB" w:rsidR="00065317" w:rsidRDefault="005C7BF7">
      <w:pPr>
        <w:pStyle w:val="Corpsdetexte"/>
      </w:pPr>
      <w:r>
        <w:rPr>
          <w:b/>
          <w:bCs/>
        </w:rPr>
        <w:lastRenderedPageBreak/>
        <w:t>Propriétés</w:t>
      </w:r>
    </w:p>
    <w:p w14:paraId="1C5FE343" w14:textId="77777777" w:rsidR="00065317" w:rsidRDefault="005C7BF7">
      <w:pPr>
        <w:pStyle w:val="Normalcentr"/>
      </w:pPr>
      <w:r>
        <w:rPr>
          <w:b/>
          <w:bCs/>
          <w:i/>
          <w:iCs/>
        </w:rPr>
        <w:t>Note de traduction</w:t>
      </w:r>
    </w:p>
    <w:p w14:paraId="42D87687" w14:textId="3C7F454E" w:rsidR="00065317" w:rsidRDefault="005C7BF7" w:rsidP="00F02C72">
      <w:pPr>
        <w:pStyle w:val="Normalcentr"/>
      </w:pPr>
      <w:r>
        <w:rPr>
          <w:b/>
          <w:bCs/>
          <w:i/>
          <w:iCs/>
        </w:rPr>
        <w:t>Références</w:t>
      </w:r>
    </w:p>
    <w:p w14:paraId="0547EB8B" w14:textId="77777777" w:rsidR="00065317" w:rsidRDefault="005C7BF7" w:rsidP="00914F34">
      <w:pPr>
        <w:pStyle w:val="Titre3"/>
      </w:pPr>
      <w:bookmarkStart w:id="184" w:name="_Toc154048777"/>
      <w:bookmarkStart w:id="185" w:name="e52-intervalle-temporel"/>
      <w:bookmarkEnd w:id="183"/>
      <w:r>
        <w:t>E52 Intervalle temporel</w:t>
      </w:r>
      <w:bookmarkEnd w:id="184"/>
    </w:p>
    <w:p w14:paraId="3323E673" w14:textId="77777777" w:rsidR="00065317" w:rsidRDefault="005C7BF7">
      <w:pPr>
        <w:pStyle w:val="FirstParagraph"/>
      </w:pPr>
      <w:r>
        <w:rPr>
          <w:b/>
          <w:bCs/>
        </w:rPr>
        <w:t>Sous-classe de</w:t>
      </w:r>
    </w:p>
    <w:p w14:paraId="034C910A" w14:textId="77777777" w:rsidR="00065317" w:rsidRDefault="005C7BF7">
      <w:pPr>
        <w:pStyle w:val="Corpsdetexte"/>
      </w:pPr>
      <w:r>
        <w:rPr>
          <w:rStyle w:val="VerbatimChar"/>
        </w:rPr>
        <w:t>E1_Entité_CRM</w:t>
      </w:r>
    </w:p>
    <w:p w14:paraId="2B64D625" w14:textId="77777777" w:rsidR="00065317" w:rsidRDefault="005C7BF7">
      <w:pPr>
        <w:pStyle w:val="Corpsdetexte"/>
      </w:pPr>
      <w:r>
        <w:rPr>
          <w:b/>
          <w:bCs/>
        </w:rPr>
        <w:t>Super-classe de</w:t>
      </w:r>
    </w:p>
    <w:p w14:paraId="5678150C" w14:textId="6A62C894" w:rsidR="00065317" w:rsidRDefault="005C7BF7">
      <w:pPr>
        <w:pStyle w:val="Corpsdetexte"/>
      </w:pPr>
      <w:r>
        <w:rPr>
          <w:b/>
          <w:bCs/>
        </w:rPr>
        <w:t>Note d</w:t>
      </w:r>
      <w:r w:rsidR="00E84B0E">
        <w:rPr>
          <w:b/>
          <w:bCs/>
        </w:rPr>
        <w:t>’</w:t>
      </w:r>
      <w:r>
        <w:rPr>
          <w:b/>
          <w:bCs/>
        </w:rPr>
        <w:t>application</w:t>
      </w:r>
    </w:p>
    <w:p w14:paraId="57CC4267" w14:textId="77777777" w:rsidR="00065317" w:rsidRDefault="005C7BF7">
      <w:pPr>
        <w:pStyle w:val="Corpsdetexte"/>
      </w:pPr>
      <w:r>
        <w:t>Cette classe comprend des étendues temporelles abstraites, au sens de la physique galiléenne, ayant un début, une fin et une durée.</w:t>
      </w:r>
    </w:p>
    <w:p w14:paraId="521C497A" w14:textId="6ECBEAAB" w:rsidR="00065317" w:rsidRDefault="005C7BF7">
      <w:pPr>
        <w:pStyle w:val="Corpsdetexte"/>
      </w:pPr>
      <w:r>
        <w:t xml:space="preserve">Les instances de </w:t>
      </w:r>
      <w:r>
        <w:rPr>
          <w:rStyle w:val="VerbatimChar"/>
        </w:rPr>
        <w:t>E52_Intervalle_temporel</w:t>
      </w:r>
      <w:r>
        <w:t xml:space="preserve"> n</w:t>
      </w:r>
      <w:r w:rsidR="00E84B0E">
        <w:t>’</w:t>
      </w:r>
      <w:r>
        <w:t>ont aucune connotation sémantique au sujet des phénomènes se produisant dans l</w:t>
      </w:r>
      <w:r w:rsidR="00E84B0E">
        <w:t>’</w:t>
      </w:r>
      <w:r>
        <w:t>étendue temporelle qu</w:t>
      </w:r>
      <w:r w:rsidR="00E84B0E">
        <w:t>’</w:t>
      </w:r>
      <w:r>
        <w:t>elles représentent. Elles ne véhiculent aucun autre sens que celui du positionnement sur la « ligne du temps » de la chronologie. L</w:t>
      </w:r>
      <w:r w:rsidR="00E84B0E">
        <w:t>’</w:t>
      </w:r>
      <w:r>
        <w:t>étendue réelle d</w:t>
      </w:r>
      <w:r w:rsidR="00E84B0E">
        <w:t>’</w:t>
      </w:r>
      <w:r>
        <w:t xml:space="preserve">une instance de </w:t>
      </w:r>
      <w:r>
        <w:rPr>
          <w:rStyle w:val="VerbatimChar"/>
        </w:rPr>
        <w:t>E52_Intervalle_temporel</w:t>
      </w:r>
      <w:r>
        <w:t xml:space="preserve"> peut être estimée en se référant aux propriétés de </w:t>
      </w:r>
      <w:r>
        <w:rPr>
          <w:rStyle w:val="VerbatimChar"/>
        </w:rPr>
        <w:t>E52_Intervalle_temporel</w:t>
      </w:r>
      <w:r>
        <w:t xml:space="preserve"> qui indiquent des limites internes et externes sous la forme de dates (instances de </w:t>
      </w:r>
      <w:r>
        <w:rPr>
          <w:rStyle w:val="VerbatimChar"/>
        </w:rPr>
        <w:t>E61_Primitive_temporelle</w:t>
      </w:r>
      <w:r>
        <w:t>). La comparaison des connaissances sur les intervalles de temps est fondamentale pour le raisonnement chronologique.</w:t>
      </w:r>
    </w:p>
    <w:p w14:paraId="223BA1EB" w14:textId="29612E89" w:rsidR="00065317" w:rsidRDefault="005C7BF7">
      <w:pPr>
        <w:pStyle w:val="Corpsdetexte"/>
      </w:pPr>
      <w:r>
        <w:t xml:space="preserve">Certaines instances de </w:t>
      </w:r>
      <w:r>
        <w:rPr>
          <w:rStyle w:val="VerbatimChar"/>
        </w:rPr>
        <w:t>E52_Intervalle_temporel</w:t>
      </w:r>
      <w:r>
        <w:t xml:space="preserve"> peuvent être définies comme l</w:t>
      </w:r>
      <w:r w:rsidR="00E84B0E">
        <w:t>’</w:t>
      </w:r>
      <w:r>
        <w:t>étendue temporelle réelle, en principe observable, d</w:t>
      </w:r>
      <w:r w:rsidR="00E84B0E">
        <w:t>’</w:t>
      </w:r>
      <w:r>
        <w:t xml:space="preserve">instances de </w:t>
      </w:r>
      <w:r>
        <w:rPr>
          <w:rStyle w:val="VerbatimChar"/>
        </w:rPr>
        <w:t>E2_Entité_temporelle</w:t>
      </w:r>
      <w:r>
        <w:t xml:space="preserve"> au moyen de la propriété </w:t>
      </w:r>
      <w:r>
        <w:rPr>
          <w:rStyle w:val="VerbatimChar"/>
        </w:rPr>
        <w:t>P4_a_pour_intervalle_temporel (est_l</w:t>
      </w:r>
      <w:r w:rsidR="00E84B0E">
        <w:rPr>
          <w:rStyle w:val="VerbatimChar"/>
        </w:rPr>
        <w:t>’</w:t>
      </w:r>
      <w:r>
        <w:rPr>
          <w:rStyle w:val="VerbatimChar"/>
        </w:rPr>
        <w:t>intervalle_temporel_de)</w:t>
      </w:r>
      <w:r>
        <w:t xml:space="preserve"> : </w:t>
      </w:r>
      <w:r>
        <w:rPr>
          <w:rStyle w:val="VerbatimChar"/>
        </w:rPr>
        <w:t>E52_Intervalle_temporel</w:t>
      </w:r>
      <w:r>
        <w:t xml:space="preserve">. Ils constituent des intervalles de temps phénoménaux tels que définis dans </w:t>
      </w:r>
      <w:hyperlink r:id="rId193">
        <w:r>
          <w:rPr>
            <w:rStyle w:val="Lienhypertexte"/>
          </w:rPr>
          <w:t>CRMgeo</w:t>
        </w:r>
      </w:hyperlink>
      <w:r>
        <w:t xml:space="preserve"> (D</w:t>
      </w:r>
      <w:r w:rsidR="003C7A4A">
        <w:t>oe</w:t>
      </w:r>
      <w:r>
        <w:t>rr et Hiebel 2013). Puisque la connaissance de l</w:t>
      </w:r>
      <w:r w:rsidR="00E84B0E">
        <w:t>’</w:t>
      </w:r>
      <w:r>
        <w:t>histoire est imparfaite et que les phénomènes physiques sont flous de nature, l</w:t>
      </w:r>
      <w:r w:rsidR="00E84B0E">
        <w:t>’</w:t>
      </w:r>
      <w:r>
        <w:t>étendue d</w:t>
      </w:r>
      <w:r w:rsidR="00E84B0E">
        <w:t>’</w:t>
      </w:r>
      <w:r>
        <w:t>intervalles temporels phénoménaux ne peut être décrite qu</w:t>
      </w:r>
      <w:r w:rsidR="00E84B0E">
        <w:t>’</w:t>
      </w:r>
      <w:r>
        <w:t>approximativement. Un cas extrême d</w:t>
      </w:r>
      <w:r w:rsidR="00E84B0E">
        <w:t>’</w:t>
      </w:r>
      <w:r>
        <w:t xml:space="preserve">approximation pourrait, par exemple, définir une instance de </w:t>
      </w:r>
      <w:r>
        <w:rPr>
          <w:rStyle w:val="VerbatimChar"/>
        </w:rPr>
        <w:t>E52_Intervalle_temporel</w:t>
      </w:r>
      <w:r>
        <w:t xml:space="preserve"> ayant un début, une fin et une durée inconnus. Cette instance pourrait néanmoins être associée à d</w:t>
      </w:r>
      <w:r w:rsidR="00E84B0E">
        <w:t>’</w:t>
      </w:r>
      <w:r>
        <w:t>autres descriptions grâce auxquelles il serait possible d</w:t>
      </w:r>
      <w:r w:rsidR="00E84B0E">
        <w:t>’</w:t>
      </w:r>
      <w:r>
        <w:t>inférer des informations, comme dans le cas des chronologies relatives.</w:t>
      </w:r>
    </w:p>
    <w:p w14:paraId="64BF6A9E" w14:textId="7430C83C" w:rsidR="00065317" w:rsidRDefault="005C7BF7">
      <w:pPr>
        <w:pStyle w:val="Corpsdetexte"/>
      </w:pPr>
      <w:r>
        <w:t xml:space="preserve">Certaines instances de </w:t>
      </w:r>
      <w:r>
        <w:rPr>
          <w:rStyle w:val="VerbatimChar"/>
        </w:rPr>
        <w:t>E52_Intervalle_temporel</w:t>
      </w:r>
      <w:r>
        <w:t xml:space="preserve"> peuvent être définies précisément comme représentant une déclaration d</w:t>
      </w:r>
      <w:r w:rsidR="00E84B0E">
        <w:t>’</w:t>
      </w:r>
      <w:r>
        <w:t>une étendue temporelle, par exemple, réalisée dans le cadre d</w:t>
      </w:r>
      <w:r w:rsidR="00E84B0E">
        <w:t>’</w:t>
      </w:r>
      <w:r>
        <w:t>un contrat commercial. Elles constituent des intervalles de temps déclaratifs tels que définis dans CRMgeo (D</w:t>
      </w:r>
      <w:r w:rsidR="003C7A4A">
        <w:t>oe</w:t>
      </w:r>
      <w:r>
        <w:t xml:space="preserve">rr &amp; Hiebel 2013) et peuvent être décrites au moyen de la propriété </w:t>
      </w:r>
      <w:r>
        <w:rPr>
          <w:rStyle w:val="VerbatimChar"/>
        </w:rPr>
        <w:t>E61_Primitive_temporelle</w:t>
      </w:r>
      <w:r>
        <w:t xml:space="preserve"> </w:t>
      </w:r>
      <w:r>
        <w:rPr>
          <w:rStyle w:val="VerbatimChar"/>
        </w:rPr>
        <w:t>P170_temps_défini_par (définit_le_temps)</w:t>
      </w:r>
      <w:r>
        <w:t xml:space="preserve"> : </w:t>
      </w:r>
      <w:r>
        <w:rPr>
          <w:rStyle w:val="VerbatimChar"/>
        </w:rPr>
        <w:t>E52_Intervalle_temporel</w:t>
      </w:r>
      <w:r>
        <w:t>.</w:t>
      </w:r>
    </w:p>
    <w:p w14:paraId="1E6A1CB9" w14:textId="04489124" w:rsidR="00065317" w:rsidRDefault="005C7BF7">
      <w:pPr>
        <w:pStyle w:val="Corpsdetexte"/>
      </w:pPr>
      <w:r>
        <w:t>Lorsqu</w:t>
      </w:r>
      <w:r w:rsidR="00E84B0E">
        <w:t>’</w:t>
      </w:r>
      <w:r>
        <w:t xml:space="preserve">une même instance de </w:t>
      </w:r>
      <w:r>
        <w:rPr>
          <w:rStyle w:val="VerbatimChar"/>
        </w:rPr>
        <w:t>E52_Intervalle_temporel</w:t>
      </w:r>
      <w:r>
        <w:t xml:space="preserve"> est utilisée pour deux évènements, celle-ci décrit ces derniers comme étant simultanés, même si rien d</w:t>
      </w:r>
      <w:r w:rsidR="00E84B0E">
        <w:t>’</w:t>
      </w:r>
      <w:r>
        <w:t>autre n</w:t>
      </w:r>
      <w:r w:rsidR="00E84B0E">
        <w:t>’</w:t>
      </w:r>
      <w:r>
        <w:t>est connu.</w:t>
      </w:r>
    </w:p>
    <w:p w14:paraId="67DC9935" w14:textId="77777777" w:rsidR="00065317" w:rsidRDefault="005C7BF7">
      <w:pPr>
        <w:pStyle w:val="Corpsdetexte"/>
      </w:pPr>
      <w:r>
        <w:rPr>
          <w:b/>
          <w:bCs/>
        </w:rPr>
        <w:t>Exemples</w:t>
      </w:r>
    </w:p>
    <w:p w14:paraId="14EE6258" w14:textId="77777777" w:rsidR="00065317" w:rsidRDefault="005C7BF7" w:rsidP="00C86352">
      <w:pPr>
        <w:numPr>
          <w:ilvl w:val="0"/>
          <w:numId w:val="99"/>
        </w:numPr>
        <w:spacing w:after="140"/>
        <w:ind w:hanging="482"/>
      </w:pPr>
      <w:r>
        <w:t>1961</w:t>
      </w:r>
    </w:p>
    <w:p w14:paraId="183F8683" w14:textId="77777777" w:rsidR="00065317" w:rsidRDefault="005C7BF7" w:rsidP="00C86352">
      <w:pPr>
        <w:numPr>
          <w:ilvl w:val="0"/>
          <w:numId w:val="99"/>
        </w:numPr>
        <w:spacing w:after="140"/>
        <w:ind w:hanging="482"/>
      </w:pPr>
      <w:r>
        <w:t>Du 1993-12-17 au 1996-12-08</w:t>
      </w:r>
    </w:p>
    <w:p w14:paraId="58182070" w14:textId="57763A2B" w:rsidR="00065317" w:rsidRDefault="005C7BF7" w:rsidP="00C86352">
      <w:pPr>
        <w:numPr>
          <w:ilvl w:val="0"/>
          <w:numId w:val="99"/>
        </w:numPr>
        <w:spacing w:after="140"/>
        <w:ind w:hanging="482"/>
      </w:pPr>
      <w:r>
        <w:t>14 h 30 – 16 h 22 4</w:t>
      </w:r>
      <w:r w:rsidR="00056DCD">
        <w:t> juillet </w:t>
      </w:r>
      <w:r>
        <w:t>1945</w:t>
      </w:r>
    </w:p>
    <w:p w14:paraId="30A14227" w14:textId="77777777" w:rsidR="00065317" w:rsidRDefault="005C7BF7" w:rsidP="00C86352">
      <w:pPr>
        <w:numPr>
          <w:ilvl w:val="0"/>
          <w:numId w:val="99"/>
        </w:numPr>
        <w:spacing w:after="140"/>
        <w:ind w:hanging="482"/>
      </w:pPr>
      <w:r>
        <w:t>9:30 am 1999.01.01 à 2:00 pm 1999.01.01</w:t>
      </w:r>
    </w:p>
    <w:p w14:paraId="3573A75D" w14:textId="77777777" w:rsidR="00065317" w:rsidRDefault="005C7BF7" w:rsidP="00C86352">
      <w:pPr>
        <w:numPr>
          <w:ilvl w:val="0"/>
          <w:numId w:val="99"/>
        </w:numPr>
        <w:spacing w:after="140"/>
        <w:ind w:hanging="482"/>
      </w:pPr>
      <w:r>
        <w:t>Intervalle temporel de la dynastie Ming (Chan, 2011)</w:t>
      </w:r>
    </w:p>
    <w:p w14:paraId="30E8626B" w14:textId="77777777" w:rsidR="00065317" w:rsidRDefault="005C7BF7">
      <w:pPr>
        <w:pStyle w:val="FirstParagraph"/>
      </w:pPr>
      <w:r>
        <w:rPr>
          <w:b/>
          <w:bCs/>
        </w:rPr>
        <w:lastRenderedPageBreak/>
        <w:t>Logique</w:t>
      </w:r>
    </w:p>
    <w:p w14:paraId="5E146F39" w14:textId="77777777" w:rsidR="00065317" w:rsidRDefault="005C7BF7">
      <w:pPr>
        <w:pStyle w:val="Corpsdetexte"/>
      </w:pPr>
      <w:r>
        <w:t>E52(x) ⇒ E1(x)</w:t>
      </w:r>
    </w:p>
    <w:p w14:paraId="50FBBB11" w14:textId="77777777" w:rsidR="00065317" w:rsidRDefault="005C7BF7">
      <w:pPr>
        <w:pStyle w:val="Corpsdetexte"/>
      </w:pPr>
      <w:r>
        <w:rPr>
          <w:b/>
          <w:bCs/>
        </w:rPr>
        <w:t>Propriétés</w:t>
      </w:r>
    </w:p>
    <w:p w14:paraId="64446173" w14:textId="77777777" w:rsidR="00065317" w:rsidRDefault="005C7BF7">
      <w:pPr>
        <w:pStyle w:val="Corpsdetexte"/>
      </w:pPr>
      <w:r>
        <w:rPr>
          <w:rStyle w:val="VerbatimChar"/>
        </w:rPr>
        <w:t>P79_a_son_début_qualifié_par</w:t>
      </w:r>
      <w:r>
        <w:t xml:space="preserve"> : </w:t>
      </w:r>
      <w:r>
        <w:rPr>
          <w:rStyle w:val="VerbatimChar"/>
        </w:rPr>
        <w:t>E62_Chaîne_de_caractères</w:t>
      </w:r>
    </w:p>
    <w:p w14:paraId="2E5B76A9" w14:textId="77777777" w:rsidR="00065317" w:rsidRDefault="005C7BF7">
      <w:pPr>
        <w:pStyle w:val="Corpsdetexte"/>
      </w:pPr>
      <w:r>
        <w:rPr>
          <w:rStyle w:val="VerbatimChar"/>
        </w:rPr>
        <w:t>P80_a_sa_fin_qualifiée_par</w:t>
      </w:r>
      <w:r>
        <w:t xml:space="preserve"> : </w:t>
      </w:r>
      <w:r>
        <w:rPr>
          <w:rStyle w:val="VerbatimChar"/>
        </w:rPr>
        <w:t>E62_Chaîne_de_caractères</w:t>
      </w:r>
    </w:p>
    <w:p w14:paraId="05E3EADE" w14:textId="77777777" w:rsidR="00065317" w:rsidRDefault="005C7BF7">
      <w:pPr>
        <w:pStyle w:val="Corpsdetexte"/>
      </w:pPr>
      <w:r>
        <w:rPr>
          <w:rStyle w:val="VerbatimChar"/>
        </w:rPr>
        <w:t>P81_a_couvert</w:t>
      </w:r>
      <w:r>
        <w:t xml:space="preserve"> : </w:t>
      </w:r>
      <w:r>
        <w:rPr>
          <w:rStyle w:val="VerbatimChar"/>
        </w:rPr>
        <w:t>E61_Primitive_temporelle</w:t>
      </w:r>
    </w:p>
    <w:p w14:paraId="13B60657" w14:textId="77777777" w:rsidR="00065317" w:rsidRDefault="005C7BF7">
      <w:pPr>
        <w:pStyle w:val="Corpsdetexte"/>
      </w:pPr>
      <w:r>
        <w:rPr>
          <w:rStyle w:val="VerbatimChar"/>
        </w:rPr>
        <w:t>P82_a_eu_lieu_durant</w:t>
      </w:r>
      <w:r>
        <w:t xml:space="preserve"> : </w:t>
      </w:r>
      <w:r>
        <w:rPr>
          <w:rStyle w:val="VerbatimChar"/>
        </w:rPr>
        <w:t>E61_Primitive_temporelle</w:t>
      </w:r>
    </w:p>
    <w:p w14:paraId="491DFA37" w14:textId="3EEFAE66" w:rsidR="00065317" w:rsidRDefault="005C7BF7">
      <w:pPr>
        <w:pStyle w:val="Corpsdetexte"/>
      </w:pPr>
      <w:r>
        <w:rPr>
          <w:rStyle w:val="VerbatimChar"/>
        </w:rPr>
        <w:t>P86_s</w:t>
      </w:r>
      <w:r w:rsidR="00E84B0E">
        <w:rPr>
          <w:rStyle w:val="VerbatimChar"/>
        </w:rPr>
        <w:t>’</w:t>
      </w:r>
      <w:r>
        <w:rPr>
          <w:rStyle w:val="VerbatimChar"/>
        </w:rPr>
        <w:t>insère_dans (contient)</w:t>
      </w:r>
      <w:r>
        <w:t xml:space="preserve"> : </w:t>
      </w:r>
      <w:r>
        <w:rPr>
          <w:rStyle w:val="VerbatimChar"/>
        </w:rPr>
        <w:t>E52_Intervalle_temporel</w:t>
      </w:r>
    </w:p>
    <w:p w14:paraId="1E14FC2E" w14:textId="77777777" w:rsidR="00065317" w:rsidRDefault="005C7BF7">
      <w:pPr>
        <w:pStyle w:val="Corpsdetexte"/>
      </w:pPr>
      <w:r>
        <w:rPr>
          <w:rStyle w:val="VerbatimChar"/>
        </w:rPr>
        <w:t>P191_a_eu_pour_durée (était_la_durée_de)</w:t>
      </w:r>
      <w:r>
        <w:t xml:space="preserve"> : </w:t>
      </w:r>
      <w:r>
        <w:rPr>
          <w:rStyle w:val="VerbatimChar"/>
        </w:rPr>
        <w:t>E54_Dimension</w:t>
      </w:r>
    </w:p>
    <w:p w14:paraId="261B2F47" w14:textId="77777777" w:rsidR="00065317" w:rsidRDefault="005C7BF7">
      <w:pPr>
        <w:pStyle w:val="Normalcentr"/>
      </w:pPr>
      <w:r>
        <w:rPr>
          <w:b/>
          <w:bCs/>
          <w:i/>
          <w:iCs/>
        </w:rPr>
        <w:t>Note de traduction</w:t>
      </w:r>
    </w:p>
    <w:p w14:paraId="7BF183F7" w14:textId="77777777" w:rsidR="00065317" w:rsidRDefault="005C7BF7">
      <w:pPr>
        <w:pStyle w:val="Normalcentr"/>
      </w:pPr>
      <w:r>
        <w:t>Le terme « via » a été traduit par « au moyen de » tel que suggéré par Termium Plus.</w:t>
      </w:r>
    </w:p>
    <w:p w14:paraId="7B609E60" w14:textId="255F64DE" w:rsidR="00065317" w:rsidRDefault="005C7BF7">
      <w:pPr>
        <w:pStyle w:val="Normalcentr"/>
      </w:pPr>
      <w:r>
        <w:t>Les exemples ont été traduits en concordance avec la version anglaise afin de démontrer que plusieurs typographies peuvent être utilisées pour indiquer les intervalles de temps. Toutefois, le Groupe de traduction a statué que la norme ISO sur la représentation de la date et de l</w:t>
      </w:r>
      <w:r w:rsidR="00E84B0E">
        <w:t>’</w:t>
      </w:r>
      <w:r>
        <w:t>heure doit être privilégiée en français : AAAA-MM-JJ et la notation de l</w:t>
      </w:r>
      <w:r w:rsidR="00E84B0E">
        <w:t>’</w:t>
      </w:r>
      <w:r>
        <w:t>heure selon la journée de vingt-quatre heures (de 0 h à 24 h).</w:t>
      </w:r>
    </w:p>
    <w:p w14:paraId="44A8CE9F" w14:textId="77777777" w:rsidR="00065317" w:rsidRDefault="005C7BF7">
      <w:pPr>
        <w:pStyle w:val="Normalcentr"/>
      </w:pPr>
      <w:r>
        <w:rPr>
          <w:b/>
          <w:bCs/>
          <w:i/>
          <w:iCs/>
        </w:rPr>
        <w:t>Références</w:t>
      </w:r>
    </w:p>
    <w:p w14:paraId="1B0B8C72" w14:textId="72D39827" w:rsidR="00065317" w:rsidRDefault="00C8288F">
      <w:pPr>
        <w:pStyle w:val="Normalcentr"/>
      </w:pPr>
      <w:r>
        <w:t>CIDOC CRM</w:t>
      </w:r>
      <w:r w:rsidR="005C7BF7">
        <w:t>. « CRMgeo ». Modèle, 2021.</w:t>
      </w:r>
      <w:hyperlink r:id="rId194">
        <w:r w:rsidR="005C7BF7">
          <w:rPr>
            <w:rStyle w:val="Lienhypertexte"/>
          </w:rPr>
          <w:t xml:space="preserve"> </w:t>
        </w:r>
      </w:hyperlink>
      <w:hyperlink r:id="rId195">
        <w:r w:rsidR="005C7BF7">
          <w:rPr>
            <w:rStyle w:val="Lienhypertexte"/>
          </w:rPr>
          <w:t>http://www.cidoc-crm.org/crmgeo/home-5</w:t>
        </w:r>
      </w:hyperlink>
      <w:r w:rsidR="005C7BF7">
        <w:t>.</w:t>
      </w:r>
    </w:p>
    <w:p w14:paraId="2517AD5C" w14:textId="24BC375D" w:rsidR="00065317" w:rsidRDefault="005C7BF7">
      <w:pPr>
        <w:pStyle w:val="Normalcentr"/>
      </w:pPr>
      <w:r>
        <w:t xml:space="preserve">Office québécois de la langue française. « Écriture des dates et des heures dans les lettres et les textes courants ». Dans </w:t>
      </w:r>
      <w:r>
        <w:rPr>
          <w:i/>
          <w:iCs/>
        </w:rPr>
        <w:t>Banque de dépannage linguistique</w:t>
      </w:r>
      <w:r>
        <w:t>. Québec, CA-QC: Office québécois de la langue française, 2019.</w:t>
      </w:r>
      <w:hyperlink r:id="rId196">
        <w:r>
          <w:rPr>
            <w:rStyle w:val="Lienhypertexte"/>
          </w:rPr>
          <w:t xml:space="preserve"> </w:t>
        </w:r>
      </w:hyperlink>
      <w:hyperlink r:id="rId197">
        <w:r>
          <w:rPr>
            <w:rStyle w:val="Lienhypertexte"/>
          </w:rPr>
          <w:t>https://vitrinelinguistique.oqlf.gouv.qc.ca/21242/la-typographie/nombres/ecriture-des-dates-et-des-heures-dans-les-lettres-et-les-textes-courants</w:t>
        </w:r>
      </w:hyperlink>
      <w:r>
        <w:t>.</w:t>
      </w:r>
    </w:p>
    <w:p w14:paraId="186261E4" w14:textId="53B0EA2B" w:rsidR="00065317" w:rsidRDefault="005C7BF7">
      <w:pPr>
        <w:pStyle w:val="Normalcentr"/>
      </w:pPr>
      <w:r>
        <w:t xml:space="preserve">Termium. « via ». Dans </w:t>
      </w:r>
      <w:r>
        <w:rPr>
          <w:i/>
          <w:iCs/>
        </w:rPr>
        <w:t>Termium Plus</w:t>
      </w:r>
      <w:r>
        <w:t>. Ottawa, CA-ON: Gouvernement du Canada, 8</w:t>
      </w:r>
      <w:r w:rsidR="00056DCD">
        <w:t> mars </w:t>
      </w:r>
      <w:r>
        <w:t>2001.</w:t>
      </w:r>
      <w:hyperlink r:id="rId198" w:anchor="fichesauve-saverecord4">
        <w:r>
          <w:rPr>
            <w:rStyle w:val="Lienhypertexte"/>
          </w:rPr>
          <w:t xml:space="preserve"> </w:t>
        </w:r>
      </w:hyperlink>
      <w:hyperlink r:id="rId199" w:anchor="fichesauve-saverecord4">
        <w:r>
          <w:rPr>
            <w:rStyle w:val="Lienhypertexte"/>
          </w:rPr>
          <w:t>https://www.btb.termiumplus.gc.ca/tpv2alpha/alpha-fra.html?lang=fra&amp;srchtxt=VIA&amp;i=&amp;index=ent&amp;sg_kp_wet=1323269&amp;fchrcrdnm=4#fichesauve-saverecord4</w:t>
        </w:r>
      </w:hyperlink>
      <w:r>
        <w:t>.</w:t>
      </w:r>
    </w:p>
    <w:p w14:paraId="1152158A" w14:textId="77777777" w:rsidR="00065317" w:rsidRDefault="005C7BF7" w:rsidP="00914F34">
      <w:pPr>
        <w:pStyle w:val="Titre3"/>
      </w:pPr>
      <w:bookmarkStart w:id="186" w:name="_Toc154048778"/>
      <w:bookmarkStart w:id="187" w:name="e53-lieu"/>
      <w:bookmarkEnd w:id="185"/>
      <w:r>
        <w:t>E53 Lieu</w:t>
      </w:r>
      <w:bookmarkEnd w:id="186"/>
    </w:p>
    <w:p w14:paraId="1510FAF8" w14:textId="77777777" w:rsidR="00065317" w:rsidRDefault="005C7BF7">
      <w:pPr>
        <w:pStyle w:val="FirstParagraph"/>
      </w:pPr>
      <w:r>
        <w:rPr>
          <w:b/>
          <w:bCs/>
        </w:rPr>
        <w:t>Sous-classe de</w:t>
      </w:r>
    </w:p>
    <w:p w14:paraId="4778B989" w14:textId="77777777" w:rsidR="00065317" w:rsidRDefault="005C7BF7">
      <w:pPr>
        <w:pStyle w:val="Corpsdetexte"/>
      </w:pPr>
      <w:r>
        <w:rPr>
          <w:rStyle w:val="VerbatimChar"/>
        </w:rPr>
        <w:t>E1_Entité_CRM</w:t>
      </w:r>
    </w:p>
    <w:p w14:paraId="3D537A8F" w14:textId="79928E36" w:rsidR="00A81E78" w:rsidRDefault="005C7BF7">
      <w:pPr>
        <w:pStyle w:val="Corpsdetexte"/>
        <w:rPr>
          <w:b/>
          <w:bCs/>
        </w:rPr>
      </w:pPr>
      <w:r>
        <w:rPr>
          <w:b/>
          <w:bCs/>
        </w:rPr>
        <w:t>Super-classe de</w:t>
      </w:r>
    </w:p>
    <w:p w14:paraId="2FB833F7" w14:textId="30D23355" w:rsidR="00065317" w:rsidRDefault="005C7BF7">
      <w:pPr>
        <w:pStyle w:val="Corpsdetexte"/>
      </w:pPr>
      <w:r>
        <w:rPr>
          <w:b/>
          <w:bCs/>
        </w:rPr>
        <w:t>Note d</w:t>
      </w:r>
      <w:r w:rsidR="00E84B0E">
        <w:rPr>
          <w:b/>
          <w:bCs/>
        </w:rPr>
        <w:t>’</w:t>
      </w:r>
      <w:r>
        <w:rPr>
          <w:b/>
          <w:bCs/>
        </w:rPr>
        <w:t>application</w:t>
      </w:r>
    </w:p>
    <w:p w14:paraId="48AE6492" w14:textId="7809FEDF" w:rsidR="00065317" w:rsidRDefault="005C7BF7">
      <w:pPr>
        <w:pStyle w:val="Corpsdetexte"/>
      </w:pPr>
      <w:r>
        <w:t>Cette classe comprend des étendues dans l</w:t>
      </w:r>
      <w:r w:rsidR="00E84B0E">
        <w:t>’</w:t>
      </w:r>
      <w:r>
        <w:t xml:space="preserve">espace naturel dans lequel nous vivons, en particulier à la surface de la Terre, au sens pur de la physique : indépendantes des phénomènes temporels et de la matière. La classe </w:t>
      </w:r>
      <w:r>
        <w:rPr>
          <w:rStyle w:val="VerbatimChar"/>
        </w:rPr>
        <w:t>E53_Lieu</w:t>
      </w:r>
      <w:r>
        <w:t xml:space="preserve"> peut servir à décrire la localisation physique de choses, de phénomènes ou d</w:t>
      </w:r>
      <w:r w:rsidR="00E84B0E">
        <w:t>’</w:t>
      </w:r>
      <w:r>
        <w:t>autres domaines d</w:t>
      </w:r>
      <w:r w:rsidR="00E84B0E">
        <w:t>’</w:t>
      </w:r>
      <w:r>
        <w:t xml:space="preserve">intérêt. Géométriquement, les instances de </w:t>
      </w:r>
      <w:r>
        <w:rPr>
          <w:rStyle w:val="VerbatimChar"/>
        </w:rPr>
        <w:t>E53_Lieu</w:t>
      </w:r>
      <w:r>
        <w:t xml:space="preserve"> constituent des zones uniques contiguës ou des agrégations finies de zones disjointes dans l</w:t>
      </w:r>
      <w:r w:rsidR="00E84B0E">
        <w:t>’</w:t>
      </w:r>
      <w:r>
        <w:t xml:space="preserve">espace qui sont chacune individuellement contiguës. Les instances de </w:t>
      </w:r>
      <w:r>
        <w:rPr>
          <w:rStyle w:val="VerbatimChar"/>
        </w:rPr>
        <w:t>E53_Lieu</w:t>
      </w:r>
      <w:r>
        <w:t xml:space="preserve"> peuvent avoir des limites floues.</w:t>
      </w:r>
    </w:p>
    <w:p w14:paraId="4C1FEE4D" w14:textId="77777777" w:rsidR="00C86352" w:rsidRDefault="00C86352">
      <w:pPr>
        <w:spacing w:after="0"/>
      </w:pPr>
      <w:r>
        <w:br w:type="page"/>
      </w:r>
    </w:p>
    <w:p w14:paraId="655506B5" w14:textId="42838F5E" w:rsidR="00065317" w:rsidRDefault="005C7BF7">
      <w:pPr>
        <w:pStyle w:val="Corpsdetexte"/>
      </w:pPr>
      <w:r>
        <w:lastRenderedPageBreak/>
        <w:t xml:space="preserve">Les instances de </w:t>
      </w:r>
      <w:r>
        <w:rPr>
          <w:rStyle w:val="VerbatimChar"/>
        </w:rPr>
        <w:t>E53_Lieu</w:t>
      </w:r>
      <w:r>
        <w:t xml:space="preserve"> sont généralement déterminées en fonction de la position d</w:t>
      </w:r>
      <w:r w:rsidR="00E84B0E">
        <w:t>’</w:t>
      </w:r>
      <w:r>
        <w:t>objets «</w:t>
      </w:r>
      <w:r w:rsidR="00CF0FD9">
        <w:t> </w:t>
      </w:r>
      <w:r>
        <w:t>immobiles</w:t>
      </w:r>
      <w:r w:rsidR="00CF0FD9">
        <w:t> </w:t>
      </w:r>
      <w:r>
        <w:t>», tels que des bâtiments, des villes, des montagnes, des rivières ou des marques géodésiques dédiées, mais peuvent également être déterminées en fonction d</w:t>
      </w:r>
      <w:r w:rsidR="00E84B0E">
        <w:t>’</w:t>
      </w:r>
      <w:r>
        <w:t xml:space="preserve">objets mobiles. Une instance de </w:t>
      </w:r>
      <w:r>
        <w:rPr>
          <w:rStyle w:val="VerbatimChar"/>
        </w:rPr>
        <w:t>E53_Lieu</w:t>
      </w:r>
      <w:r>
        <w:t xml:space="preserve"> peut être déterminée en combinant un cadre de référence et une localisation s</w:t>
      </w:r>
      <w:r w:rsidR="00E84B0E">
        <w:t>’</w:t>
      </w:r>
      <w:r>
        <w:t>y rapportant.</w:t>
      </w:r>
    </w:p>
    <w:p w14:paraId="09EF4D83" w14:textId="0528F87F" w:rsidR="00065317" w:rsidRDefault="005C7BF7">
      <w:pPr>
        <w:pStyle w:val="Corpsdetexte"/>
      </w:pPr>
      <w:r>
        <w:t>Il est parfois argumenté qu</w:t>
      </w:r>
      <w:r w:rsidR="00E84B0E">
        <w:t>’</w:t>
      </w:r>
      <w:r>
        <w:t>il est préférable d</w:t>
      </w:r>
      <w:r w:rsidR="00E84B0E">
        <w:t>’</w:t>
      </w:r>
      <w:r>
        <w:t xml:space="preserve">identifier les instances de </w:t>
      </w:r>
      <w:r>
        <w:rPr>
          <w:rStyle w:val="VerbatimChar"/>
        </w:rPr>
        <w:t>E53_Lieu</w:t>
      </w:r>
      <w:r>
        <w:t xml:space="preserve"> par des coordonnées mondiales ou des systèmes de référence absolus. Cependant, les références relatives sont souvent plus pertinentes dans le contexte de la documentation culturelle et ont tendance à être plus précises. En particulier, nous nous intéressons fréquemment à la position par rapport à de grands objets mobiles, tels que des navires. Par exemple, le lieu où [</w:t>
      </w:r>
      <w:r w:rsidR="00AF51A3">
        <w:t xml:space="preserve">n.d.t. </w:t>
      </w:r>
      <w:r>
        <w:t>Horatio] Nelson est mort est connu en référence à un objet mobile de grande dimension, soit le [</w:t>
      </w:r>
      <w:r w:rsidR="00AF51A3">
        <w:t xml:space="preserve">n.d.t. </w:t>
      </w:r>
      <w:r>
        <w:t xml:space="preserve">navire de ligne] HMS Victory. Une résolution de cette instance de </w:t>
      </w:r>
      <w:r>
        <w:rPr>
          <w:rStyle w:val="VerbatimChar"/>
        </w:rPr>
        <w:t>E53_Lieu</w:t>
      </w:r>
      <w:r>
        <w:t xml:space="preserve"> en termes de coordonnées absolues nécessiterait la connaissance des mouvements du navire et de l</w:t>
      </w:r>
      <w:r w:rsidR="00E84B0E">
        <w:t>’</w:t>
      </w:r>
      <w:r>
        <w:t>heure précise de la mort; l</w:t>
      </w:r>
      <w:r w:rsidR="00E84B0E">
        <w:t>’</w:t>
      </w:r>
      <w:r>
        <w:t>un ou l</w:t>
      </w:r>
      <w:r w:rsidR="00E84B0E">
        <w:t>’</w:t>
      </w:r>
      <w:r>
        <w:t>autre pouvant être révisé, le résultat manquerait de pertinence historique et culturelle.</w:t>
      </w:r>
    </w:p>
    <w:p w14:paraId="3C7D4274" w14:textId="72A64D4F" w:rsidR="00065317" w:rsidRDefault="005C7BF7">
      <w:pPr>
        <w:pStyle w:val="Corpsdetexte"/>
      </w:pPr>
      <w:r>
        <w:t xml:space="preserve">Toute instance de </w:t>
      </w:r>
      <w:r>
        <w:rPr>
          <w:rStyle w:val="VerbatimChar"/>
        </w:rPr>
        <w:t>E18_Chose_matérielle</w:t>
      </w:r>
      <w:r>
        <w:t xml:space="preserve"> peut servir de cadre de référence pour une instance de </w:t>
      </w:r>
      <w:r>
        <w:rPr>
          <w:rStyle w:val="VerbatimChar"/>
        </w:rPr>
        <w:t>E53_Lieu</w:t>
      </w:r>
      <w:r>
        <w:t>. Ce</w:t>
      </w:r>
      <w:r w:rsidR="00CF0FD9">
        <w:t>la</w:t>
      </w:r>
      <w:r>
        <w:t xml:space="preserve"> peut être documenté à l</w:t>
      </w:r>
      <w:r w:rsidR="00E84B0E">
        <w:t>’</w:t>
      </w:r>
      <w:r>
        <w:t xml:space="preserve">aide de la propriété </w:t>
      </w:r>
      <w:r>
        <w:rPr>
          <w:rStyle w:val="VerbatimChar"/>
        </w:rPr>
        <w:t>P157_est_à_l</w:t>
      </w:r>
      <w:r w:rsidR="00E84B0E">
        <w:rPr>
          <w:rStyle w:val="VerbatimChar"/>
        </w:rPr>
        <w:t>’</w:t>
      </w:r>
      <w:r>
        <w:rPr>
          <w:rStyle w:val="VerbatimChar"/>
        </w:rPr>
        <w:t>arrêt_par_rapport_à (procure_l</w:t>
      </w:r>
      <w:r w:rsidR="00E84B0E">
        <w:rPr>
          <w:rStyle w:val="VerbatimChar"/>
        </w:rPr>
        <w:t>’</w:t>
      </w:r>
      <w:r>
        <w:rPr>
          <w:rStyle w:val="VerbatimChar"/>
        </w:rPr>
        <w:t>espace_de_référence_pour)</w:t>
      </w:r>
      <w:r>
        <w:t>.</w:t>
      </w:r>
    </w:p>
    <w:p w14:paraId="2C6B27E5" w14:textId="77777777" w:rsidR="00065317" w:rsidRDefault="005C7BF7">
      <w:pPr>
        <w:pStyle w:val="Corpsdetexte"/>
      </w:pPr>
      <w:r>
        <w:rPr>
          <w:b/>
          <w:bCs/>
        </w:rPr>
        <w:t>Exemples</w:t>
      </w:r>
    </w:p>
    <w:p w14:paraId="25E6482C" w14:textId="29A41017" w:rsidR="00065317" w:rsidRDefault="005C7BF7">
      <w:pPr>
        <w:numPr>
          <w:ilvl w:val="0"/>
          <w:numId w:val="100"/>
        </w:numPr>
      </w:pPr>
      <w:r>
        <w:t>L</w:t>
      </w:r>
      <w:r w:rsidR="00E84B0E">
        <w:t>’</w:t>
      </w:r>
      <w:r>
        <w:t>étendue du Royaume-Uni en 2003</w:t>
      </w:r>
    </w:p>
    <w:p w14:paraId="0E6B7A82" w14:textId="1D10BA07" w:rsidR="00065317" w:rsidRDefault="005C7BF7">
      <w:pPr>
        <w:numPr>
          <w:ilvl w:val="0"/>
          <w:numId w:val="100"/>
        </w:numPr>
      </w:pPr>
      <w:r>
        <w:t>La position du poinçon à l</w:t>
      </w:r>
      <w:r w:rsidR="00E84B0E">
        <w:t>’</w:t>
      </w:r>
      <w:r>
        <w:t>intérieur de mon alliance (fictif)</w:t>
      </w:r>
    </w:p>
    <w:p w14:paraId="4C477B62" w14:textId="6DC93B6A" w:rsidR="00065317" w:rsidRDefault="005C7BF7">
      <w:pPr>
        <w:numPr>
          <w:ilvl w:val="0"/>
          <w:numId w:val="100"/>
        </w:numPr>
      </w:pPr>
      <w:r>
        <w:t>Le lieu visé par la phrase : « Poissons pêchés à trois milles au nord du confluent de l</w:t>
      </w:r>
      <w:r w:rsidR="00E84B0E">
        <w:t>’</w:t>
      </w:r>
      <w:r>
        <w:t>Arve et du Rhône »</w:t>
      </w:r>
    </w:p>
    <w:p w14:paraId="6D55343E" w14:textId="382B077F" w:rsidR="00065317" w:rsidRDefault="005C7BF7">
      <w:pPr>
        <w:numPr>
          <w:ilvl w:val="0"/>
          <w:numId w:val="100"/>
        </w:numPr>
      </w:pPr>
      <w:r>
        <w:t>Ici -&gt;</w:t>
      </w:r>
      <w:r w:rsidR="00B050F5" w:rsidRPr="00B050F5">
        <w:t> &lt;- [l'endroit entre ces deux flèches dans l'une des copies papier du lecteur de ce document. Chaque exemplaire constitue un lieu différent de cet endroit]</w:t>
      </w:r>
    </w:p>
    <w:p w14:paraId="78C21FF6" w14:textId="77777777" w:rsidR="00065317" w:rsidRDefault="005C7BF7">
      <w:pPr>
        <w:pStyle w:val="FirstParagraph"/>
      </w:pPr>
      <w:r>
        <w:rPr>
          <w:b/>
          <w:bCs/>
        </w:rPr>
        <w:t>Logique</w:t>
      </w:r>
    </w:p>
    <w:p w14:paraId="1ACB7CDC" w14:textId="7CBE0401" w:rsidR="008D39EE" w:rsidRPr="00C86352" w:rsidRDefault="005C7BF7" w:rsidP="00C86352">
      <w:pPr>
        <w:pStyle w:val="Corpsdetexte"/>
      </w:pPr>
      <w:r>
        <w:t>E53(x) ⇒ E1(x)</w:t>
      </w:r>
    </w:p>
    <w:p w14:paraId="2566D245" w14:textId="053D46A3" w:rsidR="00065317" w:rsidRDefault="005C7BF7">
      <w:pPr>
        <w:pStyle w:val="Corpsdetexte"/>
      </w:pPr>
      <w:r>
        <w:rPr>
          <w:b/>
          <w:bCs/>
        </w:rPr>
        <w:t>Propriétés</w:t>
      </w:r>
    </w:p>
    <w:p w14:paraId="749D70F0" w14:textId="03007010" w:rsidR="00065317" w:rsidRDefault="005C7BF7">
      <w:pPr>
        <w:pStyle w:val="Corpsdetexte"/>
      </w:pPr>
      <w:r>
        <w:rPr>
          <w:rStyle w:val="VerbatimChar"/>
        </w:rPr>
        <w:t>P89_s</w:t>
      </w:r>
      <w:r w:rsidR="00E84B0E">
        <w:rPr>
          <w:rStyle w:val="VerbatimChar"/>
        </w:rPr>
        <w:t>’</w:t>
      </w:r>
      <w:r>
        <w:rPr>
          <w:rStyle w:val="VerbatimChar"/>
        </w:rPr>
        <w:t>insère_dans (contient)</w:t>
      </w:r>
      <w:r>
        <w:t xml:space="preserve"> : </w:t>
      </w:r>
      <w:r>
        <w:rPr>
          <w:rStyle w:val="VerbatimChar"/>
        </w:rPr>
        <w:t>E53_Lieu</w:t>
      </w:r>
    </w:p>
    <w:p w14:paraId="57029927" w14:textId="77777777" w:rsidR="00065317" w:rsidRDefault="005C7BF7">
      <w:pPr>
        <w:pStyle w:val="Corpsdetexte"/>
      </w:pPr>
      <w:r>
        <w:rPr>
          <w:rStyle w:val="VerbatimChar"/>
        </w:rPr>
        <w:t>P121_se_superpose_partiellement_à</w:t>
      </w:r>
      <w:r>
        <w:t xml:space="preserve"> : </w:t>
      </w:r>
      <w:r>
        <w:rPr>
          <w:rStyle w:val="VerbatimChar"/>
        </w:rPr>
        <w:t>E53_Lieu</w:t>
      </w:r>
    </w:p>
    <w:p w14:paraId="19BA51A6" w14:textId="77777777" w:rsidR="00065317" w:rsidRDefault="005C7BF7">
      <w:pPr>
        <w:pStyle w:val="Corpsdetexte"/>
      </w:pPr>
      <w:r>
        <w:rPr>
          <w:rStyle w:val="VerbatimChar"/>
        </w:rPr>
        <w:t>P122_est_limitrophe_de</w:t>
      </w:r>
      <w:r>
        <w:t xml:space="preserve"> : </w:t>
      </w:r>
      <w:r>
        <w:rPr>
          <w:rStyle w:val="VerbatimChar"/>
        </w:rPr>
        <w:t>E53_Lieu</w:t>
      </w:r>
    </w:p>
    <w:p w14:paraId="1BDB1709" w14:textId="6F8A477C" w:rsidR="00065317" w:rsidRDefault="005C7BF7">
      <w:pPr>
        <w:pStyle w:val="Corpsdetexte"/>
      </w:pPr>
      <w:r>
        <w:rPr>
          <w:rStyle w:val="VerbatimChar"/>
        </w:rPr>
        <w:t>P157_est_à_l</w:t>
      </w:r>
      <w:r w:rsidR="00E84B0E">
        <w:rPr>
          <w:rStyle w:val="VerbatimChar"/>
        </w:rPr>
        <w:t>’</w:t>
      </w:r>
      <w:r>
        <w:rPr>
          <w:rStyle w:val="VerbatimChar"/>
        </w:rPr>
        <w:t>arrêt_par_rapport_à (procure_l</w:t>
      </w:r>
      <w:r w:rsidR="00E84B0E">
        <w:rPr>
          <w:rStyle w:val="VerbatimChar"/>
        </w:rPr>
        <w:t>’</w:t>
      </w:r>
      <w:r>
        <w:rPr>
          <w:rStyle w:val="VerbatimChar"/>
        </w:rPr>
        <w:t>espace_de_référence_pour)</w:t>
      </w:r>
      <w:r>
        <w:t xml:space="preserve"> : </w:t>
      </w:r>
      <w:r>
        <w:rPr>
          <w:rStyle w:val="VerbatimChar"/>
        </w:rPr>
        <w:t>E18_Chose_matérielle</w:t>
      </w:r>
    </w:p>
    <w:p w14:paraId="3F0F83EB" w14:textId="77777777" w:rsidR="00065317" w:rsidRDefault="005C7BF7">
      <w:pPr>
        <w:pStyle w:val="Corpsdetexte"/>
      </w:pPr>
      <w:r>
        <w:rPr>
          <w:rStyle w:val="VerbatimChar"/>
        </w:rPr>
        <w:t>P168_lieu_défini_par (définit_le_lieu)</w:t>
      </w:r>
      <w:r>
        <w:t xml:space="preserve"> : </w:t>
      </w:r>
      <w:r>
        <w:rPr>
          <w:rStyle w:val="VerbatimChar"/>
        </w:rPr>
        <w:t>E94_Primitive_spatiale</w:t>
      </w:r>
    </w:p>
    <w:p w14:paraId="5144AB6E" w14:textId="77777777" w:rsidR="00065317" w:rsidRDefault="005C7BF7">
      <w:pPr>
        <w:pStyle w:val="Corpsdetexte"/>
      </w:pPr>
      <w:r>
        <w:rPr>
          <w:rStyle w:val="VerbatimChar"/>
        </w:rPr>
        <w:t>P171_quelque_part_dans</w:t>
      </w:r>
      <w:r>
        <w:t xml:space="preserve"> : </w:t>
      </w:r>
      <w:r>
        <w:rPr>
          <w:rStyle w:val="VerbatimChar"/>
        </w:rPr>
        <w:t>E94_Primitive_spatiale</w:t>
      </w:r>
    </w:p>
    <w:p w14:paraId="52718BBA" w14:textId="77777777" w:rsidR="00065317" w:rsidRDefault="005C7BF7">
      <w:pPr>
        <w:pStyle w:val="Corpsdetexte"/>
      </w:pPr>
      <w:r>
        <w:rPr>
          <w:rStyle w:val="VerbatimChar"/>
        </w:rPr>
        <w:t>P172_contient</w:t>
      </w:r>
      <w:r>
        <w:t xml:space="preserve"> : </w:t>
      </w:r>
      <w:r>
        <w:rPr>
          <w:rStyle w:val="VerbatimChar"/>
        </w:rPr>
        <w:t>E94_Primitive_spatiale</w:t>
      </w:r>
    </w:p>
    <w:p w14:paraId="690A4692" w14:textId="77777777" w:rsidR="00065317" w:rsidRDefault="005C7BF7">
      <w:pPr>
        <w:pStyle w:val="Corpsdetexte"/>
      </w:pPr>
      <w:r>
        <w:rPr>
          <w:rStyle w:val="VerbatimChar"/>
        </w:rPr>
        <w:t>P189_approxime (est_approximé_par)</w:t>
      </w:r>
      <w:r>
        <w:t xml:space="preserve"> : </w:t>
      </w:r>
      <w:r>
        <w:rPr>
          <w:rStyle w:val="VerbatimChar"/>
        </w:rPr>
        <w:t>E53_Lieu</w:t>
      </w:r>
    </w:p>
    <w:p w14:paraId="4A422D60" w14:textId="77777777" w:rsidR="00065317" w:rsidRDefault="005C7BF7">
      <w:pPr>
        <w:pStyle w:val="Normalcentr"/>
      </w:pPr>
      <w:r>
        <w:rPr>
          <w:b/>
          <w:bCs/>
          <w:i/>
          <w:iCs/>
        </w:rPr>
        <w:t>Note de traduction</w:t>
      </w:r>
    </w:p>
    <w:p w14:paraId="395493F9" w14:textId="0FD1C30E" w:rsidR="00065317" w:rsidRDefault="005C7BF7" w:rsidP="00627690">
      <w:pPr>
        <w:pStyle w:val="Normalcentr"/>
      </w:pPr>
      <w:r>
        <w:rPr>
          <w:b/>
          <w:bCs/>
          <w:i/>
          <w:iCs/>
        </w:rPr>
        <w:t>Références</w:t>
      </w:r>
    </w:p>
    <w:p w14:paraId="7CBD9C28" w14:textId="77777777" w:rsidR="00065317" w:rsidRDefault="005C7BF7" w:rsidP="00914F34">
      <w:pPr>
        <w:pStyle w:val="Titre3"/>
      </w:pPr>
      <w:bookmarkStart w:id="188" w:name="_Toc154048779"/>
      <w:bookmarkStart w:id="189" w:name="e54-dimension"/>
      <w:bookmarkEnd w:id="187"/>
      <w:r>
        <w:lastRenderedPageBreak/>
        <w:t>E54 Dimension</w:t>
      </w:r>
      <w:bookmarkEnd w:id="188"/>
    </w:p>
    <w:p w14:paraId="111CAF88" w14:textId="77777777" w:rsidR="00065317" w:rsidRDefault="005C7BF7">
      <w:pPr>
        <w:pStyle w:val="FirstParagraph"/>
      </w:pPr>
      <w:r>
        <w:rPr>
          <w:b/>
          <w:bCs/>
        </w:rPr>
        <w:t>Sous-classe de</w:t>
      </w:r>
    </w:p>
    <w:p w14:paraId="1486B7C5" w14:textId="77777777" w:rsidR="00065317" w:rsidRDefault="005C7BF7">
      <w:pPr>
        <w:pStyle w:val="Corpsdetexte"/>
      </w:pPr>
      <w:r>
        <w:rPr>
          <w:rStyle w:val="VerbatimChar"/>
        </w:rPr>
        <w:t>E1_Entité_CRM</w:t>
      </w:r>
    </w:p>
    <w:p w14:paraId="0F44BF5C" w14:textId="77777777" w:rsidR="00065317" w:rsidRDefault="005C7BF7">
      <w:pPr>
        <w:pStyle w:val="Corpsdetexte"/>
      </w:pPr>
      <w:r>
        <w:rPr>
          <w:b/>
          <w:bCs/>
        </w:rPr>
        <w:t>Super-classe de</w:t>
      </w:r>
    </w:p>
    <w:p w14:paraId="5B6DE823" w14:textId="77777777" w:rsidR="00065317" w:rsidRDefault="005C7BF7">
      <w:pPr>
        <w:pStyle w:val="Corpsdetexte"/>
      </w:pPr>
      <w:r>
        <w:rPr>
          <w:rStyle w:val="VerbatimChar"/>
        </w:rPr>
        <w:t>E97_Valeur_monétaire</w:t>
      </w:r>
    </w:p>
    <w:p w14:paraId="226F7E01" w14:textId="4606C750" w:rsidR="00065317" w:rsidRDefault="005C7BF7">
      <w:pPr>
        <w:pStyle w:val="Corpsdetexte"/>
      </w:pPr>
      <w:r>
        <w:rPr>
          <w:b/>
          <w:bCs/>
        </w:rPr>
        <w:t>Note d</w:t>
      </w:r>
      <w:r w:rsidR="00E84B0E">
        <w:rPr>
          <w:b/>
          <w:bCs/>
        </w:rPr>
        <w:t>’</w:t>
      </w:r>
      <w:r>
        <w:rPr>
          <w:b/>
          <w:bCs/>
        </w:rPr>
        <w:t>application</w:t>
      </w:r>
    </w:p>
    <w:p w14:paraId="2A41A66F" w14:textId="7D34BC49" w:rsidR="00065317" w:rsidRDefault="005C7BF7">
      <w:pPr>
        <w:pStyle w:val="Corpsdetexte"/>
      </w:pPr>
      <w:r>
        <w:t>Cette classe comprend des propriétés quantifiables pouvant être mesurées par le biais d</w:t>
      </w:r>
      <w:r w:rsidR="00E84B0E">
        <w:t>’</w:t>
      </w:r>
      <w:r>
        <w:t>une opération d</w:t>
      </w:r>
      <w:r w:rsidR="00E84B0E">
        <w:t>’</w:t>
      </w:r>
      <w:r>
        <w:t>étalonnage et estimées avec des valeurs, c.-à-d. par des points ou des régions dans un espace mathématique ou conceptuel, tels que les entiers naturels ou les nombres réels, les valeurs du mode colorimétrique RVB [</w:t>
      </w:r>
      <w:r w:rsidR="00AF51A3">
        <w:t xml:space="preserve">n.d.t. </w:t>
      </w:r>
      <w:r>
        <w:t>rouge, vert, bleu, etc.</w:t>
      </w:r>
    </w:p>
    <w:p w14:paraId="339AC166" w14:textId="03EBD8A8" w:rsidR="00065317" w:rsidRDefault="005C7BF7">
      <w:pPr>
        <w:pStyle w:val="Corpsdetexte"/>
      </w:pPr>
      <w:r>
        <w:t xml:space="preserve">Une instance de </w:t>
      </w:r>
      <w:r>
        <w:rPr>
          <w:rStyle w:val="VerbatimChar"/>
        </w:rPr>
        <w:t>E54_Dimension</w:t>
      </w:r>
      <w:r>
        <w:t xml:space="preserve"> représente la quantité empirique ou théoriquement dérivée, y compris les approximations résultant de la méthode ou du calcul spécifique. L</w:t>
      </w:r>
      <w:r w:rsidR="00E84B0E">
        <w:t>’</w:t>
      </w:r>
      <w:r>
        <w:t>identité d</w:t>
      </w:r>
      <w:r w:rsidR="00E84B0E">
        <w:t>’</w:t>
      </w:r>
      <w:r>
        <w:t xml:space="preserve">une instance de </w:t>
      </w:r>
      <w:r>
        <w:rPr>
          <w:rStyle w:val="VerbatimChar"/>
        </w:rPr>
        <w:t>E54_Dimension</w:t>
      </w:r>
      <w:r>
        <w:t xml:space="preserve"> dépend de la méthode selon laquelle elle est déterminée parce que chacune des méthodes pourrait produire des valeurs différentes même lorsque des qualités comparables sont déterminées. Par exemple, la dimension de l</w:t>
      </w:r>
      <w:r w:rsidR="00E84B0E">
        <w:t>’</w:t>
      </w:r>
      <w:r>
        <w:t>envergure d</w:t>
      </w:r>
      <w:r w:rsidR="00E84B0E">
        <w:t>’</w:t>
      </w:r>
      <w:r>
        <w:t>un oiseau vivant sera différente de celle d</w:t>
      </w:r>
      <w:r w:rsidR="00E84B0E">
        <w:t>’</w:t>
      </w:r>
      <w:r>
        <w:t>un oiseau mort. La datation par thermoluminescence et la datation par réhydroxylation sont des dimensions différentes de distance temporelle, même si elles visent à dater le même objet. La méthode de détermination doit être exprimée à l</w:t>
      </w:r>
      <w:r w:rsidR="00E84B0E">
        <w:t>’</w:t>
      </w:r>
      <w:r>
        <w:t xml:space="preserve">aide de la propriété </w:t>
      </w:r>
      <w:r>
        <w:rPr>
          <w:rStyle w:val="VerbatimChar"/>
        </w:rPr>
        <w:t>P2_a_pour_type (est_le_type_de)</w:t>
      </w:r>
      <w:r>
        <w:t>. Des termes simples tels que « diamètre » ou « longueur » sont généralement insuffisants pour décrire clairement une dimension alors que l</w:t>
      </w:r>
      <w:r w:rsidR="00E84B0E">
        <w:t>’</w:t>
      </w:r>
      <w:r>
        <w:t>expression « étendue linéaire maximale » peut être suffisante.</w:t>
      </w:r>
    </w:p>
    <w:p w14:paraId="52FA2E0F" w14:textId="4568E629" w:rsidR="00065317" w:rsidRDefault="005C7BF7">
      <w:pPr>
        <w:pStyle w:val="Corpsdetexte"/>
      </w:pPr>
      <w:r>
        <w:t xml:space="preserve">Les propriétés de la classe </w:t>
      </w:r>
      <w:r>
        <w:rPr>
          <w:rStyle w:val="VerbatimChar"/>
        </w:rPr>
        <w:t>E54_Dimension</w:t>
      </w:r>
      <w:r>
        <w:t xml:space="preserve"> permettent d</w:t>
      </w:r>
      <w:r w:rsidR="00E84B0E">
        <w:t>’</w:t>
      </w:r>
      <w:r>
        <w:t xml:space="preserve">exprimer les valeurs numériques approximatives des instances de </w:t>
      </w:r>
      <w:r>
        <w:rPr>
          <w:rStyle w:val="VerbatimChar"/>
        </w:rPr>
        <w:t>E54_Dimension</w:t>
      </w:r>
      <w:r>
        <w:t xml:space="preserve"> convenables à la précision de la méthode de détermination utilisée. Si la quantité appartient à un espace non discret selon les lois de la physique, comme une distance spatiale, il est recommandé de l</w:t>
      </w:r>
      <w:r w:rsidR="00E84B0E">
        <w:t>’</w:t>
      </w:r>
      <w:r>
        <w:t>enregistrer comme une estimation par intervalles ou régions d</w:t>
      </w:r>
      <w:r w:rsidR="00E84B0E">
        <w:t>’</w:t>
      </w:r>
      <w:r>
        <w:t>indétermination couvrant les valeurs considérées vraies. Par exemple, une longueur de 5 centimètres peut être enregistrée comme 4,5-5,5 centimètres, en fonction de la précision de l</w:t>
      </w:r>
      <w:r w:rsidR="00E84B0E">
        <w:t>’</w:t>
      </w:r>
      <w:r>
        <w:t>observation. La comparabilité des valeurs décrites dans différentes unités dépend significativement de la représentation comme des régions de valeurs.</w:t>
      </w:r>
    </w:p>
    <w:p w14:paraId="62C5E4A4" w14:textId="77777777" w:rsidR="00065317" w:rsidRDefault="005C7BF7">
      <w:pPr>
        <w:pStyle w:val="Corpsdetexte"/>
      </w:pPr>
      <w:r>
        <w:t xml:space="preserve">Les estimations numériques archaïques enregistrées comme instances de </w:t>
      </w:r>
      <w:r>
        <w:rPr>
          <w:rStyle w:val="VerbatimChar"/>
        </w:rPr>
        <w:t>E58_Unité_de_mesure</w:t>
      </w:r>
      <w:r>
        <w:t xml:space="preserve"> utilisées dans les documents historiques doivent être conservées. Les valeurs équivalentes correspondant aux connaissances actuelles doivent être enregistrées comme des instances supplémentaires de </w:t>
      </w:r>
      <w:r>
        <w:rPr>
          <w:rStyle w:val="VerbatimChar"/>
        </w:rPr>
        <w:t>E54_Dimension</w:t>
      </w:r>
      <w:r>
        <w:t>, le cas échéant.</w:t>
      </w:r>
    </w:p>
    <w:p w14:paraId="5CE156B2" w14:textId="77777777" w:rsidR="00065317" w:rsidRDefault="005C7BF7">
      <w:pPr>
        <w:pStyle w:val="Corpsdetexte"/>
      </w:pPr>
      <w:r>
        <w:rPr>
          <w:b/>
          <w:bCs/>
        </w:rPr>
        <w:t>Exemples</w:t>
      </w:r>
    </w:p>
    <w:p w14:paraId="4BC7D2D0" w14:textId="4B6CD6CF" w:rsidR="00065317" w:rsidRDefault="005C7BF7">
      <w:pPr>
        <w:numPr>
          <w:ilvl w:val="0"/>
          <w:numId w:val="101"/>
        </w:numPr>
      </w:pPr>
      <w:r>
        <w:t>Le poids de l</w:t>
      </w:r>
      <w:r w:rsidR="00E84B0E">
        <w:t>’</w:t>
      </w:r>
      <w:r>
        <w:t>obélisque de Louxor [250 tonnes]</w:t>
      </w:r>
    </w:p>
    <w:p w14:paraId="4BEF61D5" w14:textId="77777777" w:rsidR="00065317" w:rsidRDefault="005C7BF7">
      <w:pPr>
        <w:numPr>
          <w:ilvl w:val="0"/>
          <w:numId w:val="101"/>
        </w:numPr>
      </w:pPr>
      <w:r>
        <w:t>La hauteur du David de Michel-Ange [5,17 mètres]</w:t>
      </w:r>
    </w:p>
    <w:p w14:paraId="39891447" w14:textId="77777777" w:rsidR="00065317" w:rsidRDefault="005C7BF7">
      <w:pPr>
        <w:numPr>
          <w:ilvl w:val="0"/>
          <w:numId w:val="101"/>
        </w:numPr>
      </w:pPr>
      <w:r>
        <w:t>La masse du diamant Cullinan [530,2 carats]</w:t>
      </w:r>
    </w:p>
    <w:p w14:paraId="5ADBB0D9" w14:textId="3936FE0E" w:rsidR="00065317" w:rsidRDefault="005C7BF7">
      <w:pPr>
        <w:numPr>
          <w:ilvl w:val="0"/>
          <w:numId w:val="101"/>
        </w:numPr>
      </w:pPr>
      <w:r>
        <w:t>L</w:t>
      </w:r>
      <w:r w:rsidR="00E84B0E">
        <w:t>’</w:t>
      </w:r>
      <w:r>
        <w:t>âge calibré au carbone 14 du Suaire de Turin [1262-1312 EC, 1303-1384 EC]</w:t>
      </w:r>
    </w:p>
    <w:p w14:paraId="391C527E" w14:textId="77777777" w:rsidR="00065317" w:rsidRDefault="005C7BF7">
      <w:pPr>
        <w:numPr>
          <w:ilvl w:val="0"/>
          <w:numId w:val="101"/>
        </w:numPr>
      </w:pPr>
      <w:r>
        <w:t>Le diamètre horizontal du grand cercle de sarsen de Stonehenge [33 mètres] (Pryor, 2016)</w:t>
      </w:r>
    </w:p>
    <w:p w14:paraId="0E958790" w14:textId="04196404" w:rsidR="00065317" w:rsidRDefault="005C7BF7">
      <w:pPr>
        <w:numPr>
          <w:ilvl w:val="0"/>
          <w:numId w:val="101"/>
        </w:numPr>
      </w:pPr>
      <w:r>
        <w:t>La longueur des côtés de la grande pyramide de Gizeh [230.34 mètres] (Lehner &amp; Hawass, 2017)</w:t>
      </w:r>
    </w:p>
    <w:p w14:paraId="197E6659" w14:textId="7ED13E0F" w:rsidR="00065317" w:rsidRDefault="005C7BF7">
      <w:pPr>
        <w:numPr>
          <w:ilvl w:val="0"/>
          <w:numId w:val="101"/>
        </w:numPr>
      </w:pPr>
      <w:r>
        <w:lastRenderedPageBreak/>
        <w:t>La durée de l</w:t>
      </w:r>
      <w:r w:rsidR="00E84B0E">
        <w:t>’</w:t>
      </w:r>
      <w:r>
        <w:t>intervalle temporel de la bataille d</w:t>
      </w:r>
      <w:r w:rsidR="00E84B0E">
        <w:t>’</w:t>
      </w:r>
      <w:r>
        <w:t>Issos le 15</w:t>
      </w:r>
      <w:r w:rsidR="00056DCD">
        <w:t> novembre </w:t>
      </w:r>
      <w:r>
        <w:t>333 AEC [moins de 12</w:t>
      </w:r>
      <w:r w:rsidR="000768F3">
        <w:t> </w:t>
      </w:r>
      <w:r>
        <w:t>heures] (Howard, 2012)</w:t>
      </w:r>
    </w:p>
    <w:p w14:paraId="21291F4E" w14:textId="18FABCD0" w:rsidR="00065317" w:rsidRDefault="005C7BF7">
      <w:pPr>
        <w:numPr>
          <w:ilvl w:val="0"/>
          <w:numId w:val="101"/>
        </w:numPr>
      </w:pPr>
      <w:r>
        <w:t>Le prix d</w:t>
      </w:r>
      <w:r w:rsidR="00E84B0E">
        <w:t>’</w:t>
      </w:r>
      <w:r>
        <w:t>adjudication, en livres sterling, par Christie</w:t>
      </w:r>
      <w:r w:rsidR="00E84B0E">
        <w:t>’</w:t>
      </w:r>
      <w:r>
        <w:t>s de l</w:t>
      </w:r>
      <w:r w:rsidR="00E84B0E">
        <w:t>’</w:t>
      </w:r>
      <w:r>
        <w:t xml:space="preserve">œuvre de Vincent Van Gogh </w:t>
      </w:r>
      <w:r>
        <w:rPr>
          <w:i/>
          <w:iCs/>
        </w:rPr>
        <w:t>Nature morte : Vase avec quinze tournesols</w:t>
      </w:r>
      <w:r>
        <w:t xml:space="preserve"> à Londres le 30</w:t>
      </w:r>
      <w:r w:rsidR="00056DCD">
        <w:t> mars </w:t>
      </w:r>
      <w:r>
        <w:t>1987 (</w:t>
      </w:r>
      <w:r>
        <w:rPr>
          <w:rStyle w:val="VerbatimChar"/>
        </w:rPr>
        <w:t>E97_Valeur_monétaire</w:t>
      </w:r>
      <w:r>
        <w:t>) [24,75</w:t>
      </w:r>
      <w:r w:rsidR="00056DCD">
        <w:t> millions </w:t>
      </w:r>
      <w:r>
        <w:t>de livres sterling] (</w:t>
      </w:r>
      <w:r>
        <w:rPr>
          <w:rStyle w:val="VerbatimChar"/>
        </w:rPr>
        <w:t>E54_Dimension</w:t>
      </w:r>
      <w:r>
        <w:t>)</w:t>
      </w:r>
    </w:p>
    <w:p w14:paraId="41A2A4F0" w14:textId="77777777" w:rsidR="00065317" w:rsidRDefault="005C7BF7">
      <w:pPr>
        <w:pStyle w:val="FirstParagraph"/>
      </w:pPr>
      <w:r>
        <w:rPr>
          <w:b/>
          <w:bCs/>
        </w:rPr>
        <w:t>Logique</w:t>
      </w:r>
    </w:p>
    <w:p w14:paraId="179E6E78" w14:textId="77777777" w:rsidR="00065317" w:rsidRDefault="005C7BF7">
      <w:pPr>
        <w:pStyle w:val="Corpsdetexte"/>
      </w:pPr>
      <w:r>
        <w:t>E54(x) ⇒ E1(x)</w:t>
      </w:r>
    </w:p>
    <w:p w14:paraId="3400BEEC" w14:textId="77777777" w:rsidR="00065317" w:rsidRDefault="005C7BF7">
      <w:pPr>
        <w:pStyle w:val="Corpsdetexte"/>
      </w:pPr>
      <w:r>
        <w:rPr>
          <w:b/>
          <w:bCs/>
        </w:rPr>
        <w:t>Propriétés</w:t>
      </w:r>
    </w:p>
    <w:p w14:paraId="1BA92899" w14:textId="77777777" w:rsidR="00065317" w:rsidRDefault="005C7BF7">
      <w:pPr>
        <w:pStyle w:val="Corpsdetexte"/>
      </w:pPr>
      <w:r>
        <w:rPr>
          <w:rStyle w:val="VerbatimChar"/>
        </w:rPr>
        <w:t>P90_a_pour_valeur</w:t>
      </w:r>
      <w:r>
        <w:t xml:space="preserve"> : </w:t>
      </w:r>
      <w:r>
        <w:rPr>
          <w:rStyle w:val="VerbatimChar"/>
        </w:rPr>
        <w:t>E60_Nombre</w:t>
      </w:r>
    </w:p>
    <w:p w14:paraId="43872649" w14:textId="7027EA6B" w:rsidR="00065317" w:rsidRDefault="005C7BF7">
      <w:pPr>
        <w:pStyle w:val="Corpsdetexte"/>
      </w:pPr>
      <w:r>
        <w:rPr>
          <w:rStyle w:val="VerbatimChar"/>
        </w:rPr>
        <w:t>P91_a_pour_unité_de_mesure (est_l</w:t>
      </w:r>
      <w:r w:rsidR="00E84B0E">
        <w:rPr>
          <w:rStyle w:val="VerbatimChar"/>
        </w:rPr>
        <w:t>’</w:t>
      </w:r>
      <w:r>
        <w:rPr>
          <w:rStyle w:val="VerbatimChar"/>
        </w:rPr>
        <w:t>unité_de_mesure_de)</w:t>
      </w:r>
      <w:r>
        <w:t xml:space="preserve"> : </w:t>
      </w:r>
      <w:r>
        <w:rPr>
          <w:rStyle w:val="VerbatimChar"/>
        </w:rPr>
        <w:t>E58_Unité_de_mesure</w:t>
      </w:r>
    </w:p>
    <w:p w14:paraId="32D49AE8" w14:textId="77777777" w:rsidR="00065317" w:rsidRDefault="005C7BF7">
      <w:pPr>
        <w:pStyle w:val="Normalcentr"/>
      </w:pPr>
      <w:r>
        <w:rPr>
          <w:b/>
          <w:bCs/>
          <w:i/>
          <w:iCs/>
        </w:rPr>
        <w:t>Note de traduction</w:t>
      </w:r>
    </w:p>
    <w:p w14:paraId="513A2964" w14:textId="6B28324E" w:rsidR="00065317" w:rsidRDefault="005C7BF7" w:rsidP="00627690">
      <w:pPr>
        <w:pStyle w:val="Normalcentr"/>
      </w:pPr>
      <w:r>
        <w:rPr>
          <w:b/>
          <w:bCs/>
          <w:i/>
          <w:iCs/>
        </w:rPr>
        <w:t>Références</w:t>
      </w:r>
    </w:p>
    <w:p w14:paraId="3F52BC4B" w14:textId="77777777" w:rsidR="00065317" w:rsidRDefault="005C7BF7" w:rsidP="00914F34">
      <w:pPr>
        <w:pStyle w:val="Titre3"/>
      </w:pPr>
      <w:bookmarkStart w:id="190" w:name="_Toc154048780"/>
      <w:bookmarkStart w:id="191" w:name="e55-type"/>
      <w:bookmarkEnd w:id="189"/>
      <w:r>
        <w:t>E55 Type</w:t>
      </w:r>
      <w:bookmarkEnd w:id="190"/>
    </w:p>
    <w:p w14:paraId="640E505A" w14:textId="77777777" w:rsidR="00065317" w:rsidRDefault="005C7BF7">
      <w:pPr>
        <w:pStyle w:val="FirstParagraph"/>
      </w:pPr>
      <w:r>
        <w:rPr>
          <w:b/>
          <w:bCs/>
        </w:rPr>
        <w:t>Sous-classe de</w:t>
      </w:r>
    </w:p>
    <w:p w14:paraId="142D7500" w14:textId="77777777" w:rsidR="00065317" w:rsidRDefault="005C7BF7">
      <w:pPr>
        <w:pStyle w:val="Corpsdetexte"/>
      </w:pPr>
      <w:r>
        <w:rPr>
          <w:rStyle w:val="VerbatimChar"/>
        </w:rPr>
        <w:t>E28_Objet_conceptuel</w:t>
      </w:r>
    </w:p>
    <w:p w14:paraId="2EEE2E7C" w14:textId="77777777" w:rsidR="00065317" w:rsidRDefault="005C7BF7">
      <w:pPr>
        <w:pStyle w:val="Corpsdetexte"/>
      </w:pPr>
      <w:r>
        <w:rPr>
          <w:b/>
          <w:bCs/>
        </w:rPr>
        <w:t>Super-classe de</w:t>
      </w:r>
    </w:p>
    <w:p w14:paraId="027A0858" w14:textId="77777777" w:rsidR="00065317" w:rsidRDefault="005C7BF7">
      <w:pPr>
        <w:pStyle w:val="Corpsdetexte"/>
      </w:pPr>
      <w:r>
        <w:rPr>
          <w:rStyle w:val="VerbatimChar"/>
        </w:rPr>
        <w:t>E56_Langue</w:t>
      </w:r>
    </w:p>
    <w:p w14:paraId="1E9EBB6A" w14:textId="77777777" w:rsidR="00065317" w:rsidRDefault="005C7BF7">
      <w:pPr>
        <w:pStyle w:val="Corpsdetexte"/>
      </w:pPr>
      <w:r>
        <w:rPr>
          <w:rStyle w:val="VerbatimChar"/>
        </w:rPr>
        <w:t>E57_Matériau</w:t>
      </w:r>
    </w:p>
    <w:p w14:paraId="4A8881C3" w14:textId="77777777" w:rsidR="00065317" w:rsidRDefault="005C7BF7">
      <w:pPr>
        <w:pStyle w:val="Corpsdetexte"/>
      </w:pPr>
      <w:r>
        <w:rPr>
          <w:rStyle w:val="VerbatimChar"/>
        </w:rPr>
        <w:t>E58_Unité_de_mesure</w:t>
      </w:r>
    </w:p>
    <w:p w14:paraId="0D98D0DF" w14:textId="19AF80D5" w:rsidR="008D39EE" w:rsidRPr="00C86352" w:rsidRDefault="005C7BF7" w:rsidP="00C86352">
      <w:pPr>
        <w:pStyle w:val="Corpsdetexte"/>
      </w:pPr>
      <w:r>
        <w:rPr>
          <w:rStyle w:val="VerbatimChar"/>
        </w:rPr>
        <w:t>E99_Modèle_de_produit</w:t>
      </w:r>
    </w:p>
    <w:p w14:paraId="46D5B1BB" w14:textId="0B81CCC1" w:rsidR="00065317" w:rsidRDefault="005C7BF7">
      <w:pPr>
        <w:pStyle w:val="Corpsdetexte"/>
      </w:pPr>
      <w:r>
        <w:rPr>
          <w:b/>
          <w:bCs/>
        </w:rPr>
        <w:t>Note d</w:t>
      </w:r>
      <w:r w:rsidR="00E84B0E">
        <w:rPr>
          <w:b/>
          <w:bCs/>
        </w:rPr>
        <w:t>’</w:t>
      </w:r>
      <w:r>
        <w:rPr>
          <w:b/>
          <w:bCs/>
        </w:rPr>
        <w:t>application</w:t>
      </w:r>
    </w:p>
    <w:p w14:paraId="0F103851" w14:textId="1DB1F69D" w:rsidR="00065317" w:rsidRDefault="005C7BF7">
      <w:pPr>
        <w:pStyle w:val="Corpsdetexte"/>
      </w:pPr>
      <w:r>
        <w:t xml:space="preserve">Cette classe comprend des concepts désignés par des termes issus de thésaurus et de vocabulaires contrôlés utilisés pour caractériser et catégoriser les instances des classes du </w:t>
      </w:r>
      <w:r w:rsidR="00C8288F">
        <w:t>CIDOC CRM</w:t>
      </w:r>
      <w:r>
        <w:t xml:space="preserve">. Les instances de </w:t>
      </w:r>
      <w:r>
        <w:rPr>
          <w:rStyle w:val="VerbatimChar"/>
        </w:rPr>
        <w:t>E55_Type</w:t>
      </w:r>
      <w:r>
        <w:t xml:space="preserve"> représentent des concepts par opposition aux instances de </w:t>
      </w:r>
      <w:r>
        <w:rPr>
          <w:rStyle w:val="VerbatimChar"/>
        </w:rPr>
        <w:t>E41_Appellation</w:t>
      </w:r>
      <w:r>
        <w:t xml:space="preserve"> qui sont utilisées pour nommer les instances des classes du </w:t>
      </w:r>
      <w:r w:rsidR="00C8288F">
        <w:t>CIDOC CRM</w:t>
      </w:r>
      <w:r>
        <w:t>.</w:t>
      </w:r>
    </w:p>
    <w:p w14:paraId="7C4D25AF" w14:textId="17C74E09" w:rsidR="00065317" w:rsidRDefault="005C7BF7">
      <w:pPr>
        <w:pStyle w:val="Corpsdetexte"/>
      </w:pPr>
      <w:r>
        <w:t xml:space="preserve">La classe </w:t>
      </w:r>
      <w:r>
        <w:rPr>
          <w:rStyle w:val="VerbatimChar"/>
        </w:rPr>
        <w:t>E55_Type</w:t>
      </w:r>
      <w:r>
        <w:t xml:space="preserve"> est le point d</w:t>
      </w:r>
      <w:r w:rsidR="00E84B0E">
        <w:t>’</w:t>
      </w:r>
      <w:r>
        <w:t>entrée qui permet d</w:t>
      </w:r>
      <w:r w:rsidR="00E84B0E">
        <w:t>’</w:t>
      </w:r>
      <w:r>
        <w:t xml:space="preserve">accueillir des ontologies et thésaurus spécifiques. Ceux-ci peuvent être représentés dans le </w:t>
      </w:r>
      <w:r w:rsidR="00C8288F">
        <w:t>CIDOC CRM</w:t>
      </w:r>
      <w:r>
        <w:t xml:space="preserve"> comme des sous-classes de </w:t>
      </w:r>
      <w:r>
        <w:rPr>
          <w:rStyle w:val="VerbatimChar"/>
        </w:rPr>
        <w:t>E55_Type</w:t>
      </w:r>
      <w:r>
        <w:t xml:space="preserve">, formant des hiérarchies de termes, c.-à-d. que les instances de </w:t>
      </w:r>
      <w:r>
        <w:rPr>
          <w:rStyle w:val="VerbatimChar"/>
        </w:rPr>
        <w:t>E55_Type</w:t>
      </w:r>
      <w:r>
        <w:t xml:space="preserve"> sont liées par la propriété </w:t>
      </w:r>
      <w:r>
        <w:rPr>
          <w:rStyle w:val="VerbatimChar"/>
        </w:rPr>
        <w:t>P127_a_pour_terme_général (a_pour_terme_spécifique)</w:t>
      </w:r>
      <w:r>
        <w:t xml:space="preserve"> : </w:t>
      </w:r>
      <w:r>
        <w:rPr>
          <w:rStyle w:val="VerbatimChar"/>
        </w:rPr>
        <w:t>E55_Type</w:t>
      </w:r>
      <w:r>
        <w:t>. De telles hiérarchies peuvent être étendues avec des propriétés supplémentaires.</w:t>
      </w:r>
    </w:p>
    <w:p w14:paraId="36AB957F" w14:textId="77777777" w:rsidR="00065317" w:rsidRDefault="005C7BF7">
      <w:pPr>
        <w:pStyle w:val="Corpsdetexte"/>
      </w:pPr>
      <w:r>
        <w:rPr>
          <w:b/>
          <w:bCs/>
        </w:rPr>
        <w:t>Exemples</w:t>
      </w:r>
    </w:p>
    <w:p w14:paraId="6F930AC4" w14:textId="77777777" w:rsidR="00065317" w:rsidRDefault="005C7BF7">
      <w:pPr>
        <w:numPr>
          <w:ilvl w:val="0"/>
          <w:numId w:val="102"/>
        </w:numPr>
      </w:pPr>
      <w:r>
        <w:t xml:space="preserve">Poids, longueur, profondeur [types associés à des instances de </w:t>
      </w:r>
      <w:r>
        <w:rPr>
          <w:rStyle w:val="VerbatimChar"/>
        </w:rPr>
        <w:t>E54_Dimension</w:t>
      </w:r>
      <w:r>
        <w:t>]</w:t>
      </w:r>
    </w:p>
    <w:p w14:paraId="7710F50A" w14:textId="77777777" w:rsidR="00065317" w:rsidRDefault="005C7BF7">
      <w:pPr>
        <w:numPr>
          <w:ilvl w:val="0"/>
          <w:numId w:val="102"/>
        </w:numPr>
      </w:pPr>
      <w:r>
        <w:t xml:space="preserve">Portrait, croquis, animation [types associés à des instances de </w:t>
      </w:r>
      <w:r>
        <w:rPr>
          <w:rStyle w:val="VerbatimChar"/>
        </w:rPr>
        <w:t>E36_Entité_visuelle</w:t>
      </w:r>
      <w:r>
        <w:t>]</w:t>
      </w:r>
    </w:p>
    <w:p w14:paraId="609579F1" w14:textId="77777777" w:rsidR="00065317" w:rsidRDefault="005C7BF7">
      <w:pPr>
        <w:numPr>
          <w:ilvl w:val="0"/>
          <w:numId w:val="102"/>
        </w:numPr>
      </w:pPr>
      <w:r>
        <w:t>Français, anglais, allemand (</w:t>
      </w:r>
      <w:r>
        <w:rPr>
          <w:rStyle w:val="VerbatimChar"/>
        </w:rPr>
        <w:t>E56_Langue</w:t>
      </w:r>
      <w:r>
        <w:t>)</w:t>
      </w:r>
    </w:p>
    <w:p w14:paraId="6173EF63" w14:textId="77777777" w:rsidR="00065317" w:rsidRDefault="005C7BF7">
      <w:pPr>
        <w:numPr>
          <w:ilvl w:val="0"/>
          <w:numId w:val="102"/>
        </w:numPr>
      </w:pPr>
      <w:r>
        <w:t xml:space="preserve">Excellent, bon, mauvais [types associés à des instances de </w:t>
      </w:r>
      <w:r>
        <w:rPr>
          <w:rStyle w:val="VerbatimChar"/>
        </w:rPr>
        <w:t>E3_État_matériel</w:t>
      </w:r>
      <w:r>
        <w:t>]</w:t>
      </w:r>
    </w:p>
    <w:p w14:paraId="37B384D4" w14:textId="7EB551E1" w:rsidR="00065317" w:rsidRDefault="005C7BF7">
      <w:pPr>
        <w:numPr>
          <w:ilvl w:val="0"/>
          <w:numId w:val="102"/>
        </w:numPr>
      </w:pPr>
      <w:r>
        <w:lastRenderedPageBreak/>
        <w:t xml:space="preserve">Ford Modèle T, baguettes [types associés à des instances de </w:t>
      </w:r>
      <w:r>
        <w:rPr>
          <w:rStyle w:val="VerbatimChar"/>
        </w:rPr>
        <w:t>E22_Objet_élaboré_par_l</w:t>
      </w:r>
      <w:r w:rsidR="00E84B0E">
        <w:rPr>
          <w:rStyle w:val="VerbatimChar"/>
        </w:rPr>
        <w:t>’</w:t>
      </w:r>
      <w:r>
        <w:rPr>
          <w:rStyle w:val="VerbatimChar"/>
        </w:rPr>
        <w:t>humain</w:t>
      </w:r>
      <w:r>
        <w:t>]</w:t>
      </w:r>
    </w:p>
    <w:p w14:paraId="7CFB8703" w14:textId="77777777" w:rsidR="00065317" w:rsidRDefault="005C7BF7">
      <w:pPr>
        <w:numPr>
          <w:ilvl w:val="0"/>
          <w:numId w:val="102"/>
        </w:numPr>
      </w:pPr>
      <w:r>
        <w:t xml:space="preserve">grotte, doline, égratignure [types associés à des instances de </w:t>
      </w:r>
      <w:r>
        <w:rPr>
          <w:rStyle w:val="VerbatimChar"/>
        </w:rPr>
        <w:t>E26_Caractéristique_physique</w:t>
      </w:r>
      <w:r>
        <w:t>]</w:t>
      </w:r>
    </w:p>
    <w:p w14:paraId="587781AA" w14:textId="77777777" w:rsidR="00065317" w:rsidRDefault="005C7BF7">
      <w:pPr>
        <w:numPr>
          <w:ilvl w:val="0"/>
          <w:numId w:val="102"/>
        </w:numPr>
      </w:pPr>
      <w:r>
        <w:t xml:space="preserve">poème, nouvelle [types associés à des instances de </w:t>
      </w:r>
      <w:r>
        <w:rPr>
          <w:rStyle w:val="VerbatimChar"/>
        </w:rPr>
        <w:t>E33_Objet_linguistique</w:t>
      </w:r>
      <w:r>
        <w:t>]</w:t>
      </w:r>
    </w:p>
    <w:p w14:paraId="7BB62F18" w14:textId="77777777" w:rsidR="00065317" w:rsidRDefault="005C7BF7">
      <w:pPr>
        <w:numPr>
          <w:ilvl w:val="0"/>
          <w:numId w:val="102"/>
        </w:numPr>
      </w:pPr>
      <w:r>
        <w:t xml:space="preserve">mariage, tremblement de terre, escarmouche [types associés à des instances de </w:t>
      </w:r>
      <w:r>
        <w:rPr>
          <w:rStyle w:val="VerbatimChar"/>
        </w:rPr>
        <w:t>E5_Évènement</w:t>
      </w:r>
      <w:r>
        <w:t>]</w:t>
      </w:r>
    </w:p>
    <w:p w14:paraId="1739B1D8" w14:textId="77777777" w:rsidR="00065317" w:rsidRDefault="005C7BF7">
      <w:pPr>
        <w:pStyle w:val="FirstParagraph"/>
      </w:pPr>
      <w:r>
        <w:rPr>
          <w:b/>
          <w:bCs/>
        </w:rPr>
        <w:t>Logique</w:t>
      </w:r>
    </w:p>
    <w:p w14:paraId="1B686458" w14:textId="77777777" w:rsidR="00065317" w:rsidRDefault="005C7BF7">
      <w:pPr>
        <w:pStyle w:val="Corpsdetexte"/>
      </w:pPr>
      <w:r>
        <w:t>E55(x) ⇒ E28(x)</w:t>
      </w:r>
    </w:p>
    <w:p w14:paraId="0EDE3247" w14:textId="77777777" w:rsidR="00065317" w:rsidRDefault="005C7BF7">
      <w:pPr>
        <w:pStyle w:val="Corpsdetexte"/>
      </w:pPr>
      <w:r>
        <w:rPr>
          <w:b/>
          <w:bCs/>
        </w:rPr>
        <w:t>Propriétés</w:t>
      </w:r>
    </w:p>
    <w:p w14:paraId="7D3B8B02" w14:textId="77777777" w:rsidR="00065317" w:rsidRDefault="005C7BF7">
      <w:pPr>
        <w:pStyle w:val="Corpsdetexte"/>
      </w:pPr>
      <w:r>
        <w:rPr>
          <w:rStyle w:val="VerbatimChar"/>
        </w:rPr>
        <w:t>P127_a_pour_terme_général (a_pour_terme_spécifique)</w:t>
      </w:r>
      <w:r>
        <w:t xml:space="preserve"> : </w:t>
      </w:r>
      <w:r>
        <w:rPr>
          <w:rStyle w:val="VerbatimChar"/>
        </w:rPr>
        <w:t>E55_Type</w:t>
      </w:r>
    </w:p>
    <w:p w14:paraId="7050B4EC" w14:textId="2FC8428B" w:rsidR="00065317" w:rsidRDefault="005C7BF7">
      <w:pPr>
        <w:pStyle w:val="Corpsdetexte"/>
      </w:pPr>
      <w:r>
        <w:rPr>
          <w:rStyle w:val="VerbatimChar"/>
        </w:rPr>
        <w:t>P150_définit_les_éléments_typiques_de (définit_l</w:t>
      </w:r>
      <w:r w:rsidR="00E84B0E">
        <w:rPr>
          <w:rStyle w:val="VerbatimChar"/>
        </w:rPr>
        <w:t>’</w:t>
      </w:r>
      <w:r>
        <w:rPr>
          <w:rStyle w:val="VerbatimChar"/>
        </w:rPr>
        <w:t>ensemble_typique_pour)</w:t>
      </w:r>
      <w:r>
        <w:t xml:space="preserve"> : </w:t>
      </w:r>
      <w:r>
        <w:rPr>
          <w:rStyle w:val="VerbatimChar"/>
        </w:rPr>
        <w:t>E55_Type</w:t>
      </w:r>
    </w:p>
    <w:p w14:paraId="6339C2D6" w14:textId="77777777" w:rsidR="00065317" w:rsidRDefault="005C7BF7">
      <w:pPr>
        <w:pStyle w:val="Normalcentr"/>
      </w:pPr>
      <w:r>
        <w:rPr>
          <w:b/>
          <w:bCs/>
          <w:i/>
          <w:iCs/>
        </w:rPr>
        <w:t>Note de traduction</w:t>
      </w:r>
    </w:p>
    <w:p w14:paraId="6FBBD8DE" w14:textId="001EC8DC" w:rsidR="00065317" w:rsidRDefault="005C7BF7" w:rsidP="00627690">
      <w:pPr>
        <w:pStyle w:val="Normalcentr"/>
      </w:pPr>
      <w:r>
        <w:rPr>
          <w:b/>
          <w:bCs/>
          <w:i/>
          <w:iCs/>
        </w:rPr>
        <w:t>Références</w:t>
      </w:r>
    </w:p>
    <w:p w14:paraId="147BB19D" w14:textId="77777777" w:rsidR="00065317" w:rsidRDefault="005C7BF7" w:rsidP="00914F34">
      <w:pPr>
        <w:pStyle w:val="Titre3"/>
      </w:pPr>
      <w:bookmarkStart w:id="192" w:name="_Toc154048781"/>
      <w:bookmarkStart w:id="193" w:name="e56-langue"/>
      <w:bookmarkEnd w:id="191"/>
      <w:r>
        <w:t>E56 Langue</w:t>
      </w:r>
      <w:bookmarkEnd w:id="192"/>
    </w:p>
    <w:p w14:paraId="68599C57" w14:textId="77777777" w:rsidR="00065317" w:rsidRDefault="005C7BF7">
      <w:pPr>
        <w:pStyle w:val="FirstParagraph"/>
      </w:pPr>
      <w:r>
        <w:rPr>
          <w:b/>
          <w:bCs/>
        </w:rPr>
        <w:t>Sous-classe de</w:t>
      </w:r>
    </w:p>
    <w:p w14:paraId="50CF9A4F" w14:textId="77777777" w:rsidR="00065317" w:rsidRDefault="005C7BF7">
      <w:pPr>
        <w:pStyle w:val="Corpsdetexte"/>
      </w:pPr>
      <w:r>
        <w:rPr>
          <w:rStyle w:val="VerbatimChar"/>
        </w:rPr>
        <w:t>E55_Type</w:t>
      </w:r>
    </w:p>
    <w:p w14:paraId="0404CA62" w14:textId="56EEA00C" w:rsidR="008D39EE" w:rsidRPr="00C86352" w:rsidRDefault="005C7BF7" w:rsidP="00C86352">
      <w:pPr>
        <w:pStyle w:val="Corpsdetexte"/>
      </w:pPr>
      <w:r>
        <w:rPr>
          <w:b/>
          <w:bCs/>
        </w:rPr>
        <w:t>Super-classe de</w:t>
      </w:r>
    </w:p>
    <w:p w14:paraId="3BA35187" w14:textId="3A91BCCD" w:rsidR="00065317" w:rsidRDefault="005C7BF7">
      <w:pPr>
        <w:pStyle w:val="Corpsdetexte"/>
      </w:pPr>
      <w:r>
        <w:rPr>
          <w:b/>
          <w:bCs/>
        </w:rPr>
        <w:t>Note d</w:t>
      </w:r>
      <w:r w:rsidR="00E84B0E">
        <w:rPr>
          <w:b/>
          <w:bCs/>
        </w:rPr>
        <w:t>’</w:t>
      </w:r>
      <w:r>
        <w:rPr>
          <w:b/>
          <w:bCs/>
        </w:rPr>
        <w:t>application</w:t>
      </w:r>
    </w:p>
    <w:p w14:paraId="037B863B" w14:textId="77777777" w:rsidR="00065317" w:rsidRDefault="005C7BF7">
      <w:pPr>
        <w:pStyle w:val="Corpsdetexte"/>
      </w:pPr>
      <w:r>
        <w:t xml:space="preserve">Cette classe est une sous-classe de </w:t>
      </w:r>
      <w:r>
        <w:rPr>
          <w:rStyle w:val="VerbatimChar"/>
        </w:rPr>
        <w:t>E55_Type</w:t>
      </w:r>
      <w:r>
        <w:t xml:space="preserve"> et comprend les langues naturelles en tant que concepts.</w:t>
      </w:r>
    </w:p>
    <w:p w14:paraId="34D94546" w14:textId="65CF41F6" w:rsidR="00065317" w:rsidRDefault="005C7BF7">
      <w:pPr>
        <w:pStyle w:val="Corpsdetexte"/>
      </w:pPr>
      <w:r>
        <w:t>Ce type est utilisé dans le modèle de manière catégorique, sans référence à des instances de celui-ci, c.-à-d. que le modèle ne prévoit pas la description d</w:t>
      </w:r>
      <w:r w:rsidR="00E84B0E">
        <w:t>’</w:t>
      </w:r>
      <w:r>
        <w:t>instances d</w:t>
      </w:r>
      <w:r w:rsidR="00E84B0E">
        <w:t>’</w:t>
      </w:r>
      <w:r>
        <w:t xml:space="preserve">instances de </w:t>
      </w:r>
      <w:r>
        <w:rPr>
          <w:rStyle w:val="VerbatimChar"/>
        </w:rPr>
        <w:t>E56_Langue</w:t>
      </w:r>
      <w:r>
        <w:t>, par exemple «</w:t>
      </w:r>
      <w:r w:rsidR="00EB3960">
        <w:t> </w:t>
      </w:r>
      <w:r>
        <w:t>instances de mandarin</w:t>
      </w:r>
      <w:r w:rsidR="00CF0FD9">
        <w:t> </w:t>
      </w:r>
      <w:r>
        <w:t>».</w:t>
      </w:r>
    </w:p>
    <w:p w14:paraId="0E435EFB" w14:textId="54A1D351" w:rsidR="00065317" w:rsidRDefault="005C7BF7">
      <w:pPr>
        <w:pStyle w:val="Corpsdetexte"/>
      </w:pPr>
      <w:r>
        <w:t>Il est recommandé d</w:t>
      </w:r>
      <w:r w:rsidR="00E84B0E">
        <w:t>’</w:t>
      </w:r>
      <w:r>
        <w:t xml:space="preserve">utiliser des codes et une terminologie convenus au niveau national ou international pour désigner les instances de </w:t>
      </w:r>
      <w:r>
        <w:rPr>
          <w:rStyle w:val="VerbatimChar"/>
        </w:rPr>
        <w:t>E56_Langue</w:t>
      </w:r>
      <w:r>
        <w:t>, telles que celles définies dans la norme ISO 639-2:1998 et ses versions ultérieures.</w:t>
      </w:r>
    </w:p>
    <w:p w14:paraId="499F80C6" w14:textId="77777777" w:rsidR="00065317" w:rsidRDefault="005C7BF7">
      <w:pPr>
        <w:pStyle w:val="Corpsdetexte"/>
      </w:pPr>
      <w:r>
        <w:rPr>
          <w:b/>
          <w:bCs/>
        </w:rPr>
        <w:t>Exemples</w:t>
      </w:r>
    </w:p>
    <w:p w14:paraId="071C119C" w14:textId="77777777" w:rsidR="00065317" w:rsidRDefault="005C7BF7">
      <w:pPr>
        <w:numPr>
          <w:ilvl w:val="0"/>
          <w:numId w:val="103"/>
        </w:numPr>
      </w:pPr>
      <w:r>
        <w:t>ell [grec]</w:t>
      </w:r>
    </w:p>
    <w:p w14:paraId="5ADC53CE" w14:textId="77777777" w:rsidR="00065317" w:rsidRDefault="005C7BF7">
      <w:pPr>
        <w:numPr>
          <w:ilvl w:val="0"/>
          <w:numId w:val="103"/>
        </w:numPr>
      </w:pPr>
      <w:r>
        <w:t>eng [anglais]</w:t>
      </w:r>
    </w:p>
    <w:p w14:paraId="5187E046" w14:textId="77777777" w:rsidR="00065317" w:rsidRDefault="005C7BF7">
      <w:pPr>
        <w:numPr>
          <w:ilvl w:val="0"/>
          <w:numId w:val="103"/>
        </w:numPr>
      </w:pPr>
      <w:r>
        <w:t>epo [esperanto]</w:t>
      </w:r>
    </w:p>
    <w:p w14:paraId="64B3C07C" w14:textId="77777777" w:rsidR="00065317" w:rsidRDefault="005C7BF7">
      <w:pPr>
        <w:numPr>
          <w:ilvl w:val="0"/>
          <w:numId w:val="103"/>
        </w:numPr>
      </w:pPr>
      <w:r>
        <w:t>spa [espagnol]</w:t>
      </w:r>
    </w:p>
    <w:p w14:paraId="5EEC33D4" w14:textId="77777777" w:rsidR="00065317" w:rsidRDefault="005C7BF7">
      <w:pPr>
        <w:numPr>
          <w:ilvl w:val="0"/>
          <w:numId w:val="103"/>
        </w:numPr>
      </w:pPr>
      <w:r>
        <w:t>fra [français]</w:t>
      </w:r>
    </w:p>
    <w:p w14:paraId="268D439A" w14:textId="77777777" w:rsidR="00065317" w:rsidRDefault="005C7BF7">
      <w:pPr>
        <w:pStyle w:val="FirstParagraph"/>
      </w:pPr>
      <w:r>
        <w:rPr>
          <w:b/>
          <w:bCs/>
        </w:rPr>
        <w:t>Logique</w:t>
      </w:r>
    </w:p>
    <w:p w14:paraId="146740E4" w14:textId="77777777" w:rsidR="00065317" w:rsidRDefault="005C7BF7">
      <w:pPr>
        <w:pStyle w:val="Corpsdetexte"/>
      </w:pPr>
      <w:r>
        <w:t>E56(x) ⇒ E55(x)</w:t>
      </w:r>
    </w:p>
    <w:p w14:paraId="4D75A417" w14:textId="77777777" w:rsidR="00511D83" w:rsidRDefault="00511D83">
      <w:pPr>
        <w:spacing w:after="0"/>
        <w:rPr>
          <w:b/>
          <w:bCs/>
        </w:rPr>
      </w:pPr>
      <w:r>
        <w:rPr>
          <w:b/>
          <w:bCs/>
        </w:rPr>
        <w:br w:type="page"/>
      </w:r>
    </w:p>
    <w:p w14:paraId="58312B6A" w14:textId="6C8F3874" w:rsidR="00065317" w:rsidRDefault="005C7BF7">
      <w:pPr>
        <w:pStyle w:val="Corpsdetexte"/>
      </w:pPr>
      <w:r>
        <w:rPr>
          <w:b/>
          <w:bCs/>
        </w:rPr>
        <w:lastRenderedPageBreak/>
        <w:t>Propriétés</w:t>
      </w:r>
    </w:p>
    <w:p w14:paraId="715B7160" w14:textId="77777777" w:rsidR="00065317" w:rsidRDefault="005C7BF7">
      <w:pPr>
        <w:pStyle w:val="Normalcentr"/>
      </w:pPr>
      <w:r>
        <w:rPr>
          <w:b/>
          <w:bCs/>
          <w:i/>
          <w:iCs/>
        </w:rPr>
        <w:t>Note de traduction</w:t>
      </w:r>
    </w:p>
    <w:p w14:paraId="5244969B" w14:textId="380C5067" w:rsidR="00065317" w:rsidRDefault="005C7BF7" w:rsidP="00627690">
      <w:pPr>
        <w:pStyle w:val="Normalcentr"/>
      </w:pPr>
      <w:r>
        <w:rPr>
          <w:b/>
          <w:bCs/>
          <w:i/>
          <w:iCs/>
        </w:rPr>
        <w:t>Références</w:t>
      </w:r>
    </w:p>
    <w:p w14:paraId="2C52A7F4" w14:textId="77777777" w:rsidR="00065317" w:rsidRDefault="005C7BF7" w:rsidP="00914F34">
      <w:pPr>
        <w:pStyle w:val="Titre3"/>
      </w:pPr>
      <w:bookmarkStart w:id="194" w:name="_Toc154048782"/>
      <w:bookmarkStart w:id="195" w:name="e57-materiau"/>
      <w:bookmarkEnd w:id="193"/>
      <w:r>
        <w:t>E57 Matériau</w:t>
      </w:r>
      <w:bookmarkEnd w:id="194"/>
    </w:p>
    <w:p w14:paraId="7A0207D7" w14:textId="77777777" w:rsidR="00065317" w:rsidRDefault="005C7BF7">
      <w:pPr>
        <w:pStyle w:val="FirstParagraph"/>
      </w:pPr>
      <w:r>
        <w:rPr>
          <w:b/>
          <w:bCs/>
        </w:rPr>
        <w:t>Sous-classe de</w:t>
      </w:r>
    </w:p>
    <w:p w14:paraId="3AF3B8E5" w14:textId="77777777" w:rsidR="00065317" w:rsidRDefault="005C7BF7">
      <w:pPr>
        <w:pStyle w:val="Corpsdetexte"/>
      </w:pPr>
      <w:r>
        <w:rPr>
          <w:rStyle w:val="VerbatimChar"/>
        </w:rPr>
        <w:t>E55_Type</w:t>
      </w:r>
    </w:p>
    <w:p w14:paraId="3308F159" w14:textId="77777777" w:rsidR="00065317" w:rsidRDefault="005C7BF7">
      <w:pPr>
        <w:pStyle w:val="Corpsdetexte"/>
      </w:pPr>
      <w:r>
        <w:rPr>
          <w:b/>
          <w:bCs/>
        </w:rPr>
        <w:t>Super-classe de</w:t>
      </w:r>
    </w:p>
    <w:p w14:paraId="791FBA19" w14:textId="030FC50D" w:rsidR="00065317" w:rsidRDefault="005C7BF7">
      <w:pPr>
        <w:pStyle w:val="Corpsdetexte"/>
      </w:pPr>
      <w:r>
        <w:rPr>
          <w:b/>
          <w:bCs/>
        </w:rPr>
        <w:t>Note d</w:t>
      </w:r>
      <w:r w:rsidR="00E84B0E">
        <w:rPr>
          <w:b/>
          <w:bCs/>
        </w:rPr>
        <w:t>’</w:t>
      </w:r>
      <w:r>
        <w:rPr>
          <w:b/>
          <w:bCs/>
        </w:rPr>
        <w:t>application</w:t>
      </w:r>
    </w:p>
    <w:p w14:paraId="513337F5" w14:textId="77777777" w:rsidR="00065317" w:rsidRDefault="005C7BF7">
      <w:pPr>
        <w:pStyle w:val="Corpsdetexte"/>
      </w:pPr>
      <w:r>
        <w:t xml:space="preserve">Cette classe est une sous-classe de </w:t>
      </w:r>
      <w:r>
        <w:rPr>
          <w:rStyle w:val="VerbatimChar"/>
        </w:rPr>
        <w:t>E55_Type</w:t>
      </w:r>
      <w:r>
        <w:t xml:space="preserve"> et comprend les matériaux en tant que concepts.</w:t>
      </w:r>
    </w:p>
    <w:p w14:paraId="34F69AFB" w14:textId="4B7546E7" w:rsidR="00065317" w:rsidRDefault="005C7BF7">
      <w:pPr>
        <w:pStyle w:val="Corpsdetexte"/>
      </w:pPr>
      <w:r>
        <w:t xml:space="preserve">Les instances de </w:t>
      </w:r>
      <w:r>
        <w:rPr>
          <w:rStyle w:val="VerbatimChar"/>
        </w:rPr>
        <w:t>E57_Matériau</w:t>
      </w:r>
      <w:r>
        <w:t xml:space="preserve"> peuvent également désigner les propriétés de la matière avant ou pendant son utilisation ou telle qu</w:t>
      </w:r>
      <w:r w:rsidR="00E84B0E">
        <w:t>’</w:t>
      </w:r>
      <w:r>
        <w:t xml:space="preserve">incorporée dans un objet, comme la </w:t>
      </w:r>
      <w:r>
        <w:rPr>
          <w:i/>
          <w:iCs/>
        </w:rPr>
        <w:t>poudre</w:t>
      </w:r>
      <w:r>
        <w:t xml:space="preserve"> de pigment bleu outremer, la tempera [</w:t>
      </w:r>
      <w:r w:rsidR="00AF51A3">
        <w:t xml:space="preserve">n.d.t. </w:t>
      </w:r>
      <w:r>
        <w:t xml:space="preserve">peinture </w:t>
      </w:r>
      <w:r>
        <w:rPr>
          <w:i/>
          <w:iCs/>
        </w:rPr>
        <w:t>à l</w:t>
      </w:r>
      <w:r w:rsidR="00E84B0E">
        <w:rPr>
          <w:i/>
          <w:iCs/>
        </w:rPr>
        <w:t>’</w:t>
      </w:r>
      <w:r>
        <w:rPr>
          <w:i/>
          <w:iCs/>
        </w:rPr>
        <w:t>œuf</w:t>
      </w:r>
      <w:r>
        <w:t xml:space="preserve">] et le béton </w:t>
      </w:r>
      <w:r>
        <w:rPr>
          <w:i/>
          <w:iCs/>
        </w:rPr>
        <w:t>armé</w:t>
      </w:r>
      <w:r>
        <w:t>.</w:t>
      </w:r>
    </w:p>
    <w:p w14:paraId="73A45504" w14:textId="77777777" w:rsidR="00065317" w:rsidRDefault="005C7BF7">
      <w:pPr>
        <w:pStyle w:val="Corpsdetexte"/>
      </w:pPr>
      <w:r>
        <w:t xml:space="preserve">Les matières premières conservées telles quelles dans les musées, comme les briques, le tissu ou les pièces de métal, doivent être modélisées individuellement, c.-à-d. de la même manière que les autres objets. Les matières premières qui ont été utilisées ou transformées, comme les pierres du temple de Néfertiti, doivent plutôt être modélisées comme des parties composantes (voir </w:t>
      </w:r>
      <w:r>
        <w:rPr>
          <w:rStyle w:val="VerbatimChar"/>
        </w:rPr>
        <w:t>P46_est_composé_de (fait_partie_de)</w:t>
      </w:r>
      <w:r>
        <w:t xml:space="preserve"> : </w:t>
      </w:r>
      <w:r>
        <w:rPr>
          <w:rStyle w:val="VerbatimChar"/>
        </w:rPr>
        <w:t>E18_Chose_matérielle</w:t>
      </w:r>
      <w:r>
        <w:t>).</w:t>
      </w:r>
    </w:p>
    <w:p w14:paraId="025E5F63" w14:textId="0FF4C0F8" w:rsidR="00065317" w:rsidRDefault="005C7BF7">
      <w:pPr>
        <w:pStyle w:val="Corpsdetexte"/>
      </w:pPr>
      <w:r>
        <w:t>Ce type est utilisé dans le modèle de manière catégorique, sans référence à des instances de celui-ci, c.-à-d. que le modèle ne prévoit pas la description d</w:t>
      </w:r>
      <w:r w:rsidR="00E84B0E">
        <w:t>’</w:t>
      </w:r>
      <w:r>
        <w:t>instances d</w:t>
      </w:r>
      <w:r w:rsidR="00E84B0E">
        <w:t>’</w:t>
      </w:r>
      <w:r>
        <w:t xml:space="preserve">instances de </w:t>
      </w:r>
      <w:r>
        <w:rPr>
          <w:rStyle w:val="VerbatimChar"/>
        </w:rPr>
        <w:t>E57_Matériau</w:t>
      </w:r>
      <w:r>
        <w:t>, par exemple «</w:t>
      </w:r>
      <w:r w:rsidR="00EB3960">
        <w:t> </w:t>
      </w:r>
      <w:r>
        <w:t>instances d</w:t>
      </w:r>
      <w:r w:rsidR="00E84B0E">
        <w:t>’</w:t>
      </w:r>
      <w:r>
        <w:t>or ».</w:t>
      </w:r>
    </w:p>
    <w:p w14:paraId="797DFFD9" w14:textId="3FC14DE6" w:rsidR="00065317" w:rsidRDefault="005C7BF7">
      <w:pPr>
        <w:pStyle w:val="Corpsdetexte"/>
      </w:pPr>
      <w:r>
        <w:t>Il est recommandé d</w:t>
      </w:r>
      <w:r w:rsidR="00E84B0E">
        <w:t>’</w:t>
      </w:r>
      <w:r>
        <w:t>utiliser des codes et une terminologie convenus au niveau national ou international.</w:t>
      </w:r>
    </w:p>
    <w:p w14:paraId="71CD3273" w14:textId="77777777" w:rsidR="00065317" w:rsidRDefault="005C7BF7">
      <w:pPr>
        <w:pStyle w:val="Corpsdetexte"/>
      </w:pPr>
      <w:r>
        <w:rPr>
          <w:b/>
          <w:bCs/>
        </w:rPr>
        <w:t>Exemples</w:t>
      </w:r>
    </w:p>
    <w:p w14:paraId="6815580A" w14:textId="77777777" w:rsidR="00065317" w:rsidRDefault="005C7BF7">
      <w:pPr>
        <w:numPr>
          <w:ilvl w:val="0"/>
          <w:numId w:val="104"/>
        </w:numPr>
      </w:pPr>
      <w:r>
        <w:t>Brique (Gurcke, 1987)</w:t>
      </w:r>
    </w:p>
    <w:p w14:paraId="15DF77FD" w14:textId="77777777" w:rsidR="00065317" w:rsidRDefault="005C7BF7">
      <w:pPr>
        <w:numPr>
          <w:ilvl w:val="0"/>
          <w:numId w:val="104"/>
        </w:numPr>
      </w:pPr>
      <w:r>
        <w:t>Or (Watson, 1990)</w:t>
      </w:r>
    </w:p>
    <w:p w14:paraId="390ADE28" w14:textId="77777777" w:rsidR="00065317" w:rsidRDefault="005C7BF7">
      <w:pPr>
        <w:numPr>
          <w:ilvl w:val="0"/>
          <w:numId w:val="104"/>
        </w:numPr>
      </w:pPr>
      <w:r>
        <w:t>Aluminium (Norman, 1986)</w:t>
      </w:r>
    </w:p>
    <w:p w14:paraId="2D246330" w14:textId="42D4436E" w:rsidR="00065317" w:rsidRDefault="005C7BF7" w:rsidP="006E6C31">
      <w:pPr>
        <w:numPr>
          <w:ilvl w:val="0"/>
          <w:numId w:val="104"/>
        </w:numPr>
      </w:pPr>
      <w:r>
        <w:t>Polycarbonate (Mhaske, 2011)</w:t>
      </w:r>
    </w:p>
    <w:p w14:paraId="5997D9A2" w14:textId="40A1ADF9" w:rsidR="00A81E78" w:rsidRPr="006E6C31" w:rsidRDefault="006E6C31" w:rsidP="006E6C31">
      <w:pPr>
        <w:numPr>
          <w:ilvl w:val="0"/>
          <w:numId w:val="104"/>
        </w:numPr>
        <w:rPr>
          <w:b/>
          <w:bCs/>
        </w:rPr>
      </w:pPr>
      <w:r>
        <w:t>Résine (Barton, 1992)</w:t>
      </w:r>
    </w:p>
    <w:p w14:paraId="67FDED4B" w14:textId="469191EC" w:rsidR="00065317" w:rsidRDefault="005C7BF7">
      <w:pPr>
        <w:pStyle w:val="FirstParagraph"/>
      </w:pPr>
      <w:r>
        <w:rPr>
          <w:b/>
          <w:bCs/>
        </w:rPr>
        <w:t>Logique</w:t>
      </w:r>
    </w:p>
    <w:p w14:paraId="138553AE" w14:textId="77777777" w:rsidR="00065317" w:rsidRDefault="005C7BF7">
      <w:pPr>
        <w:pStyle w:val="Corpsdetexte"/>
      </w:pPr>
      <w:r>
        <w:t>E57(x) ⇒ E55(x)</w:t>
      </w:r>
    </w:p>
    <w:p w14:paraId="7CE7F03B" w14:textId="77777777" w:rsidR="00065317" w:rsidRDefault="005C7BF7">
      <w:pPr>
        <w:pStyle w:val="Corpsdetexte"/>
      </w:pPr>
      <w:r>
        <w:rPr>
          <w:b/>
          <w:bCs/>
        </w:rPr>
        <w:t>Propriétés</w:t>
      </w:r>
    </w:p>
    <w:p w14:paraId="68F80636" w14:textId="77777777" w:rsidR="00065317" w:rsidRDefault="005C7BF7">
      <w:pPr>
        <w:pStyle w:val="Normalcentr"/>
      </w:pPr>
      <w:r>
        <w:rPr>
          <w:b/>
          <w:bCs/>
          <w:i/>
          <w:iCs/>
        </w:rPr>
        <w:t>Note de traduction</w:t>
      </w:r>
    </w:p>
    <w:p w14:paraId="0E132C59" w14:textId="0C99C51C" w:rsidR="00065317" w:rsidRDefault="005C7BF7">
      <w:pPr>
        <w:pStyle w:val="Normalcentr"/>
      </w:pPr>
      <w:r>
        <w:t xml:space="preserve">Le terme </w:t>
      </w:r>
      <w:r w:rsidR="00627690">
        <w:t>« </w:t>
      </w:r>
      <w:r w:rsidRPr="00914F34">
        <w:t>Peinture à l</w:t>
      </w:r>
      <w:r w:rsidR="00E84B0E">
        <w:t>’</w:t>
      </w:r>
      <w:r w:rsidRPr="00914F34">
        <w:t>œuf</w:t>
      </w:r>
      <w:r w:rsidR="00627690">
        <w:t> »</w:t>
      </w:r>
      <w:r>
        <w:t xml:space="preserve"> a été ajouté en note du traducteur afin de démontrer l</w:t>
      </w:r>
      <w:r w:rsidR="00E84B0E">
        <w:t>’</w:t>
      </w:r>
      <w:r>
        <w:t xml:space="preserve">aspect </w:t>
      </w:r>
      <w:r w:rsidR="001458EA">
        <w:t>« </w:t>
      </w:r>
      <w:r>
        <w:t>propriété de la matière</w:t>
      </w:r>
      <w:r w:rsidR="001458EA">
        <w:t> »</w:t>
      </w:r>
      <w:r>
        <w:t>.</w:t>
      </w:r>
    </w:p>
    <w:p w14:paraId="109906EF" w14:textId="69FA5884" w:rsidR="00065317" w:rsidRDefault="005C7BF7">
      <w:pPr>
        <w:pStyle w:val="Normalcentr"/>
      </w:pPr>
      <w:r>
        <w:t>Les références aux exemples en français ont été retirées de la traduction parce qu</w:t>
      </w:r>
      <w:r w:rsidR="00E84B0E">
        <w:t>’</w:t>
      </w:r>
      <w:r>
        <w:t>elles ne pointent pas vers des thésaurus reconnus en français. Ce point sera statué plus tard par CHIN-RCIP.</w:t>
      </w:r>
    </w:p>
    <w:p w14:paraId="59ABC5EE" w14:textId="77777777" w:rsidR="00065317" w:rsidRDefault="005C7BF7">
      <w:pPr>
        <w:pStyle w:val="Normalcentr"/>
      </w:pPr>
      <w:r>
        <w:rPr>
          <w:b/>
          <w:bCs/>
          <w:i/>
          <w:iCs/>
        </w:rPr>
        <w:t>Références</w:t>
      </w:r>
    </w:p>
    <w:p w14:paraId="2DD523C3" w14:textId="77777777" w:rsidR="00065317" w:rsidRDefault="005C7BF7" w:rsidP="00914F34">
      <w:pPr>
        <w:pStyle w:val="Titre3"/>
      </w:pPr>
      <w:bookmarkStart w:id="196" w:name="_Toc154048783"/>
      <w:bookmarkStart w:id="197" w:name="e58-unite-de-mesure"/>
      <w:bookmarkEnd w:id="195"/>
      <w:r>
        <w:lastRenderedPageBreak/>
        <w:t>E58 Unité de mesure</w:t>
      </w:r>
      <w:bookmarkEnd w:id="196"/>
    </w:p>
    <w:p w14:paraId="64C9C3AF" w14:textId="77777777" w:rsidR="00065317" w:rsidRDefault="005C7BF7">
      <w:pPr>
        <w:pStyle w:val="FirstParagraph"/>
      </w:pPr>
      <w:r>
        <w:rPr>
          <w:b/>
          <w:bCs/>
        </w:rPr>
        <w:t>Sous-classe de</w:t>
      </w:r>
    </w:p>
    <w:p w14:paraId="2B64F43B" w14:textId="77777777" w:rsidR="00065317" w:rsidRDefault="005C7BF7">
      <w:pPr>
        <w:pStyle w:val="Corpsdetexte"/>
      </w:pPr>
      <w:r>
        <w:rPr>
          <w:rStyle w:val="VerbatimChar"/>
        </w:rPr>
        <w:t>E55_Type</w:t>
      </w:r>
    </w:p>
    <w:p w14:paraId="5AFA453D" w14:textId="77777777" w:rsidR="00065317" w:rsidRDefault="005C7BF7">
      <w:pPr>
        <w:pStyle w:val="Corpsdetexte"/>
      </w:pPr>
      <w:r>
        <w:rPr>
          <w:b/>
          <w:bCs/>
        </w:rPr>
        <w:t>Super-classe de</w:t>
      </w:r>
    </w:p>
    <w:p w14:paraId="4E3F0BC7" w14:textId="77777777" w:rsidR="00065317" w:rsidRDefault="005C7BF7">
      <w:pPr>
        <w:pStyle w:val="Corpsdetexte"/>
      </w:pPr>
      <w:r>
        <w:rPr>
          <w:rStyle w:val="VerbatimChar"/>
        </w:rPr>
        <w:t>E98_Unité_monétaire</w:t>
      </w:r>
    </w:p>
    <w:p w14:paraId="63B3AA3B" w14:textId="01F3AA13" w:rsidR="00065317" w:rsidRDefault="005C7BF7">
      <w:pPr>
        <w:pStyle w:val="Corpsdetexte"/>
      </w:pPr>
      <w:r>
        <w:rPr>
          <w:b/>
          <w:bCs/>
        </w:rPr>
        <w:t>Note d</w:t>
      </w:r>
      <w:r w:rsidR="00E84B0E">
        <w:rPr>
          <w:b/>
          <w:bCs/>
        </w:rPr>
        <w:t>’</w:t>
      </w:r>
      <w:r>
        <w:rPr>
          <w:b/>
          <w:bCs/>
        </w:rPr>
        <w:t>application</w:t>
      </w:r>
    </w:p>
    <w:p w14:paraId="7E968A92" w14:textId="7E5393D4" w:rsidR="00065317" w:rsidRDefault="005C7BF7">
      <w:pPr>
        <w:pStyle w:val="Corpsdetexte"/>
      </w:pPr>
      <w:r>
        <w:t xml:space="preserve">Cette classe est une sous-classe de </w:t>
      </w:r>
      <w:r>
        <w:rPr>
          <w:rStyle w:val="VerbatimChar"/>
        </w:rPr>
        <w:t>E55_Type</w:t>
      </w:r>
      <w:r>
        <w:t xml:space="preserve"> et comprend les types d</w:t>
      </w:r>
      <w:r w:rsidR="00E84B0E">
        <w:t>’</w:t>
      </w:r>
      <w:r>
        <w:t>unités de mesure : pieds, pouces, centimètres, litres, lumens, etc.</w:t>
      </w:r>
    </w:p>
    <w:p w14:paraId="704F0DE1" w14:textId="5BEEA7E2" w:rsidR="00065317" w:rsidRDefault="005C7BF7">
      <w:pPr>
        <w:pStyle w:val="Corpsdetexte"/>
      </w:pPr>
      <w:r>
        <w:t>Ce type est utilisé catégoriquement dans le modèle sans référence à des instances de celui-ci, c.-à-d. que le modèle ne prévoit pas la description d</w:t>
      </w:r>
      <w:r w:rsidR="00E84B0E">
        <w:t>’</w:t>
      </w:r>
      <w:r>
        <w:t xml:space="preserve">instances de </w:t>
      </w:r>
      <w:r>
        <w:rPr>
          <w:rStyle w:val="VerbatimChar"/>
        </w:rPr>
        <w:t>E58_Unité_de_mesure</w:t>
      </w:r>
      <w:r>
        <w:t>, par exemple «</w:t>
      </w:r>
      <w:r w:rsidR="00627690">
        <w:t> </w:t>
      </w:r>
      <w:r>
        <w:t>instances de cm</w:t>
      </w:r>
      <w:r w:rsidR="00627690">
        <w:t> </w:t>
      </w:r>
      <w:r>
        <w:t>».</w:t>
      </w:r>
    </w:p>
    <w:p w14:paraId="6E4E22C4" w14:textId="61D3BA2E" w:rsidR="008D39EE" w:rsidRPr="00511D83" w:rsidRDefault="005C7BF7" w:rsidP="00511D83">
      <w:pPr>
        <w:pStyle w:val="Corpsdetexte"/>
      </w:pPr>
      <w:r>
        <w:t>Les unités du Système international d</w:t>
      </w:r>
      <w:r w:rsidR="00E84B0E">
        <w:t>’</w:t>
      </w:r>
      <w:r>
        <w:t>unités (SI) ou des termes reconnus internationalement mais qui ne font pas partie du SI doivent être utilisés lorsque possible, comme les unités de mesures définies par le standard ISO 80000:2009. Les unités de mesure archaïques utilisées dans des documents historiques doivent être préservées.</w:t>
      </w:r>
    </w:p>
    <w:p w14:paraId="25967AFA" w14:textId="46D4D723" w:rsidR="00065317" w:rsidRDefault="005C7BF7">
      <w:pPr>
        <w:pStyle w:val="Corpsdetexte"/>
      </w:pPr>
      <w:r>
        <w:rPr>
          <w:b/>
          <w:bCs/>
        </w:rPr>
        <w:t>Exemples</w:t>
      </w:r>
    </w:p>
    <w:p w14:paraId="18F8825E" w14:textId="77777777" w:rsidR="00065317" w:rsidRDefault="005C7BF7">
      <w:pPr>
        <w:numPr>
          <w:ilvl w:val="0"/>
          <w:numId w:val="105"/>
        </w:numPr>
      </w:pPr>
      <w:r>
        <w:t>cm [centimètre]</w:t>
      </w:r>
    </w:p>
    <w:p w14:paraId="10AE16CF" w14:textId="77777777" w:rsidR="00065317" w:rsidRDefault="005C7BF7">
      <w:pPr>
        <w:numPr>
          <w:ilvl w:val="0"/>
          <w:numId w:val="105"/>
        </w:numPr>
      </w:pPr>
      <w:r>
        <w:t>km [kilomètre]</w:t>
      </w:r>
    </w:p>
    <w:p w14:paraId="01ADC1B2" w14:textId="77777777" w:rsidR="00065317" w:rsidRDefault="005C7BF7">
      <w:pPr>
        <w:numPr>
          <w:ilvl w:val="0"/>
          <w:numId w:val="105"/>
        </w:numPr>
      </w:pPr>
      <w:r>
        <w:t>m [mètre]</w:t>
      </w:r>
    </w:p>
    <w:p w14:paraId="01EC6983" w14:textId="5E9B26E3" w:rsidR="00065317" w:rsidRDefault="005C7BF7">
      <w:pPr>
        <w:numPr>
          <w:ilvl w:val="0"/>
          <w:numId w:val="105"/>
        </w:numPr>
      </w:pPr>
      <w:r>
        <w:t>m/s [mètres par seconde] (Hau &amp; al, 1999)</w:t>
      </w:r>
    </w:p>
    <w:p w14:paraId="659881A2" w14:textId="77777777" w:rsidR="00065317" w:rsidRDefault="005C7BF7">
      <w:pPr>
        <w:numPr>
          <w:ilvl w:val="0"/>
          <w:numId w:val="105"/>
        </w:numPr>
      </w:pPr>
      <w:r>
        <w:t>A [Ampère]</w:t>
      </w:r>
    </w:p>
    <w:p w14:paraId="26B219C9" w14:textId="77777777" w:rsidR="00065317" w:rsidRDefault="005C7BF7">
      <w:pPr>
        <w:numPr>
          <w:ilvl w:val="0"/>
          <w:numId w:val="105"/>
        </w:numPr>
      </w:pPr>
      <w:r>
        <w:t>GRD [Drachme grecque] (</w:t>
      </w:r>
      <w:r>
        <w:rPr>
          <w:rStyle w:val="VerbatimChar"/>
        </w:rPr>
        <w:t>E98_Unité_monétaire</w:t>
      </w:r>
      <w:r>
        <w:t>) (Daniel, 2014)</w:t>
      </w:r>
    </w:p>
    <w:p w14:paraId="19940279" w14:textId="77777777" w:rsidR="00065317" w:rsidRDefault="005C7BF7">
      <w:pPr>
        <w:numPr>
          <w:ilvl w:val="0"/>
          <w:numId w:val="105"/>
        </w:numPr>
      </w:pPr>
      <w:r>
        <w:t>°C [degrés centigrades] (Beckman, 1998)</w:t>
      </w:r>
    </w:p>
    <w:p w14:paraId="5E2F9640" w14:textId="77777777" w:rsidR="00065317" w:rsidRDefault="005C7BF7">
      <w:pPr>
        <w:pStyle w:val="FirstParagraph"/>
      </w:pPr>
      <w:r>
        <w:rPr>
          <w:b/>
          <w:bCs/>
        </w:rPr>
        <w:t>Logique</w:t>
      </w:r>
    </w:p>
    <w:p w14:paraId="62A3FB3A" w14:textId="77777777" w:rsidR="00065317" w:rsidRDefault="005C7BF7">
      <w:pPr>
        <w:pStyle w:val="Corpsdetexte"/>
      </w:pPr>
      <w:r>
        <w:t>E58(x) ⇒ E55(x)</w:t>
      </w:r>
    </w:p>
    <w:p w14:paraId="47E9C214" w14:textId="3184FFF5" w:rsidR="00065317" w:rsidRDefault="005C7BF7">
      <w:pPr>
        <w:pStyle w:val="Corpsdetexte"/>
      </w:pPr>
      <w:r>
        <w:rPr>
          <w:b/>
          <w:bCs/>
        </w:rPr>
        <w:t>Propriétés</w:t>
      </w:r>
    </w:p>
    <w:p w14:paraId="6DC74338" w14:textId="77777777" w:rsidR="00065317" w:rsidRDefault="005C7BF7">
      <w:pPr>
        <w:pStyle w:val="Normalcentr"/>
      </w:pPr>
      <w:r>
        <w:rPr>
          <w:b/>
          <w:bCs/>
          <w:i/>
          <w:iCs/>
        </w:rPr>
        <w:t>Note de traduction</w:t>
      </w:r>
    </w:p>
    <w:p w14:paraId="65850B66" w14:textId="6DAB7D51" w:rsidR="00065317" w:rsidRDefault="005C7BF7" w:rsidP="00627690">
      <w:pPr>
        <w:pStyle w:val="Normalcentr"/>
      </w:pPr>
      <w:r>
        <w:rPr>
          <w:b/>
          <w:bCs/>
          <w:i/>
          <w:iCs/>
        </w:rPr>
        <w:t>Références</w:t>
      </w:r>
    </w:p>
    <w:p w14:paraId="3C1347E2" w14:textId="77777777" w:rsidR="00065317" w:rsidRDefault="005C7BF7" w:rsidP="00914F34">
      <w:pPr>
        <w:pStyle w:val="Titre3"/>
      </w:pPr>
      <w:bookmarkStart w:id="198" w:name="_Toc154048784"/>
      <w:bookmarkStart w:id="199" w:name="e59-valeur-primitive"/>
      <w:bookmarkEnd w:id="197"/>
      <w:r>
        <w:t>E59 Valeur primitive</w:t>
      </w:r>
      <w:bookmarkEnd w:id="198"/>
    </w:p>
    <w:p w14:paraId="4AB97E4B" w14:textId="77777777" w:rsidR="00065317" w:rsidRDefault="005C7BF7">
      <w:pPr>
        <w:pStyle w:val="FirstParagraph"/>
      </w:pPr>
      <w:r>
        <w:rPr>
          <w:b/>
          <w:bCs/>
        </w:rPr>
        <w:t>Sous-classe de</w:t>
      </w:r>
    </w:p>
    <w:p w14:paraId="492EF13E" w14:textId="77777777" w:rsidR="00065317" w:rsidRDefault="005C7BF7">
      <w:pPr>
        <w:pStyle w:val="Corpsdetexte"/>
      </w:pPr>
      <w:r>
        <w:rPr>
          <w:rStyle w:val="VerbatimChar"/>
        </w:rPr>
        <w:t>E1_Entité_CRM</w:t>
      </w:r>
    </w:p>
    <w:p w14:paraId="48699C5B" w14:textId="77777777" w:rsidR="00511D83" w:rsidRDefault="00511D83">
      <w:pPr>
        <w:spacing w:after="0"/>
        <w:rPr>
          <w:b/>
          <w:bCs/>
        </w:rPr>
      </w:pPr>
      <w:r>
        <w:rPr>
          <w:b/>
          <w:bCs/>
        </w:rPr>
        <w:br w:type="page"/>
      </w:r>
    </w:p>
    <w:p w14:paraId="28E9A3E1" w14:textId="129A66E2" w:rsidR="00065317" w:rsidRDefault="005C7BF7">
      <w:pPr>
        <w:pStyle w:val="Corpsdetexte"/>
      </w:pPr>
      <w:r>
        <w:rPr>
          <w:b/>
          <w:bCs/>
        </w:rPr>
        <w:lastRenderedPageBreak/>
        <w:t>Super-classe de</w:t>
      </w:r>
    </w:p>
    <w:p w14:paraId="2640A5BD" w14:textId="77777777" w:rsidR="00065317" w:rsidRDefault="005C7BF7">
      <w:pPr>
        <w:pStyle w:val="Corpsdetexte"/>
      </w:pPr>
      <w:r>
        <w:rPr>
          <w:rStyle w:val="VerbatimChar"/>
        </w:rPr>
        <w:t>E60_Nombre</w:t>
      </w:r>
    </w:p>
    <w:p w14:paraId="19230394" w14:textId="77777777" w:rsidR="00065317" w:rsidRDefault="005C7BF7">
      <w:pPr>
        <w:pStyle w:val="Corpsdetexte"/>
      </w:pPr>
      <w:r>
        <w:rPr>
          <w:rStyle w:val="VerbatimChar"/>
        </w:rPr>
        <w:t>E61_Primitive_temporelle</w:t>
      </w:r>
    </w:p>
    <w:p w14:paraId="6F4CF5EB" w14:textId="77777777" w:rsidR="00065317" w:rsidRDefault="005C7BF7">
      <w:pPr>
        <w:pStyle w:val="Corpsdetexte"/>
      </w:pPr>
      <w:r>
        <w:rPr>
          <w:rStyle w:val="VerbatimChar"/>
        </w:rPr>
        <w:t>E62_Chaîne_de_caractères</w:t>
      </w:r>
    </w:p>
    <w:p w14:paraId="76831834" w14:textId="77777777" w:rsidR="00065317" w:rsidRDefault="005C7BF7">
      <w:pPr>
        <w:pStyle w:val="Corpsdetexte"/>
      </w:pPr>
      <w:r>
        <w:rPr>
          <w:rStyle w:val="VerbatimChar"/>
        </w:rPr>
        <w:t>E94_Primitive_spatiale</w:t>
      </w:r>
    </w:p>
    <w:p w14:paraId="1E446905" w14:textId="77777777" w:rsidR="00065317" w:rsidRDefault="005C7BF7">
      <w:pPr>
        <w:pStyle w:val="Corpsdetexte"/>
      </w:pPr>
      <w:r>
        <w:rPr>
          <w:rStyle w:val="VerbatimChar"/>
        </w:rPr>
        <w:t>E95_Primitive_spatio-temporelle</w:t>
      </w:r>
    </w:p>
    <w:p w14:paraId="417DAE79" w14:textId="7AD77FAD" w:rsidR="00065317" w:rsidRDefault="005C7BF7">
      <w:pPr>
        <w:pStyle w:val="Corpsdetexte"/>
      </w:pPr>
      <w:r>
        <w:rPr>
          <w:b/>
          <w:bCs/>
        </w:rPr>
        <w:t>Note d</w:t>
      </w:r>
      <w:r w:rsidR="00E84B0E">
        <w:rPr>
          <w:b/>
          <w:bCs/>
        </w:rPr>
        <w:t>’</w:t>
      </w:r>
      <w:r>
        <w:rPr>
          <w:b/>
          <w:bCs/>
        </w:rPr>
        <w:t>application</w:t>
      </w:r>
    </w:p>
    <w:p w14:paraId="0D9B20A4" w14:textId="77777777" w:rsidR="00065317" w:rsidRDefault="005C7BF7">
      <w:pPr>
        <w:pStyle w:val="Corpsdetexte"/>
      </w:pPr>
      <w:r>
        <w:t>Cette classe comprend les valeurs des types de données primitives :</w:t>
      </w:r>
    </w:p>
    <w:p w14:paraId="133FEE66" w14:textId="77777777" w:rsidR="00065317" w:rsidRDefault="005C7BF7">
      <w:pPr>
        <w:numPr>
          <w:ilvl w:val="0"/>
          <w:numId w:val="106"/>
        </w:numPr>
      </w:pPr>
      <w:r>
        <w:t>de langages de programmation ou de systèmes de gestion de bases de données;</w:t>
      </w:r>
    </w:p>
    <w:p w14:paraId="16A98916" w14:textId="77777777" w:rsidR="00065317" w:rsidRDefault="005C7BF7">
      <w:pPr>
        <w:numPr>
          <w:ilvl w:val="0"/>
          <w:numId w:val="106"/>
        </w:numPr>
      </w:pPr>
      <w:r>
        <w:t>composées de telles valeurs mobilisées comme éléments de documentation ainsi que leurs abstractions mathématiques.</w:t>
      </w:r>
    </w:p>
    <w:p w14:paraId="6CA03601" w14:textId="192B52C8" w:rsidR="008D39EE" w:rsidRDefault="005C7BF7" w:rsidP="00511D83">
      <w:pPr>
        <w:pStyle w:val="FirstParagraph"/>
      </w:pPr>
      <w:r>
        <w:t xml:space="preserve">Les instances de </w:t>
      </w:r>
      <w:r>
        <w:rPr>
          <w:rStyle w:val="VerbatimChar"/>
        </w:rPr>
        <w:t>E59_Valeur_primitive</w:t>
      </w:r>
      <w:r>
        <w:t xml:space="preserve"> et de ses sous-classes ne sont pas considérées comme des éléments relevant de l</w:t>
      </w:r>
      <w:r w:rsidR="00E84B0E">
        <w:t>’</w:t>
      </w:r>
      <w:r>
        <w:t xml:space="preserve">univers du discours que le </w:t>
      </w:r>
      <w:r w:rsidR="00C8288F">
        <w:t>CIDOC CRM</w:t>
      </w:r>
      <w:r>
        <w:t xml:space="preserve"> cherche à définir ou à analyser. Celles-ci agissent plutôt comme interface entre le </w:t>
      </w:r>
      <w:r w:rsidR="00C8288F">
        <w:t>CIDOC CRM</w:t>
      </w:r>
      <w:r>
        <w:t>, le monde des manipulations mathématiques et informatiques, et les objets symboliques que définissent et traitent ces manipulations.</w:t>
      </w:r>
    </w:p>
    <w:p w14:paraId="7EB062BE" w14:textId="4698BD3A" w:rsidR="00065317" w:rsidRDefault="005C7BF7">
      <w:pPr>
        <w:pStyle w:val="Corpsdetexte"/>
      </w:pPr>
      <w:r>
        <w:t xml:space="preserve">Plus particulièrement, les instances de </w:t>
      </w:r>
      <w:r>
        <w:rPr>
          <w:rStyle w:val="VerbatimChar"/>
        </w:rPr>
        <w:t>E59_Valeur_primitive</w:t>
      </w:r>
      <w:r>
        <w:t xml:space="preserve"> comprennent :</w:t>
      </w:r>
    </w:p>
    <w:p w14:paraId="4FC9054A" w14:textId="508BEC33" w:rsidR="00065317" w:rsidRDefault="005C7BF7">
      <w:pPr>
        <w:numPr>
          <w:ilvl w:val="0"/>
          <w:numId w:val="107"/>
        </w:numPr>
      </w:pPr>
      <w:r>
        <w:t>des éléments lexicaux encodés comme des chaînes de caractères ou des séries de caractères et de symboles dérivés de schémas d</w:t>
      </w:r>
      <w:r w:rsidR="00E84B0E">
        <w:t>’</w:t>
      </w:r>
      <w:r>
        <w:t>encodages, comme UNICODE. Ces éléments lexicaux encodés sont caractérisés par le fait qu</w:t>
      </w:r>
      <w:r w:rsidR="00E84B0E">
        <w:t>’</w:t>
      </w:r>
      <w:r>
        <w:t>ils sont un sous-ensemble limité des abstractions mathématiques concernées;</w:t>
      </w:r>
    </w:p>
    <w:p w14:paraId="6DDCCD68" w14:textId="1C16B14A" w:rsidR="00065317" w:rsidRDefault="005C7BF7">
      <w:pPr>
        <w:numPr>
          <w:ilvl w:val="0"/>
          <w:numId w:val="107"/>
        </w:numPr>
      </w:pPr>
      <w:r>
        <w:t>des valeurs de types de données qui peuvent être encodées sous forme lexicale, notamment les spécifications quantitatives géographiques ou d</w:t>
      </w:r>
      <w:r w:rsidR="00E84B0E">
        <w:t>’</w:t>
      </w:r>
      <w:r>
        <w:t>intervalles temporels.</w:t>
      </w:r>
    </w:p>
    <w:p w14:paraId="4AC113B4" w14:textId="57A37CD1" w:rsidR="00065317" w:rsidRDefault="005C7BF7">
      <w:pPr>
        <w:pStyle w:val="FirstParagraph"/>
      </w:pPr>
      <w:r>
        <w:t xml:space="preserve">Les instances de </w:t>
      </w:r>
      <w:r>
        <w:rPr>
          <w:rStyle w:val="VerbatimChar"/>
        </w:rPr>
        <w:t>E59_Valeur_primitive</w:t>
      </w:r>
      <w:r>
        <w:t xml:space="preserve"> s</w:t>
      </w:r>
      <w:r w:rsidR="00E84B0E">
        <w:t>’</w:t>
      </w:r>
      <w:r>
        <w:t>auto-définissent par leur valeur encodée indépendamment de la nature de leurs abstractions mathématiques.</w:t>
      </w:r>
    </w:p>
    <w:p w14:paraId="3DD63138" w14:textId="73962671" w:rsidR="00A81E78" w:rsidRPr="00A46FB1" w:rsidRDefault="005C7BF7">
      <w:pPr>
        <w:pStyle w:val="Corpsdetexte"/>
      </w:pPr>
      <w:r>
        <w:t>Lorsqu</w:t>
      </w:r>
      <w:r w:rsidR="00E84B0E">
        <w:t>’</w:t>
      </w:r>
      <w:r>
        <w:t xml:space="preserve">elles sont implémentées, les instances de </w:t>
      </w:r>
      <w:r>
        <w:rPr>
          <w:rStyle w:val="VerbatimChar"/>
        </w:rPr>
        <w:t>E59_Valeur_primitive</w:t>
      </w:r>
      <w:r>
        <w:t xml:space="preserve"> devraient être représentées directement dans la forme symbolique encodée supportée par leur plateforme, comme une chaîne de caractères ou une date formatée. Elles ne doivent pas, dans ce cadre, être représentées indirectement par l</w:t>
      </w:r>
      <w:r w:rsidR="00E84B0E">
        <w:t>’</w:t>
      </w:r>
      <w:r>
        <w:t>usage d</w:t>
      </w:r>
      <w:r w:rsidR="00E84B0E">
        <w:t>’</w:t>
      </w:r>
      <w:r>
        <w:t>un autre URI qui serait alors relié à la forme symbolique encodée. Il est donc recommandé, lors d</w:t>
      </w:r>
      <w:r w:rsidR="00E84B0E">
        <w:t>’</w:t>
      </w:r>
      <w:r>
        <w:t>une application concrète, de substituer le système de valeurs primitives de la plateforme ou du langage d</w:t>
      </w:r>
      <w:r w:rsidR="00E84B0E">
        <w:t>’</w:t>
      </w:r>
      <w:r>
        <w:t xml:space="preserve">implémentation à </w:t>
      </w:r>
      <w:r>
        <w:rPr>
          <w:rStyle w:val="VerbatimChar"/>
        </w:rPr>
        <w:t>E59_Valeur_primitive</w:t>
      </w:r>
      <w:r>
        <w:t xml:space="preserve"> et à ses sous-classes.</w:t>
      </w:r>
    </w:p>
    <w:p w14:paraId="4CD72B96" w14:textId="3A327C45" w:rsidR="00065317" w:rsidRDefault="005C7BF7">
      <w:pPr>
        <w:pStyle w:val="Corpsdetexte"/>
      </w:pPr>
      <w:r>
        <w:rPr>
          <w:b/>
          <w:bCs/>
        </w:rPr>
        <w:t>Exemples</w:t>
      </w:r>
    </w:p>
    <w:p w14:paraId="75AFF739" w14:textId="77777777" w:rsidR="00065317" w:rsidRDefault="005C7BF7">
      <w:pPr>
        <w:numPr>
          <w:ilvl w:val="0"/>
          <w:numId w:val="108"/>
        </w:numPr>
      </w:pPr>
      <w:r>
        <w:t>« ABCDEFG » (</w:t>
      </w:r>
      <w:r>
        <w:rPr>
          <w:rStyle w:val="VerbatimChar"/>
        </w:rPr>
        <w:t>E62_Chaîne_de_caractères</w:t>
      </w:r>
      <w:r>
        <w:t>)</w:t>
      </w:r>
    </w:p>
    <w:p w14:paraId="7AAC4ED3" w14:textId="77777777" w:rsidR="00065317" w:rsidRDefault="005C7BF7">
      <w:pPr>
        <w:numPr>
          <w:ilvl w:val="0"/>
          <w:numId w:val="108"/>
        </w:numPr>
      </w:pPr>
      <w:r>
        <w:t>3.14 (</w:t>
      </w:r>
      <w:r>
        <w:rPr>
          <w:rStyle w:val="VerbatimChar"/>
        </w:rPr>
        <w:t>E60_Nombre</w:t>
      </w:r>
      <w:r>
        <w:t>)</w:t>
      </w:r>
    </w:p>
    <w:p w14:paraId="3F58DE14" w14:textId="77777777" w:rsidR="00065317" w:rsidRDefault="005C7BF7">
      <w:pPr>
        <w:numPr>
          <w:ilvl w:val="0"/>
          <w:numId w:val="108"/>
        </w:numPr>
      </w:pPr>
      <w:r>
        <w:t>0 (</w:t>
      </w:r>
      <w:r>
        <w:rPr>
          <w:rStyle w:val="VerbatimChar"/>
        </w:rPr>
        <w:t>E60_Nombre</w:t>
      </w:r>
      <w:r>
        <w:t>)</w:t>
      </w:r>
    </w:p>
    <w:p w14:paraId="4F4C6E9F" w14:textId="77777777" w:rsidR="00065317" w:rsidRDefault="005C7BF7">
      <w:pPr>
        <w:numPr>
          <w:ilvl w:val="0"/>
          <w:numId w:val="108"/>
        </w:numPr>
      </w:pPr>
      <w:r>
        <w:t>1921-01-01 (</w:t>
      </w:r>
      <w:r>
        <w:rPr>
          <w:rStyle w:val="VerbatimChar"/>
        </w:rPr>
        <w:t>E61_Primitive_temporelle</w:t>
      </w:r>
      <w:r>
        <w:t>)</w:t>
      </w:r>
    </w:p>
    <w:p w14:paraId="3D3FF5A9" w14:textId="77777777" w:rsidR="00511D83" w:rsidRDefault="00511D83">
      <w:pPr>
        <w:spacing w:after="0"/>
        <w:rPr>
          <w:b/>
          <w:bCs/>
        </w:rPr>
      </w:pPr>
      <w:r>
        <w:rPr>
          <w:b/>
          <w:bCs/>
        </w:rPr>
        <w:br w:type="page"/>
      </w:r>
    </w:p>
    <w:p w14:paraId="423C9CEF" w14:textId="2E1380C6" w:rsidR="00065317" w:rsidRDefault="005C7BF7">
      <w:pPr>
        <w:pStyle w:val="FirstParagraph"/>
      </w:pPr>
      <w:r>
        <w:rPr>
          <w:b/>
          <w:bCs/>
        </w:rPr>
        <w:lastRenderedPageBreak/>
        <w:t>Logique</w:t>
      </w:r>
    </w:p>
    <w:p w14:paraId="2A5D4821" w14:textId="77777777" w:rsidR="00065317" w:rsidRDefault="005C7BF7">
      <w:pPr>
        <w:pStyle w:val="Corpsdetexte"/>
      </w:pPr>
      <w:r>
        <w:t>E59(x) ⇒ E1(x)</w:t>
      </w:r>
    </w:p>
    <w:p w14:paraId="57A4E285" w14:textId="77777777" w:rsidR="00065317" w:rsidRDefault="005C7BF7">
      <w:pPr>
        <w:pStyle w:val="Corpsdetexte"/>
      </w:pPr>
      <w:r>
        <w:rPr>
          <w:b/>
          <w:bCs/>
        </w:rPr>
        <w:t>Propriétés</w:t>
      </w:r>
    </w:p>
    <w:p w14:paraId="6B92DB8F" w14:textId="77777777" w:rsidR="00065317" w:rsidRDefault="005C7BF7">
      <w:pPr>
        <w:pStyle w:val="Normalcentr"/>
      </w:pPr>
      <w:r>
        <w:rPr>
          <w:b/>
          <w:bCs/>
          <w:i/>
          <w:iCs/>
        </w:rPr>
        <w:t>Note de traduction</w:t>
      </w:r>
    </w:p>
    <w:p w14:paraId="58C3400D" w14:textId="66F372B3" w:rsidR="00065317" w:rsidRDefault="005C7BF7" w:rsidP="00627690">
      <w:pPr>
        <w:pStyle w:val="Normalcentr"/>
      </w:pPr>
      <w:r>
        <w:rPr>
          <w:b/>
          <w:bCs/>
          <w:i/>
          <w:iCs/>
        </w:rPr>
        <w:t>Références</w:t>
      </w:r>
    </w:p>
    <w:p w14:paraId="557D145A" w14:textId="77777777" w:rsidR="00065317" w:rsidRDefault="005C7BF7" w:rsidP="00914F34">
      <w:pPr>
        <w:pStyle w:val="Titre3"/>
      </w:pPr>
      <w:bookmarkStart w:id="200" w:name="_Toc154048785"/>
      <w:bookmarkStart w:id="201" w:name="e60-nombre"/>
      <w:bookmarkEnd w:id="199"/>
      <w:r>
        <w:t>E60 Nombre</w:t>
      </w:r>
      <w:bookmarkEnd w:id="200"/>
    </w:p>
    <w:p w14:paraId="3A82B489" w14:textId="77777777" w:rsidR="00065317" w:rsidRDefault="005C7BF7">
      <w:pPr>
        <w:pStyle w:val="FirstParagraph"/>
      </w:pPr>
      <w:r>
        <w:rPr>
          <w:b/>
          <w:bCs/>
        </w:rPr>
        <w:t>Sous-classe de</w:t>
      </w:r>
    </w:p>
    <w:p w14:paraId="4354BE91" w14:textId="77777777" w:rsidR="00065317" w:rsidRDefault="005C7BF7">
      <w:pPr>
        <w:pStyle w:val="Corpsdetexte"/>
      </w:pPr>
      <w:r>
        <w:rPr>
          <w:rStyle w:val="VerbatimChar"/>
        </w:rPr>
        <w:t>E59_Valeur_primitive</w:t>
      </w:r>
    </w:p>
    <w:p w14:paraId="251F8F81" w14:textId="77777777" w:rsidR="00065317" w:rsidRDefault="005C7BF7">
      <w:pPr>
        <w:pStyle w:val="Corpsdetexte"/>
      </w:pPr>
      <w:r>
        <w:rPr>
          <w:b/>
          <w:bCs/>
        </w:rPr>
        <w:t>Super-classe de</w:t>
      </w:r>
    </w:p>
    <w:p w14:paraId="46D0FEA3" w14:textId="405FE953" w:rsidR="00065317" w:rsidRDefault="005C7BF7">
      <w:pPr>
        <w:pStyle w:val="Corpsdetexte"/>
      </w:pPr>
      <w:r>
        <w:rPr>
          <w:b/>
          <w:bCs/>
        </w:rPr>
        <w:t>Note d</w:t>
      </w:r>
      <w:r w:rsidR="00E84B0E">
        <w:rPr>
          <w:b/>
          <w:bCs/>
        </w:rPr>
        <w:t>’</w:t>
      </w:r>
      <w:r>
        <w:rPr>
          <w:b/>
          <w:bCs/>
        </w:rPr>
        <w:t>application</w:t>
      </w:r>
    </w:p>
    <w:p w14:paraId="5AC58496" w14:textId="77777777" w:rsidR="00065317" w:rsidRDefault="005C7BF7">
      <w:pPr>
        <w:pStyle w:val="Corpsdetexte"/>
      </w:pPr>
      <w:r>
        <w:t>Cette classe comprend tous les encodages de valeurs calculables (algébriques) tels que les nombres entiers, les nombres réels, les nombres complexes, les vecteurs, les tenseurs, etc. Les intervalles de ces valeurs exprimant une précision limitée sont aussi compris.</w:t>
      </w:r>
    </w:p>
    <w:p w14:paraId="667C525F" w14:textId="66406FCC" w:rsidR="00065317" w:rsidRDefault="005C7BF7">
      <w:pPr>
        <w:pStyle w:val="Corpsdetexte"/>
      </w:pPr>
      <w:r>
        <w:t xml:space="preserve">Les nombres sont fondamentalement distincts des identifiants numériques exprimés dans des continuums tels que les dates issues du calendrier grégorien ou les coordonnées spatiales, même si leur encodage peut être similaire. Celles-ci sont plutôt des instances de </w:t>
      </w:r>
      <w:r>
        <w:rPr>
          <w:rStyle w:val="VerbatimChar"/>
        </w:rPr>
        <w:t>E41_Appellation</w:t>
      </w:r>
      <w:r>
        <w:t xml:space="preserve">. Les instances de </w:t>
      </w:r>
      <w:r>
        <w:rPr>
          <w:rStyle w:val="VerbatimChar"/>
        </w:rPr>
        <w:t>E60_Nombre</w:t>
      </w:r>
      <w:r>
        <w:t xml:space="preserve"> peuvent être combinées les unes aux autres dans des opérations algébriques pour mener à d</w:t>
      </w:r>
      <w:r w:rsidR="00E84B0E">
        <w:t>’</w:t>
      </w:r>
      <w:r>
        <w:t xml:space="preserve">autres instances de </w:t>
      </w:r>
      <w:r>
        <w:rPr>
          <w:rStyle w:val="VerbatimChar"/>
        </w:rPr>
        <w:t>E60_Nombre</w:t>
      </w:r>
      <w:r>
        <w:t xml:space="preserve"> comme 1 + 1 = 2. Les identifiants numériques exprimés dans des continuums peuvent être combinés à des nombres exprimant des distances pour produire de nouveaux identifiants, par exemple 1924-01-31 (</w:t>
      </w:r>
      <w:r>
        <w:rPr>
          <w:rStyle w:val="VerbatimChar"/>
        </w:rPr>
        <w:t>E41_Appellation</w:t>
      </w:r>
      <w:r>
        <w:t>) + 2 jours (</w:t>
      </w:r>
      <w:r>
        <w:rPr>
          <w:rStyle w:val="VerbatimChar"/>
        </w:rPr>
        <w:t>E60_Nombre</w:t>
      </w:r>
      <w:r>
        <w:t xml:space="preserve">) = 1924-02-02. Voir aussi </w:t>
      </w:r>
      <w:r>
        <w:rPr>
          <w:rStyle w:val="VerbatimChar"/>
        </w:rPr>
        <w:t>E54_Dimension</w:t>
      </w:r>
      <w:r>
        <w:t>.</w:t>
      </w:r>
    </w:p>
    <w:p w14:paraId="4A70E539" w14:textId="77777777" w:rsidR="00065317" w:rsidRDefault="005C7BF7">
      <w:pPr>
        <w:pStyle w:val="Corpsdetexte"/>
      </w:pPr>
      <w:r>
        <w:rPr>
          <w:b/>
          <w:bCs/>
        </w:rPr>
        <w:t>Exemples</w:t>
      </w:r>
    </w:p>
    <w:p w14:paraId="681685F5" w14:textId="77777777" w:rsidR="00065317" w:rsidRDefault="005C7BF7">
      <w:pPr>
        <w:numPr>
          <w:ilvl w:val="0"/>
          <w:numId w:val="109"/>
        </w:numPr>
      </w:pPr>
      <w:r>
        <w:t>5</w:t>
      </w:r>
    </w:p>
    <w:p w14:paraId="431E086E" w14:textId="77777777" w:rsidR="00065317" w:rsidRDefault="005C7BF7">
      <w:pPr>
        <w:numPr>
          <w:ilvl w:val="0"/>
          <w:numId w:val="109"/>
        </w:numPr>
      </w:pPr>
      <w:r>
        <w:t>3+2i</w:t>
      </w:r>
    </w:p>
    <w:p w14:paraId="72364A89" w14:textId="77777777" w:rsidR="00065317" w:rsidRDefault="005C7BF7">
      <w:pPr>
        <w:numPr>
          <w:ilvl w:val="0"/>
          <w:numId w:val="109"/>
        </w:numPr>
      </w:pPr>
      <w:r>
        <w:t>1.5e-04</w:t>
      </w:r>
    </w:p>
    <w:p w14:paraId="27D65D29" w14:textId="77777777" w:rsidR="00065317" w:rsidRDefault="005C7BF7">
      <w:pPr>
        <w:numPr>
          <w:ilvl w:val="0"/>
          <w:numId w:val="109"/>
        </w:numPr>
      </w:pPr>
      <w:r>
        <w:t>(0.5, - 0.7,88)</w:t>
      </w:r>
    </w:p>
    <w:p w14:paraId="65C0BD3E" w14:textId="77777777" w:rsidR="00065317" w:rsidRDefault="005C7BF7">
      <w:pPr>
        <w:pStyle w:val="FirstParagraph"/>
      </w:pPr>
      <w:r>
        <w:rPr>
          <w:b/>
          <w:bCs/>
        </w:rPr>
        <w:t>Logique</w:t>
      </w:r>
    </w:p>
    <w:p w14:paraId="2E28DB13" w14:textId="77777777" w:rsidR="00065317" w:rsidRDefault="005C7BF7">
      <w:pPr>
        <w:pStyle w:val="Corpsdetexte"/>
      </w:pPr>
      <w:r>
        <w:t>E60(x) ⇒ E59(x)</w:t>
      </w:r>
    </w:p>
    <w:p w14:paraId="706942CA" w14:textId="285ACCDE" w:rsidR="00065317" w:rsidRDefault="005C7BF7">
      <w:pPr>
        <w:pStyle w:val="Corpsdetexte"/>
      </w:pPr>
      <w:r>
        <w:rPr>
          <w:b/>
          <w:bCs/>
        </w:rPr>
        <w:t>Propriétés</w:t>
      </w:r>
    </w:p>
    <w:p w14:paraId="113425E3" w14:textId="77777777" w:rsidR="00065317" w:rsidRDefault="005C7BF7">
      <w:pPr>
        <w:pStyle w:val="Normalcentr"/>
      </w:pPr>
      <w:r>
        <w:rPr>
          <w:b/>
          <w:bCs/>
          <w:i/>
          <w:iCs/>
        </w:rPr>
        <w:t>Note de traduction</w:t>
      </w:r>
    </w:p>
    <w:p w14:paraId="095E5727" w14:textId="24843AFC" w:rsidR="00065317" w:rsidRDefault="005C7BF7" w:rsidP="00627690">
      <w:pPr>
        <w:pStyle w:val="Normalcentr"/>
      </w:pPr>
      <w:r>
        <w:rPr>
          <w:b/>
          <w:bCs/>
          <w:i/>
          <w:iCs/>
        </w:rPr>
        <w:t>Références</w:t>
      </w:r>
    </w:p>
    <w:p w14:paraId="034233FC" w14:textId="77777777" w:rsidR="00065317" w:rsidRDefault="005C7BF7" w:rsidP="00914F34">
      <w:pPr>
        <w:pStyle w:val="Titre3"/>
      </w:pPr>
      <w:bookmarkStart w:id="202" w:name="_Toc154048786"/>
      <w:bookmarkStart w:id="203" w:name="e61-primitive-temporelle"/>
      <w:bookmarkEnd w:id="201"/>
      <w:r>
        <w:t>E61 Primitive temporelle</w:t>
      </w:r>
      <w:bookmarkEnd w:id="202"/>
    </w:p>
    <w:p w14:paraId="1DD10298" w14:textId="77777777" w:rsidR="00065317" w:rsidRDefault="005C7BF7">
      <w:pPr>
        <w:pStyle w:val="FirstParagraph"/>
      </w:pPr>
      <w:r>
        <w:rPr>
          <w:b/>
          <w:bCs/>
        </w:rPr>
        <w:t>Sous-classe de</w:t>
      </w:r>
    </w:p>
    <w:p w14:paraId="765D55F6" w14:textId="77777777" w:rsidR="00065317" w:rsidRDefault="005C7BF7">
      <w:pPr>
        <w:pStyle w:val="Corpsdetexte"/>
      </w:pPr>
      <w:r>
        <w:rPr>
          <w:rStyle w:val="VerbatimChar"/>
        </w:rPr>
        <w:t>E41_Appellation</w:t>
      </w:r>
    </w:p>
    <w:p w14:paraId="75B7BFEA" w14:textId="77777777" w:rsidR="00065317" w:rsidRDefault="005C7BF7">
      <w:pPr>
        <w:pStyle w:val="Corpsdetexte"/>
      </w:pPr>
      <w:r>
        <w:rPr>
          <w:rStyle w:val="VerbatimChar"/>
        </w:rPr>
        <w:t>E59_Valeur_primitive</w:t>
      </w:r>
    </w:p>
    <w:p w14:paraId="254A7676" w14:textId="77777777" w:rsidR="00065317" w:rsidRDefault="005C7BF7">
      <w:pPr>
        <w:pStyle w:val="Corpsdetexte"/>
      </w:pPr>
      <w:r>
        <w:rPr>
          <w:b/>
          <w:bCs/>
        </w:rPr>
        <w:lastRenderedPageBreak/>
        <w:t>Super-classe de</w:t>
      </w:r>
    </w:p>
    <w:p w14:paraId="34AF497C" w14:textId="18A81357" w:rsidR="00065317" w:rsidRDefault="005C7BF7">
      <w:pPr>
        <w:pStyle w:val="Corpsdetexte"/>
      </w:pPr>
      <w:r>
        <w:rPr>
          <w:b/>
          <w:bCs/>
        </w:rPr>
        <w:t>Note d</w:t>
      </w:r>
      <w:r w:rsidR="00E84B0E">
        <w:rPr>
          <w:b/>
          <w:bCs/>
        </w:rPr>
        <w:t>’</w:t>
      </w:r>
      <w:r>
        <w:rPr>
          <w:b/>
          <w:bCs/>
        </w:rPr>
        <w:t>application</w:t>
      </w:r>
    </w:p>
    <w:p w14:paraId="43A2F1DD" w14:textId="77777777" w:rsidR="00065317" w:rsidRDefault="005C7BF7">
      <w:pPr>
        <w:pStyle w:val="Corpsdetexte"/>
      </w:pPr>
      <w:r>
        <w:t xml:space="preserve">Cette classe comprend les instances temporelles de </w:t>
      </w:r>
      <w:r>
        <w:rPr>
          <w:rStyle w:val="VerbatimChar"/>
        </w:rPr>
        <w:t>E59_Valeur_primitive</w:t>
      </w:r>
      <w:r>
        <w:t xml:space="preserve"> qui doivent être implémentées avec les validation, précision et références appropriées aux systèmes de coordonnées temporelles, et ce pour exprimer un temps dans un contexte pertinent à la documentation culturelle et scientifique.</w:t>
      </w:r>
    </w:p>
    <w:p w14:paraId="5D2580A1" w14:textId="105AAC7B" w:rsidR="00065317" w:rsidRDefault="005C7BF7">
      <w:pPr>
        <w:pStyle w:val="Corpsdetexte"/>
      </w:pPr>
      <w:r>
        <w:t>L</w:t>
      </w:r>
      <w:r w:rsidR="00E84B0E">
        <w:t>’</w:t>
      </w:r>
      <w:r>
        <w:t xml:space="preserve">instanciation de différentes instances de </w:t>
      </w:r>
      <w:r>
        <w:rPr>
          <w:rStyle w:val="VerbatimChar"/>
        </w:rPr>
        <w:t>E61_Primitive_temporelle</w:t>
      </w:r>
      <w:r>
        <w:t xml:space="preserve"> reliées à une unique instance de </w:t>
      </w:r>
      <w:r>
        <w:rPr>
          <w:rStyle w:val="VerbatimChar"/>
        </w:rPr>
        <w:t>E52_Intervalle_temporel</w:t>
      </w:r>
      <w:r>
        <w:t xml:space="preserve"> permet l</w:t>
      </w:r>
      <w:r w:rsidR="00E84B0E">
        <w:t>’</w:t>
      </w:r>
      <w:r>
        <w:t>expression de multiples opinions ou approximations du même phénomène. Pour représenter différentes opinions ou approximations d</w:t>
      </w:r>
      <w:r w:rsidR="00E84B0E">
        <w:t>’</w:t>
      </w:r>
      <w:r>
        <w:t xml:space="preserve">une instance de </w:t>
      </w:r>
      <w:r>
        <w:rPr>
          <w:rStyle w:val="VerbatimChar"/>
        </w:rPr>
        <w:t>E52_Intervalle_temporel</w:t>
      </w:r>
      <w:r>
        <w:t xml:space="preserve"> reliée à une instance de </w:t>
      </w:r>
      <w:r>
        <w:rPr>
          <w:rStyle w:val="VerbatimChar"/>
        </w:rPr>
        <w:t>E2_Entité_temporelle</w:t>
      </w:r>
      <w:r>
        <w:t xml:space="preserve">, plusieurs instances de </w:t>
      </w:r>
      <w:r>
        <w:rPr>
          <w:rStyle w:val="VerbatimChar"/>
        </w:rPr>
        <w:t>E61_Primitive_temporelle</w:t>
      </w:r>
      <w:r>
        <w:t xml:space="preserve"> devraient être instanciées et reliées à cette unique instance de </w:t>
      </w:r>
      <w:r>
        <w:rPr>
          <w:rStyle w:val="VerbatimChar"/>
        </w:rPr>
        <w:t>E52_Intervalle_temporel</w:t>
      </w:r>
      <w:r>
        <w:t xml:space="preserve">. Une unique instance de </w:t>
      </w:r>
      <w:r>
        <w:rPr>
          <w:rStyle w:val="VerbatimChar"/>
        </w:rPr>
        <w:t>E52_Intervalle_temporel</w:t>
      </w:r>
      <w:r>
        <w:t xml:space="preserve"> devrait être instanciée du fait que, pour n</w:t>
      </w:r>
      <w:r w:rsidR="00E84B0E">
        <w:t>’</w:t>
      </w:r>
      <w:r>
        <w:t>importe quelle entité temporelle, il n</w:t>
      </w:r>
      <w:r w:rsidR="00E84B0E">
        <w:t>’</w:t>
      </w:r>
      <w:r>
        <w:t>existe qu</w:t>
      </w:r>
      <w:r w:rsidR="00E84B0E">
        <w:t>’</w:t>
      </w:r>
      <w:r>
        <w:t>une seule étendue temporelle phénoménale réelle.</w:t>
      </w:r>
    </w:p>
    <w:p w14:paraId="02C4760F" w14:textId="1CC9C5C7" w:rsidR="00065317" w:rsidRDefault="005C7BF7">
      <w:pPr>
        <w:pStyle w:val="Corpsdetexte"/>
      </w:pPr>
      <w:r>
        <w:t xml:space="preserve">Les instances de </w:t>
      </w:r>
      <w:r>
        <w:rPr>
          <w:rStyle w:val="VerbatimChar"/>
        </w:rPr>
        <w:t>E61_Primitive_temporelle</w:t>
      </w:r>
      <w:r>
        <w:t xml:space="preserve"> ne sont pas considérées comme des éléments de l</w:t>
      </w:r>
      <w:r w:rsidR="00E84B0E">
        <w:t>’</w:t>
      </w:r>
      <w:r>
        <w:t xml:space="preserve">univers du discours que le </w:t>
      </w:r>
      <w:r w:rsidR="00C8288F">
        <w:t>CIDOC CRM</w:t>
      </w:r>
      <w:r>
        <w:t xml:space="preserve"> tente de définir et d</w:t>
      </w:r>
      <w:r w:rsidR="00E84B0E">
        <w:t>’</w:t>
      </w:r>
      <w:r>
        <w:t>analyser. Plutôt, ces instances jouent le rôle d</w:t>
      </w:r>
      <w:r w:rsidR="00E84B0E">
        <w:t>’</w:t>
      </w:r>
      <w:r>
        <w:t>une interface symbolique entre l</w:t>
      </w:r>
      <w:r w:rsidR="00E84B0E">
        <w:t>’</w:t>
      </w:r>
      <w:r>
        <w:t>application de ce modèle, le monde des manipulations mathématiques et computationnelles, ainsi que les objets symboliques que ces instances définissent et manipulent.</w:t>
      </w:r>
    </w:p>
    <w:p w14:paraId="45F1E18F" w14:textId="04B153F2" w:rsidR="00065317" w:rsidRDefault="005C7BF7">
      <w:pPr>
        <w:pStyle w:val="Corpsdetexte"/>
      </w:pPr>
      <w:r>
        <w:t xml:space="preserve">Dès lors, ces instances de </w:t>
      </w:r>
      <w:r>
        <w:rPr>
          <w:rStyle w:val="VerbatimChar"/>
        </w:rPr>
        <w:t>E61_Primitive_temporelle</w:t>
      </w:r>
      <w:r>
        <w:t xml:space="preserve"> ne doivent pas être représentées dans une implémentation par un identifiant universel associé avec un modèle de contenu d</w:t>
      </w:r>
      <w:r w:rsidR="00E84B0E">
        <w:t>’</w:t>
      </w:r>
      <w:r>
        <w:t>une identité différente. Dans une application concrète, il est recommandé que le système de valeurs primitives d</w:t>
      </w:r>
      <w:r w:rsidR="00E84B0E">
        <w:t>’</w:t>
      </w:r>
      <w:r>
        <w:t>une plateforme d</w:t>
      </w:r>
      <w:r w:rsidR="00E84B0E">
        <w:t>’</w:t>
      </w:r>
      <w:r>
        <w:t>implémentation spécifique et/ou d</w:t>
      </w:r>
      <w:r w:rsidR="00E84B0E">
        <w:t>’</w:t>
      </w:r>
      <w:r>
        <w:t>un langage de définition de données soit utilisé en lieu et place de cette classe.</w:t>
      </w:r>
    </w:p>
    <w:p w14:paraId="6B67090F" w14:textId="77777777" w:rsidR="00065317" w:rsidRDefault="005C7BF7">
      <w:pPr>
        <w:pStyle w:val="Corpsdetexte"/>
      </w:pPr>
      <w:r>
        <w:rPr>
          <w:b/>
          <w:bCs/>
        </w:rPr>
        <w:t>Exemples</w:t>
      </w:r>
    </w:p>
    <w:p w14:paraId="6AD37AAF" w14:textId="77777777" w:rsidR="00065317" w:rsidRDefault="005C7BF7">
      <w:pPr>
        <w:numPr>
          <w:ilvl w:val="0"/>
          <w:numId w:val="110"/>
        </w:numPr>
      </w:pPr>
      <w:r>
        <w:t>« 1994 – 1997 »</w:t>
      </w:r>
    </w:p>
    <w:p w14:paraId="4E167DB1" w14:textId="140C2103" w:rsidR="00065317" w:rsidRDefault="005C7BF7">
      <w:pPr>
        <w:numPr>
          <w:ilvl w:val="0"/>
          <w:numId w:val="110"/>
        </w:numPr>
      </w:pPr>
      <w:r>
        <w:t>« 13</w:t>
      </w:r>
      <w:r w:rsidR="00056DCD">
        <w:t> mai </w:t>
      </w:r>
      <w:r>
        <w:t>1768 »</w:t>
      </w:r>
    </w:p>
    <w:p w14:paraId="4FE0BB5A" w14:textId="77777777" w:rsidR="00065317" w:rsidRDefault="005C7BF7">
      <w:pPr>
        <w:numPr>
          <w:ilvl w:val="0"/>
          <w:numId w:val="110"/>
        </w:numPr>
      </w:pPr>
      <w:r>
        <w:t>« 2000/01/01 00:00:59.7 »</w:t>
      </w:r>
    </w:p>
    <w:p w14:paraId="4E8D7E64" w14:textId="63F76B13" w:rsidR="00A81E78" w:rsidRPr="00A81E78" w:rsidRDefault="005C7BF7" w:rsidP="00A81E78">
      <w:pPr>
        <w:numPr>
          <w:ilvl w:val="0"/>
          <w:numId w:val="110"/>
        </w:numPr>
      </w:pPr>
      <w:r>
        <w:t>« LXXXV</w:t>
      </w:r>
      <w:r>
        <w:rPr>
          <w:vertAlign w:val="superscript"/>
        </w:rPr>
        <w:t>e</w:t>
      </w:r>
      <w:r w:rsidR="00056DCD">
        <w:t> siècle </w:t>
      </w:r>
      <w:r>
        <w:t>AEC »</w:t>
      </w:r>
    </w:p>
    <w:p w14:paraId="0511F243" w14:textId="187EABB2" w:rsidR="00065317" w:rsidRDefault="005C7BF7">
      <w:pPr>
        <w:pStyle w:val="FirstParagraph"/>
      </w:pPr>
      <w:r>
        <w:rPr>
          <w:b/>
          <w:bCs/>
        </w:rPr>
        <w:t>Logique</w:t>
      </w:r>
    </w:p>
    <w:p w14:paraId="1C87A412" w14:textId="77777777" w:rsidR="00065317" w:rsidRDefault="005C7BF7">
      <w:pPr>
        <w:pStyle w:val="Corpsdetexte"/>
      </w:pPr>
      <w:r>
        <w:t>E61(x) ⇒ E41(x)</w:t>
      </w:r>
    </w:p>
    <w:p w14:paraId="1AAE1511" w14:textId="77777777" w:rsidR="00065317" w:rsidRDefault="005C7BF7">
      <w:pPr>
        <w:pStyle w:val="Corpsdetexte"/>
      </w:pPr>
      <w:r>
        <w:t>E61(x) ⇒ E59(x)</w:t>
      </w:r>
    </w:p>
    <w:p w14:paraId="236AEE71" w14:textId="77777777" w:rsidR="00065317" w:rsidRDefault="005C7BF7">
      <w:pPr>
        <w:pStyle w:val="Corpsdetexte"/>
      </w:pPr>
      <w:r>
        <w:rPr>
          <w:b/>
          <w:bCs/>
        </w:rPr>
        <w:t>Propriétés</w:t>
      </w:r>
    </w:p>
    <w:p w14:paraId="584A208B" w14:textId="77777777" w:rsidR="00065317" w:rsidRDefault="005C7BF7">
      <w:pPr>
        <w:pStyle w:val="Corpsdetexte"/>
      </w:pPr>
      <w:r>
        <w:rPr>
          <w:rStyle w:val="VerbatimChar"/>
        </w:rPr>
        <w:t>P170_temps_défini_par (définit_le_temps)</w:t>
      </w:r>
      <w:r>
        <w:t xml:space="preserve"> : </w:t>
      </w:r>
      <w:r>
        <w:rPr>
          <w:rStyle w:val="VerbatimChar"/>
        </w:rPr>
        <w:t>E52_Intervalle_temporel</w:t>
      </w:r>
    </w:p>
    <w:p w14:paraId="2ECF56E1" w14:textId="77777777" w:rsidR="00065317" w:rsidRDefault="005C7BF7">
      <w:pPr>
        <w:pStyle w:val="Normalcentr"/>
      </w:pPr>
      <w:r>
        <w:rPr>
          <w:b/>
          <w:bCs/>
          <w:i/>
          <w:iCs/>
        </w:rPr>
        <w:t>Note de traduction</w:t>
      </w:r>
    </w:p>
    <w:p w14:paraId="5EF3B3EE" w14:textId="7FD795FB" w:rsidR="00065317" w:rsidRDefault="005C7BF7" w:rsidP="00627690">
      <w:pPr>
        <w:pStyle w:val="Normalcentr"/>
      </w:pPr>
      <w:r>
        <w:rPr>
          <w:b/>
          <w:bCs/>
          <w:i/>
          <w:iCs/>
        </w:rPr>
        <w:t>Références</w:t>
      </w:r>
    </w:p>
    <w:p w14:paraId="464AAA65" w14:textId="77777777" w:rsidR="00065317" w:rsidRDefault="005C7BF7" w:rsidP="00914F34">
      <w:pPr>
        <w:pStyle w:val="Titre3"/>
      </w:pPr>
      <w:bookmarkStart w:id="204" w:name="_Toc154048787"/>
      <w:bookmarkStart w:id="205" w:name="e62-chaine-de-caracteres"/>
      <w:bookmarkEnd w:id="203"/>
      <w:r>
        <w:t>E62 Chaîne de caractères</w:t>
      </w:r>
      <w:bookmarkEnd w:id="204"/>
    </w:p>
    <w:p w14:paraId="3977C4FA" w14:textId="77777777" w:rsidR="00065317" w:rsidRDefault="005C7BF7">
      <w:pPr>
        <w:pStyle w:val="FirstParagraph"/>
      </w:pPr>
      <w:r>
        <w:rPr>
          <w:b/>
          <w:bCs/>
        </w:rPr>
        <w:t>Sous-classe de</w:t>
      </w:r>
    </w:p>
    <w:p w14:paraId="42CC6DF5" w14:textId="77777777" w:rsidR="00065317" w:rsidRDefault="005C7BF7">
      <w:pPr>
        <w:pStyle w:val="Corpsdetexte"/>
      </w:pPr>
      <w:r>
        <w:rPr>
          <w:rStyle w:val="VerbatimChar"/>
        </w:rPr>
        <w:t>E59_Valeur_primitive</w:t>
      </w:r>
    </w:p>
    <w:p w14:paraId="37A32041" w14:textId="77777777" w:rsidR="00065317" w:rsidRDefault="005C7BF7">
      <w:pPr>
        <w:pStyle w:val="Corpsdetexte"/>
      </w:pPr>
      <w:r>
        <w:rPr>
          <w:b/>
          <w:bCs/>
        </w:rPr>
        <w:lastRenderedPageBreak/>
        <w:t>Super-classe de</w:t>
      </w:r>
    </w:p>
    <w:p w14:paraId="081925B3" w14:textId="4974F874" w:rsidR="00065317" w:rsidRDefault="005C7BF7">
      <w:pPr>
        <w:pStyle w:val="Corpsdetexte"/>
      </w:pPr>
      <w:r>
        <w:rPr>
          <w:b/>
          <w:bCs/>
        </w:rPr>
        <w:t>Note d</w:t>
      </w:r>
      <w:r w:rsidR="00E84B0E">
        <w:rPr>
          <w:b/>
          <w:bCs/>
        </w:rPr>
        <w:t>’</w:t>
      </w:r>
      <w:r>
        <w:rPr>
          <w:b/>
          <w:bCs/>
        </w:rPr>
        <w:t>application</w:t>
      </w:r>
    </w:p>
    <w:p w14:paraId="47C7ED76" w14:textId="027CAEBF" w:rsidR="00065317" w:rsidRDefault="005C7BF7">
      <w:pPr>
        <w:pStyle w:val="Corpsdetexte"/>
      </w:pPr>
      <w:r>
        <w:t>Cette classe comprend les séquences cohérentes de symboles en code binaire. Elles correspondent au contenu d</w:t>
      </w:r>
      <w:r w:rsidR="00E84B0E">
        <w:t>’</w:t>
      </w:r>
      <w:r>
        <w:t xml:space="preserve">une instance de </w:t>
      </w:r>
      <w:r>
        <w:rPr>
          <w:rStyle w:val="VerbatimChar"/>
        </w:rPr>
        <w:t>E90_Objet_symbolique</w:t>
      </w:r>
      <w:r>
        <w:t xml:space="preserve">. Les instances de </w:t>
      </w:r>
      <w:r>
        <w:rPr>
          <w:rStyle w:val="VerbatimChar"/>
        </w:rPr>
        <w:t>E62_Chaîne_de_caractères</w:t>
      </w:r>
      <w:r>
        <w:t xml:space="preserve"> représentent seulement la séquence de symboles en soi. Celles-ci peuvent contenir ou non un code de langue.</w:t>
      </w:r>
    </w:p>
    <w:p w14:paraId="5BEDB2DD" w14:textId="77777777" w:rsidR="00065317" w:rsidRDefault="005C7BF7">
      <w:pPr>
        <w:pStyle w:val="Corpsdetexte"/>
      </w:pPr>
      <w:r>
        <w:t xml:space="preserve">En revanche, les instances des autres sous-classes de </w:t>
      </w:r>
      <w:r>
        <w:rPr>
          <w:rStyle w:val="VerbatimChar"/>
        </w:rPr>
        <w:t>E59_Valeur_primitive</w:t>
      </w:r>
      <w:r>
        <w:t xml:space="preserve"> représentent les entités dans des espaces mathématiques autres que celui des séquences de symboles en code binaire, tels que des expressions de dates ou des nombres en codage décimal. Par exemple, différentes syntaxes exprimant une date peuvent représenter la même date, mais être constituées de différentes chaînes de caractères.</w:t>
      </w:r>
    </w:p>
    <w:p w14:paraId="48F3B0CF" w14:textId="77777777" w:rsidR="00065317" w:rsidRDefault="005C7BF7">
      <w:pPr>
        <w:pStyle w:val="Corpsdetexte"/>
      </w:pPr>
      <w:r>
        <w:rPr>
          <w:b/>
          <w:bCs/>
        </w:rPr>
        <w:t>Exemples</w:t>
      </w:r>
    </w:p>
    <w:p w14:paraId="47D2DDF3" w14:textId="77777777" w:rsidR="00065317" w:rsidRPr="00EC2D6E" w:rsidRDefault="005C7BF7">
      <w:pPr>
        <w:numPr>
          <w:ilvl w:val="0"/>
          <w:numId w:val="111"/>
        </w:numPr>
        <w:rPr>
          <w:lang w:val="en-CA"/>
        </w:rPr>
      </w:pPr>
      <w:r w:rsidRPr="00EC2D6E">
        <w:rPr>
          <w:lang w:val="en-CA"/>
        </w:rPr>
        <w:t>« The Quick Brown Fox Jumps Over the Lazy Dog »</w:t>
      </w:r>
    </w:p>
    <w:p w14:paraId="7F998A91" w14:textId="77777777" w:rsidR="00065317" w:rsidRDefault="005C7BF7">
      <w:pPr>
        <w:numPr>
          <w:ilvl w:val="0"/>
          <w:numId w:val="111"/>
        </w:numPr>
      </w:pPr>
      <w:r>
        <w:t>« 6F 6E 54 79 70 31 0D 9E »</w:t>
      </w:r>
    </w:p>
    <w:p w14:paraId="4065CDF8" w14:textId="77777777" w:rsidR="00065317" w:rsidRDefault="005C7BF7">
      <w:pPr>
        <w:pStyle w:val="FirstParagraph"/>
      </w:pPr>
      <w:r>
        <w:rPr>
          <w:b/>
          <w:bCs/>
        </w:rPr>
        <w:t>Logique</w:t>
      </w:r>
    </w:p>
    <w:p w14:paraId="525D267E" w14:textId="3B33970F" w:rsidR="008D39EE" w:rsidRPr="00511D83" w:rsidRDefault="005C7BF7" w:rsidP="00511D83">
      <w:pPr>
        <w:pStyle w:val="Corpsdetexte"/>
      </w:pPr>
      <w:r>
        <w:t>E62(x) ⇒ E59(x)</w:t>
      </w:r>
    </w:p>
    <w:p w14:paraId="1203C64C" w14:textId="4DEE847A" w:rsidR="00065317" w:rsidRDefault="005C7BF7">
      <w:pPr>
        <w:pStyle w:val="Corpsdetexte"/>
      </w:pPr>
      <w:r>
        <w:rPr>
          <w:b/>
          <w:bCs/>
        </w:rPr>
        <w:t>Propriétés</w:t>
      </w:r>
    </w:p>
    <w:p w14:paraId="35DAFBA5" w14:textId="77777777" w:rsidR="00065317" w:rsidRDefault="005C7BF7">
      <w:pPr>
        <w:pStyle w:val="Normalcentr"/>
      </w:pPr>
      <w:r>
        <w:rPr>
          <w:b/>
          <w:bCs/>
          <w:i/>
          <w:iCs/>
        </w:rPr>
        <w:t>Note de traduction</w:t>
      </w:r>
    </w:p>
    <w:p w14:paraId="444EAAEC" w14:textId="0CA1C67B" w:rsidR="00065317" w:rsidRDefault="005C7BF7" w:rsidP="00627690">
      <w:pPr>
        <w:pStyle w:val="Normalcentr"/>
      </w:pPr>
      <w:r>
        <w:rPr>
          <w:b/>
          <w:bCs/>
          <w:i/>
          <w:iCs/>
        </w:rPr>
        <w:t>Références</w:t>
      </w:r>
    </w:p>
    <w:p w14:paraId="19000B7C" w14:textId="64725F42" w:rsidR="00065317" w:rsidRDefault="005C7BF7" w:rsidP="00914F34">
      <w:pPr>
        <w:pStyle w:val="Titre3"/>
      </w:pPr>
      <w:bookmarkStart w:id="206" w:name="_Toc154048788"/>
      <w:bookmarkStart w:id="207" w:name="e63-debut-dexistence"/>
      <w:bookmarkEnd w:id="205"/>
      <w:r>
        <w:t>E63 Début d</w:t>
      </w:r>
      <w:r w:rsidR="00E84B0E">
        <w:t>’</w:t>
      </w:r>
      <w:r w:rsidR="00914F34">
        <w:t>ex</w:t>
      </w:r>
      <w:r>
        <w:t>istence</w:t>
      </w:r>
      <w:bookmarkEnd w:id="206"/>
    </w:p>
    <w:p w14:paraId="31C54F2B" w14:textId="77777777" w:rsidR="00065317" w:rsidRDefault="005C7BF7">
      <w:pPr>
        <w:pStyle w:val="FirstParagraph"/>
      </w:pPr>
      <w:r>
        <w:rPr>
          <w:b/>
          <w:bCs/>
        </w:rPr>
        <w:t>Sous-classe de</w:t>
      </w:r>
    </w:p>
    <w:p w14:paraId="797AE428" w14:textId="77777777" w:rsidR="00065317" w:rsidRDefault="005C7BF7">
      <w:pPr>
        <w:pStyle w:val="Corpsdetexte"/>
      </w:pPr>
      <w:r>
        <w:rPr>
          <w:rStyle w:val="VerbatimChar"/>
        </w:rPr>
        <w:t>E5_Évènement</w:t>
      </w:r>
    </w:p>
    <w:p w14:paraId="7A8FD3EE" w14:textId="77777777" w:rsidR="00065317" w:rsidRDefault="005C7BF7">
      <w:pPr>
        <w:pStyle w:val="Corpsdetexte"/>
      </w:pPr>
      <w:r>
        <w:rPr>
          <w:b/>
          <w:bCs/>
        </w:rPr>
        <w:t>Super-classe de</w:t>
      </w:r>
    </w:p>
    <w:p w14:paraId="7AC245F9" w14:textId="77777777" w:rsidR="00065317" w:rsidRDefault="005C7BF7">
      <w:pPr>
        <w:pStyle w:val="Corpsdetexte"/>
      </w:pPr>
      <w:r>
        <w:rPr>
          <w:rStyle w:val="VerbatimChar"/>
        </w:rPr>
        <w:t>E12_Production</w:t>
      </w:r>
    </w:p>
    <w:p w14:paraId="0A034CAF" w14:textId="77777777" w:rsidR="00065317" w:rsidRDefault="005C7BF7">
      <w:pPr>
        <w:pStyle w:val="Corpsdetexte"/>
      </w:pPr>
      <w:r>
        <w:rPr>
          <w:rStyle w:val="VerbatimChar"/>
        </w:rPr>
        <w:t>E65_Création</w:t>
      </w:r>
    </w:p>
    <w:p w14:paraId="3BA1865A" w14:textId="77777777" w:rsidR="00065317" w:rsidRDefault="005C7BF7">
      <w:pPr>
        <w:pStyle w:val="Corpsdetexte"/>
      </w:pPr>
      <w:r>
        <w:rPr>
          <w:rStyle w:val="VerbatimChar"/>
        </w:rPr>
        <w:t>E66_Formation</w:t>
      </w:r>
    </w:p>
    <w:p w14:paraId="3EAC0E0D" w14:textId="77777777" w:rsidR="00065317" w:rsidRDefault="005C7BF7">
      <w:pPr>
        <w:pStyle w:val="Corpsdetexte"/>
      </w:pPr>
      <w:r>
        <w:rPr>
          <w:rStyle w:val="VerbatimChar"/>
        </w:rPr>
        <w:t>E67_Naissance</w:t>
      </w:r>
    </w:p>
    <w:p w14:paraId="69A3DD04" w14:textId="77777777" w:rsidR="00065317" w:rsidRDefault="005C7BF7">
      <w:pPr>
        <w:pStyle w:val="Corpsdetexte"/>
      </w:pPr>
      <w:r>
        <w:rPr>
          <w:rStyle w:val="VerbatimChar"/>
        </w:rPr>
        <w:t>E81_Transformation</w:t>
      </w:r>
    </w:p>
    <w:p w14:paraId="4E62C98E" w14:textId="4B568497" w:rsidR="00065317" w:rsidRDefault="005C7BF7">
      <w:pPr>
        <w:pStyle w:val="Corpsdetexte"/>
      </w:pPr>
      <w:r>
        <w:rPr>
          <w:b/>
          <w:bCs/>
        </w:rPr>
        <w:t>Note d</w:t>
      </w:r>
      <w:r w:rsidR="00E84B0E">
        <w:rPr>
          <w:b/>
          <w:bCs/>
        </w:rPr>
        <w:t>’</w:t>
      </w:r>
      <w:r>
        <w:rPr>
          <w:b/>
          <w:bCs/>
        </w:rPr>
        <w:t>application</w:t>
      </w:r>
    </w:p>
    <w:p w14:paraId="3EDB2407" w14:textId="7CDC46E6" w:rsidR="00065317" w:rsidRDefault="005C7BF7">
      <w:pPr>
        <w:pStyle w:val="Corpsdetexte"/>
      </w:pPr>
      <w:r>
        <w:t>Cette classe comprend les évènements qui permettent l</w:t>
      </w:r>
      <w:r w:rsidR="00E84B0E">
        <w:t>’</w:t>
      </w:r>
      <w:r>
        <w:t>avènement de n</w:t>
      </w:r>
      <w:r w:rsidR="00E84B0E">
        <w:t>’</w:t>
      </w:r>
      <w:r>
        <w:t xml:space="preserve">importe quelle instance de </w:t>
      </w:r>
      <w:r>
        <w:rPr>
          <w:rStyle w:val="VerbatimChar"/>
        </w:rPr>
        <w:t>E77_Entité_persistante</w:t>
      </w:r>
      <w:r>
        <w:t>.</w:t>
      </w:r>
    </w:p>
    <w:p w14:paraId="7801F968" w14:textId="2AF6ABAB" w:rsidR="00065317" w:rsidRDefault="005C7BF7">
      <w:pPr>
        <w:pStyle w:val="Corpsdetexte"/>
      </w:pPr>
      <w:r>
        <w:rPr>
          <w:rStyle w:val="VerbatimChar"/>
        </w:rPr>
        <w:t>E63_Début_d</w:t>
      </w:r>
      <w:r w:rsidR="00E84B0E">
        <w:rPr>
          <w:rStyle w:val="VerbatimChar"/>
        </w:rPr>
        <w:t>’</w:t>
      </w:r>
      <w:r>
        <w:rPr>
          <w:rStyle w:val="VerbatimChar"/>
        </w:rPr>
        <w:t>existence</w:t>
      </w:r>
      <w:r>
        <w:t xml:space="preserve"> peut être utilisée </w:t>
      </w:r>
      <w:r w:rsidR="00806228">
        <w:t>aux</w:t>
      </w:r>
      <w:r>
        <w:t xml:space="preserve"> fins d</w:t>
      </w:r>
      <w:r w:rsidR="00806228">
        <w:t>u</w:t>
      </w:r>
      <w:r>
        <w:t xml:space="preserve"> raisonnement temporel sur des entités (produits intellectuels, entités matérielles, groupes de personnes, êtres vivants) qui commencent à exister; elle permet de déterminer le « terminus post quem » ou le « terminus ante quem ».</w:t>
      </w:r>
    </w:p>
    <w:p w14:paraId="65F66732" w14:textId="77777777" w:rsidR="00511D83" w:rsidRDefault="00511D83">
      <w:pPr>
        <w:spacing w:after="0"/>
        <w:rPr>
          <w:b/>
          <w:bCs/>
        </w:rPr>
      </w:pPr>
      <w:r>
        <w:rPr>
          <w:b/>
          <w:bCs/>
        </w:rPr>
        <w:br w:type="page"/>
      </w:r>
    </w:p>
    <w:p w14:paraId="7EC9F4F3" w14:textId="4536E4DA" w:rsidR="00065317" w:rsidRDefault="005C7BF7">
      <w:pPr>
        <w:pStyle w:val="Corpsdetexte"/>
      </w:pPr>
      <w:r>
        <w:rPr>
          <w:b/>
          <w:bCs/>
        </w:rPr>
        <w:lastRenderedPageBreak/>
        <w:t>Exemples</w:t>
      </w:r>
    </w:p>
    <w:p w14:paraId="24C71D51" w14:textId="77777777" w:rsidR="00065317" w:rsidRDefault="005C7BF7">
      <w:pPr>
        <w:numPr>
          <w:ilvl w:val="0"/>
          <w:numId w:val="112"/>
        </w:numPr>
      </w:pPr>
      <w:r>
        <w:t>La naissance de mon enfant (</w:t>
      </w:r>
      <w:r>
        <w:rPr>
          <w:rStyle w:val="VerbatimChar"/>
        </w:rPr>
        <w:t>E67_Naissance</w:t>
      </w:r>
      <w:r>
        <w:t>) (fictif)</w:t>
      </w:r>
    </w:p>
    <w:p w14:paraId="05BC7CD4" w14:textId="77777777" w:rsidR="00065317" w:rsidRDefault="005C7BF7">
      <w:pPr>
        <w:numPr>
          <w:ilvl w:val="0"/>
          <w:numId w:val="112"/>
        </w:numPr>
      </w:pPr>
      <w:r>
        <w:t>La naissance de Snoopy, mon chien (fictif)</w:t>
      </w:r>
    </w:p>
    <w:p w14:paraId="2B0D80AC" w14:textId="4A0C4451" w:rsidR="00065317" w:rsidRDefault="005C7BF7">
      <w:pPr>
        <w:numPr>
          <w:ilvl w:val="0"/>
          <w:numId w:val="112"/>
        </w:numPr>
      </w:pPr>
      <w:r>
        <w:t>Le vêlage de l</w:t>
      </w:r>
      <w:r w:rsidR="00E84B0E">
        <w:t>’</w:t>
      </w:r>
      <w:r>
        <w:t>iceberg qui a causé le naufrage du Titanic</w:t>
      </w:r>
    </w:p>
    <w:p w14:paraId="400E0E0B" w14:textId="77777777" w:rsidR="00065317" w:rsidRDefault="005C7BF7">
      <w:pPr>
        <w:numPr>
          <w:ilvl w:val="0"/>
          <w:numId w:val="112"/>
        </w:numPr>
      </w:pPr>
      <w:r>
        <w:t>La construction de la tour Eiffel (</w:t>
      </w:r>
      <w:r>
        <w:rPr>
          <w:rStyle w:val="VerbatimChar"/>
        </w:rPr>
        <w:t>E12_Production</w:t>
      </w:r>
      <w:r>
        <w:t>) (Tissandier, 1889)</w:t>
      </w:r>
    </w:p>
    <w:p w14:paraId="763D8160" w14:textId="77777777" w:rsidR="00065317" w:rsidRDefault="005C7BF7">
      <w:pPr>
        <w:pStyle w:val="FirstParagraph"/>
      </w:pPr>
      <w:r>
        <w:rPr>
          <w:b/>
          <w:bCs/>
        </w:rPr>
        <w:t>Logique</w:t>
      </w:r>
    </w:p>
    <w:p w14:paraId="309947B9" w14:textId="77777777" w:rsidR="00065317" w:rsidRDefault="005C7BF7">
      <w:pPr>
        <w:pStyle w:val="Corpsdetexte"/>
      </w:pPr>
      <w:r>
        <w:t>E63(x) ⇒ E5(x)</w:t>
      </w:r>
    </w:p>
    <w:p w14:paraId="036143D3" w14:textId="77777777" w:rsidR="00065317" w:rsidRDefault="005C7BF7">
      <w:pPr>
        <w:pStyle w:val="Corpsdetexte"/>
      </w:pPr>
      <w:r>
        <w:rPr>
          <w:b/>
          <w:bCs/>
        </w:rPr>
        <w:t>Propriétés</w:t>
      </w:r>
    </w:p>
    <w:p w14:paraId="4573B14C" w14:textId="77777777" w:rsidR="00065317" w:rsidRDefault="005C7BF7">
      <w:pPr>
        <w:pStyle w:val="Corpsdetexte"/>
      </w:pPr>
      <w:r>
        <w:rPr>
          <w:rStyle w:val="VerbatimChar"/>
        </w:rPr>
        <w:t>P92_a_fait_exister (a_commencé_à_exister_par)</w:t>
      </w:r>
      <w:r>
        <w:t xml:space="preserve"> : </w:t>
      </w:r>
      <w:r>
        <w:rPr>
          <w:rStyle w:val="VerbatimChar"/>
        </w:rPr>
        <w:t>E77_Entité_persistante</w:t>
      </w:r>
    </w:p>
    <w:p w14:paraId="02657A91" w14:textId="77777777" w:rsidR="00065317" w:rsidRDefault="005C7BF7">
      <w:pPr>
        <w:pStyle w:val="Normalcentr"/>
      </w:pPr>
      <w:r>
        <w:rPr>
          <w:b/>
          <w:bCs/>
          <w:i/>
          <w:iCs/>
        </w:rPr>
        <w:t>Note de traduction</w:t>
      </w:r>
    </w:p>
    <w:p w14:paraId="0A1BCADF" w14:textId="14F621BE" w:rsidR="00065317" w:rsidRDefault="005C7BF7">
      <w:pPr>
        <w:pStyle w:val="Normalcentr"/>
      </w:pPr>
      <w:r>
        <w:t>Entité persistante est plus près de la définition anglaise qui porte sur le fait de persister plutôt que de perdurer ou d</w:t>
      </w:r>
      <w:r w:rsidR="00E84B0E">
        <w:t>’</w:t>
      </w:r>
      <w:r>
        <w:t>être de longue durée.</w:t>
      </w:r>
    </w:p>
    <w:p w14:paraId="77D4643A" w14:textId="1537E752" w:rsidR="00065317" w:rsidRPr="008D39EE" w:rsidRDefault="005C7BF7" w:rsidP="004E5EA3">
      <w:pPr>
        <w:pStyle w:val="Normalcentr"/>
      </w:pPr>
      <w:r>
        <w:t>« Entité » est utilisé à la place de « chose », car « chose » n</w:t>
      </w:r>
      <w:r w:rsidR="00E84B0E">
        <w:t>’</w:t>
      </w:r>
      <w:r>
        <w:t>inclut pas (à l</w:t>
      </w:r>
      <w:r w:rsidR="00E84B0E">
        <w:t>’</w:t>
      </w:r>
      <w:r>
        <w:t>exception de désignations méprisantes ou hautaines) des personnes/groupes/humains.</w:t>
      </w:r>
    </w:p>
    <w:p w14:paraId="7BE973DA" w14:textId="77777777" w:rsidR="00065317" w:rsidRDefault="005C7BF7">
      <w:pPr>
        <w:pStyle w:val="Normalcentr"/>
      </w:pPr>
      <w:r>
        <w:rPr>
          <w:b/>
          <w:bCs/>
          <w:i/>
          <w:iCs/>
        </w:rPr>
        <w:t>Références</w:t>
      </w:r>
    </w:p>
    <w:p w14:paraId="460E5DA4" w14:textId="7D95A261" w:rsidR="00065317" w:rsidRDefault="005C7BF7">
      <w:pPr>
        <w:pStyle w:val="Normalcentr"/>
      </w:pPr>
      <w:r>
        <w:t xml:space="preserve">Termium. « temporal reasoning ». Dans </w:t>
      </w:r>
      <w:r>
        <w:rPr>
          <w:i/>
          <w:iCs/>
        </w:rPr>
        <w:t>Termium Plus</w:t>
      </w:r>
      <w:r>
        <w:t>. Ottawa, CA-ON: Gouvernment du Canada, 19</w:t>
      </w:r>
      <w:r w:rsidR="00056DCD">
        <w:t> septembre </w:t>
      </w:r>
      <w:r>
        <w:t>2003.</w:t>
      </w:r>
      <w:hyperlink r:id="rId200" w:anchor="fichesauve-saverecord1">
        <w:r>
          <w:rPr>
            <w:rStyle w:val="Lienhypertexte"/>
          </w:rPr>
          <w:t xml:space="preserve"> </w:t>
        </w:r>
      </w:hyperlink>
      <w:hyperlink r:id="rId201" w:anchor="fichesauve-saverecord1">
        <w:r>
          <w:rPr>
            <w:rStyle w:val="Lienhypertexte"/>
          </w:rPr>
          <w:t>https://www.btb.termiumplus.gc.ca/tpv2alpha/alpha-fra.html?lang=fra&amp;srchtxt=temporal%20reasoning&amp;i=&amp;index=alt&amp;sg_kp_wet=921138&amp;fchrcrdnm=1#fichesauve-saverecord1</w:t>
        </w:r>
      </w:hyperlink>
      <w:r>
        <w:t>.</w:t>
      </w:r>
    </w:p>
    <w:p w14:paraId="302B48B3" w14:textId="3B89C8E7" w:rsidR="00065317" w:rsidRDefault="005C7BF7" w:rsidP="00914F34">
      <w:pPr>
        <w:pStyle w:val="Titre3"/>
      </w:pPr>
      <w:bookmarkStart w:id="208" w:name="_Toc154048789"/>
      <w:bookmarkStart w:id="209" w:name="e64-fin-dexistence"/>
      <w:bookmarkEnd w:id="207"/>
      <w:r>
        <w:t>E64 Fin d</w:t>
      </w:r>
      <w:r w:rsidR="00E84B0E">
        <w:t>’</w:t>
      </w:r>
      <w:r>
        <w:t>existence</w:t>
      </w:r>
      <w:bookmarkEnd w:id="208"/>
    </w:p>
    <w:p w14:paraId="0790D8FE" w14:textId="77777777" w:rsidR="00065317" w:rsidRDefault="005C7BF7">
      <w:pPr>
        <w:pStyle w:val="FirstParagraph"/>
      </w:pPr>
      <w:r>
        <w:rPr>
          <w:b/>
          <w:bCs/>
        </w:rPr>
        <w:t>Sous-classe de</w:t>
      </w:r>
    </w:p>
    <w:p w14:paraId="3AE6D13C" w14:textId="5607CE53" w:rsidR="00A81E78" w:rsidRPr="00A81E78" w:rsidRDefault="005C7BF7">
      <w:pPr>
        <w:pStyle w:val="Corpsdetexte"/>
      </w:pPr>
      <w:r>
        <w:rPr>
          <w:rStyle w:val="VerbatimChar"/>
        </w:rPr>
        <w:t>E5_Évènement</w:t>
      </w:r>
    </w:p>
    <w:p w14:paraId="0C76552B" w14:textId="25369B0C" w:rsidR="00065317" w:rsidRDefault="005C7BF7">
      <w:pPr>
        <w:pStyle w:val="Corpsdetexte"/>
      </w:pPr>
      <w:r>
        <w:rPr>
          <w:b/>
          <w:bCs/>
        </w:rPr>
        <w:t>Super-classe de</w:t>
      </w:r>
    </w:p>
    <w:p w14:paraId="32AE0F17" w14:textId="77777777" w:rsidR="00065317" w:rsidRDefault="005C7BF7">
      <w:pPr>
        <w:pStyle w:val="Corpsdetexte"/>
      </w:pPr>
      <w:r>
        <w:rPr>
          <w:rStyle w:val="VerbatimChar"/>
        </w:rPr>
        <w:t>E6_Destruction</w:t>
      </w:r>
    </w:p>
    <w:p w14:paraId="5A85AF3C" w14:textId="77777777" w:rsidR="00065317" w:rsidRDefault="005C7BF7">
      <w:pPr>
        <w:pStyle w:val="Corpsdetexte"/>
      </w:pPr>
      <w:r>
        <w:rPr>
          <w:rStyle w:val="VerbatimChar"/>
        </w:rPr>
        <w:t>E68_Dissolution</w:t>
      </w:r>
    </w:p>
    <w:p w14:paraId="55A06E62" w14:textId="77777777" w:rsidR="00065317" w:rsidRDefault="005C7BF7">
      <w:pPr>
        <w:pStyle w:val="Corpsdetexte"/>
      </w:pPr>
      <w:r>
        <w:rPr>
          <w:rStyle w:val="VerbatimChar"/>
        </w:rPr>
        <w:t>E69_Mort</w:t>
      </w:r>
      <w:r>
        <w:t xml:space="preserve"> </w:t>
      </w:r>
      <w:r>
        <w:rPr>
          <w:rStyle w:val="VerbatimChar"/>
        </w:rPr>
        <w:t>E81_Transformation</w:t>
      </w:r>
    </w:p>
    <w:p w14:paraId="06B77A6D" w14:textId="384C971D" w:rsidR="00065317" w:rsidRDefault="005C7BF7">
      <w:pPr>
        <w:pStyle w:val="Corpsdetexte"/>
      </w:pPr>
      <w:r>
        <w:rPr>
          <w:b/>
          <w:bCs/>
        </w:rPr>
        <w:t>Note d</w:t>
      </w:r>
      <w:r w:rsidR="00E84B0E">
        <w:rPr>
          <w:b/>
          <w:bCs/>
        </w:rPr>
        <w:t>’</w:t>
      </w:r>
      <w:r>
        <w:rPr>
          <w:b/>
          <w:bCs/>
        </w:rPr>
        <w:t>application</w:t>
      </w:r>
    </w:p>
    <w:p w14:paraId="47E04C63" w14:textId="48993C01" w:rsidR="00065317" w:rsidRDefault="005C7BF7">
      <w:pPr>
        <w:pStyle w:val="Corpsdetexte"/>
      </w:pPr>
      <w:r>
        <w:t>Cette classe comprend les évènements qui mettent fin à l</w:t>
      </w:r>
      <w:r w:rsidR="00E84B0E">
        <w:t>’</w:t>
      </w:r>
      <w:r>
        <w:t>existence de n</w:t>
      </w:r>
      <w:r w:rsidR="00E84B0E">
        <w:t>’</w:t>
      </w:r>
      <w:r>
        <w:t xml:space="preserve">importe quelle instance de </w:t>
      </w:r>
      <w:r>
        <w:rPr>
          <w:rStyle w:val="VerbatimChar"/>
        </w:rPr>
        <w:t>E77_Entité_persistante</w:t>
      </w:r>
      <w:r>
        <w:t>.</w:t>
      </w:r>
    </w:p>
    <w:p w14:paraId="02DF52ED" w14:textId="1901BE94" w:rsidR="00065317" w:rsidRDefault="005C7BF7">
      <w:pPr>
        <w:pStyle w:val="Corpsdetexte"/>
      </w:pPr>
      <w:r>
        <w:rPr>
          <w:rStyle w:val="VerbatimChar"/>
        </w:rPr>
        <w:t>E64_Fin_d</w:t>
      </w:r>
      <w:r w:rsidR="00E84B0E">
        <w:rPr>
          <w:rStyle w:val="VerbatimChar"/>
        </w:rPr>
        <w:t>’</w:t>
      </w:r>
      <w:r>
        <w:rPr>
          <w:rStyle w:val="VerbatimChar"/>
        </w:rPr>
        <w:t>existence</w:t>
      </w:r>
      <w:r>
        <w:t xml:space="preserve"> peut être utilisée </w:t>
      </w:r>
      <w:r w:rsidR="00806228">
        <w:t>aux</w:t>
      </w:r>
      <w:r>
        <w:t xml:space="preserve"> fins d</w:t>
      </w:r>
      <w:r w:rsidR="00806228">
        <w:t>u</w:t>
      </w:r>
      <w:r>
        <w:t xml:space="preserve"> raisonnement temporel sur des entités (entités matérielles, groupes de personnes, êtres vivants) qui cessent d</w:t>
      </w:r>
      <w:r w:rsidR="00E84B0E">
        <w:t>’</w:t>
      </w:r>
      <w:r>
        <w:t>exister; cette classe permet de déterminer le « terminus post quem » ou le « terminus ante quem ». Dans les cas où la substance d</w:t>
      </w:r>
      <w:r w:rsidR="00E84B0E">
        <w:t>’</w:t>
      </w:r>
      <w:r>
        <w:t xml:space="preserve">une instance de </w:t>
      </w:r>
      <w:r>
        <w:rPr>
          <w:rStyle w:val="VerbatimChar"/>
        </w:rPr>
        <w:t>E77_Entité_persistante</w:t>
      </w:r>
      <w:r>
        <w:t xml:space="preserve"> continue d</w:t>
      </w:r>
      <w:r w:rsidR="00E84B0E">
        <w:t>’</w:t>
      </w:r>
      <w:r>
        <w:t xml:space="preserve">exister dans une nouvelle forme, le processus serait documenté grâce à des instances de </w:t>
      </w:r>
      <w:r>
        <w:rPr>
          <w:rStyle w:val="VerbatimChar"/>
        </w:rPr>
        <w:t>E81_Transformation</w:t>
      </w:r>
      <w:r>
        <w:t>.</w:t>
      </w:r>
    </w:p>
    <w:p w14:paraId="70D4C29D" w14:textId="77777777" w:rsidR="004E5EA3" w:rsidRDefault="004E5EA3">
      <w:pPr>
        <w:spacing w:after="0"/>
        <w:rPr>
          <w:b/>
          <w:bCs/>
        </w:rPr>
      </w:pPr>
      <w:r>
        <w:rPr>
          <w:b/>
          <w:bCs/>
        </w:rPr>
        <w:br w:type="page"/>
      </w:r>
    </w:p>
    <w:p w14:paraId="4C7D0339" w14:textId="1CB1ECC3" w:rsidR="00065317" w:rsidRDefault="005C7BF7">
      <w:pPr>
        <w:pStyle w:val="Corpsdetexte"/>
      </w:pPr>
      <w:r>
        <w:rPr>
          <w:b/>
          <w:bCs/>
        </w:rPr>
        <w:lastRenderedPageBreak/>
        <w:t>Exemples</w:t>
      </w:r>
    </w:p>
    <w:p w14:paraId="72F1733B" w14:textId="77777777" w:rsidR="00065317" w:rsidRDefault="005C7BF7">
      <w:pPr>
        <w:numPr>
          <w:ilvl w:val="0"/>
          <w:numId w:val="113"/>
        </w:numPr>
      </w:pPr>
      <w:r>
        <w:t>La mort de Snoopy, mon chien (fictif)</w:t>
      </w:r>
    </w:p>
    <w:p w14:paraId="33DE80E4" w14:textId="77777777" w:rsidR="00065317" w:rsidRDefault="005C7BF7">
      <w:pPr>
        <w:numPr>
          <w:ilvl w:val="0"/>
          <w:numId w:val="113"/>
        </w:numPr>
      </w:pPr>
      <w:r>
        <w:t>La fonte du bonhomme de neige (</w:t>
      </w:r>
      <w:r>
        <w:rPr>
          <w:rStyle w:val="VerbatimChar"/>
        </w:rPr>
        <w:t>E6_Destruction</w:t>
      </w:r>
      <w:r>
        <w:t>)</w:t>
      </w:r>
    </w:p>
    <w:p w14:paraId="7A037860" w14:textId="3EDC4D29" w:rsidR="00065317" w:rsidRDefault="005C7BF7">
      <w:pPr>
        <w:numPr>
          <w:ilvl w:val="0"/>
          <w:numId w:val="113"/>
        </w:numPr>
      </w:pPr>
      <w:r>
        <w:t>L</w:t>
      </w:r>
      <w:r w:rsidR="00E84B0E">
        <w:t>’</w:t>
      </w:r>
      <w:r>
        <w:t>incendie du Temple d</w:t>
      </w:r>
      <w:r w:rsidR="00E84B0E">
        <w:t>’</w:t>
      </w:r>
      <w:r>
        <w:t>Artémis à Éphèse par Érostrate en 356 AEC (</w:t>
      </w:r>
      <w:r>
        <w:rPr>
          <w:rStyle w:val="VerbatimChar"/>
        </w:rPr>
        <w:t>E7_Activité</w:t>
      </w:r>
      <w:r>
        <w:t xml:space="preserve">, </w:t>
      </w:r>
      <w:r>
        <w:rPr>
          <w:rStyle w:val="VerbatimChar"/>
        </w:rPr>
        <w:t>E6_Destruction</w:t>
      </w:r>
      <w:r>
        <w:t>) (Trell, 1945)</w:t>
      </w:r>
    </w:p>
    <w:p w14:paraId="722DFB00" w14:textId="77777777" w:rsidR="00065317" w:rsidRDefault="005C7BF7">
      <w:pPr>
        <w:pStyle w:val="FirstParagraph"/>
      </w:pPr>
      <w:r>
        <w:rPr>
          <w:b/>
          <w:bCs/>
        </w:rPr>
        <w:t>Logique</w:t>
      </w:r>
    </w:p>
    <w:p w14:paraId="69032037" w14:textId="77777777" w:rsidR="00065317" w:rsidRDefault="005C7BF7">
      <w:pPr>
        <w:pStyle w:val="Corpsdetexte"/>
      </w:pPr>
      <w:r>
        <w:t>E64(x) ⇒ E5(x)</w:t>
      </w:r>
    </w:p>
    <w:p w14:paraId="37F7C981" w14:textId="77777777" w:rsidR="00065317" w:rsidRDefault="005C7BF7">
      <w:pPr>
        <w:pStyle w:val="Corpsdetexte"/>
      </w:pPr>
      <w:r>
        <w:rPr>
          <w:b/>
          <w:bCs/>
        </w:rPr>
        <w:t>Propriétés</w:t>
      </w:r>
    </w:p>
    <w:p w14:paraId="37FA2671" w14:textId="4DA31E08" w:rsidR="00065317" w:rsidRDefault="005C7BF7">
      <w:pPr>
        <w:pStyle w:val="Corpsdetexte"/>
      </w:pPr>
      <w:r>
        <w:rPr>
          <w:rStyle w:val="VerbatimChar"/>
        </w:rPr>
        <w:t>P93_a_mis_fin_à_l</w:t>
      </w:r>
      <w:r w:rsidR="00E84B0E">
        <w:rPr>
          <w:rStyle w:val="VerbatimChar"/>
        </w:rPr>
        <w:t>’</w:t>
      </w:r>
      <w:r>
        <w:rPr>
          <w:rStyle w:val="VerbatimChar"/>
        </w:rPr>
        <w:t>existence_de (a_cessé_d</w:t>
      </w:r>
      <w:r w:rsidR="00E84B0E">
        <w:rPr>
          <w:rStyle w:val="VerbatimChar"/>
        </w:rPr>
        <w:t>’</w:t>
      </w:r>
      <w:r>
        <w:rPr>
          <w:rStyle w:val="VerbatimChar"/>
        </w:rPr>
        <w:t>exister_du_fait_de)</w:t>
      </w:r>
      <w:r>
        <w:t xml:space="preserve"> : </w:t>
      </w:r>
      <w:r>
        <w:rPr>
          <w:rStyle w:val="VerbatimChar"/>
        </w:rPr>
        <w:t>E77_Entité_persistante</w:t>
      </w:r>
    </w:p>
    <w:p w14:paraId="12A188F5" w14:textId="77777777" w:rsidR="00065317" w:rsidRDefault="005C7BF7">
      <w:pPr>
        <w:pStyle w:val="Normalcentr"/>
      </w:pPr>
      <w:r>
        <w:rPr>
          <w:b/>
          <w:bCs/>
          <w:i/>
          <w:iCs/>
        </w:rPr>
        <w:t>Note de traduction</w:t>
      </w:r>
    </w:p>
    <w:p w14:paraId="5A0FD28E" w14:textId="4B0A86A0" w:rsidR="00065317" w:rsidRDefault="005C7BF7">
      <w:pPr>
        <w:pStyle w:val="Normalcentr"/>
      </w:pPr>
      <w:r>
        <w:t>« Entité persistante » est plus près de la définition anglaise qui porte sur le fait de persister plutôt que de perdurer ou d</w:t>
      </w:r>
      <w:r w:rsidR="00E84B0E">
        <w:t>’</w:t>
      </w:r>
      <w:r>
        <w:t>être de longue durée.</w:t>
      </w:r>
    </w:p>
    <w:p w14:paraId="2C0D6A3A" w14:textId="45FCFECA" w:rsidR="00065317" w:rsidRDefault="005C7BF7">
      <w:pPr>
        <w:pStyle w:val="Normalcentr"/>
      </w:pPr>
      <w:r>
        <w:t>« Entité » est utilisé à la place de « chose », car « chose » n</w:t>
      </w:r>
      <w:r w:rsidR="00E84B0E">
        <w:t>’</w:t>
      </w:r>
      <w:r>
        <w:t>inclut pas (à l</w:t>
      </w:r>
      <w:r w:rsidR="00E84B0E">
        <w:t>’</w:t>
      </w:r>
      <w:r>
        <w:t>exception de désignations méprisantes ou hautaines) des personnes/groupes/humains.</w:t>
      </w:r>
    </w:p>
    <w:p w14:paraId="19B10857" w14:textId="72F8FBEB" w:rsidR="00065317" w:rsidRDefault="005C7BF7">
      <w:pPr>
        <w:pStyle w:val="Normalcentr"/>
      </w:pPr>
      <w:r>
        <w:t xml:space="preserve">« Physical Thing » est traduit par « chose matérielle » qui comprend « Physical Object » / « Objet matériel »; </w:t>
      </w:r>
      <w:r w:rsidR="00806228">
        <w:t>aux</w:t>
      </w:r>
      <w:r>
        <w:t xml:space="preserve"> fins de cohérences il convient d</w:t>
      </w:r>
      <w:r w:rsidR="00E84B0E">
        <w:t>’</w:t>
      </w:r>
      <w:r>
        <w:t>utiliser « Physical Item » / « entité matérielle ».</w:t>
      </w:r>
    </w:p>
    <w:p w14:paraId="3799C035" w14:textId="70815B46" w:rsidR="00065317" w:rsidRDefault="005C7BF7">
      <w:pPr>
        <w:pStyle w:val="Normalcentr"/>
      </w:pPr>
      <w:r>
        <w:t>Avant J.-C. ou Avant notre ère : Il est préférable d</w:t>
      </w:r>
      <w:r w:rsidR="00E84B0E">
        <w:t>’</w:t>
      </w:r>
      <w:r>
        <w:t>utiliser avant notre ère; puisqu</w:t>
      </w:r>
      <w:r w:rsidR="00E84B0E">
        <w:t>’</w:t>
      </w:r>
      <w:r>
        <w:t>il ne s</w:t>
      </w:r>
      <w:r w:rsidR="00E84B0E">
        <w:t>’</w:t>
      </w:r>
      <w:r>
        <w:t>agit pas d</w:t>
      </w:r>
      <w:r w:rsidR="00E84B0E">
        <w:t>’</w:t>
      </w:r>
      <w:r>
        <w:t>une citation, mais d</w:t>
      </w:r>
      <w:r w:rsidR="00E84B0E">
        <w:t>’</w:t>
      </w:r>
      <w:r>
        <w:t>une paraphrase, « BC » a ici été remplacé par « AEC » (avant l</w:t>
      </w:r>
      <w:r w:rsidR="00E84B0E">
        <w:t>’</w:t>
      </w:r>
      <w:r>
        <w:t>ère commune).</w:t>
      </w:r>
    </w:p>
    <w:p w14:paraId="206F797D" w14:textId="77777777" w:rsidR="00065317" w:rsidRDefault="005C7BF7">
      <w:pPr>
        <w:pStyle w:val="Normalcentr"/>
      </w:pPr>
      <w:r>
        <w:rPr>
          <w:b/>
          <w:bCs/>
          <w:i/>
          <w:iCs/>
        </w:rPr>
        <w:t>Références</w:t>
      </w:r>
    </w:p>
    <w:p w14:paraId="6F9467C8" w14:textId="565B3EB3" w:rsidR="00065317" w:rsidRDefault="005C7BF7">
      <w:pPr>
        <w:pStyle w:val="Normalcentr"/>
      </w:pPr>
      <w:r>
        <w:t xml:space="preserve">Termium. « avant Jésus-Christ ». Dans </w:t>
      </w:r>
      <w:r>
        <w:rPr>
          <w:i/>
          <w:iCs/>
        </w:rPr>
        <w:t>Termium Plus</w:t>
      </w:r>
      <w:r>
        <w:t>. Ottawa, CA-ON: Gouvernement du Canada, 29</w:t>
      </w:r>
      <w:r w:rsidR="00056DCD">
        <w:t> janvier </w:t>
      </w:r>
      <w:r>
        <w:t>1997.</w:t>
      </w:r>
      <w:hyperlink r:id="rId202" w:anchor="resultrecs">
        <w:r>
          <w:rPr>
            <w:rStyle w:val="Lienhypertexte"/>
          </w:rPr>
          <w:t xml:space="preserve"> </w:t>
        </w:r>
      </w:hyperlink>
      <w:hyperlink r:id="rId203" w:anchor="resultrecs">
        <w:r>
          <w:rPr>
            <w:rStyle w:val="Lienhypertexte"/>
          </w:rPr>
          <w:t>https://www.btb.termiumplus.gc.ca/tpv2alpha/alpha-fra.html?lang=fra&amp;i=1&amp;srchtxt=avant+J%C3%A9sus-christ&amp;codom2nd_wet=1#resultrecs</w:t>
        </w:r>
      </w:hyperlink>
      <w:r>
        <w:t>.</w:t>
      </w:r>
    </w:p>
    <w:p w14:paraId="2B5E466A" w14:textId="7EC0A984" w:rsidR="00065317" w:rsidRDefault="005C7BF7">
      <w:pPr>
        <w:pStyle w:val="Normalcentr"/>
      </w:pPr>
      <w:r w:rsidRPr="00EC2D6E">
        <w:rPr>
          <w:lang w:val="en-CA"/>
        </w:rPr>
        <w:t xml:space="preserve">———. « temporal reasoning ». Dans </w:t>
      </w:r>
      <w:r w:rsidRPr="00EC2D6E">
        <w:rPr>
          <w:i/>
          <w:iCs/>
          <w:lang w:val="en-CA"/>
        </w:rPr>
        <w:t>Termium Plus.</w:t>
      </w:r>
      <w:r w:rsidRPr="00EC2D6E">
        <w:rPr>
          <w:lang w:val="en-CA"/>
        </w:rPr>
        <w:t xml:space="preserve"> </w:t>
      </w:r>
      <w:r>
        <w:t>Ottawa, CA-ON: Gouvernment du Canada, 19</w:t>
      </w:r>
      <w:r w:rsidR="00056DCD">
        <w:t> septembre </w:t>
      </w:r>
      <w:r>
        <w:t>2003.</w:t>
      </w:r>
      <w:hyperlink r:id="rId204" w:anchor="fichesauve-saverecord1">
        <w:r>
          <w:rPr>
            <w:rStyle w:val="Lienhypertexte"/>
          </w:rPr>
          <w:t xml:space="preserve"> </w:t>
        </w:r>
      </w:hyperlink>
      <w:hyperlink r:id="rId205" w:anchor="fichesauve-saverecord1">
        <w:r>
          <w:rPr>
            <w:rStyle w:val="Lienhypertexte"/>
          </w:rPr>
          <w:t>https://www.btb.termiumplus.gc.ca/tpv2alpha/alpha-fra.html?lang=fra&amp;srchtxt=temporal%20reasoning&amp;i=&amp;index=alt&amp;sg_kp_wet=921138&amp;fchrcrdnm=1#fichesauve-saverecord1</w:t>
        </w:r>
      </w:hyperlink>
      <w:r>
        <w:t>.</w:t>
      </w:r>
    </w:p>
    <w:p w14:paraId="5AC01391" w14:textId="17B38A2F" w:rsidR="00065317" w:rsidRDefault="005C7BF7">
      <w:pPr>
        <w:pStyle w:val="Normalcentr"/>
      </w:pPr>
      <w:r w:rsidRPr="00EC2D6E">
        <w:rPr>
          <w:lang w:val="en-CA"/>
        </w:rPr>
        <w:t xml:space="preserve">Wikipédia. « Érostrate ». Dans </w:t>
      </w:r>
      <w:r w:rsidRPr="00EC2D6E">
        <w:rPr>
          <w:i/>
          <w:iCs/>
          <w:lang w:val="en-CA"/>
        </w:rPr>
        <w:t>Wikipédia.</w:t>
      </w:r>
      <w:r w:rsidRPr="00EC2D6E">
        <w:rPr>
          <w:lang w:val="en-CA"/>
        </w:rPr>
        <w:t xml:space="preserve"> San Francisco, US-CA: Wikipédia, 4</w:t>
      </w:r>
      <w:r w:rsidR="00056DCD">
        <w:rPr>
          <w:lang w:val="en-CA"/>
        </w:rPr>
        <w:t> août </w:t>
      </w:r>
      <w:r w:rsidRPr="00EC2D6E">
        <w:rPr>
          <w:lang w:val="en-CA"/>
        </w:rPr>
        <w:t>2020.</w:t>
      </w:r>
      <w:hyperlink r:id="rId206">
        <w:r w:rsidRPr="00EC2D6E">
          <w:rPr>
            <w:rStyle w:val="Lienhypertexte"/>
            <w:lang w:val="en-CA"/>
          </w:rPr>
          <w:t xml:space="preserve"> </w:t>
        </w:r>
      </w:hyperlink>
      <w:hyperlink r:id="rId207">
        <w:r>
          <w:rPr>
            <w:rStyle w:val="Lienhypertexte"/>
          </w:rPr>
          <w:t>https://fr.wikipedia.org/w/index.php?title=%C3%89rostrate&amp;oldid=173548642</w:t>
        </w:r>
      </w:hyperlink>
      <w:r>
        <w:t>.</w:t>
      </w:r>
    </w:p>
    <w:p w14:paraId="15BB9152" w14:textId="77777777" w:rsidR="00065317" w:rsidRDefault="005C7BF7" w:rsidP="00914F34">
      <w:pPr>
        <w:pStyle w:val="Titre3"/>
      </w:pPr>
      <w:bookmarkStart w:id="210" w:name="_Toc154048790"/>
      <w:bookmarkStart w:id="211" w:name="e65-creation"/>
      <w:bookmarkEnd w:id="209"/>
      <w:r>
        <w:t>E65 Création</w:t>
      </w:r>
      <w:bookmarkEnd w:id="210"/>
    </w:p>
    <w:p w14:paraId="57C2C2FD" w14:textId="77777777" w:rsidR="00065317" w:rsidRDefault="005C7BF7">
      <w:pPr>
        <w:pStyle w:val="FirstParagraph"/>
      </w:pPr>
      <w:r>
        <w:rPr>
          <w:b/>
          <w:bCs/>
        </w:rPr>
        <w:t>Sous-classe de</w:t>
      </w:r>
    </w:p>
    <w:p w14:paraId="65BF59B2" w14:textId="28C48291" w:rsidR="00065317" w:rsidRDefault="005C7BF7">
      <w:pPr>
        <w:pStyle w:val="Corpsdetexte"/>
      </w:pPr>
      <w:r>
        <w:rPr>
          <w:rStyle w:val="VerbatimChar"/>
        </w:rPr>
        <w:t>E7_ActivitéE63_Début_d</w:t>
      </w:r>
      <w:r w:rsidR="00E84B0E">
        <w:rPr>
          <w:rStyle w:val="VerbatimChar"/>
        </w:rPr>
        <w:t>’</w:t>
      </w:r>
      <w:r>
        <w:rPr>
          <w:rStyle w:val="VerbatimChar"/>
        </w:rPr>
        <w:t>existence</w:t>
      </w:r>
    </w:p>
    <w:p w14:paraId="78E0F02E" w14:textId="77777777" w:rsidR="00065317" w:rsidRDefault="005C7BF7">
      <w:pPr>
        <w:pStyle w:val="Corpsdetexte"/>
      </w:pPr>
      <w:r>
        <w:rPr>
          <w:b/>
          <w:bCs/>
        </w:rPr>
        <w:t>Super-classe de</w:t>
      </w:r>
    </w:p>
    <w:p w14:paraId="686B11D7" w14:textId="77777777" w:rsidR="00065317" w:rsidRDefault="005C7BF7">
      <w:pPr>
        <w:pStyle w:val="Corpsdetexte"/>
      </w:pPr>
      <w:r>
        <w:rPr>
          <w:rStyle w:val="VerbatimChar"/>
        </w:rPr>
        <w:t>E83_Création_de_type</w:t>
      </w:r>
    </w:p>
    <w:p w14:paraId="6E984C21" w14:textId="2B9C1EC2" w:rsidR="00065317" w:rsidRDefault="005C7BF7">
      <w:pPr>
        <w:pStyle w:val="Corpsdetexte"/>
      </w:pPr>
      <w:r>
        <w:rPr>
          <w:b/>
          <w:bCs/>
        </w:rPr>
        <w:t>Note d</w:t>
      </w:r>
      <w:r w:rsidR="00E84B0E">
        <w:rPr>
          <w:b/>
          <w:bCs/>
        </w:rPr>
        <w:t>’</w:t>
      </w:r>
      <w:r>
        <w:rPr>
          <w:b/>
          <w:bCs/>
        </w:rPr>
        <w:t>application</w:t>
      </w:r>
    </w:p>
    <w:p w14:paraId="63AD84D3" w14:textId="1188BC75" w:rsidR="00065317" w:rsidRDefault="005C7BF7">
      <w:pPr>
        <w:pStyle w:val="Corpsdetexte"/>
      </w:pPr>
      <w:r>
        <w:t>Cette classe comprend les évènements qui mènent à la création d</w:t>
      </w:r>
      <w:r w:rsidR="00E84B0E">
        <w:t>’</w:t>
      </w:r>
      <w:r>
        <w:t>objets conceptuels ou de produits immatériels, tels que les légendes, les poèmes, les textes, la musique, les images, les films, les lois, les types, etc.</w:t>
      </w:r>
    </w:p>
    <w:p w14:paraId="490AB12B" w14:textId="77777777" w:rsidR="004E5EA3" w:rsidRDefault="004E5EA3">
      <w:pPr>
        <w:spacing w:after="0"/>
        <w:rPr>
          <w:b/>
          <w:bCs/>
        </w:rPr>
      </w:pPr>
      <w:r>
        <w:rPr>
          <w:b/>
          <w:bCs/>
        </w:rPr>
        <w:br w:type="page"/>
      </w:r>
    </w:p>
    <w:p w14:paraId="12CD6FCB" w14:textId="2D3AEFB5" w:rsidR="00065317" w:rsidRDefault="005C7BF7">
      <w:pPr>
        <w:pStyle w:val="Corpsdetexte"/>
      </w:pPr>
      <w:r>
        <w:rPr>
          <w:b/>
          <w:bCs/>
        </w:rPr>
        <w:lastRenderedPageBreak/>
        <w:t>Exemples</w:t>
      </w:r>
    </w:p>
    <w:p w14:paraId="6E4669C1" w14:textId="77777777" w:rsidR="00065317" w:rsidRDefault="005C7BF7">
      <w:pPr>
        <w:numPr>
          <w:ilvl w:val="0"/>
          <w:numId w:val="114"/>
        </w:numPr>
      </w:pPr>
      <w:r>
        <w:t>La formulation de la Constitution des États-Unis (Farrand, 1913)</w:t>
      </w:r>
    </w:p>
    <w:p w14:paraId="1E53F4FF" w14:textId="77777777" w:rsidR="00065317" w:rsidRDefault="005C7BF7">
      <w:pPr>
        <w:numPr>
          <w:ilvl w:val="0"/>
          <w:numId w:val="114"/>
        </w:numPr>
      </w:pPr>
      <w:r>
        <w:t>La préparation de la résolution 1441 des Nations Unies (Conseil de sécurité des Nations Unies, 2002)</w:t>
      </w:r>
    </w:p>
    <w:p w14:paraId="15EA9310" w14:textId="77777777" w:rsidR="00065317" w:rsidRDefault="005C7BF7">
      <w:pPr>
        <w:pStyle w:val="FirstParagraph"/>
      </w:pPr>
      <w:r>
        <w:rPr>
          <w:b/>
          <w:bCs/>
        </w:rPr>
        <w:t>Logique</w:t>
      </w:r>
    </w:p>
    <w:p w14:paraId="631877AB" w14:textId="77777777" w:rsidR="00065317" w:rsidRDefault="005C7BF7">
      <w:pPr>
        <w:pStyle w:val="Corpsdetexte"/>
      </w:pPr>
      <w:r>
        <w:t>E65(x) ⇒ E7(x)</w:t>
      </w:r>
    </w:p>
    <w:p w14:paraId="3CB3D76D" w14:textId="77777777" w:rsidR="00065317" w:rsidRDefault="005C7BF7">
      <w:pPr>
        <w:pStyle w:val="Corpsdetexte"/>
      </w:pPr>
      <w:r>
        <w:t>E65(x) ⇒ E63(x)</w:t>
      </w:r>
    </w:p>
    <w:p w14:paraId="5A5C578C" w14:textId="77777777" w:rsidR="00065317" w:rsidRDefault="005C7BF7">
      <w:pPr>
        <w:pStyle w:val="Corpsdetexte"/>
      </w:pPr>
      <w:r>
        <w:rPr>
          <w:b/>
          <w:bCs/>
        </w:rPr>
        <w:t>Propriétés</w:t>
      </w:r>
    </w:p>
    <w:p w14:paraId="239785BB" w14:textId="77777777" w:rsidR="00065317" w:rsidRDefault="005C7BF7">
      <w:pPr>
        <w:pStyle w:val="Corpsdetexte"/>
      </w:pPr>
      <w:r>
        <w:rPr>
          <w:rStyle w:val="VerbatimChar"/>
        </w:rPr>
        <w:t>P94_a_créé (a_été_créé_par)</w:t>
      </w:r>
      <w:r>
        <w:t xml:space="preserve"> : </w:t>
      </w:r>
      <w:r>
        <w:rPr>
          <w:rStyle w:val="VerbatimChar"/>
        </w:rPr>
        <w:t>E28_Objet_conceptuel</w:t>
      </w:r>
    </w:p>
    <w:p w14:paraId="06F211AE" w14:textId="77777777" w:rsidR="00065317" w:rsidRDefault="005C7BF7">
      <w:pPr>
        <w:pStyle w:val="Normalcentr"/>
      </w:pPr>
      <w:r>
        <w:rPr>
          <w:b/>
          <w:bCs/>
          <w:i/>
          <w:iCs/>
        </w:rPr>
        <w:t>Note de traduction</w:t>
      </w:r>
    </w:p>
    <w:p w14:paraId="15935DB6" w14:textId="18186785" w:rsidR="00065317" w:rsidRDefault="005C7BF7" w:rsidP="00BF7EA3">
      <w:pPr>
        <w:pStyle w:val="Normalcentr"/>
      </w:pPr>
      <w:r>
        <w:rPr>
          <w:b/>
          <w:bCs/>
          <w:i/>
          <w:iCs/>
        </w:rPr>
        <w:t>Références</w:t>
      </w:r>
    </w:p>
    <w:p w14:paraId="517EDB52" w14:textId="77777777" w:rsidR="00065317" w:rsidRDefault="005C7BF7" w:rsidP="00DD1219">
      <w:pPr>
        <w:pStyle w:val="Titre3"/>
      </w:pPr>
      <w:bookmarkStart w:id="212" w:name="_Toc154048791"/>
      <w:bookmarkStart w:id="213" w:name="e66-formation"/>
      <w:bookmarkEnd w:id="211"/>
      <w:r>
        <w:t>E66 Formation</w:t>
      </w:r>
      <w:bookmarkEnd w:id="212"/>
    </w:p>
    <w:p w14:paraId="0AB0A837" w14:textId="77777777" w:rsidR="00065317" w:rsidRDefault="005C7BF7">
      <w:pPr>
        <w:pStyle w:val="FirstParagraph"/>
      </w:pPr>
      <w:r>
        <w:rPr>
          <w:b/>
          <w:bCs/>
        </w:rPr>
        <w:t>Sous-classe de</w:t>
      </w:r>
    </w:p>
    <w:p w14:paraId="36320E23" w14:textId="6F3C8127" w:rsidR="00065317" w:rsidRDefault="005C7BF7">
      <w:pPr>
        <w:pStyle w:val="Corpsdetexte"/>
      </w:pPr>
      <w:r>
        <w:rPr>
          <w:rStyle w:val="VerbatimChar"/>
        </w:rPr>
        <w:t>E7_ActivitéE63_Début_d</w:t>
      </w:r>
      <w:r w:rsidR="00E84B0E">
        <w:rPr>
          <w:rStyle w:val="VerbatimChar"/>
        </w:rPr>
        <w:t>’</w:t>
      </w:r>
      <w:r>
        <w:rPr>
          <w:rStyle w:val="VerbatimChar"/>
        </w:rPr>
        <w:t>existence</w:t>
      </w:r>
    </w:p>
    <w:p w14:paraId="6CDB8769" w14:textId="1D18043D" w:rsidR="00065317" w:rsidRPr="008D39EE" w:rsidRDefault="005C7BF7" w:rsidP="004E5EA3">
      <w:pPr>
        <w:pStyle w:val="Corpsdetexte"/>
        <w:rPr>
          <w:b/>
          <w:bCs/>
        </w:rPr>
      </w:pPr>
      <w:r>
        <w:rPr>
          <w:b/>
          <w:bCs/>
        </w:rPr>
        <w:t>Super-classe de</w:t>
      </w:r>
    </w:p>
    <w:p w14:paraId="1371F490" w14:textId="7AB6D23A" w:rsidR="00065317" w:rsidRDefault="005C7BF7">
      <w:pPr>
        <w:pStyle w:val="Corpsdetexte"/>
      </w:pPr>
      <w:r>
        <w:rPr>
          <w:b/>
          <w:bCs/>
        </w:rPr>
        <w:t>Note d</w:t>
      </w:r>
      <w:r w:rsidR="00E84B0E">
        <w:rPr>
          <w:b/>
          <w:bCs/>
        </w:rPr>
        <w:t>’</w:t>
      </w:r>
      <w:r>
        <w:rPr>
          <w:b/>
          <w:bCs/>
        </w:rPr>
        <w:t>application</w:t>
      </w:r>
    </w:p>
    <w:p w14:paraId="15BFFADA" w14:textId="4C508867" w:rsidR="00065317" w:rsidRDefault="005C7BF7">
      <w:pPr>
        <w:pStyle w:val="Corpsdetexte"/>
      </w:pPr>
      <w:r>
        <w:t>Cette classe comprend les évènements qui entraînent la formation d</w:t>
      </w:r>
      <w:r w:rsidR="00E84B0E">
        <w:t>’</w:t>
      </w:r>
      <w:r>
        <w:t xml:space="preserve">un </w:t>
      </w:r>
      <w:r>
        <w:rPr>
          <w:rStyle w:val="VerbatimChar"/>
        </w:rPr>
        <w:t>E74_Groupe</w:t>
      </w:r>
      <w:r>
        <w:t xml:space="preserve"> de personnes, formel ou informel, tel qu</w:t>
      </w:r>
      <w:r w:rsidR="00E84B0E">
        <w:t>’</w:t>
      </w:r>
      <w:r>
        <w:t>un club, une société, une association, une corporation ou une nation.</w:t>
      </w:r>
    </w:p>
    <w:p w14:paraId="01073C10" w14:textId="4B269495" w:rsidR="00065317" w:rsidRDefault="005C7BF7">
      <w:pPr>
        <w:pStyle w:val="Corpsdetexte"/>
      </w:pPr>
      <w:r>
        <w:t xml:space="preserve">La classe </w:t>
      </w:r>
      <w:r>
        <w:rPr>
          <w:rStyle w:val="VerbatimChar"/>
        </w:rPr>
        <w:t>E66_Formation</w:t>
      </w:r>
      <w:r>
        <w:t xml:space="preserve"> n</w:t>
      </w:r>
      <w:r w:rsidR="00E84B0E">
        <w:t>’</w:t>
      </w:r>
      <w:r>
        <w:t>inclut pas le regroupement arbitraire de personnes qui n</w:t>
      </w:r>
      <w:r w:rsidR="00E84B0E">
        <w:t>’</w:t>
      </w:r>
      <w:r>
        <w:t>agissent pas en tant que collectif.</w:t>
      </w:r>
    </w:p>
    <w:p w14:paraId="0D97F481" w14:textId="3A4D1AAE" w:rsidR="00065317" w:rsidRDefault="005C7BF7">
      <w:pPr>
        <w:pStyle w:val="Corpsdetexte"/>
      </w:pPr>
      <w:r>
        <w:t>La formation d</w:t>
      </w:r>
      <w:r w:rsidR="00E84B0E">
        <w:t>’</w:t>
      </w:r>
      <w:r>
        <w:t xml:space="preserve">une instance de </w:t>
      </w:r>
      <w:r>
        <w:rPr>
          <w:rStyle w:val="VerbatimChar"/>
        </w:rPr>
        <w:t>E74_Groupe</w:t>
      </w:r>
      <w:r>
        <w:t xml:space="preserve"> ne nécessite pas que le groupe soit composé de membres dès le moment de sa formation. Pour exprimer l</w:t>
      </w:r>
      <w:r w:rsidR="00E84B0E">
        <w:t>’</w:t>
      </w:r>
      <w:r>
        <w:t>adhésion de membres au moment de la formation, il convient de décrire l</w:t>
      </w:r>
      <w:r w:rsidR="00E84B0E">
        <w:t>’</w:t>
      </w:r>
      <w:r>
        <w:t xml:space="preserve">activité correspondante comme une instance simultanée de </w:t>
      </w:r>
      <w:r>
        <w:rPr>
          <w:rStyle w:val="VerbatimChar"/>
        </w:rPr>
        <w:t>E66_Formation</w:t>
      </w:r>
      <w:r>
        <w:t xml:space="preserve"> et de </w:t>
      </w:r>
      <w:r>
        <w:rPr>
          <w:rStyle w:val="VerbatimChar"/>
        </w:rPr>
        <w:t>E85_Adhésion</w:t>
      </w:r>
      <w:r>
        <w:t>.</w:t>
      </w:r>
    </w:p>
    <w:p w14:paraId="198B9F4E" w14:textId="77777777" w:rsidR="00065317" w:rsidRDefault="005C7BF7">
      <w:pPr>
        <w:pStyle w:val="Corpsdetexte"/>
      </w:pPr>
      <w:r>
        <w:rPr>
          <w:b/>
          <w:bCs/>
        </w:rPr>
        <w:t>Exemples</w:t>
      </w:r>
    </w:p>
    <w:p w14:paraId="1C6B3949" w14:textId="54F81815" w:rsidR="00065317" w:rsidRDefault="005C7BF7">
      <w:pPr>
        <w:numPr>
          <w:ilvl w:val="0"/>
          <w:numId w:val="115"/>
        </w:numPr>
      </w:pPr>
      <w:r>
        <w:t>La formation du Groupe d</w:t>
      </w:r>
      <w:r w:rsidR="00E84B0E">
        <w:t>’</w:t>
      </w:r>
      <w:r>
        <w:t xml:space="preserve">intérêt spécial du </w:t>
      </w:r>
      <w:r w:rsidR="00C8288F">
        <w:t>CIDOC CRM</w:t>
      </w:r>
      <w:r>
        <w:t xml:space="preserve"> en 2000</w:t>
      </w:r>
    </w:p>
    <w:p w14:paraId="58815B5B" w14:textId="33BECFDE" w:rsidR="00065317" w:rsidRDefault="005C7BF7">
      <w:pPr>
        <w:numPr>
          <w:ilvl w:val="0"/>
          <w:numId w:val="115"/>
        </w:numPr>
      </w:pPr>
      <w:r>
        <w:t>La formation de l</w:t>
      </w:r>
      <w:r w:rsidR="00E84B0E">
        <w:t>’</w:t>
      </w:r>
      <w:r>
        <w:t>Union Soviétique (Pipes, 1964)</w:t>
      </w:r>
    </w:p>
    <w:p w14:paraId="759A8C3B" w14:textId="77777777" w:rsidR="00065317" w:rsidRDefault="005C7BF7">
      <w:pPr>
        <w:numPr>
          <w:ilvl w:val="0"/>
          <w:numId w:val="115"/>
        </w:numPr>
      </w:pPr>
      <w:r>
        <w:t>La conspiration des assassins de Jules César (Irwin, 1935)</w:t>
      </w:r>
    </w:p>
    <w:p w14:paraId="4502B79B" w14:textId="77777777" w:rsidR="00065317" w:rsidRDefault="005C7BF7">
      <w:pPr>
        <w:pStyle w:val="FirstParagraph"/>
      </w:pPr>
      <w:r>
        <w:rPr>
          <w:b/>
          <w:bCs/>
        </w:rPr>
        <w:t>Logique</w:t>
      </w:r>
    </w:p>
    <w:p w14:paraId="144A9F09" w14:textId="77777777" w:rsidR="00065317" w:rsidRDefault="005C7BF7">
      <w:pPr>
        <w:pStyle w:val="Corpsdetexte"/>
      </w:pPr>
      <w:r>
        <w:t>E66(x) ⇒ E7(x)</w:t>
      </w:r>
    </w:p>
    <w:p w14:paraId="0DC3DB10" w14:textId="77777777" w:rsidR="00065317" w:rsidRDefault="005C7BF7">
      <w:pPr>
        <w:pStyle w:val="Corpsdetexte"/>
      </w:pPr>
      <w:r>
        <w:t>E66(x) ⇒ E63(x)</w:t>
      </w:r>
    </w:p>
    <w:p w14:paraId="3F8295BD" w14:textId="77777777" w:rsidR="004E5EA3" w:rsidRDefault="004E5EA3">
      <w:pPr>
        <w:spacing w:after="0"/>
        <w:rPr>
          <w:b/>
          <w:bCs/>
        </w:rPr>
      </w:pPr>
      <w:r>
        <w:rPr>
          <w:b/>
          <w:bCs/>
        </w:rPr>
        <w:br w:type="page"/>
      </w:r>
    </w:p>
    <w:p w14:paraId="2DB7B088" w14:textId="3D67505B" w:rsidR="00065317" w:rsidRDefault="005C7BF7">
      <w:pPr>
        <w:pStyle w:val="Corpsdetexte"/>
      </w:pPr>
      <w:r>
        <w:rPr>
          <w:b/>
          <w:bCs/>
        </w:rPr>
        <w:lastRenderedPageBreak/>
        <w:t>Propriétés</w:t>
      </w:r>
    </w:p>
    <w:p w14:paraId="7AFC2253" w14:textId="77777777" w:rsidR="00065317" w:rsidRDefault="005C7BF7">
      <w:pPr>
        <w:pStyle w:val="Corpsdetexte"/>
      </w:pPr>
      <w:r>
        <w:rPr>
          <w:rStyle w:val="VerbatimChar"/>
        </w:rPr>
        <w:t>P95_a_fondé (a_été_fondé_par)</w:t>
      </w:r>
      <w:r>
        <w:t xml:space="preserve"> : </w:t>
      </w:r>
      <w:r>
        <w:rPr>
          <w:rStyle w:val="VerbatimChar"/>
        </w:rPr>
        <w:t>E74_Groupe</w:t>
      </w:r>
    </w:p>
    <w:p w14:paraId="35BDD0F3" w14:textId="77777777" w:rsidR="00065317" w:rsidRDefault="005C7BF7">
      <w:pPr>
        <w:pStyle w:val="Corpsdetexte"/>
      </w:pPr>
      <w:r>
        <w:rPr>
          <w:rStyle w:val="VerbatimChar"/>
        </w:rPr>
        <w:t>P151_a_été_formé_à_partir_de (a_participé_à)</w:t>
      </w:r>
      <w:r>
        <w:t xml:space="preserve"> : </w:t>
      </w:r>
      <w:r>
        <w:rPr>
          <w:rStyle w:val="VerbatimChar"/>
        </w:rPr>
        <w:t>E74_Groupe</w:t>
      </w:r>
    </w:p>
    <w:p w14:paraId="4E05CB6D" w14:textId="77777777" w:rsidR="00065317" w:rsidRDefault="005C7BF7">
      <w:pPr>
        <w:pStyle w:val="Normalcentr"/>
      </w:pPr>
      <w:r>
        <w:rPr>
          <w:b/>
          <w:bCs/>
          <w:i/>
          <w:iCs/>
        </w:rPr>
        <w:t>Note de traduction</w:t>
      </w:r>
    </w:p>
    <w:p w14:paraId="467C431D" w14:textId="7B481016" w:rsidR="00065317" w:rsidRDefault="005C7BF7" w:rsidP="00BF7EA3">
      <w:pPr>
        <w:pStyle w:val="Normalcentr"/>
      </w:pPr>
      <w:r>
        <w:rPr>
          <w:b/>
          <w:bCs/>
          <w:i/>
          <w:iCs/>
        </w:rPr>
        <w:t>Références</w:t>
      </w:r>
    </w:p>
    <w:p w14:paraId="282778AB" w14:textId="77777777" w:rsidR="00065317" w:rsidRDefault="005C7BF7" w:rsidP="00914F34">
      <w:pPr>
        <w:pStyle w:val="Titre3"/>
      </w:pPr>
      <w:bookmarkStart w:id="214" w:name="_Toc154048792"/>
      <w:bookmarkStart w:id="215" w:name="e67-naissance"/>
      <w:bookmarkEnd w:id="213"/>
      <w:r>
        <w:t>E67 Naissance</w:t>
      </w:r>
      <w:bookmarkEnd w:id="214"/>
    </w:p>
    <w:p w14:paraId="0D4CF664" w14:textId="77777777" w:rsidR="00065317" w:rsidRDefault="005C7BF7">
      <w:pPr>
        <w:pStyle w:val="FirstParagraph"/>
      </w:pPr>
      <w:r>
        <w:rPr>
          <w:b/>
          <w:bCs/>
        </w:rPr>
        <w:t>Sous-classe de</w:t>
      </w:r>
    </w:p>
    <w:p w14:paraId="5C950BA1" w14:textId="44FAAE71" w:rsidR="00065317" w:rsidRDefault="005C7BF7">
      <w:pPr>
        <w:pStyle w:val="Corpsdetexte"/>
      </w:pPr>
      <w:r>
        <w:rPr>
          <w:rStyle w:val="VerbatimChar"/>
        </w:rPr>
        <w:t>E63_Début_d</w:t>
      </w:r>
      <w:r w:rsidR="00E84B0E">
        <w:rPr>
          <w:rStyle w:val="VerbatimChar"/>
        </w:rPr>
        <w:t>’</w:t>
      </w:r>
      <w:r>
        <w:rPr>
          <w:rStyle w:val="VerbatimChar"/>
        </w:rPr>
        <w:t>existence</w:t>
      </w:r>
    </w:p>
    <w:p w14:paraId="5CEC0D42" w14:textId="77777777" w:rsidR="00065317" w:rsidRDefault="005C7BF7">
      <w:pPr>
        <w:pStyle w:val="Corpsdetexte"/>
      </w:pPr>
      <w:r>
        <w:rPr>
          <w:b/>
          <w:bCs/>
        </w:rPr>
        <w:t>Super-classe de</w:t>
      </w:r>
    </w:p>
    <w:p w14:paraId="66C57AC9" w14:textId="6FD0AD4A" w:rsidR="00065317" w:rsidRDefault="005C7BF7">
      <w:pPr>
        <w:pStyle w:val="Corpsdetexte"/>
      </w:pPr>
      <w:r>
        <w:rPr>
          <w:b/>
          <w:bCs/>
        </w:rPr>
        <w:t>Note d</w:t>
      </w:r>
      <w:r w:rsidR="00E84B0E">
        <w:rPr>
          <w:b/>
          <w:bCs/>
        </w:rPr>
        <w:t>’</w:t>
      </w:r>
      <w:r>
        <w:rPr>
          <w:b/>
          <w:bCs/>
        </w:rPr>
        <w:t>application</w:t>
      </w:r>
    </w:p>
    <w:p w14:paraId="41045ABE" w14:textId="702DB761" w:rsidR="00065317" w:rsidRDefault="005C7BF7">
      <w:pPr>
        <w:pStyle w:val="Corpsdetexte"/>
      </w:pPr>
      <w:r>
        <w:t xml:space="preserve">Cette classe comprend les naissances des êtres humains. </w:t>
      </w:r>
      <w:r>
        <w:rPr>
          <w:rStyle w:val="VerbatimChar"/>
        </w:rPr>
        <w:t>E67_Naissance</w:t>
      </w:r>
      <w:r>
        <w:t xml:space="preserve"> est un évènement biologique axé sur le contexte de la venue au monde. (La classe </w:t>
      </w:r>
      <w:r>
        <w:rPr>
          <w:rStyle w:val="VerbatimChar"/>
        </w:rPr>
        <w:t>E63_Début_d</w:t>
      </w:r>
      <w:r w:rsidR="00E84B0E">
        <w:rPr>
          <w:rStyle w:val="VerbatimChar"/>
        </w:rPr>
        <w:t>’</w:t>
      </w:r>
      <w:r>
        <w:rPr>
          <w:rStyle w:val="VerbatimChar"/>
        </w:rPr>
        <w:t>existence</w:t>
      </w:r>
      <w:r>
        <w:t xml:space="preserve"> comprend la venue au monde des personnes, mais aussi de tout être vivant.)</w:t>
      </w:r>
    </w:p>
    <w:p w14:paraId="5F1A102D" w14:textId="1508A457" w:rsidR="00065317" w:rsidRDefault="005C7BF7">
      <w:pPr>
        <w:pStyle w:val="Corpsdetexte"/>
      </w:pPr>
      <w:r>
        <w:t>Les naissances de jumeaux, triplés, etc., font typiquement l</w:t>
      </w:r>
      <w:r w:rsidR="00E84B0E">
        <w:t>’</w:t>
      </w:r>
      <w:r>
        <w:t>objet d</w:t>
      </w:r>
      <w:r w:rsidR="00E84B0E">
        <w:t>’</w:t>
      </w:r>
      <w:r>
        <w:t xml:space="preserve">une seule et même instance de </w:t>
      </w:r>
      <w:r>
        <w:rPr>
          <w:rStyle w:val="VerbatimChar"/>
        </w:rPr>
        <w:t>E67_Naissance</w:t>
      </w:r>
      <w:r>
        <w:t>. En outre, dans ce modèle, le père biologique n</w:t>
      </w:r>
      <w:r w:rsidR="00E84B0E">
        <w:t>’</w:t>
      </w:r>
      <w:r>
        <w:t>est pas considéré comme un participant indispensable à la naissance de l</w:t>
      </w:r>
      <w:r w:rsidR="00E84B0E">
        <w:t>’</w:t>
      </w:r>
      <w:r>
        <w:t>enfant.</w:t>
      </w:r>
    </w:p>
    <w:p w14:paraId="05EB706F" w14:textId="042DA5A6" w:rsidR="00065317" w:rsidRDefault="005C7BF7">
      <w:pPr>
        <w:pStyle w:val="Corpsdetexte"/>
      </w:pPr>
      <w:r>
        <w:t>L</w:t>
      </w:r>
      <w:r w:rsidR="00E84B0E">
        <w:t>’</w:t>
      </w:r>
      <w:r>
        <w:t xml:space="preserve">introduction de </w:t>
      </w:r>
      <w:r>
        <w:rPr>
          <w:rStyle w:val="VerbatimChar"/>
        </w:rPr>
        <w:t>E67_Naissance</w:t>
      </w:r>
      <w:r>
        <w:t xml:space="preserve"> comme élément de documentation permet la description de toute une variété de relations familiales au sein d</w:t>
      </w:r>
      <w:r w:rsidR="00E84B0E">
        <w:t>’</w:t>
      </w:r>
      <w:r>
        <w:t>un même modèle. Des extensions appropriées peuvent donner plus de détails et décrire la complexité de la maternité depuis l</w:t>
      </w:r>
      <w:r w:rsidR="00E84B0E">
        <w:t>’</w:t>
      </w:r>
      <w:r>
        <w:t>arrivée de la médecine moderne.</w:t>
      </w:r>
    </w:p>
    <w:p w14:paraId="3444FCE2" w14:textId="77777777" w:rsidR="00065317" w:rsidRDefault="005C7BF7">
      <w:pPr>
        <w:pStyle w:val="Corpsdetexte"/>
      </w:pPr>
      <w:r>
        <w:rPr>
          <w:b/>
          <w:bCs/>
        </w:rPr>
        <w:t>Exemples</w:t>
      </w:r>
    </w:p>
    <w:p w14:paraId="55A64A89" w14:textId="2281305D" w:rsidR="00065317" w:rsidRDefault="005C7BF7">
      <w:pPr>
        <w:numPr>
          <w:ilvl w:val="0"/>
          <w:numId w:val="116"/>
        </w:numPr>
      </w:pPr>
      <w:r>
        <w:t>La naissance d</w:t>
      </w:r>
      <w:r w:rsidR="00E84B0E">
        <w:t>’</w:t>
      </w:r>
      <w:r>
        <w:t>Alexandre le Grand (Stoneman, 2004)</w:t>
      </w:r>
    </w:p>
    <w:p w14:paraId="67863AD7" w14:textId="77777777" w:rsidR="00065317" w:rsidRDefault="005C7BF7">
      <w:pPr>
        <w:pStyle w:val="FirstParagraph"/>
      </w:pPr>
      <w:r>
        <w:rPr>
          <w:b/>
          <w:bCs/>
        </w:rPr>
        <w:t>Logique</w:t>
      </w:r>
    </w:p>
    <w:p w14:paraId="238C387A" w14:textId="77777777" w:rsidR="00065317" w:rsidRDefault="005C7BF7">
      <w:pPr>
        <w:pStyle w:val="Corpsdetexte"/>
      </w:pPr>
      <w:r>
        <w:t>E67(x) ⇒ E63(x)</w:t>
      </w:r>
    </w:p>
    <w:p w14:paraId="555F6926" w14:textId="43F5B547" w:rsidR="00065317" w:rsidRDefault="005C7BF7">
      <w:pPr>
        <w:pStyle w:val="Corpsdetexte"/>
      </w:pPr>
      <w:r>
        <w:rPr>
          <w:b/>
          <w:bCs/>
        </w:rPr>
        <w:t>Propriétés</w:t>
      </w:r>
    </w:p>
    <w:p w14:paraId="4851C5EC" w14:textId="169E13BB" w:rsidR="00065317" w:rsidRDefault="005C7BF7">
      <w:pPr>
        <w:pStyle w:val="Corpsdetexte"/>
      </w:pPr>
      <w:r>
        <w:rPr>
          <w:rStyle w:val="VerbatimChar"/>
        </w:rPr>
        <w:t>P96_de_mère (a_donné_naissance_à)</w:t>
      </w:r>
      <w:r>
        <w:t xml:space="preserve"> : </w:t>
      </w:r>
      <w:r>
        <w:rPr>
          <w:rStyle w:val="VerbatimChar"/>
        </w:rPr>
        <w:t>E21_PersonneP97_de_père (a_été_le_père_pour)</w:t>
      </w:r>
      <w:r>
        <w:t xml:space="preserve"> : </w:t>
      </w:r>
      <w:r>
        <w:rPr>
          <w:rStyle w:val="VerbatimChar"/>
        </w:rPr>
        <w:t>E21_PersonneP98_a_donné_vie_à (est_né)</w:t>
      </w:r>
      <w:r>
        <w:t xml:space="preserve"> : </w:t>
      </w:r>
      <w:r>
        <w:rPr>
          <w:rStyle w:val="VerbatimChar"/>
        </w:rPr>
        <w:t>E21_Personne</w:t>
      </w:r>
    </w:p>
    <w:p w14:paraId="0422D6E4" w14:textId="77777777" w:rsidR="00065317" w:rsidRDefault="005C7BF7">
      <w:pPr>
        <w:pStyle w:val="Normalcentr"/>
      </w:pPr>
      <w:r>
        <w:rPr>
          <w:b/>
          <w:bCs/>
          <w:i/>
          <w:iCs/>
        </w:rPr>
        <w:t>Note de traduction</w:t>
      </w:r>
    </w:p>
    <w:p w14:paraId="479A885F" w14:textId="77777777" w:rsidR="00065317" w:rsidRDefault="005C7BF7">
      <w:pPr>
        <w:pStyle w:val="Normalcentr"/>
      </w:pPr>
      <w:r>
        <w:rPr>
          <w:b/>
          <w:bCs/>
          <w:i/>
          <w:iCs/>
        </w:rPr>
        <w:t>Références</w:t>
      </w:r>
    </w:p>
    <w:p w14:paraId="0E6E9069" w14:textId="77777777" w:rsidR="00065317" w:rsidRDefault="005C7BF7" w:rsidP="00914F34">
      <w:pPr>
        <w:pStyle w:val="Titre3"/>
      </w:pPr>
      <w:bookmarkStart w:id="216" w:name="_Toc154048793"/>
      <w:bookmarkStart w:id="217" w:name="e68-dissolution"/>
      <w:bookmarkEnd w:id="215"/>
      <w:r>
        <w:t>E68 Dissolution</w:t>
      </w:r>
      <w:bookmarkEnd w:id="216"/>
    </w:p>
    <w:p w14:paraId="42A6D533" w14:textId="77777777" w:rsidR="00065317" w:rsidRDefault="005C7BF7">
      <w:pPr>
        <w:pStyle w:val="FirstParagraph"/>
      </w:pPr>
      <w:r>
        <w:rPr>
          <w:b/>
          <w:bCs/>
        </w:rPr>
        <w:t>Sous-classe de</w:t>
      </w:r>
    </w:p>
    <w:p w14:paraId="154DE331" w14:textId="320DE968" w:rsidR="00065317" w:rsidRDefault="005C7BF7">
      <w:pPr>
        <w:pStyle w:val="Corpsdetexte"/>
      </w:pPr>
      <w:r>
        <w:rPr>
          <w:rStyle w:val="VerbatimChar"/>
        </w:rPr>
        <w:t>E64_Fin_d</w:t>
      </w:r>
      <w:r w:rsidR="00E84B0E">
        <w:rPr>
          <w:rStyle w:val="VerbatimChar"/>
        </w:rPr>
        <w:t>’</w:t>
      </w:r>
      <w:r>
        <w:rPr>
          <w:rStyle w:val="VerbatimChar"/>
        </w:rPr>
        <w:t>existence</w:t>
      </w:r>
    </w:p>
    <w:p w14:paraId="68118439" w14:textId="77777777" w:rsidR="00065317" w:rsidRDefault="005C7BF7">
      <w:pPr>
        <w:pStyle w:val="Corpsdetexte"/>
      </w:pPr>
      <w:r>
        <w:rPr>
          <w:b/>
          <w:bCs/>
        </w:rPr>
        <w:t>Super-classe de</w:t>
      </w:r>
    </w:p>
    <w:p w14:paraId="030A6C1B" w14:textId="1445FC0F" w:rsidR="00065317" w:rsidRDefault="005C7BF7">
      <w:pPr>
        <w:pStyle w:val="Corpsdetexte"/>
      </w:pPr>
      <w:r>
        <w:rPr>
          <w:b/>
          <w:bCs/>
        </w:rPr>
        <w:t>Note d</w:t>
      </w:r>
      <w:r w:rsidR="00E84B0E">
        <w:rPr>
          <w:b/>
          <w:bCs/>
        </w:rPr>
        <w:t>’</w:t>
      </w:r>
      <w:r>
        <w:rPr>
          <w:b/>
          <w:bCs/>
        </w:rPr>
        <w:t>application</w:t>
      </w:r>
    </w:p>
    <w:p w14:paraId="41E202C7" w14:textId="4429BD82" w:rsidR="00065317" w:rsidRDefault="005C7BF7">
      <w:pPr>
        <w:pStyle w:val="Corpsdetexte"/>
      </w:pPr>
      <w:r>
        <w:t>Cette classe comprend les évènements qui entraînent la fin formelle ou informelle d</w:t>
      </w:r>
      <w:r w:rsidR="00E84B0E">
        <w:t>’</w:t>
      </w:r>
      <w:r>
        <w:t xml:space="preserve">une instance de </w:t>
      </w:r>
      <w:r>
        <w:rPr>
          <w:rStyle w:val="VerbatimChar"/>
        </w:rPr>
        <w:t>E74_Groupe</w:t>
      </w:r>
      <w:r>
        <w:t>.</w:t>
      </w:r>
    </w:p>
    <w:p w14:paraId="16916444" w14:textId="19E02DAE" w:rsidR="00065317" w:rsidRDefault="005C7BF7">
      <w:pPr>
        <w:pStyle w:val="Corpsdetexte"/>
      </w:pPr>
      <w:r>
        <w:lastRenderedPageBreak/>
        <w:t>Si la dissolution était intentionnelle, l</w:t>
      </w:r>
      <w:r w:rsidR="00E84B0E">
        <w:t>’</w:t>
      </w:r>
      <w:r>
        <w:t xml:space="preserve">évènement doit aussi être documenté comme une instance de </w:t>
      </w:r>
      <w:r>
        <w:rPr>
          <w:rStyle w:val="VerbatimChar"/>
        </w:rPr>
        <w:t>E7_Activité</w:t>
      </w:r>
      <w:r>
        <w:t>.</w:t>
      </w:r>
    </w:p>
    <w:p w14:paraId="62C03242" w14:textId="77777777" w:rsidR="00065317" w:rsidRDefault="005C7BF7">
      <w:pPr>
        <w:pStyle w:val="Corpsdetexte"/>
      </w:pPr>
      <w:r>
        <w:rPr>
          <w:b/>
          <w:bCs/>
        </w:rPr>
        <w:t>Exemples</w:t>
      </w:r>
    </w:p>
    <w:p w14:paraId="0254F89B" w14:textId="1FBDAA86" w:rsidR="00065317" w:rsidRDefault="005C7BF7">
      <w:pPr>
        <w:numPr>
          <w:ilvl w:val="0"/>
          <w:numId w:val="117"/>
        </w:numPr>
      </w:pPr>
      <w:r>
        <w:t>La chute de l</w:t>
      </w:r>
      <w:r w:rsidR="00E84B0E">
        <w:t>’</w:t>
      </w:r>
      <w:r>
        <w:t>Empire romain (Whittington, 1964)</w:t>
      </w:r>
    </w:p>
    <w:p w14:paraId="10D1F1A2" w14:textId="77777777" w:rsidR="00065317" w:rsidRDefault="005C7BF7">
      <w:pPr>
        <w:numPr>
          <w:ilvl w:val="0"/>
          <w:numId w:val="117"/>
        </w:numPr>
      </w:pPr>
      <w:r>
        <w:t>La liquidation de Enron Corporation (Atlas, 2001)</w:t>
      </w:r>
    </w:p>
    <w:p w14:paraId="612F847B" w14:textId="77777777" w:rsidR="00065317" w:rsidRDefault="005C7BF7">
      <w:pPr>
        <w:pStyle w:val="FirstParagraph"/>
      </w:pPr>
      <w:r>
        <w:rPr>
          <w:b/>
          <w:bCs/>
        </w:rPr>
        <w:t>Logique</w:t>
      </w:r>
    </w:p>
    <w:p w14:paraId="76FA4F1A" w14:textId="77777777" w:rsidR="00065317" w:rsidRDefault="005C7BF7">
      <w:pPr>
        <w:pStyle w:val="Corpsdetexte"/>
      </w:pPr>
      <w:r>
        <w:t>E68(x) ⇒ E64(x)</w:t>
      </w:r>
    </w:p>
    <w:p w14:paraId="7BB99247" w14:textId="77777777" w:rsidR="00065317" w:rsidRDefault="005C7BF7">
      <w:pPr>
        <w:pStyle w:val="Corpsdetexte"/>
      </w:pPr>
      <w:r>
        <w:rPr>
          <w:b/>
          <w:bCs/>
        </w:rPr>
        <w:t>Propriétés</w:t>
      </w:r>
    </w:p>
    <w:p w14:paraId="192D951F" w14:textId="77777777" w:rsidR="00065317" w:rsidRDefault="005C7BF7">
      <w:pPr>
        <w:pStyle w:val="Corpsdetexte"/>
      </w:pPr>
      <w:r>
        <w:rPr>
          <w:rStyle w:val="VerbatimChar"/>
        </w:rPr>
        <w:t>P99_a_dissous (a_été_dissous_par)</w:t>
      </w:r>
      <w:r>
        <w:t xml:space="preserve"> : </w:t>
      </w:r>
      <w:r>
        <w:rPr>
          <w:rStyle w:val="VerbatimChar"/>
        </w:rPr>
        <w:t>E74_Groupe</w:t>
      </w:r>
    </w:p>
    <w:p w14:paraId="04BE8C53" w14:textId="77777777" w:rsidR="00065317" w:rsidRDefault="005C7BF7">
      <w:pPr>
        <w:pStyle w:val="Normalcentr"/>
      </w:pPr>
      <w:r>
        <w:rPr>
          <w:b/>
          <w:bCs/>
          <w:i/>
          <w:iCs/>
        </w:rPr>
        <w:t>Note de traduction</w:t>
      </w:r>
    </w:p>
    <w:p w14:paraId="087C4028" w14:textId="4967AA99" w:rsidR="00065317" w:rsidRDefault="005C7BF7" w:rsidP="00F86224">
      <w:pPr>
        <w:pStyle w:val="Normalcentr"/>
      </w:pPr>
      <w:r>
        <w:rPr>
          <w:b/>
          <w:bCs/>
          <w:i/>
          <w:iCs/>
        </w:rPr>
        <w:t>Références</w:t>
      </w:r>
    </w:p>
    <w:p w14:paraId="21B5F694" w14:textId="77777777" w:rsidR="00065317" w:rsidRDefault="005C7BF7" w:rsidP="00914F34">
      <w:pPr>
        <w:pStyle w:val="Titre3"/>
      </w:pPr>
      <w:bookmarkStart w:id="218" w:name="_Toc154048794"/>
      <w:bookmarkStart w:id="219" w:name="e69-mort"/>
      <w:bookmarkEnd w:id="217"/>
      <w:r>
        <w:t>E69 Mort</w:t>
      </w:r>
      <w:bookmarkEnd w:id="218"/>
    </w:p>
    <w:p w14:paraId="5CC16082" w14:textId="77777777" w:rsidR="00065317" w:rsidRDefault="005C7BF7">
      <w:pPr>
        <w:pStyle w:val="FirstParagraph"/>
      </w:pPr>
      <w:r>
        <w:rPr>
          <w:b/>
          <w:bCs/>
        </w:rPr>
        <w:t>Sous-classe de</w:t>
      </w:r>
    </w:p>
    <w:p w14:paraId="01A045C7" w14:textId="1F98C9DB" w:rsidR="00065317" w:rsidRDefault="005C7BF7">
      <w:pPr>
        <w:pStyle w:val="Corpsdetexte"/>
      </w:pPr>
      <w:r>
        <w:rPr>
          <w:rStyle w:val="VerbatimChar"/>
        </w:rPr>
        <w:t>E64_Fin_d</w:t>
      </w:r>
      <w:r w:rsidR="00E84B0E">
        <w:rPr>
          <w:rStyle w:val="VerbatimChar"/>
        </w:rPr>
        <w:t>’</w:t>
      </w:r>
      <w:r>
        <w:rPr>
          <w:rStyle w:val="VerbatimChar"/>
        </w:rPr>
        <w:t>existence</w:t>
      </w:r>
    </w:p>
    <w:p w14:paraId="4F243D15" w14:textId="0769CA90" w:rsidR="00065317" w:rsidRPr="008D39EE" w:rsidRDefault="005C7BF7" w:rsidP="004E5EA3">
      <w:pPr>
        <w:pStyle w:val="Corpsdetexte"/>
        <w:rPr>
          <w:b/>
          <w:bCs/>
        </w:rPr>
      </w:pPr>
      <w:r>
        <w:rPr>
          <w:b/>
          <w:bCs/>
        </w:rPr>
        <w:t>Super-classe de</w:t>
      </w:r>
    </w:p>
    <w:p w14:paraId="5FD101D7" w14:textId="5167EDA5" w:rsidR="00065317" w:rsidRDefault="005C7BF7">
      <w:pPr>
        <w:pStyle w:val="Corpsdetexte"/>
      </w:pPr>
      <w:r>
        <w:rPr>
          <w:b/>
          <w:bCs/>
        </w:rPr>
        <w:t>Note d</w:t>
      </w:r>
      <w:r w:rsidR="00E84B0E">
        <w:rPr>
          <w:b/>
          <w:bCs/>
        </w:rPr>
        <w:t>’</w:t>
      </w:r>
      <w:r>
        <w:rPr>
          <w:b/>
          <w:bCs/>
        </w:rPr>
        <w:t>application</w:t>
      </w:r>
    </w:p>
    <w:p w14:paraId="704075AF" w14:textId="0329C6D9" w:rsidR="00065317" w:rsidRDefault="005C7BF7">
      <w:pPr>
        <w:pStyle w:val="Corpsdetexte"/>
      </w:pPr>
      <w:r>
        <w:t>Cette classe comprend les morts d</w:t>
      </w:r>
      <w:r w:rsidR="00E84B0E">
        <w:t>’</w:t>
      </w:r>
      <w:r>
        <w:t>êtres humains.</w:t>
      </w:r>
    </w:p>
    <w:p w14:paraId="73EFBFF2" w14:textId="382F16B4" w:rsidR="00065317" w:rsidRDefault="005C7BF7">
      <w:pPr>
        <w:pStyle w:val="Corpsdetexte"/>
      </w:pPr>
      <w:r>
        <w:t xml:space="preserve">Si une personne est </w:t>
      </w:r>
      <w:r>
        <w:rPr>
          <w:i/>
          <w:iCs/>
        </w:rPr>
        <w:t>tuée</w:t>
      </w:r>
      <w:r>
        <w:t xml:space="preserve">, la mort devrait être documentée comme une instance à la fois de </w:t>
      </w:r>
      <w:r>
        <w:rPr>
          <w:rStyle w:val="VerbatimChar"/>
        </w:rPr>
        <w:t>E69_Mort</w:t>
      </w:r>
      <w:r>
        <w:t xml:space="preserve"> et de </w:t>
      </w:r>
      <w:r>
        <w:rPr>
          <w:rStyle w:val="VerbatimChar"/>
        </w:rPr>
        <w:t>E7_Activité</w:t>
      </w:r>
      <w:r>
        <w:t>. La mort ou le périssement d</w:t>
      </w:r>
      <w:r w:rsidR="00E84B0E">
        <w:t>’</w:t>
      </w:r>
      <w:r>
        <w:t xml:space="preserve">autres êtres vivants devraient être documentés comme une instance de </w:t>
      </w:r>
      <w:r>
        <w:rPr>
          <w:rStyle w:val="VerbatimChar"/>
        </w:rPr>
        <w:t>E64_Fin_d</w:t>
      </w:r>
      <w:r w:rsidR="00E84B0E">
        <w:rPr>
          <w:rStyle w:val="VerbatimChar"/>
        </w:rPr>
        <w:t>’</w:t>
      </w:r>
      <w:r>
        <w:rPr>
          <w:rStyle w:val="VerbatimChar"/>
        </w:rPr>
        <w:t>existence</w:t>
      </w:r>
      <w:r>
        <w:t>.</w:t>
      </w:r>
    </w:p>
    <w:p w14:paraId="4FA38D0A" w14:textId="77777777" w:rsidR="00065317" w:rsidRDefault="005C7BF7">
      <w:pPr>
        <w:pStyle w:val="Corpsdetexte"/>
      </w:pPr>
      <w:r>
        <w:rPr>
          <w:b/>
          <w:bCs/>
        </w:rPr>
        <w:t>Exemples</w:t>
      </w:r>
    </w:p>
    <w:p w14:paraId="5066A8A6" w14:textId="2B85DC93" w:rsidR="00065317" w:rsidRDefault="005C7BF7">
      <w:pPr>
        <w:numPr>
          <w:ilvl w:val="0"/>
          <w:numId w:val="118"/>
        </w:numPr>
      </w:pPr>
      <w:r>
        <w:t>L</w:t>
      </w:r>
      <w:r w:rsidR="00E84B0E">
        <w:t>’</w:t>
      </w:r>
      <w:r>
        <w:t>assassinat de Jules César (</w:t>
      </w:r>
      <w:r>
        <w:rPr>
          <w:rStyle w:val="VerbatimChar"/>
        </w:rPr>
        <w:t>E69_Mort</w:t>
      </w:r>
      <w:r>
        <w:t xml:space="preserve">, </w:t>
      </w:r>
      <w:r>
        <w:rPr>
          <w:rStyle w:val="VerbatimChar"/>
        </w:rPr>
        <w:t>E7_Activité</w:t>
      </w:r>
      <w:r>
        <w:t>) (Irwin, 1935)</w:t>
      </w:r>
    </w:p>
    <w:p w14:paraId="0D60D75A" w14:textId="27D9A668" w:rsidR="00065317" w:rsidRDefault="005C7BF7">
      <w:pPr>
        <w:numPr>
          <w:ilvl w:val="0"/>
          <w:numId w:val="118"/>
        </w:numPr>
      </w:pPr>
      <w:r>
        <w:t>La mort du sénateur Paul Wellstone (Monast &amp; Tao, 2002)</w:t>
      </w:r>
    </w:p>
    <w:p w14:paraId="57325283" w14:textId="77777777" w:rsidR="00065317" w:rsidRDefault="005C7BF7">
      <w:pPr>
        <w:pStyle w:val="FirstParagraph"/>
      </w:pPr>
      <w:r>
        <w:rPr>
          <w:b/>
          <w:bCs/>
        </w:rPr>
        <w:t>Logique</w:t>
      </w:r>
    </w:p>
    <w:p w14:paraId="40945BFC" w14:textId="77777777" w:rsidR="00065317" w:rsidRDefault="005C7BF7">
      <w:pPr>
        <w:pStyle w:val="Corpsdetexte"/>
      </w:pPr>
      <w:r>
        <w:t>E69(x) ⇒ E64(x)</w:t>
      </w:r>
    </w:p>
    <w:p w14:paraId="169997B5" w14:textId="77777777" w:rsidR="00065317" w:rsidRDefault="005C7BF7">
      <w:pPr>
        <w:pStyle w:val="Corpsdetexte"/>
      </w:pPr>
      <w:r>
        <w:rPr>
          <w:b/>
          <w:bCs/>
        </w:rPr>
        <w:t>Propriétés</w:t>
      </w:r>
    </w:p>
    <w:p w14:paraId="1D5DC755" w14:textId="77777777" w:rsidR="00065317" w:rsidRDefault="005C7BF7">
      <w:pPr>
        <w:pStyle w:val="Corpsdetexte"/>
      </w:pPr>
      <w:r>
        <w:rPr>
          <w:rStyle w:val="VerbatimChar"/>
        </w:rPr>
        <w:t>P100_a_été_la_mort_de (est_mort_par)</w:t>
      </w:r>
      <w:r>
        <w:t xml:space="preserve"> : </w:t>
      </w:r>
      <w:r>
        <w:rPr>
          <w:rStyle w:val="VerbatimChar"/>
        </w:rPr>
        <w:t>E21_Personne</w:t>
      </w:r>
    </w:p>
    <w:p w14:paraId="31B4D3C8" w14:textId="77777777" w:rsidR="00065317" w:rsidRDefault="005C7BF7">
      <w:pPr>
        <w:pStyle w:val="Normalcentr"/>
      </w:pPr>
      <w:r>
        <w:rPr>
          <w:b/>
          <w:bCs/>
          <w:i/>
          <w:iCs/>
        </w:rPr>
        <w:t>Note de traduction</w:t>
      </w:r>
    </w:p>
    <w:p w14:paraId="012D7993" w14:textId="43FECB1E" w:rsidR="00065317" w:rsidRDefault="005C7BF7">
      <w:pPr>
        <w:pStyle w:val="Normalcentr"/>
      </w:pPr>
      <w:r>
        <w:t xml:space="preserve">Puisque la classe </w:t>
      </w:r>
      <w:r>
        <w:rPr>
          <w:rStyle w:val="VerbatimChar"/>
        </w:rPr>
        <w:t>E69_Mort</w:t>
      </w:r>
      <w:r>
        <w:t xml:space="preserve"> comprend des morts naturelles et non naturelles d</w:t>
      </w:r>
      <w:r w:rsidR="00E84B0E">
        <w:t>’</w:t>
      </w:r>
      <w:r>
        <w:t>humains, ce terme a été choisi plutôt que « décès ».</w:t>
      </w:r>
    </w:p>
    <w:p w14:paraId="489DAEAE" w14:textId="752AF995" w:rsidR="00065317" w:rsidRDefault="005C7BF7">
      <w:pPr>
        <w:pStyle w:val="Normalcentr"/>
      </w:pPr>
      <w:r>
        <w:t xml:space="preserve">Le terme « périssement » est peu commun, mais existe et a un sens équivalent à « </w:t>
      </w:r>
      <w:r w:rsidRPr="00914F34">
        <w:t>perishing</w:t>
      </w:r>
      <w:r>
        <w:t xml:space="preserve"> », de sorte qu</w:t>
      </w:r>
      <w:r w:rsidR="00E84B0E">
        <w:t>’</w:t>
      </w:r>
      <w:r>
        <w:t>il a été privilégié ici.</w:t>
      </w:r>
    </w:p>
    <w:p w14:paraId="2E7D2604" w14:textId="77777777" w:rsidR="004E5EA3" w:rsidRDefault="004E5EA3">
      <w:pPr>
        <w:spacing w:after="0"/>
        <w:rPr>
          <w:b/>
          <w:bCs/>
          <w:i/>
          <w:iCs/>
          <w:sz w:val="22"/>
        </w:rPr>
      </w:pPr>
      <w:r>
        <w:rPr>
          <w:b/>
          <w:bCs/>
          <w:i/>
          <w:iCs/>
        </w:rPr>
        <w:br w:type="page"/>
      </w:r>
    </w:p>
    <w:p w14:paraId="64431E7B" w14:textId="008CA406" w:rsidR="00065317" w:rsidRDefault="005C7BF7">
      <w:pPr>
        <w:pStyle w:val="Normalcentr"/>
      </w:pPr>
      <w:r>
        <w:rPr>
          <w:b/>
          <w:bCs/>
          <w:i/>
          <w:iCs/>
        </w:rPr>
        <w:lastRenderedPageBreak/>
        <w:t>Références</w:t>
      </w:r>
    </w:p>
    <w:p w14:paraId="7DF52EBE" w14:textId="126A287C" w:rsidR="00065317" w:rsidRDefault="005C7BF7">
      <w:pPr>
        <w:pStyle w:val="Normalcentr"/>
      </w:pPr>
      <w:r>
        <w:t xml:space="preserve">Centre National de Ressources Textuelles et Lexicales (CNRTL). « Périssement ». Dans </w:t>
      </w:r>
      <w:r>
        <w:rPr>
          <w:i/>
          <w:iCs/>
        </w:rPr>
        <w:t>Portail lexical du CNRTL</w:t>
      </w:r>
      <w:r>
        <w:t>. Nancy, FR-GES</w:t>
      </w:r>
      <w:r w:rsidR="00F86224">
        <w:t> </w:t>
      </w:r>
      <w:r>
        <w:t>: Centre National de Ressources Textuelles et Lexicales (CNRTL), 2012.</w:t>
      </w:r>
      <w:hyperlink r:id="rId208">
        <w:r>
          <w:rPr>
            <w:rStyle w:val="Lienhypertexte"/>
          </w:rPr>
          <w:t xml:space="preserve"> </w:t>
        </w:r>
      </w:hyperlink>
      <w:hyperlink r:id="rId209">
        <w:r>
          <w:rPr>
            <w:rStyle w:val="Lienhypertexte"/>
          </w:rPr>
          <w:t>https://www.cnrtl.fr/definition/p%C3%A9rissement</w:t>
        </w:r>
      </w:hyperlink>
      <w:r>
        <w:t>.</w:t>
      </w:r>
    </w:p>
    <w:p w14:paraId="420F3BF7" w14:textId="77777777" w:rsidR="00065317" w:rsidRDefault="005C7BF7" w:rsidP="00DD1219">
      <w:pPr>
        <w:pStyle w:val="Titre3"/>
      </w:pPr>
      <w:bookmarkStart w:id="220" w:name="_Toc154048795"/>
      <w:bookmarkStart w:id="221" w:name="e70-chose"/>
      <w:bookmarkEnd w:id="219"/>
      <w:r>
        <w:t>E70 Chose</w:t>
      </w:r>
      <w:bookmarkEnd w:id="220"/>
    </w:p>
    <w:p w14:paraId="5D7C3FD5" w14:textId="77777777" w:rsidR="00065317" w:rsidRDefault="005C7BF7">
      <w:pPr>
        <w:pStyle w:val="FirstParagraph"/>
      </w:pPr>
      <w:r>
        <w:rPr>
          <w:b/>
          <w:bCs/>
        </w:rPr>
        <w:t>Sous-classe de</w:t>
      </w:r>
    </w:p>
    <w:p w14:paraId="02A9A4B3" w14:textId="77777777" w:rsidR="00065317" w:rsidRDefault="005C7BF7">
      <w:pPr>
        <w:pStyle w:val="Corpsdetexte"/>
      </w:pPr>
      <w:r>
        <w:rPr>
          <w:rStyle w:val="VerbatimChar"/>
        </w:rPr>
        <w:t>E77_Entité_persistante</w:t>
      </w:r>
    </w:p>
    <w:p w14:paraId="41202418" w14:textId="77777777" w:rsidR="00065317" w:rsidRDefault="005C7BF7">
      <w:pPr>
        <w:pStyle w:val="Corpsdetexte"/>
      </w:pPr>
      <w:r>
        <w:rPr>
          <w:b/>
          <w:bCs/>
        </w:rPr>
        <w:t>Super-classe de</w:t>
      </w:r>
    </w:p>
    <w:p w14:paraId="091587FD" w14:textId="33CBC148" w:rsidR="00065317" w:rsidRDefault="005C7BF7">
      <w:pPr>
        <w:pStyle w:val="Corpsdetexte"/>
      </w:pPr>
      <w:r>
        <w:rPr>
          <w:rStyle w:val="VerbatimChar"/>
        </w:rPr>
        <w:t>E71_Chose_élaborée_par_l</w:t>
      </w:r>
      <w:r w:rsidR="00E84B0E">
        <w:rPr>
          <w:rStyle w:val="VerbatimChar"/>
        </w:rPr>
        <w:t>’</w:t>
      </w:r>
      <w:r>
        <w:rPr>
          <w:rStyle w:val="VerbatimChar"/>
        </w:rPr>
        <w:t>humain</w:t>
      </w:r>
    </w:p>
    <w:p w14:paraId="1A0EA22B" w14:textId="77777777" w:rsidR="00065317" w:rsidRDefault="005C7BF7">
      <w:pPr>
        <w:pStyle w:val="Corpsdetexte"/>
      </w:pPr>
      <w:r>
        <w:rPr>
          <w:rStyle w:val="VerbatimChar"/>
        </w:rPr>
        <w:t>E72_Objet_juridique</w:t>
      </w:r>
    </w:p>
    <w:p w14:paraId="3E701A5F" w14:textId="0A5380C1" w:rsidR="00065317" w:rsidRDefault="005C7BF7">
      <w:pPr>
        <w:pStyle w:val="Corpsdetexte"/>
      </w:pPr>
      <w:r>
        <w:rPr>
          <w:b/>
          <w:bCs/>
        </w:rPr>
        <w:t>Note d</w:t>
      </w:r>
      <w:r w:rsidR="00E84B0E">
        <w:rPr>
          <w:b/>
          <w:bCs/>
        </w:rPr>
        <w:t>’</w:t>
      </w:r>
      <w:r>
        <w:rPr>
          <w:b/>
          <w:bCs/>
        </w:rPr>
        <w:t>application</w:t>
      </w:r>
    </w:p>
    <w:p w14:paraId="6DB084AD" w14:textId="77777777" w:rsidR="00065317" w:rsidRDefault="005C7BF7">
      <w:pPr>
        <w:pStyle w:val="Corpsdetexte"/>
      </w:pPr>
      <w:r>
        <w:t xml:space="preserve">Cette classe générale comprend les instances distinctes et identifiables de </w:t>
      </w:r>
      <w:r>
        <w:rPr>
          <w:rStyle w:val="VerbatimChar"/>
        </w:rPr>
        <w:t>E77_Entité_persistante</w:t>
      </w:r>
      <w:r>
        <w:t xml:space="preserve"> qui sont documentées comme des éléments uniques, qui sont constituées de matière ou qui dépendent de la matière qui les constitue et qui sont caractérisées par une certaine stabilité.</w:t>
      </w:r>
    </w:p>
    <w:p w14:paraId="2A006496" w14:textId="291C4870" w:rsidR="00065317" w:rsidRDefault="005C7BF7" w:rsidP="004E5EA3">
      <w:pPr>
        <w:pStyle w:val="Corpsdetexte"/>
      </w:pPr>
      <w:r>
        <w:t>Elles peuvent être des produits de l</w:t>
      </w:r>
      <w:r w:rsidR="00E84B0E">
        <w:t>’</w:t>
      </w:r>
      <w:r>
        <w:t>intellect ou des choses physiques. Elles peuvent, par exemple, prendre une forme matérielle physique et solide, être un encodage électronique ou être un concept ou une structure logiques.</w:t>
      </w:r>
    </w:p>
    <w:p w14:paraId="2BC5C8F9" w14:textId="77777777" w:rsidR="00065317" w:rsidRDefault="005C7BF7">
      <w:pPr>
        <w:pStyle w:val="Corpsdetexte"/>
      </w:pPr>
      <w:r>
        <w:rPr>
          <w:b/>
          <w:bCs/>
        </w:rPr>
        <w:t>Exemples</w:t>
      </w:r>
    </w:p>
    <w:p w14:paraId="5DBBBB4B" w14:textId="77777777" w:rsidR="00065317" w:rsidRDefault="005C7BF7">
      <w:pPr>
        <w:numPr>
          <w:ilvl w:val="0"/>
          <w:numId w:val="119"/>
        </w:numPr>
      </w:pPr>
      <w:r>
        <w:t>Ma collection de photographies (</w:t>
      </w:r>
      <w:r>
        <w:rPr>
          <w:rStyle w:val="VerbatimChar"/>
        </w:rPr>
        <w:t>E78_Collection</w:t>
      </w:r>
      <w:r>
        <w:t>) (fictif)</w:t>
      </w:r>
    </w:p>
    <w:p w14:paraId="060D06FD" w14:textId="72367FC2" w:rsidR="00065317" w:rsidRDefault="005C7BF7">
      <w:pPr>
        <w:numPr>
          <w:ilvl w:val="0"/>
          <w:numId w:val="119"/>
        </w:numPr>
      </w:pPr>
      <w:r>
        <w:t>La bouteille de lait dans mon réfrigérateur (</w:t>
      </w:r>
      <w:r>
        <w:rPr>
          <w:rStyle w:val="VerbatimChar"/>
        </w:rPr>
        <w:t>E22_Objet_élaboré_par_l</w:t>
      </w:r>
      <w:r w:rsidR="00E84B0E">
        <w:rPr>
          <w:rStyle w:val="VerbatimChar"/>
        </w:rPr>
        <w:t>’</w:t>
      </w:r>
      <w:r>
        <w:rPr>
          <w:rStyle w:val="VerbatimChar"/>
        </w:rPr>
        <w:t>humain</w:t>
      </w:r>
      <w:r>
        <w:t>) (fictif)</w:t>
      </w:r>
    </w:p>
    <w:p w14:paraId="3CD1CA1D" w14:textId="77777777" w:rsidR="00065317" w:rsidRDefault="005C7BF7">
      <w:pPr>
        <w:numPr>
          <w:ilvl w:val="0"/>
          <w:numId w:val="119"/>
        </w:numPr>
      </w:pPr>
      <w:r>
        <w:t>Le plan Riss A1 du Straßburger Münster (cathédrale Notre-Dame de Strasbourg) (</w:t>
      </w:r>
      <w:r>
        <w:rPr>
          <w:rStyle w:val="VerbatimChar"/>
        </w:rPr>
        <w:t>E29_Conceptualisation_ou_procédure</w:t>
      </w:r>
      <w:r>
        <w:t>) (Liess, R., 1985)</w:t>
      </w:r>
    </w:p>
    <w:p w14:paraId="574388D6" w14:textId="616608DB" w:rsidR="00065317" w:rsidRDefault="005C7BF7">
      <w:pPr>
        <w:numPr>
          <w:ilvl w:val="0"/>
          <w:numId w:val="119"/>
        </w:numPr>
      </w:pPr>
      <w:r>
        <w:t>La chose sur le bureau d</w:t>
      </w:r>
      <w:r w:rsidR="00E84B0E">
        <w:t>’</w:t>
      </w:r>
      <w:r>
        <w:t>Otto Hahn (</w:t>
      </w:r>
      <w:r>
        <w:rPr>
          <w:rStyle w:val="VerbatimChar"/>
        </w:rPr>
        <w:t>E19_Objet_matériel)</w:t>
      </w:r>
    </w:p>
    <w:p w14:paraId="54E54C76" w14:textId="29089C3B" w:rsidR="00065317" w:rsidRDefault="005C7BF7">
      <w:pPr>
        <w:numPr>
          <w:ilvl w:val="0"/>
          <w:numId w:val="119"/>
        </w:numPr>
      </w:pPr>
      <w:r>
        <w:t>La forme du panneau « non</w:t>
      </w:r>
      <w:r w:rsidR="003773B9">
        <w:t xml:space="preserve"> </w:t>
      </w:r>
      <w:r>
        <w:t>fumeur</w:t>
      </w:r>
      <w:r w:rsidR="00194B26">
        <w:t xml:space="preserve"> </w:t>
      </w:r>
      <w:r>
        <w:t>» (</w:t>
      </w:r>
      <w:r>
        <w:rPr>
          <w:rStyle w:val="VerbatimChar"/>
        </w:rPr>
        <w:t>E36_Entité_visuelle</w:t>
      </w:r>
      <w:r>
        <w:t>)</w:t>
      </w:r>
    </w:p>
    <w:p w14:paraId="7BB33915" w14:textId="4A5E4572" w:rsidR="00065317" w:rsidRDefault="005C7BF7">
      <w:pPr>
        <w:numPr>
          <w:ilvl w:val="0"/>
          <w:numId w:val="119"/>
        </w:numPr>
      </w:pPr>
      <w:r>
        <w:t>Les grottes de Diros, [</w:t>
      </w:r>
      <w:r w:rsidR="00AF51A3">
        <w:t xml:space="preserve">n.d.t. </w:t>
      </w:r>
      <w:r>
        <w:t>péninsule du] Magne, Grèce (</w:t>
      </w:r>
      <w:r>
        <w:rPr>
          <w:rStyle w:val="VerbatimChar"/>
        </w:rPr>
        <w:t>E26_Caractéristique_physique</w:t>
      </w:r>
      <w:r>
        <w:t>) (Psimenos, 2005)</w:t>
      </w:r>
    </w:p>
    <w:p w14:paraId="25A1E240" w14:textId="77777777" w:rsidR="00065317" w:rsidRDefault="005C7BF7">
      <w:pPr>
        <w:pStyle w:val="FirstParagraph"/>
      </w:pPr>
      <w:r>
        <w:rPr>
          <w:b/>
          <w:bCs/>
        </w:rPr>
        <w:t>Logique</w:t>
      </w:r>
    </w:p>
    <w:p w14:paraId="348C0F2A" w14:textId="1D9B013B" w:rsidR="00A81E78" w:rsidRDefault="005C7BF7">
      <w:pPr>
        <w:pStyle w:val="Corpsdetexte"/>
        <w:rPr>
          <w:b/>
          <w:bCs/>
        </w:rPr>
      </w:pPr>
      <w:r>
        <w:t>E70(x) ⇒ E77(x)</w:t>
      </w:r>
    </w:p>
    <w:p w14:paraId="73A45207" w14:textId="04831A13" w:rsidR="00065317" w:rsidRDefault="005C7BF7">
      <w:pPr>
        <w:pStyle w:val="Corpsdetexte"/>
      </w:pPr>
      <w:r>
        <w:rPr>
          <w:b/>
          <w:bCs/>
        </w:rPr>
        <w:t>Propriétés</w:t>
      </w:r>
    </w:p>
    <w:p w14:paraId="01EBC19F" w14:textId="77777777" w:rsidR="00065317" w:rsidRDefault="005C7BF7">
      <w:pPr>
        <w:pStyle w:val="Corpsdetexte"/>
      </w:pPr>
      <w:r>
        <w:rPr>
          <w:rStyle w:val="VerbatimChar"/>
        </w:rPr>
        <w:t>P43_a_pour_dimension (est_la_dimension_de)</w:t>
      </w:r>
      <w:r>
        <w:t xml:space="preserve"> : </w:t>
      </w:r>
      <w:r>
        <w:rPr>
          <w:rStyle w:val="VerbatimChar"/>
        </w:rPr>
        <w:t>E54_Dimension</w:t>
      </w:r>
    </w:p>
    <w:p w14:paraId="4C6F939A" w14:textId="09BD0357" w:rsidR="00065317" w:rsidRDefault="005C7BF7">
      <w:pPr>
        <w:pStyle w:val="Corpsdetexte"/>
      </w:pPr>
      <w:r>
        <w:rPr>
          <w:rStyle w:val="VerbatimChar"/>
        </w:rPr>
        <w:t>P101_a_eu pour_usage_général (a_été_l</w:t>
      </w:r>
      <w:r w:rsidR="00E84B0E">
        <w:rPr>
          <w:rStyle w:val="VerbatimChar"/>
        </w:rPr>
        <w:t>’</w:t>
      </w:r>
      <w:r>
        <w:rPr>
          <w:rStyle w:val="VerbatimChar"/>
        </w:rPr>
        <w:t>usage général_de)</w:t>
      </w:r>
      <w:r>
        <w:t xml:space="preserve"> : </w:t>
      </w:r>
      <w:r>
        <w:rPr>
          <w:rStyle w:val="VerbatimChar"/>
        </w:rPr>
        <w:t>E55_Type</w:t>
      </w:r>
    </w:p>
    <w:p w14:paraId="6F7E668B" w14:textId="5E8AED9A" w:rsidR="00065317" w:rsidRDefault="005C7BF7">
      <w:pPr>
        <w:pStyle w:val="Corpsdetexte"/>
      </w:pPr>
      <w:r>
        <w:rPr>
          <w:rStyle w:val="VerbatimChar"/>
        </w:rPr>
        <w:t>P130_présente_les_caractéristiques_de (a_les_caractéristiques_également_présentes_sur)</w:t>
      </w:r>
      <w:r w:rsidR="00876FA1">
        <w:t> </w:t>
      </w:r>
      <w:r>
        <w:t xml:space="preserve">: </w:t>
      </w:r>
      <w:r>
        <w:rPr>
          <w:rStyle w:val="VerbatimChar"/>
        </w:rPr>
        <w:t>E70_Chose</w:t>
      </w:r>
    </w:p>
    <w:p w14:paraId="5F30CD0B" w14:textId="77777777" w:rsidR="00065317" w:rsidRDefault="005C7BF7">
      <w:pPr>
        <w:pStyle w:val="Corpsdetexte"/>
      </w:pPr>
      <w:r>
        <w:t>(</w:t>
      </w:r>
      <w:r>
        <w:rPr>
          <w:rStyle w:val="VerbatimChar"/>
        </w:rPr>
        <w:t>P130.1_sorte_de_similarité</w:t>
      </w:r>
      <w:r>
        <w:t xml:space="preserve"> : </w:t>
      </w:r>
      <w:r>
        <w:rPr>
          <w:rStyle w:val="VerbatimChar"/>
        </w:rPr>
        <w:t>E55_Type</w:t>
      </w:r>
      <w:r>
        <w:t>)</w:t>
      </w:r>
    </w:p>
    <w:p w14:paraId="3607DB6F" w14:textId="77777777" w:rsidR="004E5EA3" w:rsidRDefault="004E5EA3">
      <w:pPr>
        <w:spacing w:after="0"/>
        <w:rPr>
          <w:b/>
          <w:bCs/>
          <w:i/>
          <w:iCs/>
          <w:sz w:val="22"/>
        </w:rPr>
      </w:pPr>
      <w:r>
        <w:rPr>
          <w:b/>
          <w:bCs/>
          <w:i/>
          <w:iCs/>
        </w:rPr>
        <w:br w:type="page"/>
      </w:r>
    </w:p>
    <w:p w14:paraId="6E370439" w14:textId="3D13A759" w:rsidR="00065317" w:rsidRDefault="005C7BF7">
      <w:pPr>
        <w:pStyle w:val="Normalcentr"/>
      </w:pPr>
      <w:r>
        <w:rPr>
          <w:b/>
          <w:bCs/>
          <w:i/>
          <w:iCs/>
        </w:rPr>
        <w:lastRenderedPageBreak/>
        <w:t>Note de traduction</w:t>
      </w:r>
    </w:p>
    <w:p w14:paraId="442CCA6E" w14:textId="12CA1D7E" w:rsidR="00065317" w:rsidRDefault="005C7BF7" w:rsidP="00BF7EA3">
      <w:pPr>
        <w:pStyle w:val="Normalcentr"/>
      </w:pPr>
      <w:r>
        <w:rPr>
          <w:b/>
          <w:bCs/>
          <w:i/>
          <w:iCs/>
        </w:rPr>
        <w:t>Références</w:t>
      </w:r>
    </w:p>
    <w:p w14:paraId="055EA658" w14:textId="319D6C3E" w:rsidR="00065317" w:rsidRDefault="005C7BF7" w:rsidP="00914F34">
      <w:pPr>
        <w:pStyle w:val="Titre3"/>
      </w:pPr>
      <w:bookmarkStart w:id="222" w:name="_Toc154048796"/>
      <w:bookmarkStart w:id="223" w:name="e71-chose-elaboree-par-lhumain"/>
      <w:bookmarkEnd w:id="221"/>
      <w:r>
        <w:t>E71 Chose élaborée par l</w:t>
      </w:r>
      <w:r w:rsidR="00E84B0E">
        <w:t>’</w:t>
      </w:r>
      <w:r>
        <w:t>humain</w:t>
      </w:r>
      <w:bookmarkEnd w:id="222"/>
    </w:p>
    <w:p w14:paraId="1B204348" w14:textId="77777777" w:rsidR="00065317" w:rsidRDefault="005C7BF7">
      <w:pPr>
        <w:pStyle w:val="FirstParagraph"/>
      </w:pPr>
      <w:r>
        <w:rPr>
          <w:b/>
          <w:bCs/>
        </w:rPr>
        <w:t>Sous-classe de</w:t>
      </w:r>
    </w:p>
    <w:p w14:paraId="3FC1D54F" w14:textId="77777777" w:rsidR="00065317" w:rsidRDefault="005C7BF7">
      <w:pPr>
        <w:pStyle w:val="Corpsdetexte"/>
      </w:pPr>
      <w:r>
        <w:rPr>
          <w:rStyle w:val="VerbatimChar"/>
        </w:rPr>
        <w:t>E70_Chose</w:t>
      </w:r>
    </w:p>
    <w:p w14:paraId="0A20FB5D" w14:textId="77777777" w:rsidR="00065317" w:rsidRDefault="005C7BF7">
      <w:pPr>
        <w:pStyle w:val="Corpsdetexte"/>
      </w:pPr>
      <w:r>
        <w:rPr>
          <w:b/>
          <w:bCs/>
        </w:rPr>
        <w:t>Super-classe de</w:t>
      </w:r>
    </w:p>
    <w:p w14:paraId="2E57D316" w14:textId="7D2CBD72" w:rsidR="00065317" w:rsidRDefault="005C7BF7">
      <w:pPr>
        <w:pStyle w:val="Corpsdetexte"/>
      </w:pPr>
      <w:r>
        <w:rPr>
          <w:rStyle w:val="VerbatimChar"/>
        </w:rPr>
        <w:t>E24_Chose_matérielle_élaborée_par_l</w:t>
      </w:r>
      <w:r w:rsidR="00E84B0E">
        <w:rPr>
          <w:rStyle w:val="VerbatimChar"/>
        </w:rPr>
        <w:t>’</w:t>
      </w:r>
      <w:r>
        <w:rPr>
          <w:rStyle w:val="VerbatimChar"/>
        </w:rPr>
        <w:t>humain</w:t>
      </w:r>
    </w:p>
    <w:p w14:paraId="7A49C496" w14:textId="77777777" w:rsidR="00065317" w:rsidRDefault="005C7BF7">
      <w:pPr>
        <w:pStyle w:val="Corpsdetexte"/>
      </w:pPr>
      <w:r>
        <w:rPr>
          <w:rStyle w:val="VerbatimChar"/>
        </w:rPr>
        <w:t>E28_Objet_conceptuel</w:t>
      </w:r>
    </w:p>
    <w:p w14:paraId="7B07A746" w14:textId="3CE55BA6" w:rsidR="00065317" w:rsidRDefault="005C7BF7">
      <w:pPr>
        <w:pStyle w:val="Corpsdetexte"/>
      </w:pPr>
      <w:r>
        <w:rPr>
          <w:b/>
          <w:bCs/>
        </w:rPr>
        <w:t>Note d</w:t>
      </w:r>
      <w:r w:rsidR="00E84B0E">
        <w:rPr>
          <w:b/>
          <w:bCs/>
        </w:rPr>
        <w:t>’</w:t>
      </w:r>
      <w:r>
        <w:rPr>
          <w:b/>
          <w:bCs/>
        </w:rPr>
        <w:t>application</w:t>
      </w:r>
    </w:p>
    <w:p w14:paraId="6FA92123" w14:textId="19DA4B4C" w:rsidR="00065317" w:rsidRDefault="005C7BF7">
      <w:pPr>
        <w:pStyle w:val="Corpsdetexte"/>
      </w:pPr>
      <w:r>
        <w:t>Cette classe comprend les entités élaborées par l</w:t>
      </w:r>
      <w:r w:rsidR="00E84B0E">
        <w:t>’</w:t>
      </w:r>
      <w:r>
        <w:t>humain distinctes et identifiables qui sont documentées comme des éléments uniques.</w:t>
      </w:r>
    </w:p>
    <w:p w14:paraId="4B6B12B3" w14:textId="729B00F8" w:rsidR="00065317" w:rsidRDefault="005C7BF7" w:rsidP="004E5EA3">
      <w:pPr>
        <w:pStyle w:val="Corpsdetexte"/>
      </w:pPr>
      <w:r>
        <w:t>Ces entités sont soit des produits de l</w:t>
      </w:r>
      <w:r w:rsidR="00E84B0E">
        <w:t>’</w:t>
      </w:r>
      <w:r>
        <w:t>intellect ou des choses physiques élaborées par l</w:t>
      </w:r>
      <w:r w:rsidR="00E84B0E">
        <w:t>’</w:t>
      </w:r>
      <w:r>
        <w:t>humain et sont caractérisées par une certaine stabilité. Elles peuvent, par exemple, prendre une forme matérielle physique et solide, être un encodage électronique ou être des concepts ou structures logiques.</w:t>
      </w:r>
    </w:p>
    <w:p w14:paraId="4C0490F3" w14:textId="77777777" w:rsidR="00065317" w:rsidRDefault="005C7BF7">
      <w:pPr>
        <w:pStyle w:val="Corpsdetexte"/>
      </w:pPr>
      <w:r>
        <w:rPr>
          <w:b/>
          <w:bCs/>
        </w:rPr>
        <w:t>Exemples</w:t>
      </w:r>
    </w:p>
    <w:p w14:paraId="66398C3F" w14:textId="77777777" w:rsidR="00065317" w:rsidRDefault="005C7BF7">
      <w:pPr>
        <w:numPr>
          <w:ilvl w:val="0"/>
          <w:numId w:val="120"/>
        </w:numPr>
      </w:pPr>
      <w:r>
        <w:t>La cinquième symphonie de Beethoven (</w:t>
      </w:r>
      <w:r>
        <w:rPr>
          <w:rStyle w:val="VerbatimChar"/>
        </w:rPr>
        <w:t>E73_Objet_informationnel</w:t>
      </w:r>
      <w:r>
        <w:t>) (Lockwood, 2015)</w:t>
      </w:r>
    </w:p>
    <w:p w14:paraId="48C64226" w14:textId="3080D4B5" w:rsidR="00065317" w:rsidRDefault="005C7BF7">
      <w:pPr>
        <w:numPr>
          <w:ilvl w:val="0"/>
          <w:numId w:val="120"/>
        </w:numPr>
      </w:pPr>
      <w:r>
        <w:t>Le David de Michel-Ange (</w:t>
      </w:r>
      <w:r>
        <w:rPr>
          <w:rStyle w:val="VerbatimChar"/>
        </w:rPr>
        <w:t>E22_Objet_élaboré_par_l</w:t>
      </w:r>
      <w:r w:rsidR="00E84B0E">
        <w:rPr>
          <w:rStyle w:val="VerbatimChar"/>
        </w:rPr>
        <w:t>’</w:t>
      </w:r>
      <w:r>
        <w:rPr>
          <w:rStyle w:val="VerbatimChar"/>
        </w:rPr>
        <w:t>humain</w:t>
      </w:r>
      <w:r>
        <w:t>) (Paoletti &amp; Bagemihl, 2015)</w:t>
      </w:r>
    </w:p>
    <w:p w14:paraId="78E48FE8" w14:textId="73E4CDFC" w:rsidR="00065317" w:rsidRDefault="005C7BF7">
      <w:pPr>
        <w:numPr>
          <w:ilvl w:val="0"/>
          <w:numId w:val="120"/>
        </w:numPr>
      </w:pPr>
      <w:r>
        <w:t>La théorie de la relativité générale d</w:t>
      </w:r>
      <w:r w:rsidR="00E84B0E">
        <w:t>’</w:t>
      </w:r>
      <w:r>
        <w:t>Einstein (</w:t>
      </w:r>
      <w:r>
        <w:rPr>
          <w:rStyle w:val="VerbatimChar"/>
        </w:rPr>
        <w:t>E89_Objet_propositionnel</w:t>
      </w:r>
      <w:r>
        <w:t>) (Hartle, 2003)</w:t>
      </w:r>
    </w:p>
    <w:p w14:paraId="7371AAE5" w14:textId="2F00AC24" w:rsidR="00065317" w:rsidRDefault="005C7BF7">
      <w:pPr>
        <w:numPr>
          <w:ilvl w:val="0"/>
          <w:numId w:val="120"/>
        </w:numPr>
      </w:pPr>
      <w:r>
        <w:t xml:space="preserve">Le taxon </w:t>
      </w:r>
      <w:r w:rsidR="000768F3">
        <w:t>« </w:t>
      </w:r>
      <w:r>
        <w:t>Fringilla c</w:t>
      </w:r>
      <w:r w:rsidR="00C012B4">
        <w:t>œ</w:t>
      </w:r>
      <w:r>
        <w:t>lebs Linn</w:t>
      </w:r>
      <w:r w:rsidR="00E6427C">
        <w:t>æ</w:t>
      </w:r>
      <w:r>
        <w:t>us,1758</w:t>
      </w:r>
      <w:r w:rsidR="000768F3">
        <w:t> »</w:t>
      </w:r>
      <w:r>
        <w:t xml:space="preserve"> (</w:t>
      </w:r>
      <w:r>
        <w:rPr>
          <w:rStyle w:val="VerbatimChar"/>
        </w:rPr>
        <w:t>E55_Type</w:t>
      </w:r>
      <w:r>
        <w:t xml:space="preserve">) (Sinkevicius </w:t>
      </w:r>
      <w:r w:rsidR="00194B26">
        <w:t>&amp;</w:t>
      </w:r>
      <w:r>
        <w:t xml:space="preserve"> Narusevicius, 2002)</w:t>
      </w:r>
    </w:p>
    <w:p w14:paraId="6AB5F785" w14:textId="77777777" w:rsidR="00065317" w:rsidRDefault="005C7BF7">
      <w:pPr>
        <w:pStyle w:val="FirstParagraph"/>
      </w:pPr>
      <w:r>
        <w:rPr>
          <w:b/>
          <w:bCs/>
        </w:rPr>
        <w:t>Logique</w:t>
      </w:r>
    </w:p>
    <w:p w14:paraId="61E58B8C" w14:textId="77777777" w:rsidR="00065317" w:rsidRDefault="005C7BF7">
      <w:pPr>
        <w:pStyle w:val="Corpsdetexte"/>
      </w:pPr>
      <w:r>
        <w:t>E71(x) ⇒ E70(x)</w:t>
      </w:r>
    </w:p>
    <w:p w14:paraId="3E2758B8" w14:textId="77777777" w:rsidR="00065317" w:rsidRDefault="005C7BF7">
      <w:pPr>
        <w:pStyle w:val="Corpsdetexte"/>
      </w:pPr>
      <w:r>
        <w:rPr>
          <w:b/>
          <w:bCs/>
        </w:rPr>
        <w:t>Propriétés</w:t>
      </w:r>
    </w:p>
    <w:p w14:paraId="0683630A" w14:textId="77777777" w:rsidR="00065317" w:rsidRDefault="005C7BF7">
      <w:pPr>
        <w:pStyle w:val="Corpsdetexte"/>
      </w:pPr>
      <w:r>
        <w:rPr>
          <w:rStyle w:val="VerbatimChar"/>
        </w:rPr>
        <w:t>P102_a_pour_titre (est_le_titre_de)</w:t>
      </w:r>
      <w:r>
        <w:t xml:space="preserve"> : </w:t>
      </w:r>
      <w:r>
        <w:rPr>
          <w:rStyle w:val="VerbatimChar"/>
        </w:rPr>
        <w:t>E35_Titre</w:t>
      </w:r>
    </w:p>
    <w:p w14:paraId="797B2217" w14:textId="77777777" w:rsidR="00065317" w:rsidRDefault="005C7BF7">
      <w:pPr>
        <w:pStyle w:val="Corpsdetexte"/>
      </w:pPr>
      <w:r>
        <w:t>(</w:t>
      </w:r>
      <w:r>
        <w:rPr>
          <w:rStyle w:val="VerbatimChar"/>
        </w:rPr>
        <w:t>P102.1_a_pour_type</w:t>
      </w:r>
      <w:r>
        <w:t xml:space="preserve"> : </w:t>
      </w:r>
      <w:r>
        <w:rPr>
          <w:rStyle w:val="VerbatimChar"/>
        </w:rPr>
        <w:t>E55_Type</w:t>
      </w:r>
      <w:r>
        <w:t>)</w:t>
      </w:r>
    </w:p>
    <w:p w14:paraId="1F888B8B" w14:textId="746A52F6" w:rsidR="00A81E78" w:rsidRDefault="005C7BF7" w:rsidP="00914F34">
      <w:pPr>
        <w:pStyle w:val="Corpsdetexte"/>
      </w:pPr>
      <w:r>
        <w:rPr>
          <w:rStyle w:val="VerbatimChar"/>
        </w:rPr>
        <w:t>P103_a_eu_pour_raison_d</w:t>
      </w:r>
      <w:r w:rsidR="00E84B0E">
        <w:rPr>
          <w:rStyle w:val="VerbatimChar"/>
        </w:rPr>
        <w:t>’</w:t>
      </w:r>
      <w:r>
        <w:rPr>
          <w:rStyle w:val="VerbatimChar"/>
        </w:rPr>
        <w:t>être (a_été_la_raison_d</w:t>
      </w:r>
      <w:r w:rsidR="00E84B0E">
        <w:rPr>
          <w:rStyle w:val="VerbatimChar"/>
        </w:rPr>
        <w:t>’</w:t>
      </w:r>
      <w:r>
        <w:rPr>
          <w:rStyle w:val="VerbatimChar"/>
        </w:rPr>
        <w:t>être_de)</w:t>
      </w:r>
      <w:r>
        <w:t xml:space="preserve"> : </w:t>
      </w:r>
      <w:r>
        <w:rPr>
          <w:rStyle w:val="VerbatimChar"/>
        </w:rPr>
        <w:t>E55_Type</w:t>
      </w:r>
    </w:p>
    <w:p w14:paraId="051506A3" w14:textId="7C2E83F0" w:rsidR="00065317" w:rsidRDefault="005C7BF7">
      <w:pPr>
        <w:pStyle w:val="Normalcentr"/>
      </w:pPr>
      <w:r>
        <w:rPr>
          <w:b/>
          <w:bCs/>
          <w:i/>
          <w:iCs/>
        </w:rPr>
        <w:t>Note de traduction</w:t>
      </w:r>
    </w:p>
    <w:p w14:paraId="765F58F6" w14:textId="2DFDA09A" w:rsidR="00065317" w:rsidRDefault="005C7BF7" w:rsidP="00BF7EA3">
      <w:pPr>
        <w:pStyle w:val="Normalcentr"/>
      </w:pPr>
      <w:r>
        <w:rPr>
          <w:b/>
          <w:bCs/>
          <w:i/>
          <w:iCs/>
        </w:rPr>
        <w:t>Références</w:t>
      </w:r>
    </w:p>
    <w:p w14:paraId="42E4DA24" w14:textId="77777777" w:rsidR="00065317" w:rsidRDefault="005C7BF7" w:rsidP="00914F34">
      <w:pPr>
        <w:pStyle w:val="Titre3"/>
      </w:pPr>
      <w:bookmarkStart w:id="224" w:name="_Toc154048797"/>
      <w:bookmarkStart w:id="225" w:name="e72-objet-juridique"/>
      <w:bookmarkEnd w:id="223"/>
      <w:r>
        <w:t>E72 Objet juridique</w:t>
      </w:r>
      <w:bookmarkEnd w:id="224"/>
    </w:p>
    <w:p w14:paraId="60916BD2" w14:textId="77777777" w:rsidR="00065317" w:rsidRDefault="005C7BF7">
      <w:pPr>
        <w:pStyle w:val="FirstParagraph"/>
      </w:pPr>
      <w:r>
        <w:rPr>
          <w:b/>
          <w:bCs/>
        </w:rPr>
        <w:t>Sous-classe de</w:t>
      </w:r>
    </w:p>
    <w:p w14:paraId="45E241D6" w14:textId="77777777" w:rsidR="00065317" w:rsidRDefault="005C7BF7">
      <w:pPr>
        <w:pStyle w:val="Corpsdetexte"/>
      </w:pPr>
      <w:r>
        <w:rPr>
          <w:rStyle w:val="VerbatimChar"/>
        </w:rPr>
        <w:t>E70_Chose</w:t>
      </w:r>
    </w:p>
    <w:p w14:paraId="140493D3" w14:textId="77777777" w:rsidR="00065317" w:rsidRDefault="005C7BF7">
      <w:pPr>
        <w:pStyle w:val="Corpsdetexte"/>
      </w:pPr>
      <w:r>
        <w:rPr>
          <w:b/>
          <w:bCs/>
        </w:rPr>
        <w:t>Super-classe de</w:t>
      </w:r>
    </w:p>
    <w:p w14:paraId="0EA7BA68" w14:textId="77777777" w:rsidR="00065317" w:rsidRDefault="005C7BF7">
      <w:pPr>
        <w:pStyle w:val="Corpsdetexte"/>
      </w:pPr>
      <w:r>
        <w:rPr>
          <w:rStyle w:val="VerbatimChar"/>
        </w:rPr>
        <w:t>E18_Chose_matérielle</w:t>
      </w:r>
    </w:p>
    <w:p w14:paraId="53A6D676" w14:textId="77777777" w:rsidR="00065317" w:rsidRDefault="005C7BF7">
      <w:pPr>
        <w:pStyle w:val="Corpsdetexte"/>
      </w:pPr>
      <w:r>
        <w:rPr>
          <w:rStyle w:val="VerbatimChar"/>
        </w:rPr>
        <w:t>E90_Objet_symbolique</w:t>
      </w:r>
    </w:p>
    <w:p w14:paraId="427E4CED" w14:textId="32332D14" w:rsidR="00065317" w:rsidRDefault="005C7BF7">
      <w:pPr>
        <w:pStyle w:val="Corpsdetexte"/>
      </w:pPr>
      <w:r>
        <w:rPr>
          <w:b/>
          <w:bCs/>
        </w:rPr>
        <w:lastRenderedPageBreak/>
        <w:t>Note d</w:t>
      </w:r>
      <w:r w:rsidR="00E84B0E">
        <w:rPr>
          <w:b/>
          <w:bCs/>
        </w:rPr>
        <w:t>’</w:t>
      </w:r>
      <w:r>
        <w:rPr>
          <w:b/>
          <w:bCs/>
        </w:rPr>
        <w:t>application</w:t>
      </w:r>
    </w:p>
    <w:p w14:paraId="0259F4B2" w14:textId="0D0EA2E7" w:rsidR="00065317" w:rsidRDefault="005C7BF7">
      <w:pPr>
        <w:pStyle w:val="Corpsdetexte"/>
      </w:pPr>
      <w:r>
        <w:t xml:space="preserve">Cette classe comprend les entités matérielles ou immatérielles auxquelles des instances de </w:t>
      </w:r>
      <w:r>
        <w:rPr>
          <w:rStyle w:val="VerbatimChar"/>
        </w:rPr>
        <w:t>E30_Droit</w:t>
      </w:r>
      <w:r>
        <w:t>, telles que le droit de propriété ou d</w:t>
      </w:r>
      <w:r w:rsidR="00E84B0E">
        <w:t>’</w:t>
      </w:r>
      <w:r>
        <w:t>utilisation, peuvent être appliquées.</w:t>
      </w:r>
    </w:p>
    <w:p w14:paraId="500D06E9" w14:textId="1A50B0FD" w:rsidR="00065317" w:rsidRDefault="00714434">
      <w:pPr>
        <w:pStyle w:val="Corpsdetexte"/>
      </w:pPr>
      <w:r>
        <w:t>Cela</w:t>
      </w:r>
      <w:r w:rsidR="005C7BF7">
        <w:t xml:space="preserve"> est vrai pour toutes les instances de </w:t>
      </w:r>
      <w:r w:rsidR="005C7BF7">
        <w:rPr>
          <w:rStyle w:val="VerbatimChar"/>
        </w:rPr>
        <w:t>E18_Chose_matérielle</w:t>
      </w:r>
      <w:r w:rsidR="005C7BF7">
        <w:t xml:space="preserve">. Dans le cas des instances de </w:t>
      </w:r>
      <w:r w:rsidR="005C7BF7">
        <w:rPr>
          <w:rStyle w:val="VerbatimChar"/>
        </w:rPr>
        <w:t>E28_Objet_conceptuel</w:t>
      </w:r>
      <w:r w:rsidR="005C7BF7">
        <w:t xml:space="preserve">, cependant, leur identité ou la méthode de leur utilisation peuvent se révéler trop ambigus pour établir de manière fiable des instances de </w:t>
      </w:r>
      <w:r w:rsidR="005C7BF7">
        <w:rPr>
          <w:rStyle w:val="VerbatimChar"/>
        </w:rPr>
        <w:t>E30_Droit</w:t>
      </w:r>
      <w:r w:rsidR="005C7BF7">
        <w:t>, comme dans le cas des taxons et des inspirations. La propriété d</w:t>
      </w:r>
      <w:r w:rsidR="00E84B0E">
        <w:t>’</w:t>
      </w:r>
      <w:r w:rsidR="005C7BF7">
        <w:t>entreprises est actuellement considérée comme étant hors du champ d</w:t>
      </w:r>
      <w:r w:rsidR="00E84B0E">
        <w:t>’</w:t>
      </w:r>
      <w:r w:rsidR="005C7BF7">
        <w:t xml:space="preserve">application du </w:t>
      </w:r>
      <w:r w:rsidR="00C8288F">
        <w:t>CIDOC CRM</w:t>
      </w:r>
      <w:r w:rsidR="005C7BF7">
        <w:t>.</w:t>
      </w:r>
    </w:p>
    <w:p w14:paraId="1ECF05F8" w14:textId="77777777" w:rsidR="00065317" w:rsidRDefault="005C7BF7">
      <w:pPr>
        <w:pStyle w:val="Corpsdetexte"/>
      </w:pPr>
      <w:r>
        <w:rPr>
          <w:b/>
          <w:bCs/>
        </w:rPr>
        <w:t>Exemples</w:t>
      </w:r>
    </w:p>
    <w:p w14:paraId="0724C61A" w14:textId="2786D593" w:rsidR="00065317" w:rsidRDefault="005C7BF7">
      <w:pPr>
        <w:numPr>
          <w:ilvl w:val="0"/>
          <w:numId w:val="121"/>
        </w:numPr>
      </w:pPr>
      <w:r>
        <w:t>Le diamant Cullinan (</w:t>
      </w:r>
      <w:r>
        <w:rPr>
          <w:rStyle w:val="VerbatimChar"/>
        </w:rPr>
        <w:t>E19_Objet_matériel</w:t>
      </w:r>
      <w:r>
        <w:t xml:space="preserve">) (Scarratt </w:t>
      </w:r>
      <w:r w:rsidR="00B050F5">
        <w:t>&amp;</w:t>
      </w:r>
      <w:r>
        <w:t xml:space="preserve"> Shor, 2006)</w:t>
      </w:r>
    </w:p>
    <w:p w14:paraId="7F074CAB" w14:textId="2C76BD8A" w:rsidR="00065317" w:rsidRDefault="005C7BF7" w:rsidP="004E5EA3">
      <w:pPr>
        <w:numPr>
          <w:ilvl w:val="0"/>
          <w:numId w:val="121"/>
        </w:numPr>
      </w:pPr>
      <w:r>
        <w:t>Définition du Modèle conceptuel de référence d</w:t>
      </w:r>
      <w:r w:rsidR="00B050F5">
        <w:t>u C</w:t>
      </w:r>
      <w:r>
        <w:t>IDOC, Version 5.0.4 (</w:t>
      </w:r>
      <w:r>
        <w:rPr>
          <w:rStyle w:val="VerbatimChar"/>
        </w:rPr>
        <w:t>E73_Objet_informationnel</w:t>
      </w:r>
      <w:r>
        <w:t>) (ISO 21127 : 2014)</w:t>
      </w:r>
    </w:p>
    <w:p w14:paraId="61CF492C" w14:textId="77777777" w:rsidR="00065317" w:rsidRDefault="005C7BF7" w:rsidP="008B044A">
      <w:pPr>
        <w:pStyle w:val="FirstParagraph"/>
        <w:spacing w:after="140"/>
      </w:pPr>
      <w:r>
        <w:rPr>
          <w:b/>
          <w:bCs/>
        </w:rPr>
        <w:t>Logique</w:t>
      </w:r>
    </w:p>
    <w:p w14:paraId="6837141E" w14:textId="77777777" w:rsidR="00065317" w:rsidRDefault="005C7BF7" w:rsidP="008B044A">
      <w:pPr>
        <w:pStyle w:val="Corpsdetexte"/>
        <w:spacing w:before="140"/>
      </w:pPr>
      <w:r>
        <w:t>E72(x) ⇒ E70(x)</w:t>
      </w:r>
    </w:p>
    <w:p w14:paraId="240BBBC3" w14:textId="77777777" w:rsidR="00065317" w:rsidRDefault="005C7BF7">
      <w:pPr>
        <w:pStyle w:val="Corpsdetexte"/>
      </w:pPr>
      <w:r>
        <w:rPr>
          <w:b/>
          <w:bCs/>
        </w:rPr>
        <w:t>Propriétés</w:t>
      </w:r>
    </w:p>
    <w:p w14:paraId="712EDACA" w14:textId="11FB5AA1" w:rsidR="00065317" w:rsidRDefault="005C7BF7">
      <w:pPr>
        <w:pStyle w:val="Corpsdetexte"/>
      </w:pPr>
      <w:r>
        <w:rPr>
          <w:rStyle w:val="VerbatimChar"/>
        </w:rPr>
        <w:t>P104_est_soumis_à (s</w:t>
      </w:r>
      <w:r w:rsidR="00E84B0E">
        <w:rPr>
          <w:rStyle w:val="VerbatimChar"/>
        </w:rPr>
        <w:t>’</w:t>
      </w:r>
      <w:r>
        <w:rPr>
          <w:rStyle w:val="VerbatimChar"/>
        </w:rPr>
        <w:t>applique_à)</w:t>
      </w:r>
      <w:r>
        <w:t xml:space="preserve"> : </w:t>
      </w:r>
      <w:r>
        <w:rPr>
          <w:rStyle w:val="VerbatimChar"/>
        </w:rPr>
        <w:t>E30_Droit</w:t>
      </w:r>
    </w:p>
    <w:p w14:paraId="2D8C6501" w14:textId="77777777" w:rsidR="00065317" w:rsidRDefault="005C7BF7">
      <w:pPr>
        <w:pStyle w:val="Corpsdetexte"/>
      </w:pPr>
      <w:r>
        <w:rPr>
          <w:rStyle w:val="VerbatimChar"/>
        </w:rPr>
        <w:t>P105_droit_détenu_par (détient_le_droit_sur)</w:t>
      </w:r>
      <w:r>
        <w:t xml:space="preserve"> : </w:t>
      </w:r>
      <w:r>
        <w:rPr>
          <w:rStyle w:val="VerbatimChar"/>
        </w:rPr>
        <w:t>E39_Actant</w:t>
      </w:r>
    </w:p>
    <w:p w14:paraId="7E0BA74F" w14:textId="77777777" w:rsidR="00065317" w:rsidRDefault="005C7BF7">
      <w:pPr>
        <w:pStyle w:val="Normalcentr"/>
      </w:pPr>
      <w:r>
        <w:rPr>
          <w:b/>
          <w:bCs/>
          <w:i/>
          <w:iCs/>
        </w:rPr>
        <w:t>Note de traduction</w:t>
      </w:r>
    </w:p>
    <w:p w14:paraId="4C537949" w14:textId="0713306C" w:rsidR="00065317" w:rsidRDefault="005C7BF7" w:rsidP="008B044A">
      <w:pPr>
        <w:pStyle w:val="Normalcentr"/>
        <w:spacing w:after="60"/>
        <w:ind w:left="482" w:right="482"/>
      </w:pPr>
      <w:r>
        <w:rPr>
          <w:b/>
          <w:bCs/>
          <w:i/>
          <w:iCs/>
        </w:rPr>
        <w:t>Références</w:t>
      </w:r>
    </w:p>
    <w:p w14:paraId="3960B698" w14:textId="77777777" w:rsidR="00065317" w:rsidRDefault="005C7BF7" w:rsidP="008B044A">
      <w:pPr>
        <w:pStyle w:val="Titre3"/>
        <w:spacing w:before="160" w:after="140"/>
      </w:pPr>
      <w:bookmarkStart w:id="226" w:name="_Toc154048798"/>
      <w:bookmarkStart w:id="227" w:name="e73-objet-informationnel"/>
      <w:bookmarkEnd w:id="225"/>
      <w:r>
        <w:t>E73 Objet informationnel</w:t>
      </w:r>
      <w:bookmarkEnd w:id="226"/>
    </w:p>
    <w:p w14:paraId="4E49AD39" w14:textId="77777777" w:rsidR="00065317" w:rsidRDefault="005C7BF7">
      <w:pPr>
        <w:pStyle w:val="FirstParagraph"/>
      </w:pPr>
      <w:r>
        <w:rPr>
          <w:b/>
          <w:bCs/>
        </w:rPr>
        <w:t>Sous-classe de</w:t>
      </w:r>
    </w:p>
    <w:p w14:paraId="7B8752E6" w14:textId="77777777" w:rsidR="00065317" w:rsidRDefault="005C7BF7">
      <w:pPr>
        <w:pStyle w:val="Corpsdetexte"/>
      </w:pPr>
      <w:r>
        <w:rPr>
          <w:rStyle w:val="VerbatimChar"/>
        </w:rPr>
        <w:t>E89_Objet_propositionnel</w:t>
      </w:r>
    </w:p>
    <w:p w14:paraId="3B57556A" w14:textId="06354288" w:rsidR="00A81E78" w:rsidRDefault="005C7BF7">
      <w:pPr>
        <w:pStyle w:val="Corpsdetexte"/>
        <w:rPr>
          <w:b/>
          <w:bCs/>
        </w:rPr>
      </w:pPr>
      <w:r>
        <w:rPr>
          <w:rStyle w:val="VerbatimChar"/>
        </w:rPr>
        <w:t>E90_Objet_symbolique</w:t>
      </w:r>
    </w:p>
    <w:p w14:paraId="174C1EB6" w14:textId="545E28FD" w:rsidR="00065317" w:rsidRDefault="005C7BF7">
      <w:pPr>
        <w:pStyle w:val="Corpsdetexte"/>
      </w:pPr>
      <w:r>
        <w:rPr>
          <w:b/>
          <w:bCs/>
        </w:rPr>
        <w:t>Super-classe de</w:t>
      </w:r>
    </w:p>
    <w:p w14:paraId="5E42F8FE" w14:textId="77777777" w:rsidR="00065317" w:rsidRDefault="005C7BF7">
      <w:pPr>
        <w:pStyle w:val="Corpsdetexte"/>
      </w:pPr>
      <w:r>
        <w:rPr>
          <w:rStyle w:val="VerbatimChar"/>
        </w:rPr>
        <w:t>E29_Conceptualisation_ou_procédure</w:t>
      </w:r>
    </w:p>
    <w:p w14:paraId="4A57100C" w14:textId="77777777" w:rsidR="00065317" w:rsidRDefault="005C7BF7">
      <w:pPr>
        <w:pStyle w:val="Corpsdetexte"/>
      </w:pPr>
      <w:r>
        <w:rPr>
          <w:rStyle w:val="VerbatimChar"/>
        </w:rPr>
        <w:t>E31_Document</w:t>
      </w:r>
    </w:p>
    <w:p w14:paraId="090F8C28" w14:textId="77777777" w:rsidR="00065317" w:rsidRDefault="005C7BF7">
      <w:pPr>
        <w:pStyle w:val="Corpsdetexte"/>
      </w:pPr>
      <w:r>
        <w:rPr>
          <w:rStyle w:val="VerbatimChar"/>
        </w:rPr>
        <w:t>E33_Objet_linguistique</w:t>
      </w:r>
    </w:p>
    <w:p w14:paraId="34808E4F" w14:textId="77777777" w:rsidR="00065317" w:rsidRDefault="005C7BF7">
      <w:pPr>
        <w:pStyle w:val="Corpsdetexte"/>
      </w:pPr>
      <w:r>
        <w:rPr>
          <w:rStyle w:val="VerbatimChar"/>
        </w:rPr>
        <w:t>E36_Entité_visuelle</w:t>
      </w:r>
    </w:p>
    <w:p w14:paraId="42E033E2" w14:textId="469BB04A" w:rsidR="00065317" w:rsidRDefault="005C7BF7">
      <w:pPr>
        <w:pStyle w:val="Corpsdetexte"/>
      </w:pPr>
      <w:r>
        <w:rPr>
          <w:b/>
          <w:bCs/>
        </w:rPr>
        <w:t>Note d</w:t>
      </w:r>
      <w:r w:rsidR="00E84B0E">
        <w:rPr>
          <w:b/>
          <w:bCs/>
        </w:rPr>
        <w:t>’</w:t>
      </w:r>
      <w:r>
        <w:rPr>
          <w:b/>
          <w:bCs/>
        </w:rPr>
        <w:t>application</w:t>
      </w:r>
    </w:p>
    <w:p w14:paraId="2E332E02" w14:textId="2F7A43F8" w:rsidR="00065317" w:rsidRDefault="005C7BF7">
      <w:pPr>
        <w:pStyle w:val="Corpsdetexte"/>
      </w:pPr>
      <w:r>
        <w:t>Cette classe comprend des entités immatérielles identifiables, telles que des poèmes, des blagues, des jeux de données, des images, des textes, des objets multimédia, des prescriptions procédurales, des codes de programmation informatiques, des algorithmes ou des formules mathématiques, qui possèdent de manière objective une structure reconnaissable et qui sont documentées comme des éléments uniques. La structure d</w:t>
      </w:r>
      <w:r w:rsidR="00E84B0E">
        <w:t>’</w:t>
      </w:r>
      <w:r>
        <w:t xml:space="preserve">encodage connue sous le nom de « graphe nommé » appartient aussi à cette classe, de sorte que chaque « graphe nommé » est une instance de </w:t>
      </w:r>
      <w:r>
        <w:rPr>
          <w:rStyle w:val="VerbatimChar"/>
        </w:rPr>
        <w:t>E73_Objet_informationnel</w:t>
      </w:r>
      <w:r>
        <w:t>.</w:t>
      </w:r>
    </w:p>
    <w:p w14:paraId="7C78D272" w14:textId="6F465FE0" w:rsidR="00065317" w:rsidRDefault="005C7BF7">
      <w:pPr>
        <w:pStyle w:val="Corpsdetexte"/>
      </w:pPr>
      <w:r>
        <w:lastRenderedPageBreak/>
        <w:t xml:space="preserve">Une instance de </w:t>
      </w:r>
      <w:r>
        <w:rPr>
          <w:rStyle w:val="VerbatimChar"/>
        </w:rPr>
        <w:t>E73_Objet_informationnel</w:t>
      </w:r>
      <w:r>
        <w:t xml:space="preserve"> ne dépend pas d</w:t>
      </w:r>
      <w:r w:rsidR="00E84B0E">
        <w:t>’</w:t>
      </w:r>
      <w:r>
        <w:t>un support physique, elle peut inclure la mémoire humaine, et peut exister sur un ou plusieurs supports simultanément.</w:t>
      </w:r>
    </w:p>
    <w:p w14:paraId="422E69CF" w14:textId="77777777" w:rsidR="00065317" w:rsidRDefault="005C7BF7">
      <w:pPr>
        <w:pStyle w:val="Corpsdetexte"/>
      </w:pPr>
      <w:r>
        <w:t xml:space="preserve">Les instances de </w:t>
      </w:r>
      <w:r>
        <w:rPr>
          <w:rStyle w:val="VerbatimChar"/>
        </w:rPr>
        <w:t>E73_Objet_informationnel</w:t>
      </w:r>
      <w:r>
        <w:t xml:space="preserve"> de nature linguistique devraient être déclarées comme des instances de la sous-classe </w:t>
      </w:r>
      <w:r>
        <w:rPr>
          <w:rStyle w:val="VerbatimChar"/>
        </w:rPr>
        <w:t>E33_Objet_linguistique</w:t>
      </w:r>
      <w:r>
        <w:t xml:space="preserve">. Les instances de </w:t>
      </w:r>
      <w:r>
        <w:rPr>
          <w:rStyle w:val="VerbatimChar"/>
        </w:rPr>
        <w:t>E73_Objet_informationnel</w:t>
      </w:r>
      <w:r>
        <w:t xml:space="preserve"> de nature documentaire devraient être déclarées comme des instances de la sous-classe </w:t>
      </w:r>
      <w:r>
        <w:rPr>
          <w:rStyle w:val="VerbatimChar"/>
        </w:rPr>
        <w:t>E31_Document</w:t>
      </w:r>
      <w:r>
        <w:t xml:space="preserve">. Les entités conceptuelles telles que les types et classes ou les idées sans expression reproductible ne sont pas des instances de </w:t>
      </w:r>
      <w:r>
        <w:rPr>
          <w:rStyle w:val="VerbatimChar"/>
        </w:rPr>
        <w:t>E73_Objet_informationnel</w:t>
      </w:r>
      <w:r>
        <w:t>.</w:t>
      </w:r>
    </w:p>
    <w:p w14:paraId="099DF08F" w14:textId="77777777" w:rsidR="00065317" w:rsidRDefault="005C7BF7" w:rsidP="008B044A">
      <w:pPr>
        <w:pStyle w:val="Corpsdetexte"/>
        <w:spacing w:after="140"/>
      </w:pPr>
      <w:r>
        <w:rPr>
          <w:b/>
          <w:bCs/>
        </w:rPr>
        <w:t>Exemples</w:t>
      </w:r>
    </w:p>
    <w:p w14:paraId="0B2266EF" w14:textId="14C1340B" w:rsidR="00065317" w:rsidRDefault="005C7BF7" w:rsidP="008B044A">
      <w:pPr>
        <w:numPr>
          <w:ilvl w:val="0"/>
          <w:numId w:val="122"/>
        </w:numPr>
        <w:spacing w:before="100" w:after="100"/>
        <w:ind w:hanging="482"/>
      </w:pPr>
      <w:r>
        <w:t>L</w:t>
      </w:r>
      <w:r w:rsidR="00E84B0E">
        <w:t>’</w:t>
      </w:r>
      <w:r>
        <w:t>image BM000038850.JPG du Clayton Herbarium de Londres (</w:t>
      </w:r>
      <w:r>
        <w:rPr>
          <w:rStyle w:val="VerbatimChar"/>
        </w:rPr>
        <w:t>E31_Document</w:t>
      </w:r>
      <w:r>
        <w:t>) (Natural History Museum, 2021)</w:t>
      </w:r>
    </w:p>
    <w:p w14:paraId="41D38F27" w14:textId="4ADDA56C" w:rsidR="00065317" w:rsidRDefault="005C7BF7" w:rsidP="008B044A">
      <w:pPr>
        <w:numPr>
          <w:ilvl w:val="0"/>
          <w:numId w:val="122"/>
        </w:numPr>
        <w:spacing w:before="120" w:after="120"/>
      </w:pPr>
      <w:r>
        <w:t xml:space="preserve">Le poème </w:t>
      </w:r>
      <w:r>
        <w:rPr>
          <w:i/>
          <w:iCs/>
        </w:rPr>
        <w:t>Le Corbeau</w:t>
      </w:r>
      <w:r>
        <w:t xml:space="preserve"> (</w:t>
      </w:r>
      <w:r>
        <w:rPr>
          <w:i/>
          <w:iCs/>
        </w:rPr>
        <w:t>The Raven</w:t>
      </w:r>
      <w:r>
        <w:t>) d</w:t>
      </w:r>
      <w:r w:rsidR="00E84B0E">
        <w:t>’</w:t>
      </w:r>
      <w:r>
        <w:t>E. A. Poe (Poe, 1869)</w:t>
      </w:r>
    </w:p>
    <w:p w14:paraId="6C27AB13" w14:textId="77777777" w:rsidR="00065317" w:rsidRDefault="005C7BF7" w:rsidP="008B044A">
      <w:pPr>
        <w:numPr>
          <w:ilvl w:val="0"/>
          <w:numId w:val="122"/>
        </w:numPr>
        <w:spacing w:before="120" w:after="120"/>
      </w:pPr>
      <w:r>
        <w:t xml:space="preserve">Le film </w:t>
      </w:r>
      <w:r>
        <w:rPr>
          <w:i/>
          <w:iCs/>
        </w:rPr>
        <w:t>Les sept Samouraïs</w:t>
      </w:r>
      <w:r>
        <w:t xml:space="preserve"> (</w:t>
      </w:r>
      <w:r>
        <w:rPr>
          <w:i/>
          <w:iCs/>
        </w:rPr>
        <w:t>七人の侍</w:t>
      </w:r>
      <w:r>
        <w:t>) par Akira Kurosawa (Mellen, 2002)</w:t>
      </w:r>
    </w:p>
    <w:p w14:paraId="48DAE4EC" w14:textId="77777777" w:rsidR="00065317" w:rsidRDefault="005C7BF7" w:rsidP="008B044A">
      <w:pPr>
        <w:numPr>
          <w:ilvl w:val="0"/>
          <w:numId w:val="122"/>
        </w:numPr>
        <w:spacing w:before="120" w:after="100"/>
        <w:ind w:hanging="482"/>
      </w:pPr>
      <w:r>
        <w:t>Le texte de Huray décrivant les équations de Maxwell (Huray, 2010)</w:t>
      </w:r>
    </w:p>
    <w:p w14:paraId="108D16AA" w14:textId="77777777" w:rsidR="00065317" w:rsidRDefault="005C7BF7" w:rsidP="008B044A">
      <w:pPr>
        <w:numPr>
          <w:ilvl w:val="0"/>
          <w:numId w:val="122"/>
        </w:numPr>
        <w:spacing w:before="100" w:after="120"/>
        <w:ind w:hanging="482"/>
      </w:pPr>
      <w:r>
        <w:t>Le AAT du Getty publié en données ouvertes et liées, accédé le 2014-10-01</w:t>
      </w:r>
    </w:p>
    <w:p w14:paraId="0FAB44F0" w14:textId="77777777" w:rsidR="00065317" w:rsidRDefault="005C7BF7">
      <w:pPr>
        <w:pStyle w:val="FirstParagraph"/>
      </w:pPr>
      <w:r>
        <w:rPr>
          <w:b/>
          <w:bCs/>
        </w:rPr>
        <w:t>Logique</w:t>
      </w:r>
    </w:p>
    <w:p w14:paraId="3880621C" w14:textId="77777777" w:rsidR="00065317" w:rsidRDefault="005C7BF7">
      <w:pPr>
        <w:numPr>
          <w:ilvl w:val="0"/>
          <w:numId w:val="123"/>
        </w:numPr>
      </w:pPr>
      <w:r>
        <w:t>E73(x) ⇒ E89(x)</w:t>
      </w:r>
    </w:p>
    <w:p w14:paraId="3040AB7B" w14:textId="77777777" w:rsidR="00065317" w:rsidRDefault="005C7BF7">
      <w:pPr>
        <w:numPr>
          <w:ilvl w:val="0"/>
          <w:numId w:val="123"/>
        </w:numPr>
      </w:pPr>
      <w:r>
        <w:t>E73(x) ⇒ E90(x)</w:t>
      </w:r>
    </w:p>
    <w:p w14:paraId="3BFF6952" w14:textId="77777777" w:rsidR="00065317" w:rsidRDefault="005C7BF7">
      <w:pPr>
        <w:pStyle w:val="FirstParagraph"/>
      </w:pPr>
      <w:r>
        <w:rPr>
          <w:b/>
          <w:bCs/>
        </w:rPr>
        <w:t>Propriétés</w:t>
      </w:r>
    </w:p>
    <w:p w14:paraId="50784E3F" w14:textId="59759B9A" w:rsidR="00065317" w:rsidRDefault="005C7BF7">
      <w:pPr>
        <w:pStyle w:val="Corpsdetexte"/>
      </w:pPr>
      <w:r>
        <w:rPr>
          <w:rStyle w:val="VerbatimChar"/>
        </w:rPr>
        <w:t>P165_inclut (est_inclut_dans)</w:t>
      </w:r>
      <w:r w:rsidR="00B050F5">
        <w:t xml:space="preserve"> </w:t>
      </w:r>
      <w:r>
        <w:t xml:space="preserve">: </w:t>
      </w:r>
      <w:r>
        <w:rPr>
          <w:rStyle w:val="VerbatimChar"/>
        </w:rPr>
        <w:t>E90_Objet_symbolique</w:t>
      </w:r>
    </w:p>
    <w:p w14:paraId="325EB076" w14:textId="77777777" w:rsidR="00065317" w:rsidRDefault="005C7BF7">
      <w:pPr>
        <w:pStyle w:val="Normalcentr"/>
      </w:pPr>
      <w:r>
        <w:rPr>
          <w:b/>
          <w:bCs/>
          <w:i/>
          <w:iCs/>
        </w:rPr>
        <w:t>Note de traduction</w:t>
      </w:r>
    </w:p>
    <w:p w14:paraId="4152EDF4" w14:textId="4445FDB9" w:rsidR="00065317" w:rsidRDefault="005C7BF7" w:rsidP="00BF7EA3">
      <w:pPr>
        <w:pStyle w:val="Normalcentr"/>
      </w:pPr>
      <w:r>
        <w:rPr>
          <w:b/>
          <w:bCs/>
          <w:i/>
          <w:iCs/>
        </w:rPr>
        <w:t>Références</w:t>
      </w:r>
    </w:p>
    <w:p w14:paraId="257F79E4" w14:textId="77777777" w:rsidR="00065317" w:rsidRDefault="005C7BF7" w:rsidP="00914F34">
      <w:pPr>
        <w:pStyle w:val="Titre3"/>
      </w:pPr>
      <w:bookmarkStart w:id="228" w:name="_Toc154048799"/>
      <w:bookmarkStart w:id="229" w:name="e74-groupe"/>
      <w:bookmarkEnd w:id="227"/>
      <w:r>
        <w:t>E74 Groupe</w:t>
      </w:r>
      <w:bookmarkEnd w:id="228"/>
    </w:p>
    <w:p w14:paraId="2673E7E9" w14:textId="77777777" w:rsidR="00065317" w:rsidRDefault="005C7BF7">
      <w:pPr>
        <w:pStyle w:val="FirstParagraph"/>
      </w:pPr>
      <w:r>
        <w:rPr>
          <w:b/>
          <w:bCs/>
        </w:rPr>
        <w:t>Sous-classe de</w:t>
      </w:r>
    </w:p>
    <w:p w14:paraId="4794A571" w14:textId="77777777" w:rsidR="00065317" w:rsidRDefault="005C7BF7">
      <w:pPr>
        <w:pStyle w:val="Corpsdetexte"/>
      </w:pPr>
      <w:r>
        <w:rPr>
          <w:rStyle w:val="VerbatimChar"/>
        </w:rPr>
        <w:t>E39_Actant</w:t>
      </w:r>
    </w:p>
    <w:p w14:paraId="2C9BCB0D" w14:textId="77777777" w:rsidR="00065317" w:rsidRDefault="005C7BF7">
      <w:pPr>
        <w:pStyle w:val="Corpsdetexte"/>
      </w:pPr>
      <w:r>
        <w:rPr>
          <w:b/>
          <w:bCs/>
        </w:rPr>
        <w:t>Super-classe de</w:t>
      </w:r>
    </w:p>
    <w:p w14:paraId="6FC973E2" w14:textId="4B78A92D" w:rsidR="00065317" w:rsidRDefault="005C7BF7">
      <w:pPr>
        <w:pStyle w:val="Corpsdetexte"/>
      </w:pPr>
      <w:r>
        <w:rPr>
          <w:b/>
          <w:bCs/>
        </w:rPr>
        <w:t>Note d</w:t>
      </w:r>
      <w:r w:rsidR="00E84B0E">
        <w:rPr>
          <w:b/>
          <w:bCs/>
        </w:rPr>
        <w:t>’</w:t>
      </w:r>
      <w:r>
        <w:rPr>
          <w:b/>
          <w:bCs/>
        </w:rPr>
        <w:t>application</w:t>
      </w:r>
    </w:p>
    <w:p w14:paraId="1E6F8DDB" w14:textId="5CE2AF5A" w:rsidR="00065317" w:rsidRDefault="005C7BF7">
      <w:pPr>
        <w:pStyle w:val="Corpsdetexte"/>
      </w:pPr>
      <w:r>
        <w:t>Cette classe comprend les réunions ou organisations d</w:t>
      </w:r>
      <w:r w:rsidR="00E84B0E">
        <w:t>’</w:t>
      </w:r>
      <w:r>
        <w:t>individus humains ou de groupes qui agissent collectivement et de manière similaire en raison d</w:t>
      </w:r>
      <w:r w:rsidR="00E84B0E">
        <w:t>’</w:t>
      </w:r>
      <w:r>
        <w:t>une relation commune qui les unit. De manière générale, cette classe comprend aussi les positions officielles considérées dans certains contextes comme relevant d</w:t>
      </w:r>
      <w:r w:rsidR="00E84B0E">
        <w:t>’</w:t>
      </w:r>
      <w:r>
        <w:t>un seul actant, indépendamment du détenteur actuel du titre au moment où il est enregistré (par exemple, le président d</w:t>
      </w:r>
      <w:r w:rsidR="00E84B0E">
        <w:t>’</w:t>
      </w:r>
      <w:r>
        <w:t>un pays). Il est possible, dans de tels cas, que le groupe n</w:t>
      </w:r>
      <w:r w:rsidR="00E84B0E">
        <w:t>’</w:t>
      </w:r>
      <w:r>
        <w:t>ait jamais plus d</w:t>
      </w:r>
      <w:r w:rsidR="00E84B0E">
        <w:t>’</w:t>
      </w:r>
      <w:r>
        <w:t xml:space="preserve">un seul membre. Un pseudonyme partagé (c.-à-d. un nom qui semble référer à un individu, mais qui en fait est un rôle endossé par deux personnes ou plus) est un cas particulier relevant de </w:t>
      </w:r>
      <w:r>
        <w:rPr>
          <w:rStyle w:val="VerbatimChar"/>
        </w:rPr>
        <w:t>E74_Groupe</w:t>
      </w:r>
      <w:r>
        <w:t>.</w:t>
      </w:r>
    </w:p>
    <w:p w14:paraId="38A1BBA3" w14:textId="6E47A1D7" w:rsidR="00065317" w:rsidRDefault="005C7BF7">
      <w:pPr>
        <w:pStyle w:val="Corpsdetexte"/>
      </w:pPr>
      <w:r>
        <w:t xml:space="preserve">Un rassemblement de personnes devient une instance de </w:t>
      </w:r>
      <w:r>
        <w:rPr>
          <w:rStyle w:val="VerbatimChar"/>
        </w:rPr>
        <w:t>E74_Groupe</w:t>
      </w:r>
      <w:r>
        <w:t xml:space="preserve"> lorsqu</w:t>
      </w:r>
      <w:r w:rsidR="00E84B0E">
        <w:t>’</w:t>
      </w:r>
      <w:r>
        <w:t>il démontre des caractéristiques généralement associées à un ensemble d</w:t>
      </w:r>
      <w:r w:rsidR="00E84B0E">
        <w:t>’</w:t>
      </w:r>
      <w:r>
        <w:t>idées ou de croyances communes, ou d</w:t>
      </w:r>
      <w:r w:rsidR="00E84B0E">
        <w:t>’</w:t>
      </w:r>
      <w:r>
        <w:t>actions effectuées de manière commune. De telles caractéristiques peuvent prendre plusieurs formes : communications; création d</w:t>
      </w:r>
      <w:r w:rsidR="00E84B0E">
        <w:t>’</w:t>
      </w:r>
      <w:r>
        <w:t>artéfacts communs; mission commune comme l</w:t>
      </w:r>
      <w:r w:rsidR="00E84B0E">
        <w:t>’</w:t>
      </w:r>
      <w:r>
        <w:t>étude, la dévotion, les affaires, les sports, etc.</w:t>
      </w:r>
    </w:p>
    <w:p w14:paraId="2FA83515" w14:textId="3948C92D" w:rsidR="00065317" w:rsidRDefault="005C7BF7">
      <w:pPr>
        <w:pStyle w:val="Corpsdetexte"/>
      </w:pPr>
      <w:r>
        <w:lastRenderedPageBreak/>
        <w:t>La nationalité peut être modélisée comme l</w:t>
      </w:r>
      <w:r w:rsidR="00E84B0E">
        <w:t>’</w:t>
      </w:r>
      <w:r>
        <w:t>appartenance d</w:t>
      </w:r>
      <w:r w:rsidR="00E84B0E">
        <w:t>’</w:t>
      </w:r>
      <w:r>
        <w:t xml:space="preserve">une instance de </w:t>
      </w:r>
      <w:r>
        <w:rPr>
          <w:rStyle w:val="VerbatimChar"/>
        </w:rPr>
        <w:t>E74_Groupe</w:t>
      </w:r>
      <w:r>
        <w:t xml:space="preserve">. Les couples mariés et autres concepts familiaux sont des exemples particuliers de </w:t>
      </w:r>
      <w:r>
        <w:rPr>
          <w:rStyle w:val="VerbatimChar"/>
        </w:rPr>
        <w:t>E74_Groupe</w:t>
      </w:r>
      <w:r>
        <w:t>.</w:t>
      </w:r>
    </w:p>
    <w:p w14:paraId="63092A70" w14:textId="77777777" w:rsidR="00065317" w:rsidRDefault="005C7BF7">
      <w:pPr>
        <w:pStyle w:val="Corpsdetexte"/>
      </w:pPr>
      <w:r>
        <w:rPr>
          <w:b/>
          <w:bCs/>
        </w:rPr>
        <w:t>Exemples</w:t>
      </w:r>
    </w:p>
    <w:p w14:paraId="71ADF349" w14:textId="77777777" w:rsidR="00065317" w:rsidRDefault="005C7BF7">
      <w:pPr>
        <w:numPr>
          <w:ilvl w:val="0"/>
          <w:numId w:val="124"/>
        </w:numPr>
      </w:pPr>
      <w:r>
        <w:t>Les impressionnistes (Wilson, 1994)</w:t>
      </w:r>
    </w:p>
    <w:p w14:paraId="395B273D" w14:textId="77777777" w:rsidR="00065317" w:rsidRDefault="005C7BF7">
      <w:pPr>
        <w:numPr>
          <w:ilvl w:val="0"/>
          <w:numId w:val="124"/>
        </w:numPr>
      </w:pPr>
      <w:r>
        <w:t>Les Navajo (Correll, 1972)</w:t>
      </w:r>
    </w:p>
    <w:p w14:paraId="78FD2267" w14:textId="77777777" w:rsidR="00065317" w:rsidRDefault="005C7BF7">
      <w:pPr>
        <w:numPr>
          <w:ilvl w:val="0"/>
          <w:numId w:val="124"/>
        </w:numPr>
      </w:pPr>
      <w:r>
        <w:t>Les Grecs (Williams, 1993)</w:t>
      </w:r>
    </w:p>
    <w:p w14:paraId="221DC20E" w14:textId="18F0B306" w:rsidR="00065317" w:rsidRDefault="005C7BF7">
      <w:pPr>
        <w:numPr>
          <w:ilvl w:val="0"/>
          <w:numId w:val="124"/>
        </w:numPr>
      </w:pPr>
      <w:r>
        <w:t>Les manifestants en faveur de la paix qui se sont mobilisés à New York le 15</w:t>
      </w:r>
      <w:r w:rsidR="00056DCD">
        <w:t> février </w:t>
      </w:r>
      <w:r>
        <w:t>2003</w:t>
      </w:r>
    </w:p>
    <w:p w14:paraId="6AAA57A5" w14:textId="77777777" w:rsidR="00065317" w:rsidRDefault="005C7BF7">
      <w:pPr>
        <w:numPr>
          <w:ilvl w:val="0"/>
          <w:numId w:val="124"/>
        </w:numPr>
      </w:pPr>
      <w:r>
        <w:t>Exxon-Mobil (Raymond, 2006)</w:t>
      </w:r>
    </w:p>
    <w:p w14:paraId="23F13680" w14:textId="77777777" w:rsidR="00065317" w:rsidRDefault="005C7BF7">
      <w:pPr>
        <w:numPr>
          <w:ilvl w:val="0"/>
          <w:numId w:val="124"/>
        </w:numPr>
      </w:pPr>
      <w:r>
        <w:t>Le Roi Salomon et ses épouses (Thieberger, 1947)</w:t>
      </w:r>
    </w:p>
    <w:p w14:paraId="77C49301" w14:textId="77777777" w:rsidR="00065317" w:rsidRDefault="005C7BF7">
      <w:pPr>
        <w:numPr>
          <w:ilvl w:val="0"/>
          <w:numId w:val="124"/>
        </w:numPr>
      </w:pPr>
      <w:r>
        <w:t>Le Président de la confédération suisse</w:t>
      </w:r>
    </w:p>
    <w:p w14:paraId="4B488AA5" w14:textId="07AE0EAD" w:rsidR="00065317" w:rsidRDefault="005C7BF7">
      <w:pPr>
        <w:numPr>
          <w:ilvl w:val="0"/>
          <w:numId w:val="124"/>
        </w:numPr>
      </w:pPr>
      <w:r>
        <w:t>Nicolas Bourbaki [le pseudonyme collectif d</w:t>
      </w:r>
      <w:r w:rsidR="00E84B0E">
        <w:t>’</w:t>
      </w:r>
      <w:r>
        <w:t>un groupe de mathématiciens composé principalement d</w:t>
      </w:r>
      <w:r w:rsidR="00E84B0E">
        <w:t>’</w:t>
      </w:r>
      <w:r>
        <w:t>anciens élèves de l</w:t>
      </w:r>
      <w:r w:rsidR="00E84B0E">
        <w:t>’</w:t>
      </w:r>
      <w:r>
        <w:t>École normale supérieure] (Aczel, 2007)</w:t>
      </w:r>
    </w:p>
    <w:p w14:paraId="38FBAA64" w14:textId="77777777" w:rsidR="00065317" w:rsidRDefault="005C7BF7">
      <w:pPr>
        <w:numPr>
          <w:ilvl w:val="0"/>
          <w:numId w:val="124"/>
        </w:numPr>
      </w:pPr>
      <w:r>
        <w:t>Betty Crocker (Crocker, 2012)</w:t>
      </w:r>
    </w:p>
    <w:p w14:paraId="29C49EFD" w14:textId="77777777" w:rsidR="00065317" w:rsidRDefault="005C7BF7">
      <w:pPr>
        <w:numPr>
          <w:ilvl w:val="0"/>
          <w:numId w:val="124"/>
        </w:numPr>
      </w:pPr>
      <w:r>
        <w:t>Ellery Queen [pseudonyme créé en 1929 par les auteurs américains de polar Frederic Dannay et Manfred Bennington Lee] (Wheat, 2005)</w:t>
      </w:r>
    </w:p>
    <w:p w14:paraId="77140F85" w14:textId="77777777" w:rsidR="00065317" w:rsidRDefault="005C7BF7">
      <w:pPr>
        <w:numPr>
          <w:ilvl w:val="0"/>
          <w:numId w:val="124"/>
        </w:numPr>
      </w:pPr>
      <w:r>
        <w:t>Greenpeace</w:t>
      </w:r>
    </w:p>
    <w:p w14:paraId="57A469AF" w14:textId="77777777" w:rsidR="00065317" w:rsidRDefault="005C7BF7">
      <w:pPr>
        <w:numPr>
          <w:ilvl w:val="0"/>
          <w:numId w:val="124"/>
        </w:numPr>
      </w:pPr>
      <w:r>
        <w:t>Paveprime Ltd</w:t>
      </w:r>
    </w:p>
    <w:p w14:paraId="59774EE4" w14:textId="77777777" w:rsidR="00065317" w:rsidRDefault="005C7BF7">
      <w:pPr>
        <w:numPr>
          <w:ilvl w:val="0"/>
          <w:numId w:val="124"/>
        </w:numPr>
      </w:pPr>
      <w:r>
        <w:t>Le Nationalmuseet i København / Le Musée national du Danemark</w:t>
      </w:r>
    </w:p>
    <w:p w14:paraId="511A6562" w14:textId="77777777" w:rsidR="00065317" w:rsidRDefault="005C7BF7">
      <w:pPr>
        <w:pStyle w:val="FirstParagraph"/>
      </w:pPr>
      <w:r>
        <w:rPr>
          <w:b/>
          <w:bCs/>
        </w:rPr>
        <w:t>Logique</w:t>
      </w:r>
    </w:p>
    <w:p w14:paraId="7CB0314C" w14:textId="77777777" w:rsidR="00065317" w:rsidRDefault="005C7BF7">
      <w:pPr>
        <w:pStyle w:val="Corpsdetexte"/>
      </w:pPr>
      <w:r>
        <w:t>E74(x) ⇒ E39(x)</w:t>
      </w:r>
    </w:p>
    <w:p w14:paraId="0E602281" w14:textId="77777777" w:rsidR="00065317" w:rsidRDefault="005C7BF7">
      <w:pPr>
        <w:pStyle w:val="Corpsdetexte"/>
      </w:pPr>
      <w:r>
        <w:rPr>
          <w:b/>
          <w:bCs/>
        </w:rPr>
        <w:t>Propriétés</w:t>
      </w:r>
    </w:p>
    <w:p w14:paraId="191865F0" w14:textId="77777777" w:rsidR="00065317" w:rsidRDefault="005C7BF7">
      <w:pPr>
        <w:pStyle w:val="Corpsdetexte"/>
      </w:pPr>
      <w:r>
        <w:rPr>
          <w:rStyle w:val="VerbatimChar"/>
        </w:rPr>
        <w:t>P107_a_pour_membre_actuel_ou_antérieur (est_le_membre_actuel_ou_antérieur_de)</w:t>
      </w:r>
      <w:r>
        <w:t xml:space="preserve"> : </w:t>
      </w:r>
      <w:r>
        <w:rPr>
          <w:rStyle w:val="VerbatimChar"/>
        </w:rPr>
        <w:t>E39_Actant</w:t>
      </w:r>
      <w:r>
        <w:t xml:space="preserve"> </w:t>
      </w:r>
      <w:r>
        <w:rPr>
          <w:rStyle w:val="VerbatimChar"/>
        </w:rPr>
        <w:t>(P107.1_sorte_de_membre</w:t>
      </w:r>
      <w:r>
        <w:t xml:space="preserve"> : </w:t>
      </w:r>
      <w:r>
        <w:rPr>
          <w:rStyle w:val="VerbatimChar"/>
        </w:rPr>
        <w:t>E55_Type)</w:t>
      </w:r>
    </w:p>
    <w:p w14:paraId="49B0D8EF" w14:textId="5334419A" w:rsidR="00065317" w:rsidRDefault="005C7BF7" w:rsidP="003F44C6">
      <w:pPr>
        <w:pStyle w:val="Normalcentr"/>
      </w:pPr>
      <w:r>
        <w:rPr>
          <w:b/>
          <w:bCs/>
          <w:i/>
          <w:iCs/>
        </w:rPr>
        <w:t>Note de traduction</w:t>
      </w:r>
    </w:p>
    <w:p w14:paraId="4955FA70" w14:textId="4C238363" w:rsidR="00065317" w:rsidRDefault="005C7BF7" w:rsidP="00BF7EA3">
      <w:pPr>
        <w:pStyle w:val="Normalcentr"/>
      </w:pPr>
      <w:r>
        <w:rPr>
          <w:b/>
          <w:bCs/>
          <w:i/>
          <w:iCs/>
        </w:rPr>
        <w:t>Références</w:t>
      </w:r>
    </w:p>
    <w:p w14:paraId="02756F10" w14:textId="77777777" w:rsidR="00065317" w:rsidRDefault="005C7BF7" w:rsidP="00914F34">
      <w:pPr>
        <w:pStyle w:val="Titre3"/>
      </w:pPr>
      <w:bookmarkStart w:id="230" w:name="_Toc154048800"/>
      <w:bookmarkStart w:id="231" w:name="e77-entite-persistante"/>
      <w:bookmarkEnd w:id="229"/>
      <w:r>
        <w:t>E77 Entité persistante</w:t>
      </w:r>
      <w:bookmarkEnd w:id="230"/>
    </w:p>
    <w:p w14:paraId="6E325A27" w14:textId="77777777" w:rsidR="00065317" w:rsidRDefault="005C7BF7">
      <w:pPr>
        <w:pStyle w:val="FirstParagraph"/>
      </w:pPr>
      <w:r>
        <w:rPr>
          <w:b/>
          <w:bCs/>
        </w:rPr>
        <w:t>Sous-classe de</w:t>
      </w:r>
    </w:p>
    <w:p w14:paraId="1CB983DB" w14:textId="77777777" w:rsidR="00065317" w:rsidRDefault="005C7BF7">
      <w:pPr>
        <w:pStyle w:val="Corpsdetexte"/>
      </w:pPr>
      <w:r>
        <w:rPr>
          <w:rStyle w:val="VerbatimChar"/>
        </w:rPr>
        <w:t>E1_Entité_CRM</w:t>
      </w:r>
    </w:p>
    <w:p w14:paraId="14043284" w14:textId="77777777" w:rsidR="00065317" w:rsidRDefault="005C7BF7">
      <w:pPr>
        <w:pStyle w:val="Corpsdetexte"/>
      </w:pPr>
      <w:r>
        <w:rPr>
          <w:b/>
          <w:bCs/>
        </w:rPr>
        <w:t>Super-classe de</w:t>
      </w:r>
    </w:p>
    <w:p w14:paraId="0012B026" w14:textId="77777777" w:rsidR="00065317" w:rsidRDefault="005C7BF7">
      <w:pPr>
        <w:pStyle w:val="Corpsdetexte"/>
      </w:pPr>
      <w:r>
        <w:rPr>
          <w:rStyle w:val="VerbatimChar"/>
        </w:rPr>
        <w:t>E39_Actant</w:t>
      </w:r>
    </w:p>
    <w:p w14:paraId="67FC4C23" w14:textId="77777777" w:rsidR="00065317" w:rsidRDefault="005C7BF7">
      <w:pPr>
        <w:pStyle w:val="Corpsdetexte"/>
      </w:pPr>
      <w:r>
        <w:rPr>
          <w:rStyle w:val="VerbatimChar"/>
        </w:rPr>
        <w:t>E70_Chose</w:t>
      </w:r>
    </w:p>
    <w:p w14:paraId="018787AD" w14:textId="77777777" w:rsidR="004E5EA3" w:rsidRDefault="004E5EA3">
      <w:pPr>
        <w:spacing w:after="0"/>
        <w:rPr>
          <w:b/>
          <w:bCs/>
        </w:rPr>
      </w:pPr>
      <w:r>
        <w:rPr>
          <w:b/>
          <w:bCs/>
        </w:rPr>
        <w:br w:type="page"/>
      </w:r>
    </w:p>
    <w:p w14:paraId="5501CC9B" w14:textId="625211F3" w:rsidR="00065317" w:rsidRDefault="005C7BF7">
      <w:pPr>
        <w:pStyle w:val="Corpsdetexte"/>
      </w:pPr>
      <w:r>
        <w:rPr>
          <w:b/>
          <w:bCs/>
        </w:rPr>
        <w:lastRenderedPageBreak/>
        <w:t>Note d</w:t>
      </w:r>
      <w:r w:rsidR="00E84B0E">
        <w:rPr>
          <w:b/>
          <w:bCs/>
        </w:rPr>
        <w:t>’</w:t>
      </w:r>
      <w:r>
        <w:rPr>
          <w:b/>
          <w:bCs/>
        </w:rPr>
        <w:t>application</w:t>
      </w:r>
    </w:p>
    <w:p w14:paraId="41134162" w14:textId="798B515B" w:rsidR="00065317" w:rsidRDefault="005C7BF7">
      <w:pPr>
        <w:pStyle w:val="Corpsdetexte"/>
      </w:pPr>
      <w:r>
        <w:t>Cette classe comprend les entités qui possèdent des caractéristiques structurelles persistantes liées à leur identité et à leur intégrité, parfois désignées par le terme « endurants » en philosophie. Les entités persistantes peuvent être matérielles, comme des êtres humains, des animaux ou des choses, ou conceptuelles, comme des idées, des concepts, des produits de l</w:t>
      </w:r>
      <w:r w:rsidR="00E84B0E">
        <w:t>’</w:t>
      </w:r>
      <w:r>
        <w:t>imagination ou même des noms.</w:t>
      </w:r>
    </w:p>
    <w:p w14:paraId="5F5EA2D2" w14:textId="2BDC0485" w:rsidR="00065317" w:rsidRDefault="005C7BF7" w:rsidP="004E5EA3">
      <w:pPr>
        <w:pStyle w:val="Corpsdetexte"/>
      </w:pPr>
      <w:r>
        <w:t xml:space="preserve">Les instances de </w:t>
      </w:r>
      <w:r>
        <w:rPr>
          <w:rStyle w:val="VerbatimChar"/>
        </w:rPr>
        <w:t>E77_Entité_persistante</w:t>
      </w:r>
      <w:r>
        <w:t xml:space="preserve"> peuvent être présentes ou faire partie d</w:t>
      </w:r>
      <w:r w:rsidR="00E84B0E">
        <w:t>’</w:t>
      </w:r>
      <w:r>
        <w:t>interactions au cours de différentes périodes ou évènements. Elles peuvent être identifiées à maintes reprises à divers moments de leur existence par leurs caractéristiques structurelles. Ces dernières n</w:t>
      </w:r>
      <w:r w:rsidR="00E84B0E">
        <w:t>’</w:t>
      </w:r>
      <w:r>
        <w:t>ont pas besoin d</w:t>
      </w:r>
      <w:r w:rsidR="00E84B0E">
        <w:t>’</w:t>
      </w:r>
      <w:r>
        <w:t>être exactement les mêmes tout au long de l</w:t>
      </w:r>
      <w:r w:rsidR="00E84B0E">
        <w:t>’</w:t>
      </w:r>
      <w:r>
        <w:t>existence d</w:t>
      </w:r>
      <w:r w:rsidR="00E84B0E">
        <w:t>’</w:t>
      </w:r>
      <w:r>
        <w:t xml:space="preserve">une instance de </w:t>
      </w:r>
      <w:r>
        <w:rPr>
          <w:rStyle w:val="VerbatimChar"/>
        </w:rPr>
        <w:t>E77_Entité_persistante</w:t>
      </w:r>
      <w:r>
        <w:t xml:space="preserve">. Souvent, les instances de </w:t>
      </w:r>
      <w:r>
        <w:rPr>
          <w:rStyle w:val="VerbatimChar"/>
        </w:rPr>
        <w:t>E77_Entité_persistante</w:t>
      </w:r>
      <w:r>
        <w:t xml:space="preserve"> subissent des changements progressifs, tout en conservant certaines similarités avec leurs états précédents, ou bien [</w:t>
      </w:r>
      <w:r w:rsidR="00AF51A3">
        <w:t xml:space="preserve">n.d.t. </w:t>
      </w:r>
      <w:r>
        <w:t>certaines caractéristiques] disparaissent complètement tandis que de nouvelles émergent. Par exemple, les traits d</w:t>
      </w:r>
      <w:r w:rsidR="00E84B0E">
        <w:t>’</w:t>
      </w:r>
      <w:r>
        <w:t>une personne, à compter du jour de sa naissance, changeront graduellement et de nouvelles caractéristiques apparaîtront, comme une cicatrice. Même l</w:t>
      </w:r>
      <w:r w:rsidR="00E84B0E">
        <w:t>’</w:t>
      </w:r>
      <w:r>
        <w:t>ADN des cellules de différents corps peut développer des anomalies et des mutations. Cependant, les caractéristiques pertinentes sont généralement suffisamment semblables pour qu</w:t>
      </w:r>
      <w:r w:rsidR="00E84B0E">
        <w:t>’</w:t>
      </w:r>
      <w:r>
        <w:t>il soit possible de reconnaître une instance au cours d</w:t>
      </w:r>
      <w:r w:rsidR="00E84B0E">
        <w:t>’</w:t>
      </w:r>
      <w:r>
        <w:t>une longue période de temps.</w:t>
      </w:r>
    </w:p>
    <w:p w14:paraId="560E8B90" w14:textId="4147DAA8" w:rsidR="00065317" w:rsidRDefault="005C7BF7">
      <w:pPr>
        <w:pStyle w:val="Corpsdetexte"/>
      </w:pPr>
      <w:r>
        <w:t>Les critères les plus spécifiques déterminant l</w:t>
      </w:r>
      <w:r w:rsidR="00E84B0E">
        <w:t>’</w:t>
      </w:r>
      <w:r>
        <w:t xml:space="preserve">identité des instances des sous-classes de </w:t>
      </w:r>
      <w:r>
        <w:rPr>
          <w:rStyle w:val="VerbatimChar"/>
        </w:rPr>
        <w:t>E77_Entité_persistante</w:t>
      </w:r>
      <w:r>
        <w:t xml:space="preserve"> peuvent considérablement varier et sont décrits ou désignés dans les notes d</w:t>
      </w:r>
      <w:r w:rsidR="00E84B0E">
        <w:t>’</w:t>
      </w:r>
      <w:r>
        <w:t>application correspondantes. Le choix du critère exact à utiliser [</w:t>
      </w:r>
      <w:r w:rsidR="00AF51A3">
        <w:t xml:space="preserve">n.d.t. </w:t>
      </w:r>
      <w:r>
        <w:t>pour déterminer la sous-classe la plus appropriée] dépend de la correspondance entre, d</w:t>
      </w:r>
      <w:r w:rsidR="00E84B0E">
        <w:t>’</w:t>
      </w:r>
      <w:r>
        <w:t>une part, le comportement observé dans la réalité [</w:t>
      </w:r>
      <w:r w:rsidR="00AF51A3">
        <w:t xml:space="preserve">n.d.t. </w:t>
      </w:r>
      <w:r>
        <w:t>et documenté] et, d</w:t>
      </w:r>
      <w:r w:rsidR="00E84B0E">
        <w:t>’</w:t>
      </w:r>
      <w:r>
        <w:t>autre part, les raisonnements que souhaite y appliquer l</w:t>
      </w:r>
      <w:r w:rsidR="00E84B0E">
        <w:t>’</w:t>
      </w:r>
      <w:r>
        <w:t>utilisateur.</w:t>
      </w:r>
    </w:p>
    <w:p w14:paraId="070CEAFB" w14:textId="3AA8717F" w:rsidR="00065317" w:rsidRDefault="005C7BF7">
      <w:pPr>
        <w:pStyle w:val="Corpsdetexte"/>
      </w:pPr>
      <w:r>
        <w:t>Par exemple, on peut considérer qu</w:t>
      </w:r>
      <w:r w:rsidR="00E84B0E">
        <w:t>’</w:t>
      </w:r>
      <w:r>
        <w:t>un édifice n</w:t>
      </w:r>
      <w:r w:rsidR="00E84B0E">
        <w:t>’</w:t>
      </w:r>
      <w:r>
        <w:t>existe plus s</w:t>
      </w:r>
      <w:r w:rsidR="00E84B0E">
        <w:t>’</w:t>
      </w:r>
      <w:r>
        <w:t>il est démantelé et que les matériaux sont réutilisés dans une configuration différente. D</w:t>
      </w:r>
      <w:r w:rsidR="00E84B0E">
        <w:t>’</w:t>
      </w:r>
      <w:r>
        <w:t>un autre côté, les êtres humains traversent des changements profonds et radicaux pendant leur vie, lesquels affectent à la fois leur aspect et leur composition matérielle; ils conservent cependant leur identité en raison d</w:t>
      </w:r>
      <w:r w:rsidR="00E84B0E">
        <w:t>’</w:t>
      </w:r>
      <w:r>
        <w:t>autres critères, comme le fait d</w:t>
      </w:r>
      <w:r w:rsidR="00E84B0E">
        <w:t>’</w:t>
      </w:r>
      <w:r>
        <w:t>être physiquement distincts d</w:t>
      </w:r>
      <w:r w:rsidR="00E84B0E">
        <w:t>’</w:t>
      </w:r>
      <w:r>
        <w:t>autres êtres humains. De la même façon, des objets inanimés peuvent être sujets à des échanges de parties ou de matière. Au contraire, l</w:t>
      </w:r>
      <w:r w:rsidR="00E84B0E">
        <w:t>’</w:t>
      </w:r>
      <w:r>
        <w:t>identité d</w:t>
      </w:r>
      <w:r w:rsidR="00E84B0E">
        <w:t>’</w:t>
      </w:r>
      <w:r>
        <w:t>une version précise d</w:t>
      </w:r>
      <w:r w:rsidR="00E84B0E">
        <w:t>’</w:t>
      </w:r>
      <w:r>
        <w:t>un texte scientifique relève de l</w:t>
      </w:r>
      <w:r w:rsidR="00E84B0E">
        <w:t>’</w:t>
      </w:r>
      <w:r>
        <w:t>arrangement exact et signifiant de ses symboles.</w:t>
      </w:r>
    </w:p>
    <w:p w14:paraId="159F6698" w14:textId="2DEBF87A" w:rsidR="00065317" w:rsidRDefault="005C7BF7">
      <w:pPr>
        <w:pStyle w:val="Corpsdetexte"/>
      </w:pPr>
      <w:r>
        <w:t>Les principales classes d</w:t>
      </w:r>
      <w:r w:rsidR="00E84B0E">
        <w:t>’</w:t>
      </w:r>
      <w:r>
        <w:t>objets qui sortent du champ d</w:t>
      </w:r>
      <w:r w:rsidR="00E84B0E">
        <w:t>’</w:t>
      </w:r>
      <w:r>
        <w:t xml:space="preserve">application de la classe </w:t>
      </w:r>
      <w:r>
        <w:rPr>
          <w:rStyle w:val="VerbatimChar"/>
        </w:rPr>
        <w:t>E77_Entité_persistante</w:t>
      </w:r>
      <w:r>
        <w:t xml:space="preserve"> sont les objets temporels, comme les périodes, les évènements et les actions, ainsi que les propriétés descriptives.</w:t>
      </w:r>
    </w:p>
    <w:p w14:paraId="1F2F8CAB" w14:textId="5E22C737" w:rsidR="00065317" w:rsidRDefault="005C7BF7">
      <w:pPr>
        <w:pStyle w:val="Corpsdetexte"/>
      </w:pPr>
      <w:r>
        <w:t xml:space="preserve">Une instance de </w:t>
      </w:r>
      <w:r>
        <w:rPr>
          <w:rStyle w:val="VerbatimChar"/>
        </w:rPr>
        <w:t>E77_Entité_persistante</w:t>
      </w:r>
      <w:r>
        <w:t xml:space="preserve"> peut exister sans que soient actuellement connues les caractéristiques qui la définissent. Il existe certains cas où ces caractéristiques ne peuvent pas être identifiées en raison de l</w:t>
      </w:r>
      <w:r w:rsidR="00E84B0E">
        <w:t>’</w:t>
      </w:r>
      <w:r>
        <w:t>état des connaissances à un moment précis.</w:t>
      </w:r>
    </w:p>
    <w:p w14:paraId="7E343F7A" w14:textId="77777777" w:rsidR="00065317" w:rsidRDefault="005C7BF7">
      <w:pPr>
        <w:pStyle w:val="Corpsdetexte"/>
      </w:pPr>
      <w:r>
        <w:rPr>
          <w:b/>
          <w:bCs/>
        </w:rPr>
        <w:t>Exemples</w:t>
      </w:r>
    </w:p>
    <w:p w14:paraId="357436D6" w14:textId="77777777" w:rsidR="00065317" w:rsidRDefault="005C7BF7">
      <w:pPr>
        <w:numPr>
          <w:ilvl w:val="0"/>
          <w:numId w:val="125"/>
        </w:numPr>
      </w:pPr>
      <w:r>
        <w:t>Léonard de Vinci (</w:t>
      </w:r>
      <w:r>
        <w:rPr>
          <w:rStyle w:val="VerbatimChar"/>
        </w:rPr>
        <w:t>E21_Personne</w:t>
      </w:r>
      <w:r>
        <w:t>) (Strano, 1953)</w:t>
      </w:r>
    </w:p>
    <w:p w14:paraId="466891F9" w14:textId="250B2659" w:rsidR="00065317" w:rsidRDefault="005C7BF7">
      <w:pPr>
        <w:numPr>
          <w:ilvl w:val="0"/>
          <w:numId w:val="125"/>
        </w:numPr>
      </w:pPr>
      <w:r>
        <w:t>Le site de Stonehenge (</w:t>
      </w:r>
      <w:r>
        <w:rPr>
          <w:rStyle w:val="VerbatimChar"/>
        </w:rPr>
        <w:t>E24_Chose_matérielle_élaborée_par_l</w:t>
      </w:r>
      <w:r w:rsidR="00E84B0E">
        <w:rPr>
          <w:rStyle w:val="VerbatimChar"/>
        </w:rPr>
        <w:t>’</w:t>
      </w:r>
      <w:r>
        <w:rPr>
          <w:rStyle w:val="VerbatimChar"/>
        </w:rPr>
        <w:t>humain</w:t>
      </w:r>
      <w:r>
        <w:t>) (Pryor, 2016)</w:t>
      </w:r>
    </w:p>
    <w:p w14:paraId="34B4DC51" w14:textId="625DBF11" w:rsidR="00065317" w:rsidRDefault="005C7BF7">
      <w:pPr>
        <w:numPr>
          <w:ilvl w:val="0"/>
          <w:numId w:val="125"/>
        </w:numPr>
      </w:pPr>
      <w:r>
        <w:t>Le trou dans la couche d</w:t>
      </w:r>
      <w:r w:rsidR="00E84B0E">
        <w:t>’</w:t>
      </w:r>
      <w:r>
        <w:t>ozone (</w:t>
      </w:r>
      <w:r>
        <w:rPr>
          <w:rStyle w:val="VerbatimChar"/>
        </w:rPr>
        <w:t>E4_Période</w:t>
      </w:r>
      <w:r>
        <w:t>) (Hufford &amp; Horwitz, 2005)</w:t>
      </w:r>
    </w:p>
    <w:p w14:paraId="1974E79E" w14:textId="2C1228C2" w:rsidR="00065317" w:rsidRDefault="005C7BF7">
      <w:pPr>
        <w:numPr>
          <w:ilvl w:val="0"/>
          <w:numId w:val="125"/>
        </w:numPr>
      </w:pPr>
      <w:r>
        <w:t>Le premier principe de la thermodynamique (</w:t>
      </w:r>
      <w:r>
        <w:rPr>
          <w:rStyle w:val="VerbatimChar"/>
        </w:rPr>
        <w:t>E89_Objet_propositionnel</w:t>
      </w:r>
      <w:r>
        <w:t>) (Craig &amp; Gislason, 2002)</w:t>
      </w:r>
    </w:p>
    <w:p w14:paraId="34E66A39" w14:textId="77777777" w:rsidR="00065317" w:rsidRDefault="005C7BF7">
      <w:pPr>
        <w:numPr>
          <w:ilvl w:val="0"/>
          <w:numId w:val="125"/>
        </w:numPr>
      </w:pPr>
      <w:r>
        <w:t>Le triangle des Bermudes (</w:t>
      </w:r>
      <w:r>
        <w:rPr>
          <w:rStyle w:val="VerbatimChar"/>
        </w:rPr>
        <w:t>E53_Lieu</w:t>
      </w:r>
      <w:r>
        <w:t>) (Dolan, 2005)</w:t>
      </w:r>
    </w:p>
    <w:p w14:paraId="2DFFC079" w14:textId="77777777" w:rsidR="004E5EA3" w:rsidRDefault="004E5EA3">
      <w:pPr>
        <w:spacing w:after="0"/>
        <w:rPr>
          <w:b/>
          <w:bCs/>
        </w:rPr>
      </w:pPr>
      <w:r>
        <w:rPr>
          <w:b/>
          <w:bCs/>
        </w:rPr>
        <w:br w:type="page"/>
      </w:r>
    </w:p>
    <w:p w14:paraId="0685CDAC" w14:textId="32A639AF" w:rsidR="00065317" w:rsidRDefault="005C7BF7">
      <w:pPr>
        <w:pStyle w:val="FirstParagraph"/>
      </w:pPr>
      <w:r>
        <w:rPr>
          <w:b/>
          <w:bCs/>
        </w:rPr>
        <w:lastRenderedPageBreak/>
        <w:t>Logique</w:t>
      </w:r>
    </w:p>
    <w:p w14:paraId="56300577" w14:textId="77777777" w:rsidR="00065317" w:rsidRDefault="005C7BF7">
      <w:pPr>
        <w:pStyle w:val="Corpsdetexte"/>
      </w:pPr>
      <w:r>
        <w:t>E77(x) ⇒ E1(x)</w:t>
      </w:r>
    </w:p>
    <w:p w14:paraId="0B4E9919" w14:textId="77777777" w:rsidR="00065317" w:rsidRDefault="005C7BF7">
      <w:pPr>
        <w:pStyle w:val="Corpsdetexte"/>
      </w:pPr>
      <w:r>
        <w:rPr>
          <w:b/>
          <w:bCs/>
        </w:rPr>
        <w:t>Propriétés</w:t>
      </w:r>
    </w:p>
    <w:p w14:paraId="61541904" w14:textId="77777777" w:rsidR="00065317" w:rsidRDefault="005C7BF7">
      <w:pPr>
        <w:pStyle w:val="Normalcentr"/>
      </w:pPr>
      <w:r>
        <w:rPr>
          <w:b/>
          <w:bCs/>
          <w:i/>
          <w:iCs/>
        </w:rPr>
        <w:t>Note de traduction</w:t>
      </w:r>
    </w:p>
    <w:p w14:paraId="172A6FAE" w14:textId="7C9C38F1" w:rsidR="00065317" w:rsidRDefault="005C7BF7" w:rsidP="00BF7EA3">
      <w:pPr>
        <w:pStyle w:val="Normalcentr"/>
      </w:pPr>
      <w:r>
        <w:rPr>
          <w:b/>
          <w:bCs/>
          <w:i/>
          <w:iCs/>
        </w:rPr>
        <w:t>Références</w:t>
      </w:r>
    </w:p>
    <w:p w14:paraId="520B18C9" w14:textId="77777777" w:rsidR="00065317" w:rsidRDefault="005C7BF7" w:rsidP="00914F34">
      <w:pPr>
        <w:pStyle w:val="Titre3"/>
      </w:pPr>
      <w:bookmarkStart w:id="232" w:name="_Toc154048801"/>
      <w:bookmarkStart w:id="233" w:name="e78-collection"/>
      <w:bookmarkEnd w:id="231"/>
      <w:r>
        <w:t>E78 Collection</w:t>
      </w:r>
      <w:bookmarkEnd w:id="232"/>
    </w:p>
    <w:p w14:paraId="0EC2C82A" w14:textId="77777777" w:rsidR="00065317" w:rsidRDefault="005C7BF7">
      <w:pPr>
        <w:pStyle w:val="FirstParagraph"/>
      </w:pPr>
      <w:r>
        <w:rPr>
          <w:b/>
          <w:bCs/>
        </w:rPr>
        <w:t>Sous-classe de</w:t>
      </w:r>
    </w:p>
    <w:p w14:paraId="6185B15F" w14:textId="0CF8D346" w:rsidR="00065317" w:rsidRDefault="005C7BF7">
      <w:pPr>
        <w:pStyle w:val="Corpsdetexte"/>
      </w:pPr>
      <w:r>
        <w:rPr>
          <w:rStyle w:val="VerbatimChar"/>
        </w:rPr>
        <w:t>E24_Chose_matérielle_élaborée_par_l</w:t>
      </w:r>
      <w:r w:rsidR="00E84B0E">
        <w:rPr>
          <w:rStyle w:val="VerbatimChar"/>
        </w:rPr>
        <w:t>’</w:t>
      </w:r>
      <w:r>
        <w:rPr>
          <w:rStyle w:val="VerbatimChar"/>
        </w:rPr>
        <w:t>humain</w:t>
      </w:r>
    </w:p>
    <w:p w14:paraId="281A1B04" w14:textId="3A8D51B1" w:rsidR="00065317" w:rsidRPr="008B044A" w:rsidRDefault="005C7BF7" w:rsidP="004E5EA3">
      <w:pPr>
        <w:pStyle w:val="Corpsdetexte"/>
        <w:rPr>
          <w:b/>
          <w:bCs/>
        </w:rPr>
      </w:pPr>
      <w:r>
        <w:rPr>
          <w:b/>
          <w:bCs/>
        </w:rPr>
        <w:t>Super-classe de</w:t>
      </w:r>
    </w:p>
    <w:p w14:paraId="512FFEF5" w14:textId="367E72D2" w:rsidR="00065317" w:rsidRDefault="005C7BF7">
      <w:pPr>
        <w:pStyle w:val="Corpsdetexte"/>
      </w:pPr>
      <w:r>
        <w:rPr>
          <w:b/>
          <w:bCs/>
        </w:rPr>
        <w:t>Note d</w:t>
      </w:r>
      <w:r w:rsidR="00E84B0E">
        <w:rPr>
          <w:b/>
          <w:bCs/>
        </w:rPr>
        <w:t>’</w:t>
      </w:r>
      <w:r>
        <w:rPr>
          <w:b/>
          <w:bCs/>
        </w:rPr>
        <w:t>application</w:t>
      </w:r>
    </w:p>
    <w:p w14:paraId="3954DA11" w14:textId="133E1BFD" w:rsidR="00065317" w:rsidRDefault="005C7BF7">
      <w:pPr>
        <w:pStyle w:val="Corpsdetexte"/>
      </w:pPr>
      <w:r>
        <w:t>Cette classe comprend les agrégations d</w:t>
      </w:r>
      <w:r w:rsidR="00E84B0E">
        <w:t>’</w:t>
      </w:r>
      <w:r>
        <w:t xml:space="preserve">instances de </w:t>
      </w:r>
      <w:r>
        <w:rPr>
          <w:rStyle w:val="VerbatimChar"/>
        </w:rPr>
        <w:t>E18_Chose_matérielle</w:t>
      </w:r>
      <w:r>
        <w:t xml:space="preserve"> qui sont réunies et entretenues (c.-à-d., en termes muséologiques, la gestion et la conservation des collections) par une ou plusieurs instances de </w:t>
      </w:r>
      <w:r>
        <w:rPr>
          <w:rStyle w:val="VerbatimChar"/>
        </w:rPr>
        <w:t>E39_Actant</w:t>
      </w:r>
      <w:r>
        <w:t xml:space="preserve"> pendant une certaine durée, dans un but et pour une audience spécifiques, ainsi que selon un plan spécifique de développement de collection. Des instances typiques de </w:t>
      </w:r>
      <w:r>
        <w:rPr>
          <w:rStyle w:val="VerbatimChar"/>
        </w:rPr>
        <w:t>E78_Collection</w:t>
      </w:r>
      <w:r>
        <w:t xml:space="preserve"> sont les collections muséales, les archives et les collections de bibliothèques, numériques ou non. Une collection d</w:t>
      </w:r>
      <w:r w:rsidR="00E84B0E">
        <w:t>’</w:t>
      </w:r>
      <w:r>
        <w:t xml:space="preserve">une bibliothèque numérique est considérée comme une instance de </w:t>
      </w:r>
      <w:r>
        <w:rPr>
          <w:rStyle w:val="VerbatimChar"/>
        </w:rPr>
        <w:t>E18_Chose_matérielle</w:t>
      </w:r>
      <w:r>
        <w:t>, car elle requiert des supports physiques pour les contenus numériques.</w:t>
      </w:r>
    </w:p>
    <w:p w14:paraId="073E8895" w14:textId="1DB7DE86" w:rsidR="00065317" w:rsidRDefault="005C7BF7">
      <w:pPr>
        <w:pStyle w:val="Corpsdetexte"/>
      </w:pPr>
      <w:r>
        <w:t>Des éléments peuvent être ajoutés ou enlevés d</w:t>
      </w:r>
      <w:r w:rsidR="00E84B0E">
        <w:t>’</w:t>
      </w:r>
      <w:r>
        <w:t xml:space="preserve">une instance de </w:t>
      </w:r>
      <w:r>
        <w:rPr>
          <w:rStyle w:val="VerbatimChar"/>
        </w:rPr>
        <w:t>E78_Collection</w:t>
      </w:r>
      <w:r>
        <w:t xml:space="preserve"> selon le plan mis en place.</w:t>
      </w:r>
    </w:p>
    <w:p w14:paraId="050A7DC5" w14:textId="4A927B75" w:rsidR="00065317" w:rsidRDefault="005C7BF7">
      <w:pPr>
        <w:pStyle w:val="Corpsdetexte"/>
      </w:pPr>
      <w:r>
        <w:t xml:space="preserve">Cette classe ne doit pas être confondue avec la classe </w:t>
      </w:r>
      <w:r>
        <w:rPr>
          <w:rStyle w:val="VerbatimChar"/>
        </w:rPr>
        <w:t>E39_Actant</w:t>
      </w:r>
      <w:r>
        <w:t>, dont l</w:t>
      </w:r>
      <w:r w:rsidR="00E84B0E">
        <w:t>’</w:t>
      </w:r>
      <w:r>
        <w:t>instance peut parfois porter le nom de l</w:t>
      </w:r>
      <w:r w:rsidR="00E84B0E">
        <w:t>’</w:t>
      </w:r>
      <w:r>
        <w:t xml:space="preserve">instance de </w:t>
      </w:r>
      <w:r>
        <w:rPr>
          <w:rStyle w:val="VerbatimChar"/>
        </w:rPr>
        <w:t>E78_Collection</w:t>
      </w:r>
      <w:r>
        <w:t xml:space="preserve"> qu</w:t>
      </w:r>
      <w:r w:rsidR="00E84B0E">
        <w:t>’</w:t>
      </w:r>
      <w:r>
        <w:t>elle gère (p. ex. dans la phrase « La Collection Wallace a décidé… »).</w:t>
      </w:r>
    </w:p>
    <w:p w14:paraId="7E87A689" w14:textId="31B302EE" w:rsidR="00065317" w:rsidRDefault="005C7BF7">
      <w:pPr>
        <w:pStyle w:val="Corpsdetexte"/>
      </w:pPr>
      <w:r>
        <w:t>Des ensembles d</w:t>
      </w:r>
      <w:r w:rsidR="00E84B0E">
        <w:t>’</w:t>
      </w:r>
      <w:r>
        <w:t>objets dans le sens plus général – comme une tombe remplie de présents, un dossier de timbres ou un jeu d</w:t>
      </w:r>
      <w:r w:rsidR="00E84B0E">
        <w:t>’</w:t>
      </w:r>
      <w:r>
        <w:t xml:space="preserve">échecs incluant les pièces – doivent être documentés comme des instances de </w:t>
      </w:r>
      <w:r>
        <w:rPr>
          <w:rStyle w:val="VerbatimChar"/>
        </w:rPr>
        <w:t>E19_Objet_matériel</w:t>
      </w:r>
      <w:r>
        <w:t xml:space="preserve">, et non comme des instances de </w:t>
      </w:r>
      <w:r>
        <w:rPr>
          <w:rStyle w:val="VerbatimChar"/>
        </w:rPr>
        <w:t>E78_Collection</w:t>
      </w:r>
      <w:r>
        <w:t>. Cela est dû au fait que ces ensembles d</w:t>
      </w:r>
      <w:r w:rsidR="00E84B0E">
        <w:t>’</w:t>
      </w:r>
      <w:r>
        <w:t>objets forment des touts en raison du lien physique qui unit leurs éléments ou en raison de leur fonction à être utilisés ensemble.</w:t>
      </w:r>
    </w:p>
    <w:p w14:paraId="350CC9E9" w14:textId="77777777" w:rsidR="00065317" w:rsidRDefault="005C7BF7">
      <w:pPr>
        <w:pStyle w:val="Corpsdetexte"/>
      </w:pPr>
      <w:r>
        <w:rPr>
          <w:b/>
          <w:bCs/>
        </w:rPr>
        <w:t>Exemples</w:t>
      </w:r>
    </w:p>
    <w:p w14:paraId="46AAB81A" w14:textId="1041748F" w:rsidR="00065317" w:rsidRPr="00EC2D6E" w:rsidRDefault="005C7BF7">
      <w:pPr>
        <w:numPr>
          <w:ilvl w:val="0"/>
          <w:numId w:val="126"/>
        </w:numPr>
        <w:rPr>
          <w:lang w:val="en-CA"/>
        </w:rPr>
      </w:pPr>
      <w:r w:rsidRPr="00EC2D6E">
        <w:rPr>
          <w:lang w:val="en-CA"/>
        </w:rPr>
        <w:t>L</w:t>
      </w:r>
      <w:r w:rsidR="00E84B0E">
        <w:rPr>
          <w:lang w:val="en-CA"/>
        </w:rPr>
        <w:t>’</w:t>
      </w:r>
      <w:r w:rsidRPr="00EC2D6E">
        <w:rPr>
          <w:lang w:val="en-CA"/>
        </w:rPr>
        <w:t>herbier John Clayton (Blake, 1918; Natural History Museum, 2021)</w:t>
      </w:r>
    </w:p>
    <w:p w14:paraId="1E6589BA" w14:textId="77777777" w:rsidR="00065317" w:rsidRDefault="005C7BF7">
      <w:pPr>
        <w:numPr>
          <w:ilvl w:val="0"/>
          <w:numId w:val="126"/>
        </w:numPr>
      </w:pPr>
      <w:r>
        <w:t>La Wallace Collection (Ingamells, 1990)</w:t>
      </w:r>
    </w:p>
    <w:p w14:paraId="3861549A" w14:textId="756698BC" w:rsidR="00065317" w:rsidRDefault="005C7BF7">
      <w:pPr>
        <w:numPr>
          <w:ilvl w:val="0"/>
          <w:numId w:val="126"/>
        </w:numPr>
      </w:pPr>
      <w:r>
        <w:t>L</w:t>
      </w:r>
      <w:r w:rsidR="00E84B0E">
        <w:t>’</w:t>
      </w:r>
      <w:r>
        <w:t>herbier d</w:t>
      </w:r>
      <w:r w:rsidR="00E84B0E">
        <w:t>’</w:t>
      </w:r>
      <w:r>
        <w:t>algues rouges coralliennes de Mik</w:t>
      </w:r>
      <w:r w:rsidR="00B40400">
        <w:t>ae</w:t>
      </w:r>
      <w:r>
        <w:t>l Heggelund au Muséum d</w:t>
      </w:r>
      <w:r w:rsidR="00E84B0E">
        <w:t>’</w:t>
      </w:r>
      <w:r>
        <w:t>Histoire Naturelle et d</w:t>
      </w:r>
      <w:r w:rsidR="00E84B0E">
        <w:t>’</w:t>
      </w:r>
      <w:r>
        <w:t>Archéologie de Trondheim, en Norvège (W</w:t>
      </w:r>
      <w:r w:rsidR="00F52177">
        <w:t>oe</w:t>
      </w:r>
      <w:r>
        <w:t>lkerling &amp; al, 2005)</w:t>
      </w:r>
    </w:p>
    <w:p w14:paraId="08F75BFC" w14:textId="27025014" w:rsidR="00065317" w:rsidRDefault="005C7BF7">
      <w:pPr>
        <w:numPr>
          <w:ilvl w:val="0"/>
          <w:numId w:val="126"/>
        </w:numPr>
      </w:pPr>
      <w:r>
        <w:t>La collection numérique du Centre de numérisation de Munich (</w:t>
      </w:r>
      <w:r>
        <w:rPr>
          <w:i/>
          <w:iCs/>
        </w:rPr>
        <w:t>Munich DigitiZation Center</w:t>
      </w:r>
      <w:r>
        <w:t xml:space="preserve"> ou MDZ) accessible via la page https://www.digitale-sammlungen.de/ au mois de</w:t>
      </w:r>
      <w:r w:rsidR="00056DCD">
        <w:t> janvier </w:t>
      </w:r>
      <w:r>
        <w:t>2018.</w:t>
      </w:r>
    </w:p>
    <w:p w14:paraId="14908354" w14:textId="77777777" w:rsidR="00065317" w:rsidRDefault="005C7BF7">
      <w:pPr>
        <w:pStyle w:val="FirstParagraph"/>
      </w:pPr>
      <w:r>
        <w:rPr>
          <w:b/>
          <w:bCs/>
        </w:rPr>
        <w:t>Logique</w:t>
      </w:r>
    </w:p>
    <w:p w14:paraId="070AEA83" w14:textId="77777777" w:rsidR="00065317" w:rsidRDefault="005C7BF7">
      <w:pPr>
        <w:pStyle w:val="Corpsdetexte"/>
      </w:pPr>
      <w:r>
        <w:t>E78(x) ⇒ E24(x)</w:t>
      </w:r>
    </w:p>
    <w:p w14:paraId="0B706620" w14:textId="77777777" w:rsidR="004E5EA3" w:rsidRDefault="004E5EA3">
      <w:pPr>
        <w:spacing w:after="0"/>
        <w:rPr>
          <w:b/>
          <w:bCs/>
        </w:rPr>
      </w:pPr>
      <w:r>
        <w:rPr>
          <w:b/>
          <w:bCs/>
        </w:rPr>
        <w:br w:type="page"/>
      </w:r>
    </w:p>
    <w:p w14:paraId="48D35185" w14:textId="5A83C02D" w:rsidR="00065317" w:rsidRDefault="005C7BF7">
      <w:pPr>
        <w:pStyle w:val="Corpsdetexte"/>
      </w:pPr>
      <w:r>
        <w:rPr>
          <w:b/>
          <w:bCs/>
        </w:rPr>
        <w:lastRenderedPageBreak/>
        <w:t>Propriétés</w:t>
      </w:r>
    </w:p>
    <w:p w14:paraId="6DEB426A" w14:textId="77777777" w:rsidR="00065317" w:rsidRDefault="005C7BF7">
      <w:pPr>
        <w:pStyle w:val="Corpsdetexte"/>
      </w:pPr>
      <w:r>
        <w:rPr>
          <w:rStyle w:val="VerbatimChar"/>
        </w:rPr>
        <w:t>P109_a_pour_responsable_actuel_ou_antérieur_de_la_collection (est_responsable_actuel_ou_antérieur_de_la_collection)</w:t>
      </w:r>
      <w:r>
        <w:t xml:space="preserve"> : </w:t>
      </w:r>
      <w:r>
        <w:rPr>
          <w:rStyle w:val="VerbatimChar"/>
        </w:rPr>
        <w:t>E39_Actant</w:t>
      </w:r>
    </w:p>
    <w:p w14:paraId="755FDA4F" w14:textId="77777777" w:rsidR="00065317" w:rsidRDefault="005C7BF7">
      <w:pPr>
        <w:pStyle w:val="Normalcentr"/>
      </w:pPr>
      <w:r>
        <w:rPr>
          <w:b/>
          <w:bCs/>
          <w:i/>
          <w:iCs/>
        </w:rPr>
        <w:t>Note de traduction</w:t>
      </w:r>
    </w:p>
    <w:p w14:paraId="79470800" w14:textId="0ED6F572" w:rsidR="00065317" w:rsidRDefault="005C7BF7">
      <w:pPr>
        <w:pStyle w:val="Normalcentr"/>
      </w:pPr>
      <w:r>
        <w:t xml:space="preserve">Les rédacteurs de la version originale du </w:t>
      </w:r>
      <w:r w:rsidR="00C8288F">
        <w:t>CIDOC CRM</w:t>
      </w:r>
      <w:r>
        <w:t xml:space="preserve"> ont délibérément évité l</w:t>
      </w:r>
      <w:r w:rsidR="00E84B0E">
        <w:t>’</w:t>
      </w:r>
      <w:r>
        <w:t>utilisation du terme anglais « collection » pour cette classe car il portait à confusion avec des ensembles qui n</w:t>
      </w:r>
      <w:r w:rsidR="00E84B0E">
        <w:t>’</w:t>
      </w:r>
      <w:r>
        <w:t>ont pas été constitués de manière choisie et réfléchie. Toutefois, en français, le terme « collection » est plus précis et porte déjà ce sens de regroupement d</w:t>
      </w:r>
      <w:r w:rsidR="00E84B0E">
        <w:t>’</w:t>
      </w:r>
      <w:r>
        <w:t>objets constitués selon une réflexion et un choix délibérés, souvent de nature muséologique ou archivistique. Il a donc été décidé de traduire « curated holding » par</w:t>
      </w:r>
      <w:r w:rsidR="003F44C6">
        <w:t xml:space="preserve"> </w:t>
      </w:r>
      <w:r>
        <w:t>«</w:t>
      </w:r>
      <w:r w:rsidR="00144B23" w:rsidRPr="00144B23">
        <w:rPr>
          <w:lang w:val="fr-CA"/>
        </w:rPr>
        <w:t> </w:t>
      </w:r>
      <w:r>
        <w:t>collection ».</w:t>
      </w:r>
    </w:p>
    <w:p w14:paraId="6F928A3B" w14:textId="1D1E2A3A" w:rsidR="00065317" w:rsidRPr="008B044A" w:rsidRDefault="005C7BF7" w:rsidP="004E5EA3">
      <w:pPr>
        <w:pStyle w:val="Normalcentr"/>
        <w:rPr>
          <w:b/>
          <w:bCs/>
          <w:i/>
          <w:iCs/>
        </w:rPr>
      </w:pPr>
      <w:r>
        <w:rPr>
          <w:b/>
          <w:bCs/>
          <w:i/>
          <w:iCs/>
        </w:rPr>
        <w:t>Références</w:t>
      </w:r>
    </w:p>
    <w:p w14:paraId="249F6771" w14:textId="40477F25" w:rsidR="00065317" w:rsidRDefault="005C7BF7" w:rsidP="00914F34">
      <w:pPr>
        <w:pStyle w:val="Titre3"/>
      </w:pPr>
      <w:bookmarkStart w:id="234" w:name="_Toc154048802"/>
      <w:bookmarkStart w:id="235" w:name="e79-ajout-d'element"/>
      <w:bookmarkEnd w:id="233"/>
      <w:r>
        <w:t>E79 Ajout d</w:t>
      </w:r>
      <w:r w:rsidR="00E84B0E">
        <w:t>’</w:t>
      </w:r>
      <w:r>
        <w:t>élément</w:t>
      </w:r>
      <w:bookmarkEnd w:id="234"/>
    </w:p>
    <w:p w14:paraId="1250261B" w14:textId="77777777" w:rsidR="00065317" w:rsidRDefault="005C7BF7">
      <w:pPr>
        <w:pStyle w:val="FirstParagraph"/>
      </w:pPr>
      <w:r>
        <w:rPr>
          <w:b/>
          <w:bCs/>
        </w:rPr>
        <w:t>Sous-classe de</w:t>
      </w:r>
    </w:p>
    <w:p w14:paraId="27D29B4C" w14:textId="77777777" w:rsidR="00065317" w:rsidRPr="007B20F2" w:rsidRDefault="005C7BF7">
      <w:pPr>
        <w:pStyle w:val="Corpsdetexte"/>
        <w:rPr>
          <w:lang w:val="fr-CA"/>
        </w:rPr>
      </w:pPr>
      <w:r>
        <w:rPr>
          <w:rStyle w:val="VerbatimChar"/>
        </w:rPr>
        <w:t>E11_Modification</w:t>
      </w:r>
    </w:p>
    <w:p w14:paraId="559C8302" w14:textId="77777777" w:rsidR="00065317" w:rsidRDefault="005C7BF7">
      <w:pPr>
        <w:pStyle w:val="Corpsdetexte"/>
      </w:pPr>
      <w:r>
        <w:rPr>
          <w:b/>
          <w:bCs/>
        </w:rPr>
        <w:t>Super-classe de</w:t>
      </w:r>
    </w:p>
    <w:p w14:paraId="705AB9BE" w14:textId="2B655DF4" w:rsidR="00065317" w:rsidRDefault="005C7BF7">
      <w:pPr>
        <w:pStyle w:val="Corpsdetexte"/>
      </w:pPr>
      <w:r>
        <w:rPr>
          <w:b/>
          <w:bCs/>
        </w:rPr>
        <w:t>Note d</w:t>
      </w:r>
      <w:r w:rsidR="00E84B0E">
        <w:rPr>
          <w:b/>
          <w:bCs/>
        </w:rPr>
        <w:t>’</w:t>
      </w:r>
      <w:r>
        <w:rPr>
          <w:b/>
          <w:bCs/>
        </w:rPr>
        <w:t>application</w:t>
      </w:r>
    </w:p>
    <w:p w14:paraId="63949BF1" w14:textId="71397B50" w:rsidR="00065317" w:rsidRDefault="005C7BF7">
      <w:pPr>
        <w:pStyle w:val="Corpsdetexte"/>
      </w:pPr>
      <w:r>
        <w:t>Cette classe comprend les activités desquelles résulte l</w:t>
      </w:r>
      <w:r w:rsidR="00E84B0E">
        <w:t>’</w:t>
      </w:r>
      <w:r>
        <w:t>accroissement, l</w:t>
      </w:r>
      <w:r w:rsidR="00E84B0E">
        <w:t>’</w:t>
      </w:r>
      <w:r>
        <w:t>élargissement ou l</w:t>
      </w:r>
      <w:r w:rsidR="00E84B0E">
        <w:t>’</w:t>
      </w:r>
      <w:r>
        <w:t>augmentation, du fait de l</w:t>
      </w:r>
      <w:r w:rsidR="00E84B0E">
        <w:t>’</w:t>
      </w:r>
      <w:r>
        <w:t>addition d</w:t>
      </w:r>
      <w:r w:rsidR="00E84B0E">
        <w:t>’</w:t>
      </w:r>
      <w:r>
        <w:t>un élément, d</w:t>
      </w:r>
      <w:r w:rsidR="00E84B0E">
        <w:t>’</w:t>
      </w:r>
      <w:r>
        <w:t xml:space="preserve">une instance de </w:t>
      </w:r>
      <w:r>
        <w:rPr>
          <w:rStyle w:val="VerbatimChar"/>
        </w:rPr>
        <w:t>E18_Chose_matérielle</w:t>
      </w:r>
      <w:r>
        <w:t>.</w:t>
      </w:r>
    </w:p>
    <w:p w14:paraId="572F585F" w14:textId="731095EC" w:rsidR="00065317" w:rsidRDefault="005C7BF7">
      <w:pPr>
        <w:pStyle w:val="Corpsdetexte"/>
      </w:pPr>
      <w:r>
        <w:t>Des scénarios typiques d</w:t>
      </w:r>
      <w:r w:rsidR="00E84B0E">
        <w:t>’</w:t>
      </w:r>
      <w:r>
        <w:t>ajout d</w:t>
      </w:r>
      <w:r w:rsidR="00E84B0E">
        <w:t>’</w:t>
      </w:r>
      <w:r>
        <w:t>élément incluent l</w:t>
      </w:r>
      <w:r w:rsidR="00E84B0E">
        <w:t>’</w:t>
      </w:r>
      <w:r>
        <w:t>apposition d</w:t>
      </w:r>
      <w:r w:rsidR="00E84B0E">
        <w:t>’</w:t>
      </w:r>
      <w:r>
        <w:t>un accessoire, l</w:t>
      </w:r>
      <w:r w:rsidR="00E84B0E">
        <w:t>’</w:t>
      </w:r>
      <w:r>
        <w:t>intégration d</w:t>
      </w:r>
      <w:r w:rsidR="00E84B0E">
        <w:t>’</w:t>
      </w:r>
      <w:r>
        <w:t>un composant, l</w:t>
      </w:r>
      <w:r w:rsidR="00E84B0E">
        <w:t>’</w:t>
      </w:r>
      <w:r>
        <w:t>addition d</w:t>
      </w:r>
      <w:r w:rsidR="00E84B0E">
        <w:t>’</w:t>
      </w:r>
      <w:r>
        <w:t>un élément à un objet agrégé ou l</w:t>
      </w:r>
      <w:r w:rsidR="00E84B0E">
        <w:t>’</w:t>
      </w:r>
      <w:r>
        <w:t>accession d</w:t>
      </w:r>
      <w:r w:rsidR="00E84B0E">
        <w:t>’</w:t>
      </w:r>
      <w:r>
        <w:t xml:space="preserve">un objet dans une instance de </w:t>
      </w:r>
      <w:r>
        <w:rPr>
          <w:rStyle w:val="VerbatimChar"/>
        </w:rPr>
        <w:t>E78_Collection</w:t>
      </w:r>
      <w:r>
        <w:t>. Avant la création de l</w:t>
      </w:r>
      <w:r w:rsidR="00E84B0E">
        <w:t>’</w:t>
      </w:r>
      <w:r>
        <w:t xml:space="preserve">instance de </w:t>
      </w:r>
      <w:r>
        <w:rPr>
          <w:rStyle w:val="VerbatimChar"/>
        </w:rPr>
        <w:t>E79_Ajout_d</w:t>
      </w:r>
      <w:r w:rsidR="00E84B0E">
        <w:rPr>
          <w:rStyle w:val="VerbatimChar"/>
        </w:rPr>
        <w:t>’</w:t>
      </w:r>
      <w:r>
        <w:rPr>
          <w:rStyle w:val="VerbatimChar"/>
        </w:rPr>
        <w:t>élément</w:t>
      </w:r>
      <w:r>
        <w:t>, l</w:t>
      </w:r>
      <w:r w:rsidR="00E84B0E">
        <w:t>’</w:t>
      </w:r>
      <w:r>
        <w:t xml:space="preserve">instance de </w:t>
      </w:r>
      <w:r>
        <w:rPr>
          <w:rStyle w:val="VerbatimChar"/>
        </w:rPr>
        <w:t>E18_Chose_matérielle</w:t>
      </w:r>
      <w:r>
        <w:t xml:space="preserve"> à laquelle un élément est ajouté, de même que l</w:t>
      </w:r>
      <w:r w:rsidR="00E84B0E">
        <w:t>’</w:t>
      </w:r>
      <w:r>
        <w:t xml:space="preserve">instance de </w:t>
      </w:r>
      <w:r>
        <w:rPr>
          <w:rStyle w:val="VerbatimChar"/>
        </w:rPr>
        <w:t>E18_Chose_matérielle</w:t>
      </w:r>
      <w:r>
        <w:t xml:space="preserve"> ajoutée, sont considérées comme deux entités distinctes identifiables.</w:t>
      </w:r>
    </w:p>
    <w:p w14:paraId="4E5E1CF6" w14:textId="314D7058" w:rsidR="00065317" w:rsidRDefault="005C7BF7">
      <w:pPr>
        <w:pStyle w:val="Corpsdetexte"/>
      </w:pPr>
      <w:r>
        <w:t>Les assemblages qui résultent de l</w:t>
      </w:r>
      <w:r w:rsidR="00E84B0E">
        <w:t>’</w:t>
      </w:r>
      <w:r>
        <w:t>addition d</w:t>
      </w:r>
      <w:r w:rsidR="00E84B0E">
        <w:t>’</w:t>
      </w:r>
      <w:r>
        <w:t>éléments sont traités comme des touts uniques et identifiables faits de composants liés entre eux physiquement (p. ex. le moteur devenant une partie intégrante d</w:t>
      </w:r>
      <w:r w:rsidR="00E84B0E">
        <w:t>’</w:t>
      </w:r>
      <w:r>
        <w:t>une voiture) ou du fait d</w:t>
      </w:r>
      <w:r w:rsidR="00E84B0E">
        <w:t>’</w:t>
      </w:r>
      <w:r>
        <w:t>une visée commune (p. ex. les 32 pièces qui composent un jeu d</w:t>
      </w:r>
      <w:r w:rsidR="00E84B0E">
        <w:t>’</w:t>
      </w:r>
      <w:r>
        <w:t>échec).</w:t>
      </w:r>
    </w:p>
    <w:p w14:paraId="0B89EB27" w14:textId="28C4C008" w:rsidR="00065317" w:rsidRDefault="005C7BF7">
      <w:pPr>
        <w:pStyle w:val="Corpsdetexte"/>
      </w:pPr>
      <w:r>
        <w:rPr>
          <w:rStyle w:val="VerbatimChar"/>
        </w:rPr>
        <w:t>E79_Ajout_d</w:t>
      </w:r>
      <w:r w:rsidR="00E84B0E">
        <w:rPr>
          <w:rStyle w:val="VerbatimChar"/>
        </w:rPr>
        <w:t>’</w:t>
      </w:r>
      <w:r>
        <w:rPr>
          <w:rStyle w:val="VerbatimChar"/>
        </w:rPr>
        <w:t>élément</w:t>
      </w:r>
      <w:r>
        <w:t xml:space="preserve"> établit un cadre de raisonnement à propos de l</w:t>
      </w:r>
      <w:r w:rsidR="00E84B0E">
        <w:t>’</w:t>
      </w:r>
      <w:r>
        <w:t>histoire et de la continuité de l</w:t>
      </w:r>
      <w:r w:rsidR="00E84B0E">
        <w:t>’</w:t>
      </w:r>
      <w:r>
        <w:t>identité des objets qui sont intégrés à d</w:t>
      </w:r>
      <w:r w:rsidR="00E84B0E">
        <w:t>’</w:t>
      </w:r>
      <w:r>
        <w:t xml:space="preserve">autres objets à travers le temps. </w:t>
      </w:r>
      <w:r w:rsidR="00714434">
        <w:t>Cela</w:t>
      </w:r>
      <w:r>
        <w:t xml:space="preserve"> s</w:t>
      </w:r>
      <w:r w:rsidR="00E84B0E">
        <w:t>’</w:t>
      </w:r>
      <w:r>
        <w:t xml:space="preserve">applique par exemple à des pierres précieuses serties dans différents bijoux les uns après les autres, ou encore à des artefacts culturels ajoutés à différentes instances de </w:t>
      </w:r>
      <w:r>
        <w:rPr>
          <w:rStyle w:val="VerbatimChar"/>
        </w:rPr>
        <w:t>E78_Collection</w:t>
      </w:r>
      <w:r>
        <w:t xml:space="preserve"> durant leur existence.</w:t>
      </w:r>
    </w:p>
    <w:p w14:paraId="450EEC38" w14:textId="77777777" w:rsidR="00065317" w:rsidRDefault="005C7BF7">
      <w:pPr>
        <w:pStyle w:val="Corpsdetexte"/>
      </w:pPr>
      <w:r>
        <w:rPr>
          <w:b/>
          <w:bCs/>
        </w:rPr>
        <w:t>Exemples</w:t>
      </w:r>
    </w:p>
    <w:p w14:paraId="6888EAE5" w14:textId="77777777" w:rsidR="00065317" w:rsidRDefault="005C7BF7">
      <w:pPr>
        <w:numPr>
          <w:ilvl w:val="0"/>
          <w:numId w:val="127"/>
        </w:numPr>
      </w:pPr>
      <w:r>
        <w:t>Le sertissage du diamant Koh-i-Noor dans la couronne de la Reine Mère Elizabeth (Dalrymple, 2017)</w:t>
      </w:r>
    </w:p>
    <w:p w14:paraId="67A84920" w14:textId="688A8B46" w:rsidR="00065317" w:rsidRDefault="005C7BF7">
      <w:pPr>
        <w:numPr>
          <w:ilvl w:val="0"/>
          <w:numId w:val="127"/>
        </w:numPr>
      </w:pPr>
      <w:r>
        <w:t>L</w:t>
      </w:r>
      <w:r w:rsidR="00E84B0E">
        <w:t>’</w:t>
      </w:r>
      <w:r>
        <w:t>addition de l</w:t>
      </w:r>
      <w:r w:rsidR="00E84B0E">
        <w:t>’</w:t>
      </w:r>
      <w:r>
        <w:t xml:space="preserve">œuvre peinte </w:t>
      </w:r>
      <w:r>
        <w:rPr>
          <w:i/>
          <w:iCs/>
        </w:rPr>
        <w:t>Room in Brooklyn</w:t>
      </w:r>
      <w:r>
        <w:t xml:space="preserve"> de Edward Hopper à la collection du Musée des beaux-arts de Boston</w:t>
      </w:r>
    </w:p>
    <w:p w14:paraId="3E0A4D15" w14:textId="74ED142D" w:rsidR="00065317" w:rsidRDefault="005C7BF7">
      <w:pPr>
        <w:numPr>
          <w:ilvl w:val="0"/>
          <w:numId w:val="127"/>
        </w:numPr>
      </w:pPr>
      <w:r>
        <w:t>L</w:t>
      </w:r>
      <w:r w:rsidR="00E84B0E">
        <w:t>’</w:t>
      </w:r>
      <w:r>
        <w:t>apposition de la main de bronze sur l</w:t>
      </w:r>
      <w:r w:rsidR="00E84B0E">
        <w:t>’</w:t>
      </w:r>
      <w:r>
        <w:t>arbre formant l</w:t>
      </w:r>
      <w:r w:rsidR="00E84B0E">
        <w:t>’</w:t>
      </w:r>
      <w:r>
        <w:t xml:space="preserve">œuvre </w:t>
      </w:r>
      <w:r>
        <w:rPr>
          <w:i/>
          <w:iCs/>
        </w:rPr>
        <w:t>Alpi Marittime</w:t>
      </w:r>
      <w:r>
        <w:t xml:space="preserve"> (https://giuseppepenone.com/en/words/maritime-alps) (Mangini, 2010)</w:t>
      </w:r>
    </w:p>
    <w:p w14:paraId="12C291DE" w14:textId="77777777" w:rsidR="004E5EA3" w:rsidRDefault="004E5EA3">
      <w:pPr>
        <w:spacing w:after="0"/>
        <w:rPr>
          <w:b/>
          <w:bCs/>
        </w:rPr>
      </w:pPr>
      <w:r>
        <w:rPr>
          <w:b/>
          <w:bCs/>
        </w:rPr>
        <w:br w:type="page"/>
      </w:r>
    </w:p>
    <w:p w14:paraId="2C3BED28" w14:textId="1E53DFEF" w:rsidR="00065317" w:rsidRDefault="005C7BF7">
      <w:pPr>
        <w:pStyle w:val="FirstParagraph"/>
      </w:pPr>
      <w:r>
        <w:rPr>
          <w:b/>
          <w:bCs/>
        </w:rPr>
        <w:lastRenderedPageBreak/>
        <w:t>Logique</w:t>
      </w:r>
    </w:p>
    <w:p w14:paraId="1205D8CC" w14:textId="77777777" w:rsidR="00065317" w:rsidRDefault="005C7BF7">
      <w:pPr>
        <w:pStyle w:val="Corpsdetexte"/>
      </w:pPr>
      <w:r>
        <w:t>E79(x) ⇒ E11(x)</w:t>
      </w:r>
    </w:p>
    <w:p w14:paraId="055AC59B" w14:textId="77777777" w:rsidR="00065317" w:rsidRDefault="005C7BF7">
      <w:pPr>
        <w:pStyle w:val="Corpsdetexte"/>
      </w:pPr>
      <w:r>
        <w:rPr>
          <w:b/>
          <w:bCs/>
        </w:rPr>
        <w:t>Propriétés</w:t>
      </w:r>
    </w:p>
    <w:p w14:paraId="065B8754" w14:textId="77777777" w:rsidR="00065317" w:rsidRDefault="005C7BF7">
      <w:pPr>
        <w:pStyle w:val="Corpsdetexte"/>
      </w:pPr>
      <w:r>
        <w:rPr>
          <w:rStyle w:val="VerbatimChar"/>
        </w:rPr>
        <w:t>P110_a_augmenté (a_été_augmenté_par)</w:t>
      </w:r>
      <w:r>
        <w:t xml:space="preserve"> : </w:t>
      </w:r>
      <w:r>
        <w:rPr>
          <w:rStyle w:val="VerbatimChar"/>
        </w:rPr>
        <w:t>E18_Chose_matérielle</w:t>
      </w:r>
    </w:p>
    <w:p w14:paraId="006367F4" w14:textId="77777777" w:rsidR="00065317" w:rsidRDefault="005C7BF7">
      <w:pPr>
        <w:pStyle w:val="Corpsdetexte"/>
      </w:pPr>
      <w:r>
        <w:rPr>
          <w:rStyle w:val="VerbatimChar"/>
        </w:rPr>
        <w:t>P111_a_ajouté (a_été_ajouté_par)</w:t>
      </w:r>
      <w:r>
        <w:t xml:space="preserve"> : </w:t>
      </w:r>
      <w:r>
        <w:rPr>
          <w:rStyle w:val="VerbatimChar"/>
        </w:rPr>
        <w:t>E18_Chose_matérielle</w:t>
      </w:r>
    </w:p>
    <w:p w14:paraId="0097A53B" w14:textId="77777777" w:rsidR="00065317" w:rsidRDefault="005C7BF7">
      <w:pPr>
        <w:pStyle w:val="Normalcentr"/>
      </w:pPr>
      <w:r>
        <w:rPr>
          <w:b/>
          <w:bCs/>
          <w:i/>
          <w:iCs/>
        </w:rPr>
        <w:t>Note de traduction</w:t>
      </w:r>
    </w:p>
    <w:p w14:paraId="2A49A63C" w14:textId="1F07B705" w:rsidR="00065317" w:rsidRDefault="005C7BF7" w:rsidP="00BF7EA3">
      <w:pPr>
        <w:pStyle w:val="Normalcentr"/>
      </w:pPr>
      <w:r>
        <w:rPr>
          <w:b/>
          <w:bCs/>
          <w:i/>
          <w:iCs/>
        </w:rPr>
        <w:t>Références</w:t>
      </w:r>
    </w:p>
    <w:p w14:paraId="667B251C" w14:textId="1EE3EA25" w:rsidR="00065317" w:rsidRDefault="005C7BF7" w:rsidP="00914F34">
      <w:pPr>
        <w:pStyle w:val="Titre3"/>
      </w:pPr>
      <w:bookmarkStart w:id="236" w:name="_Toc154048803"/>
      <w:bookmarkStart w:id="237" w:name="e80-retrait-d'element"/>
      <w:bookmarkEnd w:id="235"/>
      <w:r>
        <w:t>E80 Retrait d</w:t>
      </w:r>
      <w:r w:rsidR="00E84B0E">
        <w:t>’</w:t>
      </w:r>
      <w:r>
        <w:t>élément</w:t>
      </w:r>
      <w:bookmarkEnd w:id="236"/>
    </w:p>
    <w:p w14:paraId="1D4B90CB" w14:textId="77777777" w:rsidR="00065317" w:rsidRDefault="005C7BF7">
      <w:pPr>
        <w:pStyle w:val="FirstParagraph"/>
      </w:pPr>
      <w:r>
        <w:rPr>
          <w:b/>
          <w:bCs/>
        </w:rPr>
        <w:t>Sous-classe de</w:t>
      </w:r>
    </w:p>
    <w:p w14:paraId="76FE8B9E" w14:textId="77777777" w:rsidR="00065317" w:rsidRDefault="005C7BF7">
      <w:pPr>
        <w:pStyle w:val="Corpsdetexte"/>
      </w:pPr>
      <w:r>
        <w:rPr>
          <w:rStyle w:val="VerbatimChar"/>
        </w:rPr>
        <w:t>E11_Modification</w:t>
      </w:r>
    </w:p>
    <w:p w14:paraId="1E3F1E5E" w14:textId="77777777" w:rsidR="00065317" w:rsidRDefault="005C7BF7">
      <w:pPr>
        <w:pStyle w:val="Corpsdetexte"/>
      </w:pPr>
      <w:r>
        <w:rPr>
          <w:b/>
          <w:bCs/>
        </w:rPr>
        <w:t>Super-classe de</w:t>
      </w:r>
    </w:p>
    <w:p w14:paraId="767CBA43" w14:textId="43B8C683" w:rsidR="00065317" w:rsidRDefault="005C7BF7">
      <w:pPr>
        <w:pStyle w:val="Corpsdetexte"/>
      </w:pPr>
      <w:r>
        <w:rPr>
          <w:b/>
          <w:bCs/>
        </w:rPr>
        <w:t>Note d</w:t>
      </w:r>
      <w:r w:rsidR="00E84B0E">
        <w:rPr>
          <w:b/>
          <w:bCs/>
        </w:rPr>
        <w:t>’</w:t>
      </w:r>
      <w:r>
        <w:rPr>
          <w:b/>
          <w:bCs/>
        </w:rPr>
        <w:t>application</w:t>
      </w:r>
    </w:p>
    <w:p w14:paraId="2A028C6F" w14:textId="09386A96" w:rsidR="00065317" w:rsidRDefault="005C7BF7">
      <w:pPr>
        <w:pStyle w:val="Corpsdetexte"/>
      </w:pPr>
      <w:r>
        <w:t>Cette classe comprend les activités desquelles résulte la diminution, du fait du retrait d</w:t>
      </w:r>
      <w:r w:rsidR="00E84B0E">
        <w:t>’</w:t>
      </w:r>
      <w:r>
        <w:t>un élément, d</w:t>
      </w:r>
      <w:r w:rsidR="00E84B0E">
        <w:t>’</w:t>
      </w:r>
      <w:r>
        <w:t xml:space="preserve">une instance de </w:t>
      </w:r>
      <w:r>
        <w:rPr>
          <w:rStyle w:val="VerbatimChar"/>
        </w:rPr>
        <w:t>E18_Chose_matérielle</w:t>
      </w:r>
      <w:r>
        <w:t>.</w:t>
      </w:r>
    </w:p>
    <w:p w14:paraId="3ED24DF9" w14:textId="5AC610FE" w:rsidR="00065317" w:rsidRDefault="005C7BF7">
      <w:pPr>
        <w:pStyle w:val="Corpsdetexte"/>
      </w:pPr>
      <w:r>
        <w:t>Des scénarios typiques de retrait d</w:t>
      </w:r>
      <w:r w:rsidR="00E84B0E">
        <w:t>’</w:t>
      </w:r>
      <w:r>
        <w:t>élément incluent le détachement d</w:t>
      </w:r>
      <w:r w:rsidR="00E84B0E">
        <w:t>’</w:t>
      </w:r>
      <w:r>
        <w:t>un accessoire, le retrait d</w:t>
      </w:r>
      <w:r w:rsidR="00E84B0E">
        <w:t>’</w:t>
      </w:r>
      <w:r>
        <w:t>un composant ou d</w:t>
      </w:r>
      <w:r w:rsidR="00E84B0E">
        <w:t>’</w:t>
      </w:r>
      <w:r>
        <w:t>une partie d</w:t>
      </w:r>
      <w:r w:rsidR="00E84B0E">
        <w:t>’</w:t>
      </w:r>
      <w:r>
        <w:t>un objet composite ou l</w:t>
      </w:r>
      <w:r w:rsidR="00E84B0E">
        <w:t>’</w:t>
      </w:r>
      <w:r>
        <w:t>aliénation d</w:t>
      </w:r>
      <w:r w:rsidR="00E84B0E">
        <w:t>’</w:t>
      </w:r>
      <w:r>
        <w:t>un objet d</w:t>
      </w:r>
      <w:r w:rsidR="00E84B0E">
        <w:t>’</w:t>
      </w:r>
      <w:r>
        <w:t xml:space="preserve">une instance de </w:t>
      </w:r>
      <w:r>
        <w:rPr>
          <w:rStyle w:val="VerbatimChar"/>
        </w:rPr>
        <w:t>E78_Collection</w:t>
      </w:r>
      <w:r>
        <w:t>.</w:t>
      </w:r>
    </w:p>
    <w:p w14:paraId="25062685" w14:textId="3D8E7BF1" w:rsidR="00065317" w:rsidRDefault="005C7BF7">
      <w:pPr>
        <w:pStyle w:val="Corpsdetexte"/>
      </w:pPr>
      <w:r>
        <w:t>Si l</w:t>
      </w:r>
      <w:r w:rsidR="00E84B0E">
        <w:t>’</w:t>
      </w:r>
      <w:r>
        <w:t xml:space="preserve">instance de </w:t>
      </w:r>
      <w:r>
        <w:rPr>
          <w:rStyle w:val="VerbatimChar"/>
        </w:rPr>
        <w:t>E80_Retrait_d</w:t>
      </w:r>
      <w:r w:rsidR="00E84B0E">
        <w:rPr>
          <w:rStyle w:val="VerbatimChar"/>
        </w:rPr>
        <w:t>’</w:t>
      </w:r>
      <w:r>
        <w:rPr>
          <w:rStyle w:val="VerbatimChar"/>
        </w:rPr>
        <w:t>élément</w:t>
      </w:r>
      <w:r>
        <w:t xml:space="preserve"> résulte en la décomposition complète de l</w:t>
      </w:r>
      <w:r w:rsidR="00E84B0E">
        <w:t>’</w:t>
      </w:r>
      <w:r>
        <w:t>objet original en morceaux de telle sorte que ce dernier cesse d</w:t>
      </w:r>
      <w:r w:rsidR="00E84B0E">
        <w:t>’</w:t>
      </w:r>
      <w:r>
        <w:t>exister en tant que tout, l</w:t>
      </w:r>
      <w:r w:rsidR="00E84B0E">
        <w:t>’</w:t>
      </w:r>
      <w:r>
        <w:t xml:space="preserve">activité doit être modélisée comme une instance de </w:t>
      </w:r>
      <w:r>
        <w:rPr>
          <w:rStyle w:val="VerbatimChar"/>
        </w:rPr>
        <w:t>E81_Transformation</w:t>
      </w:r>
      <w:r>
        <w:t>, c.-à-d. une destruction et une production simultanées. Si l</w:t>
      </w:r>
      <w:r w:rsidR="00E84B0E">
        <w:t>’</w:t>
      </w:r>
      <w:r>
        <w:t>élément retiré n</w:t>
      </w:r>
      <w:r w:rsidR="00E84B0E">
        <w:t>’</w:t>
      </w:r>
      <w:r>
        <w:t>avait pas d</w:t>
      </w:r>
      <w:r w:rsidR="00E84B0E">
        <w:t>’</w:t>
      </w:r>
      <w:r>
        <w:t>identité propre avant son retrait, mais qu</w:t>
      </w:r>
      <w:r w:rsidR="00E84B0E">
        <w:t>’</w:t>
      </w:r>
      <w:r>
        <w:t>il en acquiert une à la suite de celui-ci, l</w:t>
      </w:r>
      <w:r w:rsidR="00E84B0E">
        <w:t>’</w:t>
      </w:r>
      <w:r>
        <w:t xml:space="preserve">activité doit être modélisée à la fois comme instance de </w:t>
      </w:r>
      <w:r>
        <w:rPr>
          <w:rStyle w:val="VerbatimChar"/>
        </w:rPr>
        <w:t>E80_Retrait_d</w:t>
      </w:r>
      <w:r w:rsidR="00E84B0E">
        <w:rPr>
          <w:rStyle w:val="VerbatimChar"/>
        </w:rPr>
        <w:t>’</w:t>
      </w:r>
      <w:r>
        <w:rPr>
          <w:rStyle w:val="VerbatimChar"/>
        </w:rPr>
        <w:t>élément</w:t>
      </w:r>
      <w:r>
        <w:t xml:space="preserve"> et de </w:t>
      </w:r>
      <w:r>
        <w:rPr>
          <w:rStyle w:val="VerbatimChar"/>
        </w:rPr>
        <w:t>E12_Production</w:t>
      </w:r>
      <w:r>
        <w:t>.</w:t>
      </w:r>
    </w:p>
    <w:p w14:paraId="780086B8" w14:textId="0604F291" w:rsidR="00065317" w:rsidRDefault="005C7BF7">
      <w:pPr>
        <w:pStyle w:val="Corpsdetexte"/>
      </w:pPr>
      <w:r>
        <w:rPr>
          <w:rStyle w:val="VerbatimChar"/>
        </w:rPr>
        <w:t>E80_Retrait_d</w:t>
      </w:r>
      <w:r w:rsidR="00E84B0E">
        <w:rPr>
          <w:rStyle w:val="VerbatimChar"/>
        </w:rPr>
        <w:t>’</w:t>
      </w:r>
      <w:r>
        <w:rPr>
          <w:rStyle w:val="VerbatimChar"/>
        </w:rPr>
        <w:t>élément</w:t>
      </w:r>
      <w:r>
        <w:t xml:space="preserve"> établit un cadre de raisonnement à propos de l</w:t>
      </w:r>
      <w:r w:rsidR="00E84B0E">
        <w:t>’</w:t>
      </w:r>
      <w:r>
        <w:t>histoire et de la continuité de l</w:t>
      </w:r>
      <w:r w:rsidR="00E84B0E">
        <w:t>’</w:t>
      </w:r>
      <w:r>
        <w:t>identité des objets qui sont retirés d</w:t>
      </w:r>
      <w:r w:rsidR="00E84B0E">
        <w:t>’</w:t>
      </w:r>
      <w:r>
        <w:t xml:space="preserve">autres objets à travers le temps. </w:t>
      </w:r>
      <w:r w:rsidR="00714434">
        <w:t>Cela</w:t>
      </w:r>
      <w:r>
        <w:t xml:space="preserve"> s</w:t>
      </w:r>
      <w:r w:rsidR="00E84B0E">
        <w:t>’</w:t>
      </w:r>
      <w:r>
        <w:t xml:space="preserve">applique par exemple à des pierres précieuses desserties plusieurs fois de suite de différents bijoux, ou encore à des artefacts culturels aliénés de différentes instances de </w:t>
      </w:r>
      <w:r>
        <w:rPr>
          <w:rStyle w:val="VerbatimChar"/>
        </w:rPr>
        <w:t>E78_Collection</w:t>
      </w:r>
      <w:r>
        <w:t xml:space="preserve"> durant leur existence.</w:t>
      </w:r>
    </w:p>
    <w:p w14:paraId="473D28D8" w14:textId="77777777" w:rsidR="00065317" w:rsidRDefault="005C7BF7">
      <w:pPr>
        <w:pStyle w:val="Corpsdetexte"/>
      </w:pPr>
      <w:r>
        <w:rPr>
          <w:b/>
          <w:bCs/>
        </w:rPr>
        <w:t>Exemples</w:t>
      </w:r>
    </w:p>
    <w:p w14:paraId="1054C4CF" w14:textId="53858DEA" w:rsidR="00065317" w:rsidRDefault="005C7BF7">
      <w:pPr>
        <w:numPr>
          <w:ilvl w:val="0"/>
          <w:numId w:val="128"/>
        </w:numPr>
      </w:pPr>
      <w:r>
        <w:t>Le retrait d</w:t>
      </w:r>
      <w:r w:rsidR="00E84B0E">
        <w:t>’</w:t>
      </w:r>
      <w:r>
        <w:t>un spécimen de porites par Charles Darwin aux îles Cocos en</w:t>
      </w:r>
      <w:r w:rsidR="00056DCD">
        <w:t> avril </w:t>
      </w:r>
      <w:r>
        <w:t>1836 (Natural History Museum, 2021b)</w:t>
      </w:r>
    </w:p>
    <w:p w14:paraId="1F0EE09D" w14:textId="77777777" w:rsidR="00065317" w:rsidRDefault="005C7BF7">
      <w:pPr>
        <w:numPr>
          <w:ilvl w:val="0"/>
          <w:numId w:val="128"/>
        </w:numPr>
      </w:pPr>
      <w:r>
        <w:t>Le retrait du moteur de ma voiture (fictif)</w:t>
      </w:r>
    </w:p>
    <w:p w14:paraId="18CBAF58" w14:textId="171A0B3D" w:rsidR="00065317" w:rsidRDefault="005C7BF7">
      <w:pPr>
        <w:numPr>
          <w:ilvl w:val="0"/>
          <w:numId w:val="128"/>
        </w:numPr>
      </w:pPr>
      <w:r>
        <w:t>L</w:t>
      </w:r>
      <w:r w:rsidR="00E84B0E">
        <w:t>’</w:t>
      </w:r>
      <w:r>
        <w:t>aliénation de l</w:t>
      </w:r>
      <w:r w:rsidR="00E84B0E">
        <w:t>’</w:t>
      </w:r>
      <w:r>
        <w:t>objet « 1976:234 » de la collection à laquelle il appartenait (fictif)</w:t>
      </w:r>
    </w:p>
    <w:p w14:paraId="5912814F" w14:textId="77777777" w:rsidR="00065317" w:rsidRDefault="005C7BF7">
      <w:pPr>
        <w:pStyle w:val="FirstParagraph"/>
      </w:pPr>
      <w:r>
        <w:rPr>
          <w:b/>
          <w:bCs/>
        </w:rPr>
        <w:t>Logique</w:t>
      </w:r>
    </w:p>
    <w:p w14:paraId="35F79256" w14:textId="77777777" w:rsidR="00065317" w:rsidRDefault="005C7BF7">
      <w:pPr>
        <w:pStyle w:val="Corpsdetexte"/>
      </w:pPr>
      <w:r>
        <w:t>E80(x) ⇒ E11(x)</w:t>
      </w:r>
    </w:p>
    <w:p w14:paraId="5EAFF3EA" w14:textId="77777777" w:rsidR="004E5EA3" w:rsidRDefault="004E5EA3">
      <w:pPr>
        <w:spacing w:after="0"/>
        <w:rPr>
          <w:b/>
          <w:bCs/>
        </w:rPr>
      </w:pPr>
      <w:r>
        <w:rPr>
          <w:b/>
          <w:bCs/>
        </w:rPr>
        <w:br w:type="page"/>
      </w:r>
    </w:p>
    <w:p w14:paraId="75B5B086" w14:textId="4D62B469" w:rsidR="00065317" w:rsidRDefault="005C7BF7">
      <w:pPr>
        <w:pStyle w:val="Corpsdetexte"/>
      </w:pPr>
      <w:r>
        <w:rPr>
          <w:b/>
          <w:bCs/>
        </w:rPr>
        <w:lastRenderedPageBreak/>
        <w:t>Propriétés</w:t>
      </w:r>
    </w:p>
    <w:p w14:paraId="5642093A" w14:textId="77777777" w:rsidR="00065317" w:rsidRDefault="005C7BF7">
      <w:pPr>
        <w:pStyle w:val="Corpsdetexte"/>
      </w:pPr>
      <w:r>
        <w:rPr>
          <w:rStyle w:val="VerbatimChar"/>
        </w:rPr>
        <w:t>P112_a_diminué (a_été_diminué_par)</w:t>
      </w:r>
      <w:r>
        <w:t xml:space="preserve"> : </w:t>
      </w:r>
      <w:r>
        <w:rPr>
          <w:rStyle w:val="VerbatimChar"/>
        </w:rPr>
        <w:t>E18_Chose_matérielle</w:t>
      </w:r>
    </w:p>
    <w:p w14:paraId="3E68DC59" w14:textId="77777777" w:rsidR="00065317" w:rsidRDefault="005C7BF7">
      <w:pPr>
        <w:pStyle w:val="Corpsdetexte"/>
      </w:pPr>
      <w:r>
        <w:rPr>
          <w:rStyle w:val="VerbatimChar"/>
        </w:rPr>
        <w:t>P113_a_retiré (a_été_retiré_par)</w:t>
      </w:r>
      <w:r>
        <w:t xml:space="preserve"> : </w:t>
      </w:r>
      <w:r>
        <w:rPr>
          <w:rStyle w:val="VerbatimChar"/>
        </w:rPr>
        <w:t>E18_Chose_matérielle</w:t>
      </w:r>
    </w:p>
    <w:p w14:paraId="57DA19D9" w14:textId="77777777" w:rsidR="00065317" w:rsidRDefault="005C7BF7">
      <w:pPr>
        <w:pStyle w:val="Normalcentr"/>
      </w:pPr>
      <w:r>
        <w:rPr>
          <w:b/>
          <w:bCs/>
          <w:i/>
          <w:iCs/>
        </w:rPr>
        <w:t>Note de traduction</w:t>
      </w:r>
    </w:p>
    <w:p w14:paraId="5D2E54CF" w14:textId="06DA5D8D" w:rsidR="00065317" w:rsidRDefault="005C7BF7" w:rsidP="00BF7EA3">
      <w:pPr>
        <w:pStyle w:val="Normalcentr"/>
      </w:pPr>
      <w:r>
        <w:rPr>
          <w:b/>
          <w:bCs/>
          <w:i/>
          <w:iCs/>
        </w:rPr>
        <w:t>Références</w:t>
      </w:r>
    </w:p>
    <w:p w14:paraId="5578722C" w14:textId="77777777" w:rsidR="00065317" w:rsidRDefault="005C7BF7" w:rsidP="00914F34">
      <w:pPr>
        <w:pStyle w:val="Titre3"/>
      </w:pPr>
      <w:bookmarkStart w:id="238" w:name="_Toc154048804"/>
      <w:bookmarkStart w:id="239" w:name="e81-transformation"/>
      <w:bookmarkEnd w:id="237"/>
      <w:r>
        <w:t>E81 Transformation</w:t>
      </w:r>
      <w:bookmarkEnd w:id="238"/>
    </w:p>
    <w:p w14:paraId="08C0EE2F" w14:textId="77777777" w:rsidR="00065317" w:rsidRDefault="005C7BF7">
      <w:pPr>
        <w:pStyle w:val="FirstParagraph"/>
      </w:pPr>
      <w:r>
        <w:rPr>
          <w:b/>
          <w:bCs/>
        </w:rPr>
        <w:t>Sous-classe de</w:t>
      </w:r>
    </w:p>
    <w:p w14:paraId="6C7E3FA3" w14:textId="41E0A4C7" w:rsidR="00065317" w:rsidRDefault="005C7BF7">
      <w:pPr>
        <w:pStyle w:val="Corpsdetexte"/>
      </w:pPr>
      <w:r>
        <w:rPr>
          <w:rStyle w:val="VerbatimChar"/>
        </w:rPr>
        <w:t>E63_Début_d</w:t>
      </w:r>
      <w:r w:rsidR="00E84B0E">
        <w:rPr>
          <w:rStyle w:val="VerbatimChar"/>
        </w:rPr>
        <w:t>’</w:t>
      </w:r>
      <w:r>
        <w:rPr>
          <w:rStyle w:val="VerbatimChar"/>
        </w:rPr>
        <w:t>existence</w:t>
      </w:r>
    </w:p>
    <w:p w14:paraId="425C43C1" w14:textId="3AEBA86A" w:rsidR="00065317" w:rsidRDefault="005C7BF7">
      <w:pPr>
        <w:pStyle w:val="Corpsdetexte"/>
      </w:pPr>
      <w:r>
        <w:rPr>
          <w:rStyle w:val="VerbatimChar"/>
        </w:rPr>
        <w:t>E64_Fin_d</w:t>
      </w:r>
      <w:r w:rsidR="00E84B0E">
        <w:rPr>
          <w:rStyle w:val="VerbatimChar"/>
        </w:rPr>
        <w:t>’</w:t>
      </w:r>
      <w:r>
        <w:rPr>
          <w:rStyle w:val="VerbatimChar"/>
        </w:rPr>
        <w:t>existence</w:t>
      </w:r>
    </w:p>
    <w:p w14:paraId="311C63E5" w14:textId="244B5E97" w:rsidR="00065317" w:rsidRPr="008B044A" w:rsidRDefault="005C7BF7" w:rsidP="004E5EA3">
      <w:pPr>
        <w:pStyle w:val="Corpsdetexte"/>
        <w:rPr>
          <w:b/>
          <w:bCs/>
        </w:rPr>
      </w:pPr>
      <w:r>
        <w:rPr>
          <w:b/>
          <w:bCs/>
        </w:rPr>
        <w:t>Super-classe de</w:t>
      </w:r>
    </w:p>
    <w:p w14:paraId="620D881A" w14:textId="4FD76C9D" w:rsidR="00065317" w:rsidRDefault="005C7BF7">
      <w:pPr>
        <w:pStyle w:val="Corpsdetexte"/>
      </w:pPr>
      <w:r>
        <w:rPr>
          <w:b/>
          <w:bCs/>
        </w:rPr>
        <w:t>Note d</w:t>
      </w:r>
      <w:r w:rsidR="00E84B0E">
        <w:rPr>
          <w:b/>
          <w:bCs/>
        </w:rPr>
        <w:t>’</w:t>
      </w:r>
      <w:r>
        <w:rPr>
          <w:b/>
          <w:bCs/>
        </w:rPr>
        <w:t>application</w:t>
      </w:r>
    </w:p>
    <w:p w14:paraId="3C2B4734" w14:textId="5B1E8178" w:rsidR="00065317" w:rsidRDefault="005C7BF7">
      <w:pPr>
        <w:pStyle w:val="Corpsdetexte"/>
      </w:pPr>
      <w:r>
        <w:t>Cette classe comprend les évènements qui ont pour effet de mener simultanément à la destruction d</w:t>
      </w:r>
      <w:r w:rsidR="00E84B0E">
        <w:t>’</w:t>
      </w:r>
      <w:r>
        <w:t xml:space="preserve">une ou de plusieurs instances de </w:t>
      </w:r>
      <w:r>
        <w:rPr>
          <w:rStyle w:val="VerbatimChar"/>
        </w:rPr>
        <w:t>E18_Chose_matérielle</w:t>
      </w:r>
      <w:r>
        <w:t xml:space="preserve"> et à la création d</w:t>
      </w:r>
      <w:r w:rsidR="00E84B0E">
        <w:t>’</w:t>
      </w:r>
      <w:r>
        <w:t xml:space="preserve">une ou de plusieurs instances de </w:t>
      </w:r>
      <w:r>
        <w:rPr>
          <w:rStyle w:val="VerbatimChar"/>
        </w:rPr>
        <w:t>E18_Chose_matérielle</w:t>
      </w:r>
      <w:r>
        <w:t>. Ces dernières conservent des premières une substance et une structure reconnaissables, mais leur nature ou leur identité est fondamentalement différente.</w:t>
      </w:r>
    </w:p>
    <w:p w14:paraId="63577619" w14:textId="77777777" w:rsidR="00065317" w:rsidRDefault="005C7BF7">
      <w:pPr>
        <w:pStyle w:val="Corpsdetexte"/>
      </w:pPr>
      <w:r>
        <w:t xml:space="preserve">Bien que les anciennes et les nouvelles instances de </w:t>
      </w:r>
      <w:r>
        <w:rPr>
          <w:rStyle w:val="VerbatimChar"/>
        </w:rPr>
        <w:t>E18_Chose_matérielle</w:t>
      </w:r>
      <w:r>
        <w:t xml:space="preserve"> soient traitées comme des entités distinctes ayant chacune son identité propre et unique, elles sont causalement connectées par une instance de </w:t>
      </w:r>
      <w:r>
        <w:rPr>
          <w:rStyle w:val="VerbatimChar"/>
        </w:rPr>
        <w:t>E81_Transformation</w:t>
      </w:r>
      <w:r>
        <w:t xml:space="preserve">. La destruction de la ou des instance(s) initiale(s) de </w:t>
      </w:r>
      <w:r>
        <w:rPr>
          <w:rStyle w:val="VerbatimChar"/>
        </w:rPr>
        <w:t>E18_Chose_matérielle</w:t>
      </w:r>
      <w:r>
        <w:t xml:space="preserve"> provoque la création de la ou des nouvelle(s) instance(s) qui utilise(nt) ou conserve(nt) les éléments substantiels ou structurels pertinents.</w:t>
      </w:r>
    </w:p>
    <w:p w14:paraId="2D5A7F9D" w14:textId="763F569F" w:rsidR="00065317" w:rsidRDefault="005C7BF7">
      <w:pPr>
        <w:pStyle w:val="Corpsdetexte"/>
      </w:pPr>
      <w:r>
        <w:t xml:space="preserve">Les instances de </w:t>
      </w:r>
      <w:r>
        <w:rPr>
          <w:rStyle w:val="VerbatimChar"/>
        </w:rPr>
        <w:t>E81_Transformation</w:t>
      </w:r>
      <w:r>
        <w:t xml:space="preserve"> sont donc distinctes [</w:t>
      </w:r>
      <w:r w:rsidR="00AF51A3">
        <w:t xml:space="preserve">n.d.t. </w:t>
      </w:r>
      <w:r>
        <w:t xml:space="preserve">des instances de </w:t>
      </w:r>
      <w:r>
        <w:rPr>
          <w:rStyle w:val="VerbatimChar"/>
        </w:rPr>
        <w:t>E17_Assignation_de_type</w:t>
      </w:r>
      <w:r>
        <w:t xml:space="preserve"> (lesquelles induisent une reclassification) ainsi que des instances de </w:t>
      </w:r>
      <w:r>
        <w:rPr>
          <w:rStyle w:val="VerbatimChar"/>
        </w:rPr>
        <w:t>E11_Modification</w:t>
      </w:r>
      <w:r>
        <w:t xml:space="preserve"> (lesquelles induisent évidemment une modification) puisque ces activités] ne changent pas fondamentalement leur nature ou leur identité. La reconstruction et la conversion de bâtiments historiques ou de ruines, les incendies laissant des bâtiments en ruines et la taxidermie de spécimens d</w:t>
      </w:r>
      <w:r w:rsidR="00E84B0E">
        <w:t>’</w:t>
      </w:r>
      <w:r>
        <w:t>histoire naturelle [</w:t>
      </w:r>
      <w:r w:rsidR="00AF51A3">
        <w:t xml:space="preserve">n.d.t. </w:t>
      </w:r>
      <w:r>
        <w:t xml:space="preserve">sont quelques exemples représentatifs de </w:t>
      </w:r>
      <w:r>
        <w:rPr>
          <w:rStyle w:val="VerbatimChar"/>
        </w:rPr>
        <w:t>E81_Transformation</w:t>
      </w:r>
      <w:r>
        <w:t>].</w:t>
      </w:r>
    </w:p>
    <w:p w14:paraId="03DE7E69" w14:textId="6DE89871" w:rsidR="00065317" w:rsidRDefault="005C7BF7">
      <w:pPr>
        <w:pStyle w:val="Corpsdetexte"/>
      </w:pPr>
      <w:r>
        <w:t xml:space="preserve">Même si les instances de </w:t>
      </w:r>
      <w:r>
        <w:rPr>
          <w:rStyle w:val="VerbatimChar"/>
        </w:rPr>
        <w:t>E81_Transformation</w:t>
      </w:r>
      <w:r>
        <w:t xml:space="preserve"> sont souvent motivées par un changement d</w:t>
      </w:r>
      <w:r w:rsidR="00E84B0E">
        <w:t>’</w:t>
      </w:r>
      <w:r>
        <w:t xml:space="preserve">utilisation prévue, ce sont les changements matériels substantiels qui justifient la documentation du résultat en une nouvelle instance de </w:t>
      </w:r>
      <w:r>
        <w:rPr>
          <w:rStyle w:val="VerbatimChar"/>
        </w:rPr>
        <w:t>E18_Chose_matérielle</w:t>
      </w:r>
      <w:r>
        <w:t xml:space="preserve">, et non le seul changement de fonction. Celui-ci peut être documenté par une activité (instance de </w:t>
      </w:r>
      <w:r>
        <w:rPr>
          <w:rStyle w:val="VerbatimChar"/>
        </w:rPr>
        <w:t>E7_Activité</w:t>
      </w:r>
      <w:r>
        <w:t>) d</w:t>
      </w:r>
      <w:r w:rsidR="00E84B0E">
        <w:t>’</w:t>
      </w:r>
      <w:r>
        <w:t>utilisation prolongée.</w:t>
      </w:r>
    </w:p>
    <w:p w14:paraId="09A4237E" w14:textId="77777777" w:rsidR="00065317" w:rsidRDefault="005C7BF7">
      <w:pPr>
        <w:pStyle w:val="Corpsdetexte"/>
      </w:pPr>
      <w:r>
        <w:rPr>
          <w:b/>
          <w:bCs/>
        </w:rPr>
        <w:t>Exemples</w:t>
      </w:r>
    </w:p>
    <w:p w14:paraId="78F245BA" w14:textId="1C0B94E8" w:rsidR="00065317" w:rsidRDefault="005C7BF7">
      <w:pPr>
        <w:numPr>
          <w:ilvl w:val="0"/>
          <w:numId w:val="129"/>
        </w:numPr>
      </w:pPr>
      <w:r>
        <w:t>La momification de Toutânkhamon (</w:t>
      </w:r>
      <w:r>
        <w:rPr>
          <w:rStyle w:val="VerbatimChar"/>
        </w:rPr>
        <w:t>E81_Transformation</w:t>
      </w:r>
      <w:r>
        <w:t xml:space="preserve">, </w:t>
      </w:r>
      <w:r>
        <w:rPr>
          <w:rStyle w:val="VerbatimChar"/>
        </w:rPr>
        <w:t>E12_Production</w:t>
      </w:r>
      <w:r>
        <w:t>) [la momification du corps du défunt est un processus de production propre à l</w:t>
      </w:r>
      <w:r w:rsidR="00E84B0E">
        <w:t>’</w:t>
      </w:r>
      <w:r>
        <w:t>humain qui préserve simultanément les structures du corps au moment du décès et avant celui-ci] (Carter &amp; Mace, 1977)</w:t>
      </w:r>
    </w:p>
    <w:p w14:paraId="0169F02D" w14:textId="3EC84808" w:rsidR="004E5EA3" w:rsidRDefault="005C7BF7">
      <w:pPr>
        <w:numPr>
          <w:ilvl w:val="0"/>
          <w:numId w:val="129"/>
        </w:numPr>
      </w:pPr>
      <w:r>
        <w:t>La mort, la carbonisation et la pétrification de certains habitants de Pompéi en 79 EC provoquées par la chaleur intense d</w:t>
      </w:r>
      <w:r w:rsidR="00E84B0E">
        <w:t>’</w:t>
      </w:r>
      <w:r>
        <w:t>un nuage pyroclastique et par les cendres provenant de l</w:t>
      </w:r>
      <w:r w:rsidR="00E84B0E">
        <w:t>’</w:t>
      </w:r>
      <w:r>
        <w:t>éruption du mont Vésuve (</w:t>
      </w:r>
      <w:r>
        <w:rPr>
          <w:rStyle w:val="VerbatimChar"/>
        </w:rPr>
        <w:t>E69_Mort</w:t>
      </w:r>
      <w:r>
        <w:t xml:space="preserve">, </w:t>
      </w:r>
      <w:r>
        <w:rPr>
          <w:rStyle w:val="VerbatimChar"/>
        </w:rPr>
        <w:t>E81_Transformation</w:t>
      </w:r>
      <w:r>
        <w:t>)</w:t>
      </w:r>
    </w:p>
    <w:p w14:paraId="002FA48C" w14:textId="631B9E79" w:rsidR="00065317" w:rsidRDefault="004E5EA3" w:rsidP="004E5EA3">
      <w:pPr>
        <w:spacing w:after="0"/>
      </w:pPr>
      <w:r>
        <w:br w:type="page"/>
      </w:r>
    </w:p>
    <w:p w14:paraId="582FAEB6" w14:textId="76EAFAF6" w:rsidR="00065317" w:rsidRDefault="005C7BF7">
      <w:pPr>
        <w:numPr>
          <w:ilvl w:val="0"/>
          <w:numId w:val="129"/>
        </w:numPr>
      </w:pPr>
      <w:r>
        <w:lastRenderedPageBreak/>
        <w:t>La transformation du temple Héphaïstéion à Athènes, mieux connu sous le nom de « Théséion</w:t>
      </w:r>
      <w:r w:rsidR="00E46F6B">
        <w:t> </w:t>
      </w:r>
      <w:r>
        <w:t>», en une église chrétienne dédiée à saint Georges vers 700 EC (</w:t>
      </w:r>
      <w:r>
        <w:rPr>
          <w:rStyle w:val="VerbatimChar"/>
        </w:rPr>
        <w:t>E81_Transformation</w:t>
      </w:r>
      <w:r>
        <w:t xml:space="preserve">, </w:t>
      </w:r>
      <w:r>
        <w:rPr>
          <w:rStyle w:val="VerbatimChar"/>
        </w:rPr>
        <w:t>E12_Production</w:t>
      </w:r>
      <w:r>
        <w:t>) [ce qui a permis de préserver une partie de la structure du temple antique construit à partir de 449 AEC]</w:t>
      </w:r>
    </w:p>
    <w:p w14:paraId="384E5715" w14:textId="77777777" w:rsidR="00065317" w:rsidRDefault="005C7BF7">
      <w:pPr>
        <w:pStyle w:val="FirstParagraph"/>
      </w:pPr>
      <w:r>
        <w:rPr>
          <w:b/>
          <w:bCs/>
        </w:rPr>
        <w:t>Logique</w:t>
      </w:r>
    </w:p>
    <w:p w14:paraId="306F9333" w14:textId="77777777" w:rsidR="00065317" w:rsidRDefault="005C7BF7">
      <w:pPr>
        <w:pStyle w:val="Corpsdetexte"/>
      </w:pPr>
      <w:r>
        <w:t>E81(x) ⇒ E63(x)</w:t>
      </w:r>
    </w:p>
    <w:p w14:paraId="436EEBCF" w14:textId="77777777" w:rsidR="00065317" w:rsidRDefault="005C7BF7">
      <w:pPr>
        <w:pStyle w:val="Corpsdetexte"/>
      </w:pPr>
      <w:r>
        <w:t>E81(x) ⇒ E64(x)</w:t>
      </w:r>
    </w:p>
    <w:p w14:paraId="11594DB4" w14:textId="77777777" w:rsidR="00065317" w:rsidRDefault="005C7BF7">
      <w:pPr>
        <w:pStyle w:val="Corpsdetexte"/>
      </w:pPr>
      <w:r>
        <w:rPr>
          <w:b/>
          <w:bCs/>
        </w:rPr>
        <w:t>Propriétés</w:t>
      </w:r>
    </w:p>
    <w:p w14:paraId="2A069C47" w14:textId="77777777" w:rsidR="00065317" w:rsidRDefault="005C7BF7">
      <w:pPr>
        <w:pStyle w:val="Corpsdetexte"/>
      </w:pPr>
      <w:r>
        <w:rPr>
          <w:rStyle w:val="VerbatimChar"/>
        </w:rPr>
        <w:t>P123_a_eu_pour_résultat (a_résulté_de)</w:t>
      </w:r>
      <w:r>
        <w:t xml:space="preserve"> : </w:t>
      </w:r>
      <w:r>
        <w:rPr>
          <w:rStyle w:val="VerbatimChar"/>
        </w:rPr>
        <w:t>E18_Chose_matérielle</w:t>
      </w:r>
    </w:p>
    <w:p w14:paraId="5AA617DF" w14:textId="77777777" w:rsidR="00065317" w:rsidRDefault="005C7BF7">
      <w:pPr>
        <w:pStyle w:val="Corpsdetexte"/>
      </w:pPr>
      <w:r>
        <w:rPr>
          <w:rStyle w:val="VerbatimChar"/>
        </w:rPr>
        <w:t>P124_a_transformé (a_été_transformé_par)</w:t>
      </w:r>
      <w:r>
        <w:t xml:space="preserve"> : </w:t>
      </w:r>
      <w:r>
        <w:rPr>
          <w:rStyle w:val="VerbatimChar"/>
        </w:rPr>
        <w:t>E18_Chose_matérielle</w:t>
      </w:r>
    </w:p>
    <w:p w14:paraId="30EEBC2D" w14:textId="77777777" w:rsidR="00065317" w:rsidRDefault="005C7BF7">
      <w:pPr>
        <w:pStyle w:val="Normalcentr"/>
      </w:pPr>
      <w:r>
        <w:rPr>
          <w:b/>
          <w:bCs/>
          <w:i/>
          <w:iCs/>
        </w:rPr>
        <w:t>Note de traduction</w:t>
      </w:r>
    </w:p>
    <w:p w14:paraId="46D25BB5" w14:textId="2FAAA12F" w:rsidR="00065317" w:rsidRDefault="005C7BF7" w:rsidP="00BF7EA3">
      <w:pPr>
        <w:pStyle w:val="Normalcentr"/>
      </w:pPr>
      <w:r>
        <w:rPr>
          <w:b/>
          <w:bCs/>
          <w:i/>
          <w:iCs/>
        </w:rPr>
        <w:t>Références</w:t>
      </w:r>
    </w:p>
    <w:p w14:paraId="0F151782" w14:textId="77777777" w:rsidR="00065317" w:rsidRDefault="005C7BF7" w:rsidP="00914F34">
      <w:pPr>
        <w:pStyle w:val="Titre3"/>
      </w:pPr>
      <w:bookmarkStart w:id="240" w:name="_Toc154048805"/>
      <w:bookmarkStart w:id="241" w:name="e83-creation-de-type"/>
      <w:bookmarkEnd w:id="239"/>
      <w:r>
        <w:t>E83 Création de type</w:t>
      </w:r>
      <w:bookmarkEnd w:id="240"/>
    </w:p>
    <w:p w14:paraId="37338728" w14:textId="77777777" w:rsidR="00065317" w:rsidRDefault="005C7BF7">
      <w:pPr>
        <w:pStyle w:val="FirstParagraph"/>
      </w:pPr>
      <w:r>
        <w:rPr>
          <w:b/>
          <w:bCs/>
        </w:rPr>
        <w:t>Sous-classe de</w:t>
      </w:r>
    </w:p>
    <w:p w14:paraId="4ED4D475" w14:textId="77777777" w:rsidR="00065317" w:rsidRDefault="005C7BF7">
      <w:pPr>
        <w:pStyle w:val="Corpsdetexte"/>
      </w:pPr>
      <w:r>
        <w:rPr>
          <w:rStyle w:val="VerbatimChar"/>
        </w:rPr>
        <w:t>E65_Création</w:t>
      </w:r>
    </w:p>
    <w:p w14:paraId="55E77EEB" w14:textId="77777777" w:rsidR="00065317" w:rsidRDefault="005C7BF7">
      <w:pPr>
        <w:pStyle w:val="Corpsdetexte"/>
      </w:pPr>
      <w:r>
        <w:rPr>
          <w:b/>
          <w:bCs/>
        </w:rPr>
        <w:t>Super-classe de</w:t>
      </w:r>
    </w:p>
    <w:p w14:paraId="2CFCE539" w14:textId="58410B31" w:rsidR="00065317" w:rsidRDefault="005C7BF7">
      <w:pPr>
        <w:pStyle w:val="Corpsdetexte"/>
      </w:pPr>
      <w:r>
        <w:rPr>
          <w:b/>
          <w:bCs/>
        </w:rPr>
        <w:t>Note d</w:t>
      </w:r>
      <w:r w:rsidR="00E84B0E">
        <w:rPr>
          <w:b/>
          <w:bCs/>
        </w:rPr>
        <w:t>’</w:t>
      </w:r>
      <w:r>
        <w:rPr>
          <w:b/>
          <w:bCs/>
        </w:rPr>
        <w:t>application</w:t>
      </w:r>
    </w:p>
    <w:p w14:paraId="7CF28C1A" w14:textId="7798623C" w:rsidR="00065317" w:rsidRDefault="005C7BF7">
      <w:pPr>
        <w:pStyle w:val="Corpsdetexte"/>
      </w:pPr>
      <w:r>
        <w:t>Cette classe comprend les activités définissant formellement de nouveaux types d</w:t>
      </w:r>
      <w:r w:rsidR="00E84B0E">
        <w:t>’</w:t>
      </w:r>
      <w:r>
        <w:t>entités.</w:t>
      </w:r>
    </w:p>
    <w:p w14:paraId="7FF5BDD3" w14:textId="331A298F" w:rsidR="00065317" w:rsidRDefault="005C7BF7">
      <w:pPr>
        <w:pStyle w:val="Corpsdetexte"/>
      </w:pPr>
      <w:r>
        <w:t>C</w:t>
      </w:r>
      <w:r w:rsidR="00E84B0E">
        <w:t>’</w:t>
      </w:r>
      <w:r>
        <w:t>est généralement un processus savant ou scientifique rigoureux qui garantit qu</w:t>
      </w:r>
      <w:r w:rsidR="00E84B0E">
        <w:t>’</w:t>
      </w:r>
      <w:r>
        <w:t>un type est décrit de manière exhaustive et qu</w:t>
      </w:r>
      <w:r w:rsidR="00E84B0E">
        <w:t>’</w:t>
      </w:r>
      <w:r>
        <w:t>il est nommé de manière appropriée.</w:t>
      </w:r>
    </w:p>
    <w:p w14:paraId="11803593" w14:textId="6998A55E" w:rsidR="00065317" w:rsidRDefault="005C7BF7">
      <w:pPr>
        <w:pStyle w:val="Corpsdetexte"/>
      </w:pPr>
      <w:r>
        <w:t xml:space="preserve">Dans certains cas, en particulier en archéologie ou en sciences de la vie, </w:t>
      </w:r>
      <w:r>
        <w:rPr>
          <w:rStyle w:val="VerbatimChar"/>
        </w:rPr>
        <w:t>E83_Création_de_type</w:t>
      </w:r>
      <w:r>
        <w:t xml:space="preserve"> nécessite l</w:t>
      </w:r>
      <w:r w:rsidR="00E84B0E">
        <w:t>’</w:t>
      </w:r>
      <w:r>
        <w:t>identification d</w:t>
      </w:r>
      <w:r w:rsidR="00E84B0E">
        <w:t>’</w:t>
      </w:r>
      <w:r>
        <w:t>un spécimen de référence et la publication de la définition de son type dans un forum de discussion scientifique approprié. L</w:t>
      </w:r>
      <w:r w:rsidR="00E84B0E">
        <w:t>’</w:t>
      </w:r>
      <w:r>
        <w:t xml:space="preserve">activité modélisée comme une instance de </w:t>
      </w:r>
      <w:r>
        <w:rPr>
          <w:rStyle w:val="VerbatimChar"/>
        </w:rPr>
        <w:t>E83_Création_de_type</w:t>
      </w:r>
      <w:r>
        <w:t xml:space="preserve"> est essentielle à la recherche en sciences de la vie. Dans ce domaine, le « taxon » fait référence au type, le «</w:t>
      </w:r>
      <w:r w:rsidR="00E46F6B">
        <w:t> </w:t>
      </w:r>
      <w:r>
        <w:t>protologue</w:t>
      </w:r>
      <w:r w:rsidR="00E46F6B">
        <w:t> </w:t>
      </w:r>
      <w:r>
        <w:t>» à la description du type et le « type original » ou « holotype » aux spécimens de référence.</w:t>
      </w:r>
    </w:p>
    <w:p w14:paraId="7E940DDB" w14:textId="77777777" w:rsidR="00065317" w:rsidRDefault="005C7BF7">
      <w:pPr>
        <w:pStyle w:val="Corpsdetexte"/>
      </w:pPr>
      <w:r>
        <w:rPr>
          <w:b/>
          <w:bCs/>
        </w:rPr>
        <w:t>Exemples</w:t>
      </w:r>
    </w:p>
    <w:p w14:paraId="10E49960" w14:textId="77777777" w:rsidR="00065317" w:rsidRDefault="005C7BF7">
      <w:pPr>
        <w:numPr>
          <w:ilvl w:val="0"/>
          <w:numId w:val="130"/>
        </w:numPr>
      </w:pPr>
      <w:r>
        <w:t xml:space="preserve">Création du taxon </w:t>
      </w:r>
      <w:r>
        <w:rPr>
          <w:i/>
          <w:iCs/>
        </w:rPr>
        <w:t>Penicillium brefeldianum</w:t>
      </w:r>
      <w:r>
        <w:t xml:space="preserve"> (Dodge, 1933)</w:t>
      </w:r>
    </w:p>
    <w:p w14:paraId="2CDCB372" w14:textId="05F8FA43" w:rsidR="00065317" w:rsidRDefault="005C7BF7">
      <w:pPr>
        <w:numPr>
          <w:ilvl w:val="0"/>
          <w:numId w:val="130"/>
        </w:numPr>
      </w:pPr>
      <w:r>
        <w:t xml:space="preserve">Ajout de la classe </w:t>
      </w:r>
      <w:r>
        <w:rPr>
          <w:rStyle w:val="VerbatimChar"/>
        </w:rPr>
        <w:t>E85_Adhésion</w:t>
      </w:r>
      <w:r>
        <w:t xml:space="preserve"> au </w:t>
      </w:r>
      <w:r w:rsidR="00C8288F">
        <w:t>CIDOC CRM</w:t>
      </w:r>
    </w:p>
    <w:p w14:paraId="29DCDF67" w14:textId="77777777" w:rsidR="00065317" w:rsidRDefault="005C7BF7">
      <w:pPr>
        <w:pStyle w:val="FirstParagraph"/>
      </w:pPr>
      <w:r>
        <w:rPr>
          <w:b/>
          <w:bCs/>
        </w:rPr>
        <w:t>Logique</w:t>
      </w:r>
    </w:p>
    <w:p w14:paraId="197334BB" w14:textId="77777777" w:rsidR="00065317" w:rsidRDefault="005C7BF7">
      <w:pPr>
        <w:pStyle w:val="Corpsdetexte"/>
      </w:pPr>
      <w:r>
        <w:t>E83(x) ⇒ E65(x)</w:t>
      </w:r>
    </w:p>
    <w:p w14:paraId="73BABA41" w14:textId="77777777" w:rsidR="00065317" w:rsidRDefault="005C7BF7">
      <w:pPr>
        <w:pStyle w:val="Corpsdetexte"/>
      </w:pPr>
      <w:r>
        <w:rPr>
          <w:b/>
          <w:bCs/>
        </w:rPr>
        <w:t>Propriétés</w:t>
      </w:r>
    </w:p>
    <w:p w14:paraId="5D884506" w14:textId="77777777" w:rsidR="00065317" w:rsidRDefault="005C7BF7">
      <w:pPr>
        <w:pStyle w:val="Corpsdetexte"/>
      </w:pPr>
      <w:r>
        <w:rPr>
          <w:rStyle w:val="VerbatimChar"/>
        </w:rPr>
        <w:t>P135_a_créé_le_type (a_été_créé_par)</w:t>
      </w:r>
      <w:r>
        <w:t xml:space="preserve"> : </w:t>
      </w:r>
      <w:r>
        <w:rPr>
          <w:rStyle w:val="VerbatimChar"/>
        </w:rPr>
        <w:t>E55_Type</w:t>
      </w:r>
    </w:p>
    <w:p w14:paraId="4FCCE94B" w14:textId="77777777" w:rsidR="00065317" w:rsidRDefault="005C7BF7">
      <w:pPr>
        <w:pStyle w:val="Corpsdetexte"/>
      </w:pPr>
      <w:r>
        <w:rPr>
          <w:rStyle w:val="VerbatimChar"/>
        </w:rPr>
        <w:t>P136_a_été_fondé_sur (a_fondé_la_création_du_type)</w:t>
      </w:r>
      <w:r>
        <w:t xml:space="preserve"> : </w:t>
      </w:r>
      <w:r>
        <w:rPr>
          <w:rStyle w:val="VerbatimChar"/>
        </w:rPr>
        <w:t>E1_Entité_CRM</w:t>
      </w:r>
    </w:p>
    <w:p w14:paraId="031ED497" w14:textId="77777777" w:rsidR="00065317" w:rsidRDefault="005C7BF7">
      <w:pPr>
        <w:pStyle w:val="Corpsdetexte"/>
      </w:pPr>
      <w:r>
        <w:t>(</w:t>
      </w:r>
      <w:r>
        <w:rPr>
          <w:rStyle w:val="VerbatimChar"/>
        </w:rPr>
        <w:t>P136.1_dans_le_rôle_taxonomique_de</w:t>
      </w:r>
      <w:r>
        <w:t xml:space="preserve"> : </w:t>
      </w:r>
      <w:r>
        <w:rPr>
          <w:rStyle w:val="VerbatimChar"/>
        </w:rPr>
        <w:t>E55_Type</w:t>
      </w:r>
      <w:r>
        <w:t>)</w:t>
      </w:r>
    </w:p>
    <w:p w14:paraId="50CE5F60" w14:textId="77777777" w:rsidR="00065317" w:rsidRDefault="005C7BF7">
      <w:pPr>
        <w:pStyle w:val="Normalcentr"/>
      </w:pPr>
      <w:r>
        <w:rPr>
          <w:b/>
          <w:bCs/>
          <w:i/>
          <w:iCs/>
        </w:rPr>
        <w:lastRenderedPageBreak/>
        <w:t>Note de traduction</w:t>
      </w:r>
    </w:p>
    <w:p w14:paraId="2D54A157" w14:textId="200CFC6A" w:rsidR="00065317" w:rsidRDefault="005C7BF7" w:rsidP="00BF7EA3">
      <w:pPr>
        <w:pStyle w:val="Normalcentr"/>
      </w:pPr>
      <w:r>
        <w:rPr>
          <w:b/>
          <w:bCs/>
          <w:i/>
          <w:iCs/>
        </w:rPr>
        <w:t>Références</w:t>
      </w:r>
    </w:p>
    <w:p w14:paraId="22BE489F" w14:textId="77777777" w:rsidR="00065317" w:rsidRDefault="005C7BF7" w:rsidP="00914F34">
      <w:pPr>
        <w:pStyle w:val="Titre3"/>
      </w:pPr>
      <w:bookmarkStart w:id="242" w:name="_Toc154048806"/>
      <w:bookmarkStart w:id="243" w:name="e85-adhesion"/>
      <w:bookmarkEnd w:id="241"/>
      <w:r>
        <w:t>E85 Adhésion</w:t>
      </w:r>
      <w:bookmarkEnd w:id="242"/>
    </w:p>
    <w:p w14:paraId="78F4B035" w14:textId="77777777" w:rsidR="00065317" w:rsidRDefault="005C7BF7">
      <w:pPr>
        <w:pStyle w:val="FirstParagraph"/>
      </w:pPr>
      <w:r>
        <w:rPr>
          <w:b/>
          <w:bCs/>
        </w:rPr>
        <w:t>Sous-classe de</w:t>
      </w:r>
    </w:p>
    <w:p w14:paraId="5E18E726" w14:textId="77777777" w:rsidR="00065317" w:rsidRDefault="005C7BF7">
      <w:pPr>
        <w:pStyle w:val="Corpsdetexte"/>
      </w:pPr>
      <w:r>
        <w:rPr>
          <w:rStyle w:val="VerbatimChar"/>
        </w:rPr>
        <w:t>E7_Activité</w:t>
      </w:r>
    </w:p>
    <w:p w14:paraId="7C688D6B" w14:textId="77777777" w:rsidR="00065317" w:rsidRDefault="005C7BF7">
      <w:pPr>
        <w:pStyle w:val="Corpsdetexte"/>
      </w:pPr>
      <w:r>
        <w:rPr>
          <w:b/>
          <w:bCs/>
        </w:rPr>
        <w:t>Super-classe de</w:t>
      </w:r>
    </w:p>
    <w:p w14:paraId="5206424C" w14:textId="36BFEF26" w:rsidR="00065317" w:rsidRDefault="005C7BF7">
      <w:pPr>
        <w:pStyle w:val="Corpsdetexte"/>
      </w:pPr>
      <w:r>
        <w:rPr>
          <w:b/>
          <w:bCs/>
        </w:rPr>
        <w:t>Note d</w:t>
      </w:r>
      <w:r w:rsidR="00E84B0E">
        <w:rPr>
          <w:b/>
          <w:bCs/>
        </w:rPr>
        <w:t>’</w:t>
      </w:r>
      <w:r>
        <w:rPr>
          <w:b/>
          <w:bCs/>
        </w:rPr>
        <w:t>application</w:t>
      </w:r>
    </w:p>
    <w:p w14:paraId="552A4456" w14:textId="58D5C382" w:rsidR="00065317" w:rsidRDefault="005C7BF7">
      <w:pPr>
        <w:pStyle w:val="Corpsdetexte"/>
      </w:pPr>
      <w:r>
        <w:t>Cette classe comprend les activités qui font qu</w:t>
      </w:r>
      <w:r w:rsidR="00E84B0E">
        <w:t>’</w:t>
      </w:r>
      <w:r>
        <w:t xml:space="preserve">une instance de </w:t>
      </w:r>
      <w:r>
        <w:rPr>
          <w:rStyle w:val="VerbatimChar"/>
        </w:rPr>
        <w:t>E39_Actant</w:t>
      </w:r>
      <w:r>
        <w:t xml:space="preserve"> devient membre d</w:t>
      </w:r>
      <w:r w:rsidR="00E84B0E">
        <w:t>’</w:t>
      </w:r>
      <w:r>
        <w:t xml:space="preserve">une instance de </w:t>
      </w:r>
      <w:r>
        <w:rPr>
          <w:rStyle w:val="VerbatimChar"/>
        </w:rPr>
        <w:t>E74_Groupe</w:t>
      </w:r>
      <w:r>
        <w:t>. Cette classe n</w:t>
      </w:r>
      <w:r w:rsidR="00E84B0E">
        <w:t>’</w:t>
      </w:r>
      <w:r>
        <w:t>implique pas une initiative de l</w:t>
      </w:r>
      <w:r w:rsidR="00E84B0E">
        <w:t>’</w:t>
      </w:r>
      <w:r>
        <w:t>une ou l</w:t>
      </w:r>
      <w:r w:rsidR="00E84B0E">
        <w:t>’</w:t>
      </w:r>
      <w:r>
        <w:t>autre des parties impliquées. Il peut s</w:t>
      </w:r>
      <w:r w:rsidR="00E84B0E">
        <w:t>’</w:t>
      </w:r>
      <w:r>
        <w:t>agir de l</w:t>
      </w:r>
      <w:r w:rsidR="00E84B0E">
        <w:t>’</w:t>
      </w:r>
      <w:r>
        <w:t>initiative d</w:t>
      </w:r>
      <w:r w:rsidR="00E84B0E">
        <w:t>’</w:t>
      </w:r>
      <w:r>
        <w:t>une tierce partie.</w:t>
      </w:r>
    </w:p>
    <w:p w14:paraId="518C7234" w14:textId="4419E808" w:rsidR="00065317" w:rsidRDefault="005C7BF7">
      <w:pPr>
        <w:pStyle w:val="Corpsdetexte"/>
      </w:pPr>
      <w:r>
        <w:t>Des exemples typiques d</w:t>
      </w:r>
      <w:r w:rsidR="00E84B0E">
        <w:t>’</w:t>
      </w:r>
      <w:r>
        <w:t xml:space="preserve">instances de </w:t>
      </w:r>
      <w:r>
        <w:rPr>
          <w:rStyle w:val="VerbatimChar"/>
        </w:rPr>
        <w:t>E85_Adhésion</w:t>
      </w:r>
      <w:r>
        <w:t xml:space="preserve"> sont le fait de devenir membre d</w:t>
      </w:r>
      <w:r w:rsidR="00E84B0E">
        <w:t>’</w:t>
      </w:r>
      <w:r>
        <w:t>une organisation sociale, le fait pour une personne d</w:t>
      </w:r>
      <w:r w:rsidR="00E84B0E">
        <w:t>’</w:t>
      </w:r>
      <w:r>
        <w:t>être employée d</w:t>
      </w:r>
      <w:r w:rsidR="00E84B0E">
        <w:t>’</w:t>
      </w:r>
      <w:r>
        <w:t>une compagnie, un mariage, l</w:t>
      </w:r>
      <w:r w:rsidR="00E84B0E">
        <w:t>’</w:t>
      </w:r>
      <w:r>
        <w:t>adoption d</w:t>
      </w:r>
      <w:r w:rsidR="00E84B0E">
        <w:t>’</w:t>
      </w:r>
      <w:r>
        <w:t>un enfant par une famille, et l</w:t>
      </w:r>
      <w:r w:rsidR="00E84B0E">
        <w:t>’</w:t>
      </w:r>
      <w:r>
        <w:t>investiture d</w:t>
      </w:r>
      <w:r w:rsidR="00E84B0E">
        <w:t>’</w:t>
      </w:r>
      <w:r>
        <w:t>une personne à un poste officiel.</w:t>
      </w:r>
    </w:p>
    <w:p w14:paraId="1406225D" w14:textId="77777777" w:rsidR="00065317" w:rsidRDefault="005C7BF7">
      <w:pPr>
        <w:pStyle w:val="Corpsdetexte"/>
      </w:pPr>
      <w:r>
        <w:rPr>
          <w:b/>
          <w:bCs/>
        </w:rPr>
        <w:t>Exemples</w:t>
      </w:r>
    </w:p>
    <w:p w14:paraId="4A610BB9" w14:textId="1F7BEE5B" w:rsidR="00065317" w:rsidRDefault="005C7BF7">
      <w:pPr>
        <w:numPr>
          <w:ilvl w:val="0"/>
          <w:numId w:val="131"/>
        </w:numPr>
      </w:pPr>
      <w:r>
        <w:t>L</w:t>
      </w:r>
      <w:r w:rsidR="00E84B0E">
        <w:t>’</w:t>
      </w:r>
      <w:r>
        <w:t>élection de Sir Isaac Newton, en 1689, en tant que membre du Parlement d</w:t>
      </w:r>
      <w:r w:rsidR="00E84B0E">
        <w:t>’</w:t>
      </w:r>
      <w:r>
        <w:t>Angleterre pour l</w:t>
      </w:r>
      <w:r w:rsidR="00E84B0E">
        <w:t>’</w:t>
      </w:r>
      <w:r>
        <w:t>Université de Cambridge à la convention du Parlement (Gleick, 2003)</w:t>
      </w:r>
    </w:p>
    <w:p w14:paraId="080B8C0E" w14:textId="67DEB78C" w:rsidR="00065317" w:rsidRDefault="005C7BF7">
      <w:pPr>
        <w:numPr>
          <w:ilvl w:val="0"/>
          <w:numId w:val="131"/>
        </w:numPr>
      </w:pPr>
      <w:r>
        <w:t>L</w:t>
      </w:r>
      <w:r w:rsidR="00E84B0E">
        <w:t>’</w:t>
      </w:r>
      <w:r>
        <w:t>investiture de Mikhaïl Sergueïevitch Gorbatchev en tant que dirigeant de l</w:t>
      </w:r>
      <w:r w:rsidR="00E84B0E">
        <w:t>’</w:t>
      </w:r>
      <w:r>
        <w:t>Union des républiques socialistes soviétiques (URSS) en 1985 (Butson, 1986)</w:t>
      </w:r>
    </w:p>
    <w:p w14:paraId="3E08B261" w14:textId="4ADEDC8C" w:rsidR="00065317" w:rsidRDefault="005C7BF7">
      <w:pPr>
        <w:numPr>
          <w:ilvl w:val="0"/>
          <w:numId w:val="131"/>
        </w:numPr>
      </w:pPr>
      <w:r>
        <w:t>La mise en application du traité d</w:t>
      </w:r>
      <w:r w:rsidR="00E84B0E">
        <w:t>’</w:t>
      </w:r>
      <w:r>
        <w:t>adhésion du Danemark à l</w:t>
      </w:r>
      <w:r w:rsidR="00E84B0E">
        <w:t>’</w:t>
      </w:r>
      <w:r>
        <w:t>Union européenne le 1er</w:t>
      </w:r>
      <w:r w:rsidR="00056DCD">
        <w:t> janvier </w:t>
      </w:r>
      <w:r>
        <w:t>1993</w:t>
      </w:r>
    </w:p>
    <w:p w14:paraId="6EAFFD0A" w14:textId="77777777" w:rsidR="00065317" w:rsidRDefault="005C7BF7">
      <w:pPr>
        <w:pStyle w:val="FirstParagraph"/>
      </w:pPr>
      <w:r>
        <w:rPr>
          <w:b/>
          <w:bCs/>
        </w:rPr>
        <w:t>Logique</w:t>
      </w:r>
    </w:p>
    <w:p w14:paraId="708B659C" w14:textId="77777777" w:rsidR="00065317" w:rsidRDefault="005C7BF7">
      <w:pPr>
        <w:pStyle w:val="Corpsdetexte"/>
      </w:pPr>
      <w:r>
        <w:t>E85(x) ⇒ E7(x)</w:t>
      </w:r>
    </w:p>
    <w:p w14:paraId="2EC610FA" w14:textId="77777777" w:rsidR="00065317" w:rsidRDefault="005C7BF7">
      <w:pPr>
        <w:pStyle w:val="Corpsdetexte"/>
      </w:pPr>
      <w:r>
        <w:rPr>
          <w:b/>
          <w:bCs/>
        </w:rPr>
        <w:t>Propriétés</w:t>
      </w:r>
    </w:p>
    <w:p w14:paraId="7F8611AC" w14:textId="77777777" w:rsidR="00065317" w:rsidRDefault="005C7BF7">
      <w:pPr>
        <w:pStyle w:val="Corpsdetexte"/>
      </w:pPr>
      <w:r>
        <w:rPr>
          <w:rStyle w:val="VerbatimChar"/>
        </w:rPr>
        <w:t>P143_a_fait_adhérer (a_adhéré_par)</w:t>
      </w:r>
      <w:r>
        <w:t xml:space="preserve"> : </w:t>
      </w:r>
      <w:r>
        <w:rPr>
          <w:rStyle w:val="VerbatimChar"/>
        </w:rPr>
        <w:t>E39_Actant</w:t>
      </w:r>
    </w:p>
    <w:p w14:paraId="5560DEEE" w14:textId="77777777" w:rsidR="00065317" w:rsidRDefault="005C7BF7">
      <w:pPr>
        <w:pStyle w:val="Corpsdetexte"/>
      </w:pPr>
      <w:r>
        <w:rPr>
          <w:rStyle w:val="VerbatimChar"/>
        </w:rPr>
        <w:t>P144_a_fait_adhérer_à (a_accueilli_le_membre_par)</w:t>
      </w:r>
      <w:r>
        <w:t xml:space="preserve"> : </w:t>
      </w:r>
      <w:r>
        <w:rPr>
          <w:rStyle w:val="VerbatimChar"/>
        </w:rPr>
        <w:t>E74_Groupe</w:t>
      </w:r>
    </w:p>
    <w:p w14:paraId="00553C96" w14:textId="77777777" w:rsidR="00065317" w:rsidRDefault="005C7BF7">
      <w:pPr>
        <w:pStyle w:val="Corpsdetexte"/>
      </w:pPr>
      <w:r>
        <w:t>(</w:t>
      </w:r>
      <w:r>
        <w:rPr>
          <w:rStyle w:val="VerbatimChar"/>
        </w:rPr>
        <w:t>P144.1_sorte_de_membre</w:t>
      </w:r>
      <w:r>
        <w:t xml:space="preserve"> : </w:t>
      </w:r>
      <w:r>
        <w:rPr>
          <w:rStyle w:val="VerbatimChar"/>
        </w:rPr>
        <w:t>E55_Type</w:t>
      </w:r>
      <w:r>
        <w:t>)</w:t>
      </w:r>
    </w:p>
    <w:p w14:paraId="6101FE16" w14:textId="77777777" w:rsidR="00065317" w:rsidRDefault="005C7BF7">
      <w:pPr>
        <w:pStyle w:val="Normalcentr"/>
      </w:pPr>
      <w:r>
        <w:rPr>
          <w:b/>
          <w:bCs/>
          <w:i/>
          <w:iCs/>
        </w:rPr>
        <w:t>Note de traduction</w:t>
      </w:r>
    </w:p>
    <w:p w14:paraId="7F16B6F6" w14:textId="2D3C2C40" w:rsidR="00065317" w:rsidRDefault="005C7BF7" w:rsidP="00BF7EA3">
      <w:pPr>
        <w:pStyle w:val="Normalcentr"/>
      </w:pPr>
      <w:r>
        <w:rPr>
          <w:b/>
          <w:bCs/>
          <w:i/>
          <w:iCs/>
        </w:rPr>
        <w:t>Références</w:t>
      </w:r>
    </w:p>
    <w:p w14:paraId="2575FFC4" w14:textId="77777777" w:rsidR="00065317" w:rsidRDefault="005C7BF7" w:rsidP="00914F34">
      <w:pPr>
        <w:pStyle w:val="Titre3"/>
      </w:pPr>
      <w:bookmarkStart w:id="244" w:name="_Toc154048807"/>
      <w:bookmarkStart w:id="245" w:name="e86-depart"/>
      <w:bookmarkEnd w:id="243"/>
      <w:r>
        <w:t>E86 Départ</w:t>
      </w:r>
      <w:bookmarkEnd w:id="244"/>
    </w:p>
    <w:p w14:paraId="3AE1DA8B" w14:textId="77777777" w:rsidR="00065317" w:rsidRDefault="005C7BF7">
      <w:pPr>
        <w:pStyle w:val="FirstParagraph"/>
      </w:pPr>
      <w:r>
        <w:rPr>
          <w:b/>
          <w:bCs/>
        </w:rPr>
        <w:t>Sous-classe de</w:t>
      </w:r>
    </w:p>
    <w:p w14:paraId="0589E642" w14:textId="77777777" w:rsidR="00065317" w:rsidRDefault="005C7BF7">
      <w:pPr>
        <w:pStyle w:val="Corpsdetexte"/>
      </w:pPr>
      <w:r>
        <w:rPr>
          <w:rStyle w:val="VerbatimChar"/>
        </w:rPr>
        <w:t>E7_Activité</w:t>
      </w:r>
    </w:p>
    <w:p w14:paraId="7D0537F6" w14:textId="77777777" w:rsidR="004E5EA3" w:rsidRDefault="004E5EA3">
      <w:pPr>
        <w:spacing w:after="0"/>
        <w:rPr>
          <w:b/>
          <w:bCs/>
        </w:rPr>
      </w:pPr>
      <w:r>
        <w:rPr>
          <w:b/>
          <w:bCs/>
        </w:rPr>
        <w:br w:type="page"/>
      </w:r>
    </w:p>
    <w:p w14:paraId="26D26BF6" w14:textId="5CC497ED" w:rsidR="004E5EA3" w:rsidRPr="004E5EA3" w:rsidRDefault="005C7BF7" w:rsidP="004E5EA3">
      <w:pPr>
        <w:pStyle w:val="Corpsdetexte"/>
      </w:pPr>
      <w:r>
        <w:rPr>
          <w:b/>
          <w:bCs/>
        </w:rPr>
        <w:lastRenderedPageBreak/>
        <w:t>Super-classe de</w:t>
      </w:r>
    </w:p>
    <w:p w14:paraId="0F99DBC3" w14:textId="359B6DDC" w:rsidR="00065317" w:rsidRDefault="005C7BF7">
      <w:pPr>
        <w:pStyle w:val="Corpsdetexte"/>
      </w:pPr>
      <w:r>
        <w:rPr>
          <w:b/>
          <w:bCs/>
        </w:rPr>
        <w:t>Note d</w:t>
      </w:r>
      <w:r w:rsidR="00E84B0E">
        <w:rPr>
          <w:b/>
          <w:bCs/>
        </w:rPr>
        <w:t>’</w:t>
      </w:r>
      <w:r>
        <w:rPr>
          <w:b/>
          <w:bCs/>
        </w:rPr>
        <w:t>application</w:t>
      </w:r>
    </w:p>
    <w:p w14:paraId="1C908D4D" w14:textId="7F29A580" w:rsidR="00065317" w:rsidRDefault="005C7BF7">
      <w:pPr>
        <w:pStyle w:val="Corpsdetexte"/>
      </w:pPr>
      <w:r>
        <w:t>Cette classe comprend les activités qui entraînent la dissociation d</w:t>
      </w:r>
      <w:r w:rsidR="00E84B0E">
        <w:t>’</w:t>
      </w:r>
      <w:r>
        <w:t xml:space="preserve">une instance de </w:t>
      </w:r>
      <w:r>
        <w:rPr>
          <w:rStyle w:val="VerbatimChar"/>
        </w:rPr>
        <w:t>E39_Actant</w:t>
      </w:r>
      <w:r>
        <w:t xml:space="preserve"> d</w:t>
      </w:r>
      <w:r w:rsidR="00E84B0E">
        <w:t>’</w:t>
      </w:r>
      <w:r>
        <w:t xml:space="preserve">une instance de </w:t>
      </w:r>
      <w:r>
        <w:rPr>
          <w:rStyle w:val="VerbatimChar"/>
        </w:rPr>
        <w:t>E74_Groupe</w:t>
      </w:r>
      <w:r>
        <w:t>. Cette classe n</w:t>
      </w:r>
      <w:r w:rsidR="00E84B0E">
        <w:t>’</w:t>
      </w:r>
      <w:r>
        <w:t>implique pas une initiative de l</w:t>
      </w:r>
      <w:r w:rsidR="00E84B0E">
        <w:t>’</w:t>
      </w:r>
      <w:r>
        <w:t>une ou l</w:t>
      </w:r>
      <w:r w:rsidR="00E84B0E">
        <w:t>’</w:t>
      </w:r>
      <w:r>
        <w:t>autre des parties impliquées. Il peut s</w:t>
      </w:r>
      <w:r w:rsidR="00E84B0E">
        <w:t>’</w:t>
      </w:r>
      <w:r>
        <w:t>agir de l</w:t>
      </w:r>
      <w:r w:rsidR="00E84B0E">
        <w:t>’</w:t>
      </w:r>
      <w:r>
        <w:t>initiative d</w:t>
      </w:r>
      <w:r w:rsidR="00E84B0E">
        <w:t>’</w:t>
      </w:r>
      <w:r>
        <w:t>une tierce partie.</w:t>
      </w:r>
    </w:p>
    <w:p w14:paraId="7089850F" w14:textId="4737DEEB" w:rsidR="00065317" w:rsidRDefault="005C7BF7">
      <w:pPr>
        <w:pStyle w:val="Corpsdetexte"/>
      </w:pPr>
      <w:r>
        <w:t>Des exemples typiques d</w:t>
      </w:r>
      <w:r w:rsidR="00E84B0E">
        <w:t>’</w:t>
      </w:r>
      <w:r>
        <w:t xml:space="preserve">instances de </w:t>
      </w:r>
      <w:r>
        <w:rPr>
          <w:rStyle w:val="VerbatimChar"/>
        </w:rPr>
        <w:t>E86_Départ</w:t>
      </w:r>
      <w:r>
        <w:t xml:space="preserve"> sont la fin de l</w:t>
      </w:r>
      <w:r w:rsidR="00E84B0E">
        <w:t>’</w:t>
      </w:r>
      <w:r>
        <w:t>appartenance à une organisation sociale, la fin d</w:t>
      </w:r>
      <w:r w:rsidR="00E84B0E">
        <w:t>’</w:t>
      </w:r>
      <w:r>
        <w:t>un emploi au sein d</w:t>
      </w:r>
      <w:r w:rsidR="00E84B0E">
        <w:t>’</w:t>
      </w:r>
      <w:r>
        <w:t>une compagnie, un divorce, et la fin d</w:t>
      </w:r>
      <w:r w:rsidR="00E84B0E">
        <w:t>’</w:t>
      </w:r>
      <w:r>
        <w:t>un mandat d</w:t>
      </w:r>
      <w:r w:rsidR="00E84B0E">
        <w:t>’</w:t>
      </w:r>
      <w:r>
        <w:t>une personne dans un poste officiel.</w:t>
      </w:r>
    </w:p>
    <w:p w14:paraId="66C2723B" w14:textId="77777777" w:rsidR="00065317" w:rsidRDefault="005C7BF7">
      <w:pPr>
        <w:pStyle w:val="Corpsdetexte"/>
      </w:pPr>
      <w:r>
        <w:rPr>
          <w:b/>
          <w:bCs/>
        </w:rPr>
        <w:t>Exemples</w:t>
      </w:r>
    </w:p>
    <w:p w14:paraId="4CA51CEC" w14:textId="588B957F" w:rsidR="00065317" w:rsidRDefault="005C7BF7">
      <w:pPr>
        <w:numPr>
          <w:ilvl w:val="0"/>
          <w:numId w:val="132"/>
        </w:numPr>
      </w:pPr>
      <w:r>
        <w:t>La fin du mandat de Sir Isaac Newton, en 1702, en tant que membre Parlement d</w:t>
      </w:r>
      <w:r w:rsidR="00E84B0E">
        <w:t>’</w:t>
      </w:r>
      <w:r>
        <w:t>Angleterre pour l</w:t>
      </w:r>
      <w:r w:rsidR="00E84B0E">
        <w:t>’</w:t>
      </w:r>
      <w:r>
        <w:t>Université de Cambridge à la convention du Parlement (Gleick, 2003)</w:t>
      </w:r>
    </w:p>
    <w:p w14:paraId="75535B41" w14:textId="77777777" w:rsidR="00065317" w:rsidRDefault="005C7BF7">
      <w:pPr>
        <w:numPr>
          <w:ilvl w:val="0"/>
          <w:numId w:val="132"/>
        </w:numPr>
      </w:pPr>
      <w:r>
        <w:t>George Washington quittant ses fonctions en 1797 (Jones, 1979)</w:t>
      </w:r>
    </w:p>
    <w:p w14:paraId="19E0BE6F" w14:textId="624F26A2" w:rsidR="00065317" w:rsidRDefault="005C7BF7">
      <w:pPr>
        <w:numPr>
          <w:ilvl w:val="0"/>
          <w:numId w:val="132"/>
        </w:numPr>
      </w:pPr>
      <w:r>
        <w:t>La mise en place [</w:t>
      </w:r>
      <w:r w:rsidR="00AF51A3">
        <w:t xml:space="preserve">n.d.t. </w:t>
      </w:r>
      <w:r>
        <w:t>« Traité sur le Gr</w:t>
      </w:r>
      <w:r w:rsidR="00F52177">
        <w:t>oe</w:t>
      </w:r>
      <w:r>
        <w:t>nland »] entre l</w:t>
      </w:r>
      <w:r w:rsidR="00E84B0E">
        <w:t>’</w:t>
      </w:r>
      <w:r>
        <w:t>Union européenne, le Danemark et le Gr</w:t>
      </w:r>
      <w:r w:rsidR="00F52177">
        <w:t>oe</w:t>
      </w:r>
      <w:r>
        <w:t>nland le 1er</w:t>
      </w:r>
      <w:r w:rsidR="00056DCD">
        <w:t> février </w:t>
      </w:r>
      <w:r>
        <w:t>1985</w:t>
      </w:r>
    </w:p>
    <w:p w14:paraId="5DF65880" w14:textId="77777777" w:rsidR="00065317" w:rsidRDefault="005C7BF7">
      <w:pPr>
        <w:pStyle w:val="FirstParagraph"/>
      </w:pPr>
      <w:r>
        <w:rPr>
          <w:b/>
          <w:bCs/>
        </w:rPr>
        <w:t>Logique</w:t>
      </w:r>
    </w:p>
    <w:p w14:paraId="2553EF02" w14:textId="04BFF53C" w:rsidR="00065317" w:rsidRDefault="005C7BF7" w:rsidP="004E5EA3">
      <w:pPr>
        <w:pStyle w:val="Corpsdetexte"/>
      </w:pPr>
      <w:r>
        <w:t>E86(x) ⇒ E7(x)</w:t>
      </w:r>
    </w:p>
    <w:p w14:paraId="08E1C6A5" w14:textId="77777777" w:rsidR="00065317" w:rsidRDefault="005C7BF7">
      <w:pPr>
        <w:pStyle w:val="Corpsdetexte"/>
      </w:pPr>
      <w:r>
        <w:rPr>
          <w:b/>
          <w:bCs/>
        </w:rPr>
        <w:t>Propriétés</w:t>
      </w:r>
    </w:p>
    <w:p w14:paraId="588E65AE" w14:textId="77777777" w:rsidR="00065317" w:rsidRDefault="005C7BF7">
      <w:pPr>
        <w:pStyle w:val="Corpsdetexte"/>
      </w:pPr>
      <w:r>
        <w:rPr>
          <w:rStyle w:val="VerbatimChar"/>
        </w:rPr>
        <w:t>P145_a_dissocié (est_dissocié_par)</w:t>
      </w:r>
      <w:r>
        <w:t xml:space="preserve"> : </w:t>
      </w:r>
      <w:r>
        <w:rPr>
          <w:rStyle w:val="VerbatimChar"/>
        </w:rPr>
        <w:t>E39_Actant</w:t>
      </w:r>
    </w:p>
    <w:p w14:paraId="69DFB7D3" w14:textId="77777777" w:rsidR="00065317" w:rsidRDefault="005C7BF7">
      <w:pPr>
        <w:pStyle w:val="Corpsdetexte"/>
      </w:pPr>
      <w:r>
        <w:rPr>
          <w:rStyle w:val="VerbatimChar"/>
        </w:rPr>
        <w:t>P146_a_dissocié_de (a_perdu_le_membre_par)</w:t>
      </w:r>
      <w:r>
        <w:t> : </w:t>
      </w:r>
      <w:r>
        <w:rPr>
          <w:rStyle w:val="VerbatimChar"/>
        </w:rPr>
        <w:t>E74_Groupe</w:t>
      </w:r>
    </w:p>
    <w:p w14:paraId="469BFDE8" w14:textId="77777777" w:rsidR="00065317" w:rsidRDefault="005C7BF7">
      <w:pPr>
        <w:pStyle w:val="Normalcentr"/>
      </w:pPr>
      <w:r>
        <w:rPr>
          <w:b/>
          <w:bCs/>
          <w:i/>
          <w:iCs/>
        </w:rPr>
        <w:t>Note de traduction</w:t>
      </w:r>
    </w:p>
    <w:p w14:paraId="6A483F9A" w14:textId="09D4F2C2" w:rsidR="00065317" w:rsidRDefault="005C7BF7" w:rsidP="00BF7EA3">
      <w:pPr>
        <w:pStyle w:val="Normalcentr"/>
      </w:pPr>
      <w:r>
        <w:rPr>
          <w:b/>
          <w:bCs/>
          <w:i/>
          <w:iCs/>
        </w:rPr>
        <w:t>Références</w:t>
      </w:r>
    </w:p>
    <w:p w14:paraId="70BCF93E" w14:textId="77777777" w:rsidR="00065317" w:rsidRDefault="005C7BF7" w:rsidP="00914F34">
      <w:pPr>
        <w:pStyle w:val="Titre3"/>
      </w:pPr>
      <w:bookmarkStart w:id="246" w:name="_Toc154048808"/>
      <w:bookmarkStart w:id="247" w:name="e87-activite-curatoriale"/>
      <w:bookmarkEnd w:id="245"/>
      <w:r>
        <w:t>E87 Activité curatoriale</w:t>
      </w:r>
      <w:bookmarkEnd w:id="246"/>
    </w:p>
    <w:p w14:paraId="1CB2BADC" w14:textId="77777777" w:rsidR="00065317" w:rsidRDefault="005C7BF7">
      <w:pPr>
        <w:pStyle w:val="FirstParagraph"/>
      </w:pPr>
      <w:r>
        <w:rPr>
          <w:b/>
          <w:bCs/>
        </w:rPr>
        <w:t>Sous-classe de</w:t>
      </w:r>
    </w:p>
    <w:p w14:paraId="0FB73CCD" w14:textId="77777777" w:rsidR="00065317" w:rsidRDefault="005C7BF7">
      <w:pPr>
        <w:pStyle w:val="Corpsdetexte"/>
      </w:pPr>
      <w:r>
        <w:rPr>
          <w:rStyle w:val="VerbatimChar"/>
        </w:rPr>
        <w:t>E7_Activité</w:t>
      </w:r>
    </w:p>
    <w:p w14:paraId="03A444C4" w14:textId="77777777" w:rsidR="00065317" w:rsidRDefault="005C7BF7">
      <w:pPr>
        <w:pStyle w:val="Corpsdetexte"/>
      </w:pPr>
      <w:r>
        <w:rPr>
          <w:b/>
          <w:bCs/>
        </w:rPr>
        <w:t>Super-classe de</w:t>
      </w:r>
    </w:p>
    <w:p w14:paraId="4FEEC0D5" w14:textId="322EB844" w:rsidR="00065317" w:rsidRDefault="005C7BF7">
      <w:pPr>
        <w:pStyle w:val="Corpsdetexte"/>
      </w:pPr>
      <w:r>
        <w:rPr>
          <w:b/>
          <w:bCs/>
        </w:rPr>
        <w:t>Note d</w:t>
      </w:r>
      <w:r w:rsidR="00E84B0E">
        <w:rPr>
          <w:b/>
          <w:bCs/>
        </w:rPr>
        <w:t>’</w:t>
      </w:r>
      <w:r>
        <w:rPr>
          <w:b/>
          <w:bCs/>
        </w:rPr>
        <w:t>application</w:t>
      </w:r>
    </w:p>
    <w:p w14:paraId="15689CF9" w14:textId="07AE60C3" w:rsidR="00065317" w:rsidRDefault="005C7BF7">
      <w:pPr>
        <w:pStyle w:val="Corpsdetexte"/>
      </w:pPr>
      <w:r>
        <w:t>Cette classe comprend les activités qui se traduisent par la continuité de la gestion et par la préservation et l</w:t>
      </w:r>
      <w:r w:rsidR="00E84B0E">
        <w:t>’</w:t>
      </w:r>
      <w:r>
        <w:t xml:space="preserve">évolution des instances de </w:t>
      </w:r>
      <w:r>
        <w:rPr>
          <w:rStyle w:val="VerbatimChar"/>
        </w:rPr>
        <w:t>E78_Collection</w:t>
      </w:r>
      <w:r>
        <w:t>, suivant un plan de conservation implicite ou explicite.</w:t>
      </w:r>
    </w:p>
    <w:p w14:paraId="695ABE04" w14:textId="51594B72" w:rsidR="00065317" w:rsidRDefault="005C7BF7">
      <w:pPr>
        <w:pStyle w:val="Corpsdetexte"/>
      </w:pPr>
      <w:r>
        <w:t>Elle précise la notion d</w:t>
      </w:r>
      <w:r w:rsidR="00E84B0E">
        <w:t>’</w:t>
      </w:r>
      <w:r>
        <w:t>activité en celle de conservation d</w:t>
      </w:r>
      <w:r w:rsidR="00E84B0E">
        <w:t>’</w:t>
      </w:r>
      <w:r>
        <w:t>une collection et permet d</w:t>
      </w:r>
      <w:r w:rsidR="00E84B0E">
        <w:t>’</w:t>
      </w:r>
      <w:r>
        <w:t>enregistrer l</w:t>
      </w:r>
      <w:r w:rsidR="00E84B0E">
        <w:t>’</w:t>
      </w:r>
      <w:r>
        <w:t>histoire de cette conservation.</w:t>
      </w:r>
    </w:p>
    <w:p w14:paraId="59389D2E" w14:textId="2BAB984F" w:rsidR="00065317" w:rsidRDefault="005C7BF7">
      <w:pPr>
        <w:pStyle w:val="Corpsdetexte"/>
      </w:pPr>
      <w:r>
        <w:t>Les éléments d</w:t>
      </w:r>
      <w:r w:rsidR="00E84B0E">
        <w:t>’</w:t>
      </w:r>
      <w:r>
        <w:t>une collection sont accumulés et organisés selon des critères tels que le sujet, la période chronologique, le type de matériau, le style artistique, etc. et peuvent être ajoutés ou retirés d</w:t>
      </w:r>
      <w:r w:rsidR="00E84B0E">
        <w:t>’</w:t>
      </w:r>
      <w:r>
        <w:t xml:space="preserve">une instance de </w:t>
      </w:r>
      <w:r>
        <w:rPr>
          <w:rStyle w:val="VerbatimChar"/>
        </w:rPr>
        <w:t>E78_Collection</w:t>
      </w:r>
      <w:r>
        <w:t xml:space="preserve"> dans un but et/ou pour un public spécifique. L</w:t>
      </w:r>
      <w:r w:rsidR="00E84B0E">
        <w:t>’</w:t>
      </w:r>
      <w:r>
        <w:t>agrégation initiale des éléments d</w:t>
      </w:r>
      <w:r w:rsidR="00E84B0E">
        <w:t>’</w:t>
      </w:r>
      <w:r>
        <w:t xml:space="preserve">une collection est considérée comme une instance de </w:t>
      </w:r>
      <w:r>
        <w:rPr>
          <w:rStyle w:val="VerbatimChar"/>
        </w:rPr>
        <w:t>E12_Production</w:t>
      </w:r>
      <w:r>
        <w:t>, tandis que l</w:t>
      </w:r>
      <w:r w:rsidR="00E84B0E">
        <w:t>’</w:t>
      </w:r>
      <w:r>
        <w:t>activité d</w:t>
      </w:r>
      <w:r w:rsidR="00E84B0E">
        <w:t>’</w:t>
      </w:r>
      <w:r>
        <w:t>évolution, de préservation et de promotion d</w:t>
      </w:r>
      <w:r w:rsidR="00E84B0E">
        <w:t>’</w:t>
      </w:r>
      <w:r>
        <w:t xml:space="preserve">une collection est considérée comme une instance de </w:t>
      </w:r>
      <w:r>
        <w:rPr>
          <w:rStyle w:val="VerbatimChar"/>
        </w:rPr>
        <w:t>E87_Activité_curatoriale</w:t>
      </w:r>
      <w:r>
        <w:t>.</w:t>
      </w:r>
    </w:p>
    <w:p w14:paraId="6BF2E5F8" w14:textId="77777777" w:rsidR="00065317" w:rsidRDefault="005C7BF7">
      <w:pPr>
        <w:pStyle w:val="Corpsdetexte"/>
      </w:pPr>
      <w:r>
        <w:rPr>
          <w:b/>
          <w:bCs/>
        </w:rPr>
        <w:lastRenderedPageBreak/>
        <w:t>Exemples</w:t>
      </w:r>
    </w:p>
    <w:p w14:paraId="606D4963" w14:textId="1044A6D1" w:rsidR="00065317" w:rsidRDefault="005C7BF7">
      <w:pPr>
        <w:numPr>
          <w:ilvl w:val="0"/>
          <w:numId w:val="133"/>
        </w:numPr>
      </w:pPr>
      <w:r>
        <w:t>La conservation de l</w:t>
      </w:r>
      <w:r w:rsidR="00E84B0E">
        <w:t>’</w:t>
      </w:r>
      <w:r>
        <w:t>herbier d</w:t>
      </w:r>
      <w:r w:rsidR="00E84B0E">
        <w:t>’</w:t>
      </w:r>
      <w:r>
        <w:t>algues rouges coralliennes de Mik</w:t>
      </w:r>
      <w:r w:rsidR="00B40400">
        <w:t>ae</w:t>
      </w:r>
      <w:r>
        <w:t>l Heggelund Foslie de 1876 à 1909 (année de la mort de Foslie), maintenant gérée par le Musée d</w:t>
      </w:r>
      <w:r w:rsidR="00E84B0E">
        <w:t>’</w:t>
      </w:r>
      <w:r>
        <w:t>histoire naturelle et d</w:t>
      </w:r>
      <w:r w:rsidR="00E84B0E">
        <w:t>’</w:t>
      </w:r>
      <w:r>
        <w:t>archéologie de Norvège (W</w:t>
      </w:r>
      <w:r w:rsidR="00F52177">
        <w:t>oe</w:t>
      </w:r>
      <w:r>
        <w:t>lkerling &amp; al, 2005)</w:t>
      </w:r>
    </w:p>
    <w:p w14:paraId="5BA54330" w14:textId="77777777" w:rsidR="00065317" w:rsidRDefault="005C7BF7">
      <w:pPr>
        <w:pStyle w:val="FirstParagraph"/>
      </w:pPr>
      <w:r>
        <w:rPr>
          <w:b/>
          <w:bCs/>
        </w:rPr>
        <w:t>Logique</w:t>
      </w:r>
    </w:p>
    <w:p w14:paraId="6E0F7BAD" w14:textId="77777777" w:rsidR="00065317" w:rsidRDefault="005C7BF7">
      <w:pPr>
        <w:pStyle w:val="Corpsdetexte"/>
      </w:pPr>
      <w:r>
        <w:t>E87(x) ⇒ E7(x)</w:t>
      </w:r>
    </w:p>
    <w:p w14:paraId="6308839F" w14:textId="77777777" w:rsidR="00065317" w:rsidRDefault="005C7BF7">
      <w:pPr>
        <w:pStyle w:val="Corpsdetexte"/>
      </w:pPr>
      <w:r>
        <w:rPr>
          <w:b/>
          <w:bCs/>
        </w:rPr>
        <w:t>Propriétés</w:t>
      </w:r>
    </w:p>
    <w:p w14:paraId="58AE5AA1" w14:textId="77777777" w:rsidR="00065317" w:rsidRDefault="005C7BF7">
      <w:pPr>
        <w:pStyle w:val="Corpsdetexte"/>
      </w:pPr>
      <w:r>
        <w:rPr>
          <w:rStyle w:val="VerbatimChar"/>
        </w:rPr>
        <w:t>P147_a_géré (a_été_géré_par)</w:t>
      </w:r>
      <w:r>
        <w:t xml:space="preserve"> : </w:t>
      </w:r>
      <w:r>
        <w:rPr>
          <w:rStyle w:val="VerbatimChar"/>
        </w:rPr>
        <w:t>E78_Collection</w:t>
      </w:r>
    </w:p>
    <w:p w14:paraId="33D7B399" w14:textId="77777777" w:rsidR="00065317" w:rsidRDefault="005C7BF7">
      <w:pPr>
        <w:pStyle w:val="Normalcentr"/>
      </w:pPr>
      <w:r>
        <w:rPr>
          <w:b/>
          <w:bCs/>
          <w:i/>
          <w:iCs/>
        </w:rPr>
        <w:t>Note de traduction</w:t>
      </w:r>
    </w:p>
    <w:p w14:paraId="43BEFE39" w14:textId="4971B173" w:rsidR="00065317" w:rsidRDefault="005C7BF7" w:rsidP="00BF7EA3">
      <w:pPr>
        <w:pStyle w:val="Normalcentr"/>
      </w:pPr>
      <w:r>
        <w:rPr>
          <w:b/>
          <w:bCs/>
          <w:i/>
          <w:iCs/>
        </w:rPr>
        <w:t>Références</w:t>
      </w:r>
    </w:p>
    <w:p w14:paraId="112B9D10" w14:textId="77777777" w:rsidR="00065317" w:rsidRDefault="005C7BF7" w:rsidP="00914F34">
      <w:pPr>
        <w:pStyle w:val="Titre3"/>
      </w:pPr>
      <w:bookmarkStart w:id="248" w:name="_Toc154048809"/>
      <w:bookmarkStart w:id="249" w:name="e89-objet-propositionnel"/>
      <w:bookmarkEnd w:id="247"/>
      <w:r>
        <w:t>E89 Objet propositionnel</w:t>
      </w:r>
      <w:bookmarkEnd w:id="248"/>
    </w:p>
    <w:p w14:paraId="513525CF" w14:textId="77777777" w:rsidR="00065317" w:rsidRDefault="005C7BF7">
      <w:pPr>
        <w:pStyle w:val="FirstParagraph"/>
      </w:pPr>
      <w:r>
        <w:rPr>
          <w:b/>
          <w:bCs/>
        </w:rPr>
        <w:t>Sous-classe de</w:t>
      </w:r>
    </w:p>
    <w:p w14:paraId="4FDCEF60" w14:textId="6B7410CE" w:rsidR="00F54917" w:rsidRPr="004E5EA3" w:rsidRDefault="005C7BF7" w:rsidP="004E5EA3">
      <w:pPr>
        <w:pStyle w:val="Corpsdetexte"/>
      </w:pPr>
      <w:r>
        <w:rPr>
          <w:rStyle w:val="VerbatimChar"/>
        </w:rPr>
        <w:t>E28_Objet_conceptuel</w:t>
      </w:r>
    </w:p>
    <w:p w14:paraId="19008BD7" w14:textId="4936A175" w:rsidR="00065317" w:rsidRDefault="005C7BF7">
      <w:pPr>
        <w:pStyle w:val="Corpsdetexte"/>
      </w:pPr>
      <w:r>
        <w:rPr>
          <w:b/>
          <w:bCs/>
        </w:rPr>
        <w:t>Super-classe de</w:t>
      </w:r>
    </w:p>
    <w:p w14:paraId="45017093" w14:textId="77777777" w:rsidR="00065317" w:rsidRDefault="005C7BF7">
      <w:pPr>
        <w:pStyle w:val="Corpsdetexte"/>
      </w:pPr>
      <w:r>
        <w:rPr>
          <w:rStyle w:val="VerbatimChar"/>
        </w:rPr>
        <w:t>E30_Droit</w:t>
      </w:r>
    </w:p>
    <w:p w14:paraId="611FED0C" w14:textId="67B559F9" w:rsidR="00A81E78" w:rsidRPr="00B050F5" w:rsidRDefault="005C7BF7">
      <w:pPr>
        <w:pStyle w:val="Corpsdetexte"/>
      </w:pPr>
      <w:r>
        <w:rPr>
          <w:rStyle w:val="VerbatimChar"/>
        </w:rPr>
        <w:t>E73_Objet_informationnel</w:t>
      </w:r>
    </w:p>
    <w:p w14:paraId="73CD541D" w14:textId="2BF3E47F" w:rsidR="00065317" w:rsidRDefault="005C7BF7">
      <w:pPr>
        <w:pStyle w:val="Corpsdetexte"/>
      </w:pPr>
      <w:r>
        <w:rPr>
          <w:b/>
          <w:bCs/>
        </w:rPr>
        <w:t>Note d</w:t>
      </w:r>
      <w:r w:rsidR="00E84B0E">
        <w:rPr>
          <w:b/>
          <w:bCs/>
        </w:rPr>
        <w:t>’</w:t>
      </w:r>
      <w:r>
        <w:rPr>
          <w:b/>
          <w:bCs/>
        </w:rPr>
        <w:t>application</w:t>
      </w:r>
    </w:p>
    <w:p w14:paraId="2720C8BC" w14:textId="1ACB4C24" w:rsidR="00065317" w:rsidRDefault="005C7BF7">
      <w:pPr>
        <w:pStyle w:val="Corpsdetexte"/>
      </w:pPr>
      <w:r>
        <w:t>Cette classe comprend des entités immatérielles, incluant, sans s</w:t>
      </w:r>
      <w:r w:rsidR="00E84B0E">
        <w:t>’</w:t>
      </w:r>
      <w:r>
        <w:t>y limiter, des histoires, des intrigues, des prescriptions procédurales, des algorithmes, des lois de la physique ou des images qui sont ou représentent, d</w:t>
      </w:r>
      <w:r w:rsidR="00E84B0E">
        <w:t>’</w:t>
      </w:r>
      <w:r>
        <w:t>une certaine manière, des ensembles de propositions concernant des choses réelles ou imaginaires et qui sont documentés en tant qu</w:t>
      </w:r>
      <w:r w:rsidR="00E84B0E">
        <w:t>’</w:t>
      </w:r>
      <w:r>
        <w:t>éléments uniques ou servent de sujet de discours.</w:t>
      </w:r>
    </w:p>
    <w:p w14:paraId="2FC192DD" w14:textId="2CF0A3E3" w:rsidR="00065317" w:rsidRDefault="005C7BF7">
      <w:pPr>
        <w:pStyle w:val="Corpsdetexte"/>
      </w:pPr>
      <w:r>
        <w:t>Cette classe comprend également des entités qui « concernent » quelque chose dans le sens où elles en représentent le sujet. Au sens large, cette classe inclut les expressions de valeur psychologique telles que l</w:t>
      </w:r>
      <w:r w:rsidR="00E84B0E">
        <w:t>’</w:t>
      </w:r>
      <w:r>
        <w:t xml:space="preserve">art non figuratif et les thèmes musicaux. Cependant, les entités conceptuelles telles que les types et les classes ne sont pas des instances de </w:t>
      </w:r>
      <w:r>
        <w:rPr>
          <w:rStyle w:val="VerbatimChar"/>
        </w:rPr>
        <w:t>E89_Objet_propositionnel</w:t>
      </w:r>
      <w:r>
        <w:t>. Cela ne doit pas être confondu avec la définition d</w:t>
      </w:r>
      <w:r w:rsidR="00E84B0E">
        <w:t>’</w:t>
      </w:r>
      <w:r>
        <w:t xml:space="preserve">un type, qui est en effet une instance de </w:t>
      </w:r>
      <w:r>
        <w:rPr>
          <w:rStyle w:val="VerbatimChar"/>
        </w:rPr>
        <w:t>E89_Objet_propositionnel</w:t>
      </w:r>
      <w:r>
        <w:t>.</w:t>
      </w:r>
    </w:p>
    <w:p w14:paraId="302BF576" w14:textId="77777777" w:rsidR="00065317" w:rsidRDefault="005C7BF7">
      <w:pPr>
        <w:pStyle w:val="Corpsdetexte"/>
      </w:pPr>
      <w:r>
        <w:rPr>
          <w:b/>
          <w:bCs/>
        </w:rPr>
        <w:t>Exemples</w:t>
      </w:r>
    </w:p>
    <w:p w14:paraId="21748D28" w14:textId="77777777" w:rsidR="00065317" w:rsidRDefault="005C7BF7">
      <w:pPr>
        <w:numPr>
          <w:ilvl w:val="0"/>
          <w:numId w:val="134"/>
        </w:numPr>
      </w:pPr>
      <w:r>
        <w:t>Les équations de Maxwell (Ball, 1962)</w:t>
      </w:r>
    </w:p>
    <w:p w14:paraId="0F57F07B" w14:textId="58943F0D" w:rsidR="00065317" w:rsidRDefault="005C7BF7">
      <w:pPr>
        <w:numPr>
          <w:ilvl w:val="0"/>
          <w:numId w:val="134"/>
        </w:numPr>
      </w:pPr>
      <w:r>
        <w:t>Les contenus représentatifs du livre d</w:t>
      </w:r>
      <w:r w:rsidR="00E84B0E">
        <w:t>’</w:t>
      </w:r>
      <w:r>
        <w:t xml:space="preserve">Aristote intitulé </w:t>
      </w:r>
      <w:r>
        <w:rPr>
          <w:i/>
          <w:iCs/>
        </w:rPr>
        <w:t>Métaphysique</w:t>
      </w:r>
      <w:r>
        <w:t xml:space="preserve"> (τὰ μετὰ τὰ φυσικά) tel que rendus dans les textes grecs traduits dans l</w:t>
      </w:r>
      <w:r w:rsidR="00E84B0E">
        <w:t>’</w:t>
      </w:r>
      <w:r>
        <w:t>édition d</w:t>
      </w:r>
      <w:r w:rsidR="00E84B0E">
        <w:t>’</w:t>
      </w:r>
      <w:r>
        <w:t>Oxford</w:t>
      </w:r>
    </w:p>
    <w:p w14:paraId="3BB153F5" w14:textId="29B172BA" w:rsidR="00065317" w:rsidRDefault="005C7BF7">
      <w:pPr>
        <w:numPr>
          <w:ilvl w:val="0"/>
          <w:numId w:val="134"/>
        </w:numPr>
      </w:pPr>
      <w:r>
        <w:t>Le prototype sous-jacent de tout panneau « non</w:t>
      </w:r>
      <w:r w:rsidR="003773B9">
        <w:t xml:space="preserve"> </w:t>
      </w:r>
      <w:r>
        <w:t>fumeur » (</w:t>
      </w:r>
      <w:r>
        <w:rPr>
          <w:rStyle w:val="VerbatimChar"/>
        </w:rPr>
        <w:t>E36_Entité_visuelle</w:t>
      </w:r>
      <w:r>
        <w:t>)</w:t>
      </w:r>
    </w:p>
    <w:p w14:paraId="1CEEBD77" w14:textId="22C12CD4" w:rsidR="00065317" w:rsidRDefault="005C7BF7">
      <w:pPr>
        <w:numPr>
          <w:ilvl w:val="0"/>
          <w:numId w:val="134"/>
        </w:numPr>
      </w:pPr>
      <w:r>
        <w:t xml:space="preserve">Les idées communes des intrigues des films </w:t>
      </w:r>
      <w:r>
        <w:rPr>
          <w:i/>
          <w:iCs/>
        </w:rPr>
        <w:t>Les Sept Samouraïs</w:t>
      </w:r>
      <w:r>
        <w:t xml:space="preserve"> (</w:t>
      </w:r>
      <w:r>
        <w:rPr>
          <w:i/>
          <w:iCs/>
        </w:rPr>
        <w:t>七人の侍</w:t>
      </w:r>
      <w:r>
        <w:t>) d</w:t>
      </w:r>
      <w:r w:rsidR="00E84B0E">
        <w:t>’</w:t>
      </w:r>
      <w:r>
        <w:t xml:space="preserve">Akira Kurosawa et </w:t>
      </w:r>
      <w:r>
        <w:rPr>
          <w:i/>
          <w:iCs/>
        </w:rPr>
        <w:t>Les Sept Mercenaires</w:t>
      </w:r>
      <w:r>
        <w:t xml:space="preserve"> (</w:t>
      </w:r>
      <w:r>
        <w:rPr>
          <w:i/>
          <w:iCs/>
        </w:rPr>
        <w:t>The Magnificent Seven</w:t>
      </w:r>
      <w:r>
        <w:t>) de John Sturges (Mellen, 2002)</w:t>
      </w:r>
    </w:p>
    <w:p w14:paraId="0DE74172" w14:textId="545D9C79" w:rsidR="00065317" w:rsidRDefault="005C7BF7">
      <w:pPr>
        <w:numPr>
          <w:ilvl w:val="0"/>
          <w:numId w:val="134"/>
        </w:numPr>
      </w:pPr>
      <w:r>
        <w:t>Le contenu de l</w:t>
      </w:r>
      <w:r w:rsidR="00E84B0E">
        <w:t>’</w:t>
      </w:r>
      <w:r>
        <w:t>image de la photo des chefs alliés à Yalta publiée par UPI, 1945 (</w:t>
      </w:r>
      <w:r>
        <w:rPr>
          <w:rStyle w:val="VerbatimChar"/>
        </w:rPr>
        <w:t>E36_Entité_visuelle</w:t>
      </w:r>
      <w:r>
        <w:t>)</w:t>
      </w:r>
    </w:p>
    <w:p w14:paraId="7BC66344" w14:textId="4C5FCE86" w:rsidR="00065317" w:rsidRDefault="005C7BF7">
      <w:pPr>
        <w:numPr>
          <w:ilvl w:val="0"/>
          <w:numId w:val="134"/>
        </w:numPr>
      </w:pPr>
      <w:r>
        <w:lastRenderedPageBreak/>
        <w:t xml:space="preserve">Le personnage du « Petit Chaperon rouge », dont des variantes apparaissent, entre autres, dans </w:t>
      </w:r>
      <w:r>
        <w:rPr>
          <w:i/>
          <w:iCs/>
        </w:rPr>
        <w:t>La Capuche rouge</w:t>
      </w:r>
      <w:r>
        <w:t xml:space="preserve"> (</w:t>
      </w:r>
      <w:r>
        <w:rPr>
          <w:i/>
          <w:iCs/>
        </w:rPr>
        <w:t>Rotkäppchen</w:t>
      </w:r>
      <w:r>
        <w:t>) des frères Grimm, d</w:t>
      </w:r>
      <w:r w:rsidR="00E84B0E">
        <w:t>’</w:t>
      </w:r>
      <w:r>
        <w:t xml:space="preserve">autres contes oraux et le film </w:t>
      </w:r>
      <w:r>
        <w:rPr>
          <w:i/>
          <w:iCs/>
        </w:rPr>
        <w:t>La Véritable Histoire du Petit Chaperon rouge</w:t>
      </w:r>
      <w:r>
        <w:t xml:space="preserve"> (</w:t>
      </w:r>
      <w:r>
        <w:rPr>
          <w:i/>
          <w:iCs/>
        </w:rPr>
        <w:t>Hoodwinked!</w:t>
      </w:r>
      <w:r>
        <w:t>)</w:t>
      </w:r>
    </w:p>
    <w:p w14:paraId="04DB1208" w14:textId="77777777" w:rsidR="00065317" w:rsidRDefault="005C7BF7">
      <w:pPr>
        <w:numPr>
          <w:ilvl w:val="0"/>
          <w:numId w:val="134"/>
        </w:numPr>
      </w:pPr>
      <w:r>
        <w:t xml:space="preserve">Le lieu « Havnor » inventé par Ursula K. Le Guin pour sa série de livres </w:t>
      </w:r>
      <w:r>
        <w:rPr>
          <w:i/>
          <w:iCs/>
        </w:rPr>
        <w:t>Cycle de Terremer</w:t>
      </w:r>
      <w:r>
        <w:t xml:space="preserve"> (</w:t>
      </w:r>
      <w:r>
        <w:rPr>
          <w:i/>
          <w:iCs/>
        </w:rPr>
        <w:t>Earthsea</w:t>
      </w:r>
      <w:r>
        <w:t>) qui apparaît dans les cartes associées et les œuvres dérivées basées sur ces romans</w:t>
      </w:r>
    </w:p>
    <w:p w14:paraId="634F66CA" w14:textId="77777777" w:rsidR="00065317" w:rsidRDefault="005C7BF7">
      <w:pPr>
        <w:pStyle w:val="FirstParagraph"/>
      </w:pPr>
      <w:r>
        <w:rPr>
          <w:b/>
          <w:bCs/>
        </w:rPr>
        <w:t>Logique</w:t>
      </w:r>
    </w:p>
    <w:p w14:paraId="782741D3" w14:textId="77777777" w:rsidR="00065317" w:rsidRDefault="005C7BF7">
      <w:pPr>
        <w:pStyle w:val="Corpsdetexte"/>
      </w:pPr>
      <w:r>
        <w:t>E89(x) ⇒ E28(x)</w:t>
      </w:r>
    </w:p>
    <w:p w14:paraId="151531D1" w14:textId="77777777" w:rsidR="00065317" w:rsidRDefault="005C7BF7">
      <w:pPr>
        <w:pStyle w:val="Corpsdetexte"/>
      </w:pPr>
      <w:r>
        <w:rPr>
          <w:b/>
          <w:bCs/>
        </w:rPr>
        <w:t>Propriétés</w:t>
      </w:r>
    </w:p>
    <w:p w14:paraId="6924E3A2" w14:textId="134DA2AE" w:rsidR="00065317" w:rsidRDefault="005C7BF7">
      <w:pPr>
        <w:pStyle w:val="Corpsdetexte"/>
      </w:pP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 </w:t>
      </w:r>
      <w:r>
        <w:rPr>
          <w:rStyle w:val="VerbatimChar"/>
        </w:rPr>
        <w:t>E1_Entité_CRM</w:t>
      </w:r>
    </w:p>
    <w:p w14:paraId="473DAD58" w14:textId="77777777" w:rsidR="00065317" w:rsidRDefault="005C7BF7">
      <w:pPr>
        <w:pStyle w:val="Corpsdetexte"/>
      </w:pPr>
      <w:r>
        <w:rPr>
          <w:rStyle w:val="VerbatimChar"/>
        </w:rPr>
        <w:t>P129_a_pour_sujet (est_sujet_de)</w:t>
      </w:r>
      <w:r>
        <w:t xml:space="preserve"> : </w:t>
      </w:r>
      <w:r>
        <w:rPr>
          <w:rStyle w:val="VerbatimChar"/>
        </w:rPr>
        <w:t>E1_Entité_CRM</w:t>
      </w:r>
    </w:p>
    <w:p w14:paraId="242FED99" w14:textId="77777777" w:rsidR="00065317" w:rsidRDefault="005C7BF7">
      <w:pPr>
        <w:pStyle w:val="Corpsdetexte"/>
      </w:pPr>
      <w:r>
        <w:rPr>
          <w:rStyle w:val="VerbatimChar"/>
        </w:rPr>
        <w:t>P148_a_pour_composant (est_le_composant_de)</w:t>
      </w:r>
      <w:r>
        <w:t xml:space="preserve"> : </w:t>
      </w:r>
      <w:r>
        <w:rPr>
          <w:rStyle w:val="VerbatimChar"/>
        </w:rPr>
        <w:t>E89_Objet_propositionnel</w:t>
      </w:r>
    </w:p>
    <w:p w14:paraId="5DBADE3F" w14:textId="77777777" w:rsidR="00065317" w:rsidRDefault="005C7BF7">
      <w:pPr>
        <w:pStyle w:val="Normalcentr"/>
      </w:pPr>
      <w:r>
        <w:rPr>
          <w:b/>
          <w:bCs/>
          <w:i/>
          <w:iCs/>
        </w:rPr>
        <w:t>Note de traduction</w:t>
      </w:r>
    </w:p>
    <w:p w14:paraId="24A86592" w14:textId="6CB7FBEC" w:rsidR="00065317" w:rsidRPr="00F54917" w:rsidRDefault="005C7BF7" w:rsidP="004E5EA3">
      <w:pPr>
        <w:pStyle w:val="Normalcentr"/>
      </w:pPr>
      <w:r>
        <w:t>« Ideational contents » a été traduit par « contenus représentatifs » en adéquation avec la traduction de Termium Plus.</w:t>
      </w:r>
    </w:p>
    <w:p w14:paraId="73D87ED7" w14:textId="77777777" w:rsidR="00065317" w:rsidRDefault="005C7BF7">
      <w:pPr>
        <w:pStyle w:val="Normalcentr"/>
      </w:pPr>
      <w:r>
        <w:rPr>
          <w:b/>
          <w:bCs/>
          <w:i/>
          <w:iCs/>
        </w:rPr>
        <w:t>Références</w:t>
      </w:r>
    </w:p>
    <w:p w14:paraId="5386E7D4" w14:textId="0189EEDC" w:rsidR="00065317" w:rsidRDefault="005C7BF7">
      <w:pPr>
        <w:pStyle w:val="Normalcentr"/>
      </w:pPr>
      <w:r>
        <w:t xml:space="preserve">Termium. « ideational content ». Dans </w:t>
      </w:r>
      <w:r>
        <w:rPr>
          <w:i/>
          <w:iCs/>
        </w:rPr>
        <w:t>Termium Plus</w:t>
      </w:r>
      <w:r>
        <w:t>. Ottawa, CA-ON: Gouvernement du Canada, 8</w:t>
      </w:r>
      <w:r w:rsidR="00056DCD">
        <w:t> octobre </w:t>
      </w:r>
      <w:r>
        <w:t>2009.</w:t>
      </w:r>
      <w:hyperlink r:id="rId210">
        <w:r>
          <w:rPr>
            <w:rStyle w:val="Lienhypertexte"/>
          </w:rPr>
          <w:t xml:space="preserve"> </w:t>
        </w:r>
      </w:hyperlink>
      <w:hyperlink r:id="rId211">
        <w:r>
          <w:rPr>
            <w:rStyle w:val="Lienhypertexte"/>
          </w:rPr>
          <w:t>https://www.btb.termiumplus.gc.ca/tpv2alpha/alpha-fra.html?lang=fra&amp;srchtxt=IDEATIONAL+CONTENT</w:t>
        </w:r>
      </w:hyperlink>
      <w:r>
        <w:t>.</w:t>
      </w:r>
    </w:p>
    <w:p w14:paraId="7978953E" w14:textId="77777777" w:rsidR="00065317" w:rsidRDefault="005C7BF7" w:rsidP="00914F34">
      <w:pPr>
        <w:pStyle w:val="Titre3"/>
      </w:pPr>
      <w:bookmarkStart w:id="250" w:name="_Toc154048810"/>
      <w:bookmarkStart w:id="251" w:name="e90-objet-symbolique"/>
      <w:bookmarkEnd w:id="249"/>
      <w:r>
        <w:t>E90 Objet symbolique</w:t>
      </w:r>
      <w:bookmarkEnd w:id="250"/>
    </w:p>
    <w:p w14:paraId="22025493" w14:textId="77777777" w:rsidR="00065317" w:rsidRDefault="005C7BF7">
      <w:pPr>
        <w:pStyle w:val="FirstParagraph"/>
      </w:pPr>
      <w:r>
        <w:rPr>
          <w:b/>
          <w:bCs/>
        </w:rPr>
        <w:t>Sous-classe de</w:t>
      </w:r>
    </w:p>
    <w:p w14:paraId="4E73585A" w14:textId="77777777" w:rsidR="00065317" w:rsidRDefault="005C7BF7">
      <w:pPr>
        <w:pStyle w:val="Corpsdetexte"/>
      </w:pPr>
      <w:r>
        <w:rPr>
          <w:rStyle w:val="VerbatimChar"/>
        </w:rPr>
        <w:t>E28_Objet_conceptuel</w:t>
      </w:r>
    </w:p>
    <w:p w14:paraId="3A116371" w14:textId="77777777" w:rsidR="00065317" w:rsidRDefault="005C7BF7">
      <w:pPr>
        <w:pStyle w:val="Corpsdetexte"/>
      </w:pPr>
      <w:r>
        <w:rPr>
          <w:rStyle w:val="VerbatimChar"/>
        </w:rPr>
        <w:t>E72_Objet_juridique</w:t>
      </w:r>
    </w:p>
    <w:p w14:paraId="4820AB5C" w14:textId="77777777" w:rsidR="00065317" w:rsidRDefault="005C7BF7">
      <w:pPr>
        <w:pStyle w:val="Corpsdetexte"/>
      </w:pPr>
      <w:r>
        <w:rPr>
          <w:b/>
          <w:bCs/>
        </w:rPr>
        <w:t>Super-classe de</w:t>
      </w:r>
    </w:p>
    <w:p w14:paraId="285AC2F0" w14:textId="77777777" w:rsidR="00065317" w:rsidRDefault="005C7BF7">
      <w:pPr>
        <w:pStyle w:val="Corpsdetexte"/>
      </w:pPr>
      <w:r>
        <w:rPr>
          <w:rStyle w:val="VerbatimChar"/>
        </w:rPr>
        <w:t>E41_Appellation</w:t>
      </w:r>
      <w:r>
        <w:t xml:space="preserve"> </w:t>
      </w:r>
    </w:p>
    <w:p w14:paraId="3CF534D9" w14:textId="77777777" w:rsidR="00065317" w:rsidRDefault="005C7BF7">
      <w:pPr>
        <w:pStyle w:val="Corpsdetexte"/>
      </w:pPr>
      <w:r>
        <w:rPr>
          <w:rStyle w:val="VerbatimChar"/>
        </w:rPr>
        <w:t>E73_Objet_informationnel</w:t>
      </w:r>
    </w:p>
    <w:p w14:paraId="25F9437F" w14:textId="11CD3EFD" w:rsidR="00065317" w:rsidRDefault="005C7BF7">
      <w:pPr>
        <w:pStyle w:val="Corpsdetexte"/>
      </w:pPr>
      <w:r>
        <w:rPr>
          <w:b/>
          <w:bCs/>
        </w:rPr>
        <w:t>Note d</w:t>
      </w:r>
      <w:r w:rsidR="00E84B0E">
        <w:rPr>
          <w:b/>
          <w:bCs/>
        </w:rPr>
        <w:t>’</w:t>
      </w:r>
      <w:r>
        <w:rPr>
          <w:b/>
          <w:bCs/>
        </w:rPr>
        <w:t>application</w:t>
      </w:r>
    </w:p>
    <w:p w14:paraId="669F30BB" w14:textId="45B4FC3C" w:rsidR="00065317" w:rsidRDefault="005C7BF7">
      <w:pPr>
        <w:pStyle w:val="Corpsdetexte"/>
      </w:pPr>
      <w:r>
        <w:t>Cette classe comprend des symboles identifiables et toute agrégation de symboles, tels que des caractères, des identifiants, des panneaux de signalisation, des emblèmes, des textes, des jeux de données, des images, des partitions musicales, des objets multimédias, des codes de programmation informatiques ou des formules mathématiques qui ont une structure objectivement reconnaissable et qui sont documentés en tant qu</w:t>
      </w:r>
      <w:r w:rsidR="00E84B0E">
        <w:t>’</w:t>
      </w:r>
      <w:r>
        <w:t>éléments uniques.</w:t>
      </w:r>
    </w:p>
    <w:p w14:paraId="041D6EB9" w14:textId="77777777" w:rsidR="00065317" w:rsidRDefault="005C7BF7">
      <w:pPr>
        <w:pStyle w:val="Corpsdetexte"/>
      </w:pPr>
      <w:r>
        <w:t xml:space="preserve">Cette classe inclut des ensembles de signes de toute nature, qui peuvent servir à désigner quelque chose ou à communiquer un contenu propositionnel. Une instance de </w:t>
      </w:r>
      <w:r>
        <w:rPr>
          <w:rStyle w:val="VerbatimChar"/>
        </w:rPr>
        <w:t>E90_Objet_symbolique</w:t>
      </w:r>
      <w:r>
        <w:t xml:space="preserve"> peut avoir ou non une signification spécifique, par exemple une chaîne arbitraire de caractères.</w:t>
      </w:r>
    </w:p>
    <w:p w14:paraId="782D5B30" w14:textId="0D33DA7A" w:rsidR="00065317" w:rsidRDefault="005C7BF7">
      <w:pPr>
        <w:pStyle w:val="Corpsdetexte"/>
      </w:pPr>
      <w:r>
        <w:t>Dans certains cas, le contenu d</w:t>
      </w:r>
      <w:r w:rsidR="00E84B0E">
        <w:t>’</w:t>
      </w:r>
      <w:r>
        <w:t xml:space="preserve">une instance de </w:t>
      </w:r>
      <w:r>
        <w:rPr>
          <w:rStyle w:val="VerbatimChar"/>
        </w:rPr>
        <w:t>E90_Objet_symbolique</w:t>
      </w:r>
      <w:r>
        <w:t xml:space="preserve"> peut être complètement représenté par un modèle de contenu numérique sérialisé, tel qu</w:t>
      </w:r>
      <w:r w:rsidR="00E84B0E">
        <w:t>’</w:t>
      </w:r>
      <w:r>
        <w:t xml:space="preserve">une séquence de caractères codés en ASCII, un document XML ou HTML, ou une image au format TIFF. La propriété </w:t>
      </w:r>
      <w:r>
        <w:rPr>
          <w:rStyle w:val="VerbatimChar"/>
        </w:rPr>
        <w:t>P3_a_pour_note</w:t>
      </w:r>
      <w:r>
        <w:t xml:space="preserve"> et sa sous-propriété </w:t>
      </w:r>
      <w:r>
        <w:rPr>
          <w:rStyle w:val="VerbatimChar"/>
        </w:rPr>
        <w:t>P190_a_pour_contenu_symbolique</w:t>
      </w:r>
      <w:r>
        <w:t xml:space="preserve"> permettent la description de ce modèle de contenu. </w:t>
      </w:r>
      <w:r>
        <w:lastRenderedPageBreak/>
        <w:t>Afin de lever l</w:t>
      </w:r>
      <w:r w:rsidR="00E84B0E">
        <w:t>’</w:t>
      </w:r>
      <w:r>
        <w:t xml:space="preserve">ambiguïté sur le niveau symbolique qui est porteur du sens, la propriété </w:t>
      </w:r>
      <w:r>
        <w:rPr>
          <w:rStyle w:val="VerbatimChar"/>
        </w:rPr>
        <w:t>P3.1_a_pour_type</w:t>
      </w:r>
      <w:r>
        <w:t xml:space="preserve"> peut être utilisée pour spécifier l</w:t>
      </w:r>
      <w:r w:rsidR="00E84B0E">
        <w:t>’</w:t>
      </w:r>
      <w:r>
        <w:t>encodage (p. ex. « bit », « caractère latin », pixel RVB).</w:t>
      </w:r>
    </w:p>
    <w:p w14:paraId="7F10322D" w14:textId="77777777" w:rsidR="00065317" w:rsidRDefault="005C7BF7">
      <w:pPr>
        <w:pStyle w:val="Corpsdetexte"/>
      </w:pPr>
      <w:r>
        <w:rPr>
          <w:b/>
          <w:bCs/>
        </w:rPr>
        <w:t>Exemples</w:t>
      </w:r>
    </w:p>
    <w:p w14:paraId="649C4C8E" w14:textId="4EEE8F6C" w:rsidR="00065317" w:rsidRDefault="003645DF" w:rsidP="00D67FB4">
      <w:pPr>
        <w:numPr>
          <w:ilvl w:val="0"/>
          <w:numId w:val="135"/>
        </w:numPr>
      </w:pPr>
      <w:r>
        <w:t xml:space="preserve">« </w:t>
      </w:r>
      <w:r w:rsidR="005C7BF7">
        <w:t>econnaissabl</w:t>
      </w:r>
      <w:r>
        <w:t xml:space="preserve"> » </w:t>
      </w:r>
      <w:r w:rsidR="005C7BF7">
        <w:t xml:space="preserve">Le panneau </w:t>
      </w:r>
      <w:r>
        <w:t xml:space="preserve">« </w:t>
      </w:r>
      <w:r w:rsidR="005C7BF7">
        <w:t>non</w:t>
      </w:r>
      <w:r w:rsidR="00BF7EA3">
        <w:t xml:space="preserve"> </w:t>
      </w:r>
      <w:r w:rsidR="005C7BF7">
        <w:t>fumeur</w:t>
      </w:r>
      <w:r>
        <w:t xml:space="preserve"> » </w:t>
      </w:r>
      <w:r w:rsidR="005C7BF7">
        <w:t xml:space="preserve"> (</w:t>
      </w:r>
      <w:r w:rsidR="005C7BF7">
        <w:rPr>
          <w:rStyle w:val="VerbatimChar"/>
        </w:rPr>
        <w:t>E36_Entité_visuelle</w:t>
      </w:r>
      <w:r w:rsidR="005C7BF7">
        <w:t>)</w:t>
      </w:r>
    </w:p>
    <w:p w14:paraId="5B31DB52" w14:textId="77777777" w:rsidR="00065317" w:rsidRDefault="005C7BF7">
      <w:pPr>
        <w:numPr>
          <w:ilvl w:val="0"/>
          <w:numId w:val="135"/>
        </w:numPr>
      </w:pPr>
      <w:r>
        <w:t>« BM000038850.JPG » (</w:t>
      </w:r>
      <w:r>
        <w:rPr>
          <w:rStyle w:val="VerbatimChar"/>
        </w:rPr>
        <w:t>E41_Appellation</w:t>
      </w:r>
      <w:r>
        <w:t>) [identifie une image numérique] (Natural History Museum, 2021)</w:t>
      </w:r>
    </w:p>
    <w:p w14:paraId="22B7BCAC" w14:textId="293F644B" w:rsidR="00065317" w:rsidRDefault="005C7BF7">
      <w:pPr>
        <w:numPr>
          <w:ilvl w:val="0"/>
          <w:numId w:val="135"/>
        </w:numPr>
      </w:pPr>
      <w:r>
        <w:t>L</w:t>
      </w:r>
      <w:r w:rsidR="00E84B0E">
        <w:t>’</w:t>
      </w:r>
      <w:r>
        <w:t>image BM000038850.JPG du Clayton Herbarium de Londres (</w:t>
      </w:r>
      <w:r>
        <w:rPr>
          <w:rStyle w:val="VerbatimChar"/>
        </w:rPr>
        <w:t>E36_Entité_visuelle</w:t>
      </w:r>
      <w:r>
        <w:t xml:space="preserve">) [illustre un spéciment de </w:t>
      </w:r>
      <w:r>
        <w:rPr>
          <w:i/>
          <w:iCs/>
        </w:rPr>
        <w:t>Verbesina virgica</w:t>
      </w:r>
      <w:r>
        <w:t>] (Natural History Museum, 2021)</w:t>
      </w:r>
    </w:p>
    <w:p w14:paraId="7DCDCAD4" w14:textId="521EB94D" w:rsidR="00065317" w:rsidRDefault="005C7BF7">
      <w:pPr>
        <w:numPr>
          <w:ilvl w:val="0"/>
          <w:numId w:val="135"/>
        </w:numPr>
      </w:pPr>
      <w:r>
        <w:t>La distribution de la forme, du ton et de la couleur à la lumière du jour sur l</w:t>
      </w:r>
      <w:r w:rsidR="00E84B0E">
        <w:t>’</w:t>
      </w:r>
      <w:r>
        <w:t xml:space="preserve">œuvre peinte </w:t>
      </w:r>
      <w:r>
        <w:rPr>
          <w:i/>
          <w:iCs/>
        </w:rPr>
        <w:t>Monna Lisa</w:t>
      </w:r>
      <w:r>
        <w:t xml:space="preserve"> de Léonard de Vinci (</w:t>
      </w:r>
      <w:r>
        <w:rPr>
          <w:rStyle w:val="VerbatimChar"/>
        </w:rPr>
        <w:t>E36_Entité_visuelle</w:t>
      </w:r>
      <w:r>
        <w:t>)</w:t>
      </w:r>
    </w:p>
    <w:p w14:paraId="446B3418" w14:textId="16145258" w:rsidR="00A81E78" w:rsidRDefault="003645DF" w:rsidP="003645DF">
      <w:pPr>
        <w:numPr>
          <w:ilvl w:val="0"/>
          <w:numId w:val="135"/>
        </w:numPr>
      </w:pPr>
      <w:r>
        <w:t xml:space="preserve">Le texte italien de la </w:t>
      </w:r>
      <w:r>
        <w:rPr>
          <w:i/>
          <w:iCs/>
        </w:rPr>
        <w:t>Divine Comédie</w:t>
      </w:r>
      <w:r>
        <w:t xml:space="preserve"> (</w:t>
      </w:r>
      <w:r>
        <w:rPr>
          <w:i/>
          <w:iCs/>
        </w:rPr>
        <w:t>Divina Commedia</w:t>
      </w:r>
      <w:r>
        <w:t xml:space="preserve">) de Dante, tel qu’il se trouve dans l’édition critique faisant autorité </w:t>
      </w:r>
      <w:r>
        <w:rPr>
          <w:i/>
          <w:iCs/>
        </w:rPr>
        <w:t>La Commedia secondo l’antica vulgata a cura di Giorgio Petrocchi, Milano: Mondadori, 1966-1967 (= Le Opere di Dante Alighieri, Edizione Nazionale a cura della Società Dantesca Italiana, VII, 1-4)</w:t>
      </w:r>
      <w:r>
        <w:t xml:space="preserve"> (</w:t>
      </w:r>
      <w:r>
        <w:rPr>
          <w:rStyle w:val="VerbatimChar"/>
        </w:rPr>
        <w:t>E33_Objet_linguistique</w:t>
      </w:r>
      <w:r>
        <w:t>) (Petrocchi, 1967)</w:t>
      </w:r>
    </w:p>
    <w:p w14:paraId="07F67BFE" w14:textId="1B5FC73D" w:rsidR="00065317" w:rsidRDefault="005C7BF7">
      <w:pPr>
        <w:pStyle w:val="FirstParagraph"/>
      </w:pPr>
      <w:r>
        <w:rPr>
          <w:b/>
          <w:bCs/>
        </w:rPr>
        <w:t>Logique</w:t>
      </w:r>
    </w:p>
    <w:p w14:paraId="15FF8675" w14:textId="77777777" w:rsidR="00065317" w:rsidRDefault="005C7BF7">
      <w:pPr>
        <w:pStyle w:val="Corpsdetexte"/>
      </w:pPr>
      <w:r>
        <w:t>E90(x) ⇒ E28(x)</w:t>
      </w:r>
    </w:p>
    <w:p w14:paraId="06D5FF6A" w14:textId="77777777" w:rsidR="00065317" w:rsidRDefault="005C7BF7">
      <w:pPr>
        <w:pStyle w:val="Corpsdetexte"/>
      </w:pPr>
      <w:r>
        <w:t>E90(x) ⇒ E72(x)</w:t>
      </w:r>
    </w:p>
    <w:p w14:paraId="5AB42EDE" w14:textId="77777777" w:rsidR="00065317" w:rsidRDefault="005C7BF7">
      <w:pPr>
        <w:pStyle w:val="Corpsdetexte"/>
      </w:pPr>
      <w:r>
        <w:rPr>
          <w:b/>
          <w:bCs/>
        </w:rPr>
        <w:t>Propriétés</w:t>
      </w:r>
    </w:p>
    <w:p w14:paraId="4D76DEAD" w14:textId="77777777" w:rsidR="00065317" w:rsidRDefault="005C7BF7">
      <w:pPr>
        <w:pStyle w:val="Corpsdetexte"/>
      </w:pPr>
      <w:r>
        <w:rPr>
          <w:rStyle w:val="VerbatimChar"/>
        </w:rPr>
        <w:t>P106_est_composé_de (fait_partie_de)</w:t>
      </w:r>
      <w:r>
        <w:t xml:space="preserve"> : </w:t>
      </w:r>
      <w:r>
        <w:rPr>
          <w:rStyle w:val="VerbatimChar"/>
        </w:rPr>
        <w:t>E90_Objet_symbolique</w:t>
      </w:r>
    </w:p>
    <w:p w14:paraId="64497F7E" w14:textId="77777777" w:rsidR="00065317" w:rsidRDefault="005C7BF7">
      <w:pPr>
        <w:pStyle w:val="Corpsdetexte"/>
      </w:pPr>
      <w:r>
        <w:rPr>
          <w:rStyle w:val="VerbatimChar"/>
        </w:rPr>
        <w:t>P190_a_pour_contenu_symbolique</w:t>
      </w:r>
      <w:r>
        <w:t xml:space="preserve"> : </w:t>
      </w:r>
      <w:r>
        <w:rPr>
          <w:rStyle w:val="VerbatimChar"/>
        </w:rPr>
        <w:t>E62_Chaîne_de_caractères</w:t>
      </w:r>
    </w:p>
    <w:p w14:paraId="72ACED25" w14:textId="77777777" w:rsidR="00065317" w:rsidRDefault="005C7BF7">
      <w:pPr>
        <w:pStyle w:val="Normalcentr"/>
      </w:pPr>
      <w:r>
        <w:rPr>
          <w:b/>
          <w:bCs/>
          <w:i/>
          <w:iCs/>
        </w:rPr>
        <w:t>Note de traduction</w:t>
      </w:r>
    </w:p>
    <w:p w14:paraId="39687DEF" w14:textId="3100F448" w:rsidR="00065317" w:rsidRDefault="005C7BF7" w:rsidP="00BF7EA3">
      <w:pPr>
        <w:pStyle w:val="Normalcentr"/>
      </w:pPr>
      <w:r>
        <w:rPr>
          <w:b/>
          <w:bCs/>
          <w:i/>
          <w:iCs/>
        </w:rPr>
        <w:t>Références</w:t>
      </w:r>
    </w:p>
    <w:p w14:paraId="78B40413" w14:textId="77777777" w:rsidR="00065317" w:rsidRDefault="005C7BF7" w:rsidP="00914F34">
      <w:pPr>
        <w:pStyle w:val="Titre3"/>
      </w:pPr>
      <w:bookmarkStart w:id="252" w:name="_Toc154048811"/>
      <w:bookmarkStart w:id="253" w:name="e92-volume-spatio-temporel"/>
      <w:bookmarkEnd w:id="251"/>
      <w:r>
        <w:t>E92 Volume spatio-temporel</w:t>
      </w:r>
      <w:bookmarkEnd w:id="252"/>
    </w:p>
    <w:p w14:paraId="2D0D4D55" w14:textId="77777777" w:rsidR="00065317" w:rsidRDefault="005C7BF7">
      <w:pPr>
        <w:pStyle w:val="FirstParagraph"/>
      </w:pPr>
      <w:r>
        <w:rPr>
          <w:b/>
          <w:bCs/>
        </w:rPr>
        <w:t>Sous-classe de</w:t>
      </w:r>
    </w:p>
    <w:p w14:paraId="725C763D" w14:textId="77777777" w:rsidR="00065317" w:rsidRDefault="005C7BF7">
      <w:pPr>
        <w:pStyle w:val="Corpsdetexte"/>
      </w:pPr>
      <w:r>
        <w:rPr>
          <w:rStyle w:val="VerbatimChar"/>
        </w:rPr>
        <w:t>E1_Entité_CRM</w:t>
      </w:r>
    </w:p>
    <w:p w14:paraId="6031037C" w14:textId="77777777" w:rsidR="00065317" w:rsidRDefault="005C7BF7">
      <w:pPr>
        <w:pStyle w:val="Corpsdetexte"/>
      </w:pPr>
      <w:r>
        <w:rPr>
          <w:b/>
          <w:bCs/>
        </w:rPr>
        <w:t>Super-classe de</w:t>
      </w:r>
    </w:p>
    <w:p w14:paraId="535F99AB" w14:textId="77777777" w:rsidR="00065317" w:rsidRDefault="005C7BF7">
      <w:pPr>
        <w:pStyle w:val="Corpsdetexte"/>
      </w:pPr>
      <w:r>
        <w:rPr>
          <w:rStyle w:val="VerbatimChar"/>
        </w:rPr>
        <w:t>E4_Période</w:t>
      </w:r>
    </w:p>
    <w:p w14:paraId="159704FF" w14:textId="77777777" w:rsidR="00065317" w:rsidRDefault="005C7BF7">
      <w:pPr>
        <w:pStyle w:val="Corpsdetexte"/>
      </w:pPr>
      <w:r>
        <w:rPr>
          <w:rStyle w:val="VerbatimChar"/>
        </w:rPr>
        <w:t>E93_Présence</w:t>
      </w:r>
    </w:p>
    <w:p w14:paraId="5DA7763D" w14:textId="1713F898" w:rsidR="00065317" w:rsidRDefault="005C7BF7">
      <w:pPr>
        <w:pStyle w:val="Corpsdetexte"/>
      </w:pPr>
      <w:r>
        <w:rPr>
          <w:b/>
          <w:bCs/>
        </w:rPr>
        <w:t>Note d</w:t>
      </w:r>
      <w:r w:rsidR="00E84B0E">
        <w:rPr>
          <w:b/>
          <w:bCs/>
        </w:rPr>
        <w:t>’</w:t>
      </w:r>
      <w:r>
        <w:rPr>
          <w:b/>
          <w:bCs/>
        </w:rPr>
        <w:t>application</w:t>
      </w:r>
    </w:p>
    <w:p w14:paraId="7C6FE690" w14:textId="38FBFDBB" w:rsidR="00065317" w:rsidRDefault="005C7BF7">
      <w:pPr>
        <w:pStyle w:val="Corpsdetexte"/>
      </w:pPr>
      <w:r>
        <w:t>Cette classe comprend les séries de points en quatre dimensions (volumes) dans un espace-temps physique (au contraire des modèles mathématiques de ce dernier), quelles que soient leurs formes géométriques réelles. Ces points peuvent dériver leur identité du fait d</w:t>
      </w:r>
      <w:r w:rsidR="00E84B0E">
        <w:t>’</w:t>
      </w:r>
      <w:r>
        <w:t>être l</w:t>
      </w:r>
      <w:r w:rsidR="00E84B0E">
        <w:t>’</w:t>
      </w:r>
      <w:r>
        <w:t>étendue d</w:t>
      </w:r>
      <w:r w:rsidR="00E84B0E">
        <w:t>’</w:t>
      </w:r>
      <w:r>
        <w:t>un phénomène matériel ou d</w:t>
      </w:r>
      <w:r w:rsidR="00E84B0E">
        <w:t>’</w:t>
      </w:r>
      <w:r>
        <w:t>être l</w:t>
      </w:r>
      <w:r w:rsidR="00E84B0E">
        <w:t>’</w:t>
      </w:r>
      <w:r>
        <w:t>interprétation d</w:t>
      </w:r>
      <w:r w:rsidR="00E84B0E">
        <w:t>’</w:t>
      </w:r>
      <w:r>
        <w:t>une expression définissant une étendue dans l</w:t>
      </w:r>
      <w:r w:rsidR="00E84B0E">
        <w:t>’</w:t>
      </w:r>
      <w:r>
        <w:t xml:space="preserve">espace-temps. Les intersections des instances de </w:t>
      </w:r>
      <w:r>
        <w:rPr>
          <w:rStyle w:val="VerbatimChar"/>
        </w:rPr>
        <w:t>E92_Volume_spatio-temporel</w:t>
      </w:r>
      <w:r>
        <w:t xml:space="preserve">, </w:t>
      </w:r>
      <w:r>
        <w:rPr>
          <w:rStyle w:val="VerbatimChar"/>
        </w:rPr>
        <w:t>E53_Lieu</w:t>
      </w:r>
      <w:r>
        <w:t xml:space="preserve"> et </w:t>
      </w:r>
      <w:r>
        <w:rPr>
          <w:rStyle w:val="VerbatimChar"/>
        </w:rPr>
        <w:t>E52_Intervalle_temporel</w:t>
      </w:r>
      <w:r>
        <w:t xml:space="preserve"> sont aussi considérées comme des instances de </w:t>
      </w:r>
      <w:r>
        <w:rPr>
          <w:rStyle w:val="VerbatimChar"/>
        </w:rPr>
        <w:t>E92_Volume_spatio-temporel</w:t>
      </w:r>
      <w:r>
        <w:t xml:space="preserve">. Une instance de </w:t>
      </w:r>
      <w:r>
        <w:rPr>
          <w:rStyle w:val="VerbatimChar"/>
        </w:rPr>
        <w:t>E92_Volume_spatio-temporel</w:t>
      </w:r>
      <w:r>
        <w:t xml:space="preserve"> est soit continue, soit composée d</w:t>
      </w:r>
      <w:r w:rsidR="00E84B0E">
        <w:t>’</w:t>
      </w:r>
      <w:r>
        <w:t xml:space="preserve">un nombre fini de sous-ensembles </w:t>
      </w:r>
      <w:r>
        <w:lastRenderedPageBreak/>
        <w:t>continus. Ses limites peuvent être floues à cause des propriétés du phénomène duquel il est dérivé ou à cause de la précision limitée à laquelle l</w:t>
      </w:r>
      <w:r w:rsidR="00E84B0E">
        <w:t>’</w:t>
      </w:r>
      <w:r>
        <w:t>expression le définissant peut être identifiée au travers d</w:t>
      </w:r>
      <w:r w:rsidR="00E84B0E">
        <w:t>’</w:t>
      </w:r>
      <w:r>
        <w:t>une étendue réelle dans l</w:t>
      </w:r>
      <w:r w:rsidR="00E84B0E">
        <w:t>’</w:t>
      </w:r>
      <w:r>
        <w:t>espace-temps. La durée de l</w:t>
      </w:r>
      <w:r w:rsidR="00E84B0E">
        <w:t>’</w:t>
      </w:r>
      <w:r>
        <w:t>existence d</w:t>
      </w:r>
      <w:r w:rsidR="00E84B0E">
        <w:t>’</w:t>
      </w:r>
      <w:r>
        <w:t xml:space="preserve">une instance de </w:t>
      </w:r>
      <w:r>
        <w:rPr>
          <w:rStyle w:val="VerbatimChar"/>
        </w:rPr>
        <w:t>E92_Volume_spatio-temporel</w:t>
      </w:r>
      <w:r>
        <w:t xml:space="preserve"> est sa projection dans le temps.</w:t>
      </w:r>
    </w:p>
    <w:p w14:paraId="6BED0B6F" w14:textId="77777777" w:rsidR="00065317" w:rsidRDefault="005C7BF7">
      <w:pPr>
        <w:pStyle w:val="Corpsdetexte"/>
      </w:pPr>
      <w:r>
        <w:rPr>
          <w:b/>
          <w:bCs/>
        </w:rPr>
        <w:t>Exemples</w:t>
      </w:r>
    </w:p>
    <w:p w14:paraId="7FDC9B87" w14:textId="09877F74" w:rsidR="00065317" w:rsidRDefault="005C7BF7">
      <w:pPr>
        <w:numPr>
          <w:ilvl w:val="0"/>
          <w:numId w:val="136"/>
        </w:numPr>
      </w:pPr>
      <w:r>
        <w:t>L</w:t>
      </w:r>
      <w:r w:rsidR="00E84B0E">
        <w:t>’</w:t>
      </w:r>
      <w:r>
        <w:t>étendue dans l</w:t>
      </w:r>
      <w:r w:rsidR="00E84B0E">
        <w:t>’</w:t>
      </w:r>
      <w:r>
        <w:t>espace et dans le temps de l</w:t>
      </w:r>
      <w:r w:rsidR="00E84B0E">
        <w:t>’</w:t>
      </w:r>
      <w:r>
        <w:t>évènement du meurtre de César (Irwin, 1935)</w:t>
      </w:r>
    </w:p>
    <w:p w14:paraId="4D479423" w14:textId="3A2F04BC" w:rsidR="00065317" w:rsidRDefault="005C7BF7">
      <w:pPr>
        <w:numPr>
          <w:ilvl w:val="0"/>
          <w:numId w:val="136"/>
        </w:numPr>
      </w:pPr>
      <w:r>
        <w:t>Le lieu et l</w:t>
      </w:r>
      <w:r w:rsidR="00E84B0E">
        <w:t>’</w:t>
      </w:r>
      <w:r>
        <w:t>instant où la datation au carbon 14 de la Lance Sch</w:t>
      </w:r>
      <w:r w:rsidR="00F52177">
        <w:t>oe</w:t>
      </w:r>
      <w:r>
        <w:t>ninger II en 1996 a eu lieu (Kouwenhoven, 1997)</w:t>
      </w:r>
    </w:p>
    <w:p w14:paraId="4E0AD390" w14:textId="77777777" w:rsidR="00065317" w:rsidRDefault="005C7BF7">
      <w:pPr>
        <w:numPr>
          <w:ilvl w:val="0"/>
          <w:numId w:val="136"/>
        </w:numPr>
      </w:pPr>
      <w:r>
        <w:t>La trajectoire spatio-temporelle du HMS Victory de sa construction à sa localisation actuelle (Goodwin, 2015)</w:t>
      </w:r>
    </w:p>
    <w:p w14:paraId="0B387662" w14:textId="3448CCEB" w:rsidR="00A81E78" w:rsidRPr="003645DF" w:rsidRDefault="003645DF" w:rsidP="003645DF">
      <w:pPr>
        <w:numPr>
          <w:ilvl w:val="0"/>
          <w:numId w:val="136"/>
        </w:numPr>
      </w:pPr>
      <w:r>
        <w:t>L’</w:t>
      </w:r>
      <w:r w:rsidRPr="003645DF">
        <w:t xml:space="preserve"> </w:t>
      </w:r>
      <w:r>
        <w:t>étendue dans l’espace et dans le temps définie par un polygone s’approchant de l’étendue de l’inondation du Danube en Autriche entre le 6 et le 9</w:t>
      </w:r>
      <w:r w:rsidR="00056DCD">
        <w:t> août </w:t>
      </w:r>
      <w:r>
        <w:t>2002</w:t>
      </w:r>
    </w:p>
    <w:p w14:paraId="4420EB7D" w14:textId="5FBA5AC1" w:rsidR="00065317" w:rsidRDefault="005C7BF7">
      <w:pPr>
        <w:pStyle w:val="FirstParagraph"/>
      </w:pPr>
      <w:r>
        <w:rPr>
          <w:b/>
          <w:bCs/>
        </w:rPr>
        <w:t>Logique</w:t>
      </w:r>
    </w:p>
    <w:p w14:paraId="3DF6E20B" w14:textId="77777777" w:rsidR="00065317" w:rsidRDefault="005C7BF7">
      <w:pPr>
        <w:pStyle w:val="Corpsdetexte"/>
      </w:pPr>
      <w:r>
        <w:t>E92(x) ⇒ E1(x)</w:t>
      </w:r>
    </w:p>
    <w:p w14:paraId="434A8C59" w14:textId="77777777" w:rsidR="00065317" w:rsidRDefault="005C7BF7">
      <w:pPr>
        <w:pStyle w:val="Corpsdetexte"/>
      </w:pPr>
      <w:r>
        <w:rPr>
          <w:b/>
          <w:bCs/>
        </w:rPr>
        <w:t>Propriétés</w:t>
      </w:r>
    </w:p>
    <w:p w14:paraId="1DF70FB2" w14:textId="0D7D3FD1" w:rsidR="00065317" w:rsidRDefault="005C7BF7">
      <w:pPr>
        <w:pStyle w:val="Corpsdetexte"/>
      </w:pPr>
      <w:r>
        <w:rPr>
          <w:rStyle w:val="VerbatimChar"/>
        </w:rPr>
        <w:t>P10_s</w:t>
      </w:r>
      <w:r w:rsidR="00E84B0E">
        <w:rPr>
          <w:rStyle w:val="VerbatimChar"/>
        </w:rPr>
        <w:t>’</w:t>
      </w:r>
      <w:r>
        <w:rPr>
          <w:rStyle w:val="VerbatimChar"/>
        </w:rPr>
        <w:t>insère_dans (contient)</w:t>
      </w:r>
      <w:r>
        <w:t xml:space="preserve"> : </w:t>
      </w:r>
      <w:r>
        <w:rPr>
          <w:rStyle w:val="VerbatimChar"/>
        </w:rPr>
        <w:t>E92_Volume_spatio-temporel</w:t>
      </w:r>
    </w:p>
    <w:p w14:paraId="2A21DF94" w14:textId="77777777" w:rsidR="00065317" w:rsidRDefault="005C7BF7">
      <w:pPr>
        <w:pStyle w:val="Corpsdetexte"/>
      </w:pPr>
      <w:r>
        <w:rPr>
          <w:rStyle w:val="VerbatimChar"/>
        </w:rPr>
        <w:t>P132_recoupe_spatio-temporellement</w:t>
      </w:r>
      <w:r>
        <w:t xml:space="preserve"> : </w:t>
      </w:r>
      <w:r>
        <w:rPr>
          <w:rStyle w:val="VerbatimChar"/>
        </w:rPr>
        <w:t>E92_Volume_spatio-temporel</w:t>
      </w:r>
    </w:p>
    <w:p w14:paraId="708B0847" w14:textId="77777777" w:rsidR="00065317" w:rsidRDefault="005C7BF7">
      <w:pPr>
        <w:pStyle w:val="Corpsdetexte"/>
      </w:pPr>
      <w:r>
        <w:rPr>
          <w:rStyle w:val="VerbatimChar"/>
        </w:rPr>
        <w:t>P133_est_distinct_spatio-temporellement_de</w:t>
      </w:r>
      <w:r>
        <w:t xml:space="preserve"> : </w:t>
      </w:r>
      <w:r>
        <w:rPr>
          <w:rStyle w:val="VerbatimChar"/>
        </w:rPr>
        <w:t>E92_Volume_spatio-temporel</w:t>
      </w:r>
    </w:p>
    <w:p w14:paraId="20C991FE" w14:textId="77777777" w:rsidR="00065317" w:rsidRDefault="005C7BF7">
      <w:pPr>
        <w:pStyle w:val="Corpsdetexte"/>
      </w:pPr>
      <w:r>
        <w:rPr>
          <w:rStyle w:val="VerbatimChar"/>
        </w:rPr>
        <w:t>P160_a_pour_projection_temporelle (est_la_projection_temporelle_de)</w:t>
      </w:r>
      <w:r>
        <w:t xml:space="preserve"> : </w:t>
      </w:r>
      <w:r>
        <w:rPr>
          <w:rStyle w:val="VerbatimChar"/>
        </w:rPr>
        <w:t>E52_Intervalle_temporel</w:t>
      </w:r>
    </w:p>
    <w:p w14:paraId="6FF27D09" w14:textId="77777777" w:rsidR="00065317" w:rsidRDefault="005C7BF7">
      <w:pPr>
        <w:pStyle w:val="Corpsdetexte"/>
      </w:pPr>
      <w:r>
        <w:rPr>
          <w:rStyle w:val="VerbatimChar"/>
        </w:rPr>
        <w:t>P161_a_pour_projection_spatiale (est_la_projection_spatiale_de)</w:t>
      </w:r>
      <w:r>
        <w:t xml:space="preserve"> : </w:t>
      </w:r>
      <w:r>
        <w:rPr>
          <w:rStyle w:val="VerbatimChar"/>
        </w:rPr>
        <w:t>E53_Lieu</w:t>
      </w:r>
    </w:p>
    <w:p w14:paraId="44B3B236" w14:textId="77777777" w:rsidR="00065317" w:rsidRDefault="005C7BF7">
      <w:pPr>
        <w:pStyle w:val="Normalcentr"/>
      </w:pPr>
      <w:r>
        <w:rPr>
          <w:b/>
          <w:bCs/>
          <w:i/>
          <w:iCs/>
        </w:rPr>
        <w:t>Note de traduction</w:t>
      </w:r>
    </w:p>
    <w:p w14:paraId="3CC8A9D8" w14:textId="77777777" w:rsidR="00065317" w:rsidRDefault="005C7BF7">
      <w:pPr>
        <w:pStyle w:val="Normalcentr"/>
      </w:pPr>
      <w:r>
        <w:rPr>
          <w:b/>
          <w:bCs/>
          <w:i/>
          <w:iCs/>
        </w:rPr>
        <w:t>Références</w:t>
      </w:r>
    </w:p>
    <w:p w14:paraId="79289058" w14:textId="6E9F0A69" w:rsidR="00065317" w:rsidRDefault="005C7BF7">
      <w:pPr>
        <w:pStyle w:val="Normalcentr"/>
      </w:pPr>
      <w:r w:rsidRPr="00C37040">
        <w:rPr>
          <w:lang w:val="fr-CA"/>
        </w:rPr>
        <w:t xml:space="preserve">Wikipédia. </w:t>
      </w:r>
      <w:r w:rsidRPr="00EC2D6E">
        <w:rPr>
          <w:lang w:val="en-CA"/>
        </w:rPr>
        <w:t xml:space="preserve">« Schöningen Spears ». Dans </w:t>
      </w:r>
      <w:r w:rsidRPr="00EC2D6E">
        <w:rPr>
          <w:i/>
          <w:iCs/>
          <w:lang w:val="en-CA"/>
        </w:rPr>
        <w:t>Wikipédia</w:t>
      </w:r>
      <w:r w:rsidRPr="00EC2D6E">
        <w:rPr>
          <w:lang w:val="en-CA"/>
        </w:rPr>
        <w:t>. San Francisco, US-CA: Wikipédia, 6</w:t>
      </w:r>
      <w:r w:rsidR="00056DCD">
        <w:rPr>
          <w:lang w:val="en-CA"/>
        </w:rPr>
        <w:t> mars </w:t>
      </w:r>
      <w:r w:rsidRPr="00EC2D6E">
        <w:rPr>
          <w:lang w:val="en-CA"/>
        </w:rPr>
        <w:t>2023.</w:t>
      </w:r>
      <w:hyperlink r:id="rId212">
        <w:r w:rsidRPr="00EC2D6E">
          <w:rPr>
            <w:rStyle w:val="Lienhypertexte"/>
            <w:lang w:val="en-CA"/>
          </w:rPr>
          <w:t xml:space="preserve"> </w:t>
        </w:r>
      </w:hyperlink>
      <w:hyperlink r:id="rId213">
        <w:r>
          <w:rPr>
            <w:rStyle w:val="Lienhypertexte"/>
          </w:rPr>
          <w:t>https://en.wikipedia.org/w/index.php?title=Sch%C3%B6ningen_spears&amp;oldid=1143301875</w:t>
        </w:r>
      </w:hyperlink>
      <w:r>
        <w:t>.</w:t>
      </w:r>
    </w:p>
    <w:p w14:paraId="243667BF" w14:textId="77777777" w:rsidR="00065317" w:rsidRDefault="005C7BF7" w:rsidP="00914F34">
      <w:pPr>
        <w:pStyle w:val="Titre3"/>
      </w:pPr>
      <w:bookmarkStart w:id="254" w:name="_Toc154048812"/>
      <w:bookmarkStart w:id="255" w:name="e93-presence"/>
      <w:bookmarkEnd w:id="253"/>
      <w:r>
        <w:t>E93 Présence</w:t>
      </w:r>
      <w:bookmarkEnd w:id="254"/>
    </w:p>
    <w:p w14:paraId="5636D3E4" w14:textId="77777777" w:rsidR="00065317" w:rsidRDefault="005C7BF7">
      <w:pPr>
        <w:pStyle w:val="FirstParagraph"/>
      </w:pPr>
      <w:r>
        <w:rPr>
          <w:b/>
          <w:bCs/>
        </w:rPr>
        <w:t>Sous-classe de</w:t>
      </w:r>
    </w:p>
    <w:p w14:paraId="106BB2F0" w14:textId="77777777" w:rsidR="00065317" w:rsidRDefault="005C7BF7">
      <w:pPr>
        <w:pStyle w:val="Corpsdetexte"/>
      </w:pPr>
      <w:r>
        <w:rPr>
          <w:rStyle w:val="VerbatimChar"/>
        </w:rPr>
        <w:t>E92_Volume_spatio-temporel</w:t>
      </w:r>
    </w:p>
    <w:p w14:paraId="6C5EB487" w14:textId="4BED5EB0" w:rsidR="00065317" w:rsidRDefault="005C7BF7">
      <w:pPr>
        <w:pStyle w:val="Corpsdetexte"/>
      </w:pPr>
      <w:r>
        <w:rPr>
          <w:b/>
          <w:bCs/>
        </w:rPr>
        <w:t>Super-classe de</w:t>
      </w:r>
    </w:p>
    <w:p w14:paraId="0840919D" w14:textId="14B6F1D0" w:rsidR="00065317" w:rsidRDefault="005C7BF7">
      <w:pPr>
        <w:pStyle w:val="Corpsdetexte"/>
      </w:pPr>
      <w:r>
        <w:rPr>
          <w:b/>
          <w:bCs/>
        </w:rPr>
        <w:t>Note d</w:t>
      </w:r>
      <w:r w:rsidR="00E84B0E">
        <w:rPr>
          <w:b/>
          <w:bCs/>
        </w:rPr>
        <w:t>’</w:t>
      </w:r>
      <w:r>
        <w:rPr>
          <w:b/>
          <w:bCs/>
        </w:rPr>
        <w:t>application</w:t>
      </w:r>
    </w:p>
    <w:p w14:paraId="301EDD2C" w14:textId="637CA2DE" w:rsidR="00065317" w:rsidRDefault="005C7BF7">
      <w:pPr>
        <w:pStyle w:val="Corpsdetexte"/>
      </w:pPr>
      <w:r>
        <w:t xml:space="preserve">Cette classe comprend les instances de </w:t>
      </w:r>
      <w:r>
        <w:rPr>
          <w:rStyle w:val="VerbatimChar"/>
        </w:rPr>
        <w:t>E92_Volume_spatio-temporel</w:t>
      </w:r>
      <w:r>
        <w:t xml:space="preserve"> dont l</w:t>
      </w:r>
      <w:r w:rsidR="00E84B0E">
        <w:t>’</w:t>
      </w:r>
      <w:r>
        <w:t>étendue temporelle a été choisie pour déterminer l</w:t>
      </w:r>
      <w:r w:rsidR="00E84B0E">
        <w:t>’</w:t>
      </w:r>
      <w:r>
        <w:t>étendue spatiale d</w:t>
      </w:r>
      <w:r w:rsidR="00E84B0E">
        <w:t>’</w:t>
      </w:r>
      <w:r>
        <w:t>un phénomène au cours d</w:t>
      </w:r>
      <w:r w:rsidR="00E84B0E">
        <w:t>’</w:t>
      </w:r>
      <w:r>
        <w:t>un intervalle de temps choisi. Les phénomènes concernés peuvent, par exemple, être des évènements ou des périodes historiques, mais peuvent aussi être l</w:t>
      </w:r>
      <w:r w:rsidR="00E84B0E">
        <w:t>’</w:t>
      </w:r>
      <w:r>
        <w:t>étendue et l</w:t>
      </w:r>
      <w:r w:rsidR="00E84B0E">
        <w:t>’</w:t>
      </w:r>
      <w:r>
        <w:t>existence diachroniques de choses physiques. En d</w:t>
      </w:r>
      <w:r w:rsidR="00E84B0E">
        <w:t>’</w:t>
      </w:r>
      <w:r>
        <w:t>autres termes, les instances de cette classe fixent une autre tranche d</w:t>
      </w:r>
      <w:r w:rsidR="00E84B0E">
        <w:t>’</w:t>
      </w:r>
      <w:r>
        <w:t xml:space="preserve">une instance de </w:t>
      </w:r>
      <w:r>
        <w:rPr>
          <w:rStyle w:val="VerbatimChar"/>
        </w:rPr>
        <w:t>E92_Volume_spatio-temporel</w:t>
      </w:r>
      <w:r>
        <w:t xml:space="preserve"> dans le temps.</w:t>
      </w:r>
    </w:p>
    <w:p w14:paraId="2B17B01C" w14:textId="0144B5DD" w:rsidR="00065317" w:rsidRDefault="005C7BF7">
      <w:pPr>
        <w:pStyle w:val="Corpsdetexte"/>
      </w:pPr>
      <w:r>
        <w:lastRenderedPageBreak/>
        <w:t>L</w:t>
      </w:r>
      <w:r w:rsidR="00E84B0E">
        <w:t>’</w:t>
      </w:r>
      <w:r>
        <w:t>étendue temporelle d</w:t>
      </w:r>
      <w:r w:rsidR="00E84B0E">
        <w:t>’</w:t>
      </w:r>
      <w:r>
        <w:t xml:space="preserve">une instance de </w:t>
      </w:r>
      <w:r>
        <w:rPr>
          <w:rStyle w:val="VerbatimChar"/>
        </w:rPr>
        <w:t>E93_Présence</w:t>
      </w:r>
      <w:r>
        <w:t xml:space="preserve"> est généralement prédéterminée par le ou la chercheur·se afin de concentrer son enquête sur la recherche de l</w:t>
      </w:r>
      <w:r w:rsidR="00E84B0E">
        <w:t>’</w:t>
      </w:r>
      <w:r>
        <w:t>étendue spatiale du phénomène en testant ses caractéristiques. Il y a au moins deux directions de base que de telles enquêtes peuvent prendre. Elles peuvent servir à déterminer où se trouvait quelque chose pendant un certain temps ou à reconstruire le passage total du volume spatio-temporel d</w:t>
      </w:r>
      <w:r w:rsidR="00E84B0E">
        <w:t>’</w:t>
      </w:r>
      <w:r>
        <w:t>un phénomène à travers un examen de présences distinctes. L</w:t>
      </w:r>
      <w:r w:rsidR="00E84B0E">
        <w:t>’</w:t>
      </w:r>
      <w:r>
        <w:t>observation et le mesurage des caractéristiques indiquant la présence ou l</w:t>
      </w:r>
      <w:r w:rsidR="00E84B0E">
        <w:t>’</w:t>
      </w:r>
      <w:r>
        <w:t>absence d</w:t>
      </w:r>
      <w:r w:rsidR="00E84B0E">
        <w:t>’</w:t>
      </w:r>
      <w:r>
        <w:t>un phénomène dans un espace donné permettent l</w:t>
      </w:r>
      <w:r w:rsidR="00E84B0E">
        <w:t>’</w:t>
      </w:r>
      <w:r>
        <w:t>approximation progressive des étendues spatiales à travers une argumentation généralement basée sur l</w:t>
      </w:r>
      <w:r w:rsidR="00E84B0E">
        <w:t>’</w:t>
      </w:r>
      <w:r>
        <w:t>inclusion, l</w:t>
      </w:r>
      <w:r w:rsidR="00E84B0E">
        <w:t>’</w:t>
      </w:r>
      <w:r>
        <w:t>exclusion et divers chevauchements.</w:t>
      </w:r>
    </w:p>
    <w:p w14:paraId="46CBF4D1" w14:textId="77777777" w:rsidR="00065317" w:rsidRDefault="005C7BF7">
      <w:pPr>
        <w:pStyle w:val="Corpsdetexte"/>
      </w:pPr>
      <w:r>
        <w:rPr>
          <w:b/>
          <w:bCs/>
        </w:rPr>
        <w:t>Exemples</w:t>
      </w:r>
    </w:p>
    <w:p w14:paraId="197BDD2E" w14:textId="1D202A70" w:rsidR="00065317" w:rsidRDefault="005C7BF7">
      <w:pPr>
        <w:numPr>
          <w:ilvl w:val="0"/>
          <w:numId w:val="137"/>
        </w:numPr>
      </w:pPr>
      <w:r>
        <w:t>L</w:t>
      </w:r>
      <w:r w:rsidR="00E84B0E">
        <w:t>’</w:t>
      </w:r>
      <w:r>
        <w:t>Empire romain le 19</w:t>
      </w:r>
      <w:r w:rsidR="00056DCD">
        <w:t> août </w:t>
      </w:r>
      <w:r>
        <w:t>14 EC (Clare &amp; Edwards, 1992)</w:t>
      </w:r>
    </w:p>
    <w:p w14:paraId="3FE0ECBA" w14:textId="6C9091D9" w:rsidR="00065317" w:rsidRDefault="005C7BF7">
      <w:pPr>
        <w:numPr>
          <w:ilvl w:val="0"/>
          <w:numId w:val="137"/>
        </w:numPr>
      </w:pPr>
      <w:r>
        <w:t>La localisation de Johann Joachim Winckelmann en</w:t>
      </w:r>
      <w:r w:rsidR="00056DCD">
        <w:t> décembre </w:t>
      </w:r>
      <w:r>
        <w:t>1775 (Leppmann, 1970)</w:t>
      </w:r>
    </w:p>
    <w:p w14:paraId="32E66C32" w14:textId="3D57B2B9" w:rsidR="00065317" w:rsidRDefault="005C7BF7">
      <w:pPr>
        <w:numPr>
          <w:ilvl w:val="0"/>
          <w:numId w:val="137"/>
        </w:numPr>
      </w:pPr>
      <w:r>
        <w:t>La localisation de Johann Joachim Winckelmann entre le 19</w:t>
      </w:r>
      <w:r w:rsidR="00056DCD">
        <w:t> novembre </w:t>
      </w:r>
      <w:r>
        <w:t>1755 et le 9</w:t>
      </w:r>
      <w:r w:rsidR="00056DCD">
        <w:t> avril </w:t>
      </w:r>
      <w:r>
        <w:t>1768 (Leppmann, 1970)</w:t>
      </w:r>
    </w:p>
    <w:p w14:paraId="4CD17EB9" w14:textId="77777777" w:rsidR="00065317" w:rsidRDefault="005C7BF7">
      <w:pPr>
        <w:pStyle w:val="FirstParagraph"/>
      </w:pPr>
      <w:r>
        <w:rPr>
          <w:b/>
          <w:bCs/>
        </w:rPr>
        <w:t>Logique</w:t>
      </w:r>
    </w:p>
    <w:p w14:paraId="1BF760C4" w14:textId="77777777" w:rsidR="00065317" w:rsidRDefault="005C7BF7">
      <w:pPr>
        <w:pStyle w:val="Corpsdetexte"/>
      </w:pPr>
      <w:r>
        <w:t>E93(x) ⇒ E92(x)</w:t>
      </w:r>
    </w:p>
    <w:p w14:paraId="7C4805B5" w14:textId="77777777" w:rsidR="00065317" w:rsidRDefault="005C7BF7">
      <w:pPr>
        <w:pStyle w:val="Corpsdetexte"/>
      </w:pPr>
      <w:r>
        <w:rPr>
          <w:b/>
          <w:bCs/>
        </w:rPr>
        <w:t>Propriétés</w:t>
      </w:r>
    </w:p>
    <w:p w14:paraId="720FEE08" w14:textId="77777777" w:rsidR="00065317" w:rsidRDefault="005C7BF7">
      <w:pPr>
        <w:pStyle w:val="Corpsdetexte"/>
      </w:pPr>
      <w:r>
        <w:rPr>
          <w:rStyle w:val="VerbatimChar"/>
        </w:rPr>
        <w:t>P164_est_temporellement_spécifié_par (spécifie temporellement)</w:t>
      </w:r>
      <w:r>
        <w:t xml:space="preserve"> : </w:t>
      </w:r>
      <w:r>
        <w:rPr>
          <w:rStyle w:val="VerbatimChar"/>
        </w:rPr>
        <w:t>E52_Intervalle_temporel</w:t>
      </w:r>
    </w:p>
    <w:p w14:paraId="682B9DB8" w14:textId="77777777" w:rsidR="00065317" w:rsidRDefault="005C7BF7">
      <w:pPr>
        <w:pStyle w:val="Corpsdetexte"/>
      </w:pPr>
      <w:r>
        <w:rPr>
          <w:rStyle w:val="VerbatimChar"/>
        </w:rPr>
        <w:t>P166_a_été_une_présence_de (a_eu_pour_présence)</w:t>
      </w:r>
      <w:r>
        <w:t xml:space="preserve"> : </w:t>
      </w:r>
      <w:r>
        <w:rPr>
          <w:rStyle w:val="VerbatimChar"/>
        </w:rPr>
        <w:t>E92_Volume_spatio-temporel</w:t>
      </w:r>
    </w:p>
    <w:p w14:paraId="6C4E7C93" w14:textId="2B62DFB0" w:rsidR="00065317" w:rsidRDefault="005C7BF7">
      <w:pPr>
        <w:pStyle w:val="Corpsdetexte"/>
      </w:pPr>
      <w:r>
        <w:rPr>
          <w:rStyle w:val="VerbatimChar"/>
        </w:rPr>
        <w:t>P167_s</w:t>
      </w:r>
      <w:r w:rsidR="00E84B0E">
        <w:rPr>
          <w:rStyle w:val="VerbatimChar"/>
        </w:rPr>
        <w:t>’</w:t>
      </w:r>
      <w:r>
        <w:rPr>
          <w:rStyle w:val="VerbatimChar"/>
        </w:rPr>
        <w:t>inscrivait_dans (comporte)</w:t>
      </w:r>
      <w:r>
        <w:t xml:space="preserve"> : </w:t>
      </w:r>
      <w:r>
        <w:rPr>
          <w:rStyle w:val="VerbatimChar"/>
        </w:rPr>
        <w:t>E53_Lieu</w:t>
      </w:r>
    </w:p>
    <w:p w14:paraId="1A0E005A" w14:textId="77777777" w:rsidR="00065317" w:rsidRDefault="005C7BF7">
      <w:pPr>
        <w:pStyle w:val="Corpsdetexte"/>
      </w:pPr>
      <w:r>
        <w:rPr>
          <w:rStyle w:val="VerbatimChar"/>
        </w:rPr>
        <w:t>P195_a_été_une_présence_de (a_eu_pour_présence)</w:t>
      </w:r>
      <w:r>
        <w:t xml:space="preserve"> : </w:t>
      </w:r>
      <w:r>
        <w:rPr>
          <w:rStyle w:val="VerbatimChar"/>
        </w:rPr>
        <w:t>E18_Chose_matérielle</w:t>
      </w:r>
    </w:p>
    <w:p w14:paraId="2630345E" w14:textId="77777777" w:rsidR="00065317" w:rsidRDefault="005C7BF7">
      <w:pPr>
        <w:pStyle w:val="Corpsdetexte"/>
      </w:pPr>
      <w:r>
        <w:rPr>
          <w:rStyle w:val="VerbatimChar"/>
        </w:rPr>
        <w:t>P197_a_couvert_des_parties_de (a_été_partiellement_couvert_par)</w:t>
      </w:r>
      <w:r>
        <w:t xml:space="preserve"> : </w:t>
      </w:r>
      <w:r>
        <w:rPr>
          <w:rStyle w:val="VerbatimChar"/>
        </w:rPr>
        <w:t>E53_Lieu</w:t>
      </w:r>
    </w:p>
    <w:p w14:paraId="2255D26B" w14:textId="77777777" w:rsidR="00065317" w:rsidRDefault="005C7BF7">
      <w:pPr>
        <w:pStyle w:val="Normalcentr"/>
      </w:pPr>
      <w:r>
        <w:rPr>
          <w:b/>
          <w:bCs/>
          <w:i/>
          <w:iCs/>
        </w:rPr>
        <w:t>Note de traduction</w:t>
      </w:r>
    </w:p>
    <w:p w14:paraId="5176054C" w14:textId="77777777" w:rsidR="00065317" w:rsidRDefault="005C7BF7">
      <w:pPr>
        <w:pStyle w:val="Normalcentr"/>
      </w:pPr>
      <w:r>
        <w:rPr>
          <w:b/>
          <w:bCs/>
          <w:i/>
          <w:iCs/>
        </w:rPr>
        <w:t>Références</w:t>
      </w:r>
    </w:p>
    <w:p w14:paraId="37B617D1" w14:textId="77777777" w:rsidR="00065317" w:rsidRDefault="005C7BF7" w:rsidP="00914F34">
      <w:pPr>
        <w:pStyle w:val="Titre3"/>
      </w:pPr>
      <w:bookmarkStart w:id="256" w:name="_Toc154048813"/>
      <w:bookmarkStart w:id="257" w:name="e94-primitive-spatiale"/>
      <w:bookmarkEnd w:id="255"/>
      <w:r>
        <w:t>E94 Primitive spatiale</w:t>
      </w:r>
      <w:bookmarkEnd w:id="256"/>
    </w:p>
    <w:p w14:paraId="5FBC7348" w14:textId="77777777" w:rsidR="00065317" w:rsidRDefault="005C7BF7">
      <w:pPr>
        <w:pStyle w:val="FirstParagraph"/>
      </w:pPr>
      <w:r>
        <w:rPr>
          <w:b/>
          <w:bCs/>
        </w:rPr>
        <w:t>Sous-classe de</w:t>
      </w:r>
    </w:p>
    <w:p w14:paraId="2E773504" w14:textId="77777777" w:rsidR="008B5EE5" w:rsidRDefault="005C7BF7">
      <w:pPr>
        <w:pStyle w:val="Corpsdetexte"/>
        <w:rPr>
          <w:rStyle w:val="VerbatimChar"/>
        </w:rPr>
      </w:pPr>
      <w:r>
        <w:rPr>
          <w:rStyle w:val="VerbatimChar"/>
        </w:rPr>
        <w:t>E41_Appellation</w:t>
      </w:r>
    </w:p>
    <w:p w14:paraId="5B9F8080" w14:textId="6815FC26" w:rsidR="00065317" w:rsidRDefault="005C7BF7">
      <w:pPr>
        <w:pStyle w:val="Corpsdetexte"/>
      </w:pPr>
      <w:r>
        <w:rPr>
          <w:rStyle w:val="VerbatimChar"/>
        </w:rPr>
        <w:t>E59_Valeur_primitive</w:t>
      </w:r>
    </w:p>
    <w:p w14:paraId="11118532" w14:textId="77777777" w:rsidR="00065317" w:rsidRDefault="005C7BF7">
      <w:pPr>
        <w:pStyle w:val="Corpsdetexte"/>
      </w:pPr>
      <w:r>
        <w:rPr>
          <w:b/>
          <w:bCs/>
        </w:rPr>
        <w:t>Super-classe de</w:t>
      </w:r>
    </w:p>
    <w:p w14:paraId="682F88B5" w14:textId="39D9DED7" w:rsidR="00065317" w:rsidRDefault="005C7BF7">
      <w:pPr>
        <w:pStyle w:val="Corpsdetexte"/>
      </w:pPr>
      <w:r>
        <w:rPr>
          <w:b/>
          <w:bCs/>
        </w:rPr>
        <w:t>Note d</w:t>
      </w:r>
      <w:r w:rsidR="00E84B0E">
        <w:rPr>
          <w:b/>
          <w:bCs/>
        </w:rPr>
        <w:t>’</w:t>
      </w:r>
      <w:r>
        <w:rPr>
          <w:b/>
          <w:bCs/>
        </w:rPr>
        <w:t>application</w:t>
      </w:r>
    </w:p>
    <w:p w14:paraId="029C74C7" w14:textId="0E42DC2C" w:rsidR="00065317" w:rsidRDefault="005C7BF7">
      <w:pPr>
        <w:pStyle w:val="Corpsdetexte"/>
      </w:pPr>
      <w:r>
        <w:t xml:space="preserve">Cette classe comprend des instances de </w:t>
      </w:r>
      <w:r>
        <w:rPr>
          <w:rStyle w:val="VerbatimChar"/>
        </w:rPr>
        <w:t>E59_Valeur_primitive</w:t>
      </w:r>
      <w:r>
        <w:t xml:space="preserve"> pour un espace qui doivent être implémentées avec les validations, précisions et références appropriées aux systèmes de coordonnées spatiales afin d</w:t>
      </w:r>
      <w:r w:rsidR="00E84B0E">
        <w:t>’</w:t>
      </w:r>
      <w:r>
        <w:t>exprimer des géométries sur ou relatives à la Terre, ou tout autre regroupement stable de matière pertinentes pour la documentation culturelle et scientifique.</w:t>
      </w:r>
    </w:p>
    <w:p w14:paraId="4738B4C8" w14:textId="178A6EF0" w:rsidR="00065317" w:rsidRDefault="005C7BF7">
      <w:pPr>
        <w:pStyle w:val="Corpsdetexte"/>
      </w:pPr>
      <w:r>
        <w:t xml:space="preserve">Une instance de </w:t>
      </w:r>
      <w:r>
        <w:rPr>
          <w:rStyle w:val="VerbatimChar"/>
        </w:rPr>
        <w:t>E94_Primitive_spatiale</w:t>
      </w:r>
      <w:r>
        <w:t xml:space="preserve"> définit une instance de </w:t>
      </w:r>
      <w:r>
        <w:rPr>
          <w:rStyle w:val="VerbatimChar"/>
        </w:rPr>
        <w:t>E53_Lieu</w:t>
      </w:r>
      <w:r>
        <w:t xml:space="preserve"> au sens d</w:t>
      </w:r>
      <w:r w:rsidR="00E84B0E">
        <w:t>’</w:t>
      </w:r>
      <w:r>
        <w:t>un lieu déclaratif tel qu</w:t>
      </w:r>
      <w:r w:rsidR="00E84B0E">
        <w:t>’</w:t>
      </w:r>
      <w:r>
        <w:t>élaboré dans CRMgeo (D</w:t>
      </w:r>
      <w:r w:rsidR="003C7A4A">
        <w:t>oe</w:t>
      </w:r>
      <w:r>
        <w:t>rr et Hiebel, 2013), ce qui signifie que l</w:t>
      </w:r>
      <w:r w:rsidR="00E84B0E">
        <w:t>’</w:t>
      </w:r>
      <w:r>
        <w:t>identité du lieu est dérivée de sa définition géométrique. Un tel lieu déclaratif peut permettre l</w:t>
      </w:r>
      <w:r w:rsidR="00E84B0E">
        <w:t>’</w:t>
      </w:r>
      <w:r>
        <w:t>approximation d</w:t>
      </w:r>
      <w:r w:rsidR="00E84B0E">
        <w:t>’</w:t>
      </w:r>
      <w:r>
        <w:t xml:space="preserve">instances de </w:t>
      </w:r>
      <w:r>
        <w:rPr>
          <w:rStyle w:val="VerbatimChar"/>
        </w:rPr>
        <w:t>E53_Lieu</w:t>
      </w:r>
      <w:r>
        <w:t xml:space="preserve"> </w:t>
      </w:r>
      <w:r>
        <w:lastRenderedPageBreak/>
        <w:t>définies par l</w:t>
      </w:r>
      <w:r w:rsidR="00E84B0E">
        <w:t>’</w:t>
      </w:r>
      <w:r>
        <w:t>étendue réelle d</w:t>
      </w:r>
      <w:r w:rsidR="00E84B0E">
        <w:t>’</w:t>
      </w:r>
      <w:r>
        <w:t>un phénomène, comme l</w:t>
      </w:r>
      <w:r w:rsidR="00E84B0E">
        <w:t>’</w:t>
      </w:r>
      <w:r>
        <w:t>occupation d</w:t>
      </w:r>
      <w:r w:rsidR="00E84B0E">
        <w:t>’</w:t>
      </w:r>
      <w:r>
        <w:t>un lieu ou un lit de rivière, ou d</w:t>
      </w:r>
      <w:r w:rsidR="00E84B0E">
        <w:t>’</w:t>
      </w:r>
      <w:r>
        <w:t>autres formes d</w:t>
      </w:r>
      <w:r w:rsidR="00E84B0E">
        <w:t>’</w:t>
      </w:r>
      <w:r>
        <w:t xml:space="preserve">identification plutôt que par une instance de </w:t>
      </w:r>
      <w:r>
        <w:rPr>
          <w:rStyle w:val="VerbatimChar"/>
        </w:rPr>
        <w:t>E94_Primitive_spatiale</w:t>
      </w:r>
      <w:r>
        <w:t>. Il est à souligner que l</w:t>
      </w:r>
      <w:r w:rsidR="00E84B0E">
        <w:t>’</w:t>
      </w:r>
      <w:r>
        <w:t>utilisation d</w:t>
      </w:r>
      <w:r w:rsidR="00E84B0E">
        <w:t>’</w:t>
      </w:r>
      <w:r>
        <w:t xml:space="preserve">une instance de </w:t>
      </w:r>
      <w:r>
        <w:rPr>
          <w:rStyle w:val="VerbatimChar"/>
        </w:rPr>
        <w:t>E94_Primitive_spatiale</w:t>
      </w:r>
      <w:r>
        <w:t xml:space="preserve"> pour estimer l</w:t>
      </w:r>
      <w:r w:rsidR="00E84B0E">
        <w:t>’</w:t>
      </w:r>
      <w:r>
        <w:t>étendue réelle d</w:t>
      </w:r>
      <w:r w:rsidR="00E84B0E">
        <w:t>’</w:t>
      </w:r>
      <w:r>
        <w:t xml:space="preserve">un lieu définit toujours une instance (déclarative) à part entière de </w:t>
      </w:r>
      <w:r>
        <w:rPr>
          <w:rStyle w:val="VerbatimChar"/>
        </w:rPr>
        <w:t>E53_Lieu</w:t>
      </w:r>
      <w:r>
        <w:t>.</w:t>
      </w:r>
    </w:p>
    <w:p w14:paraId="657C493A" w14:textId="3861D115" w:rsidR="00065317" w:rsidRDefault="005C7BF7">
      <w:pPr>
        <w:pStyle w:val="Corpsdetexte"/>
      </w:pPr>
      <w:r>
        <w:t>Les définitions d</w:t>
      </w:r>
      <w:r w:rsidR="00E84B0E">
        <w:t>’</w:t>
      </w:r>
      <w:r>
        <w:t xml:space="preserve">instances de </w:t>
      </w:r>
      <w:r>
        <w:rPr>
          <w:rStyle w:val="VerbatimChar"/>
        </w:rPr>
        <w:t>E53_Lieu</w:t>
      </w:r>
      <w:r>
        <w:t xml:space="preserve"> utilisant différents systèmes de référence spatiale sont toujours des définitions d</w:t>
      </w:r>
      <w:r w:rsidR="00E84B0E">
        <w:t>’</w:t>
      </w:r>
      <w:r>
        <w:t xml:space="preserve">instances différentes de </w:t>
      </w:r>
      <w:r>
        <w:rPr>
          <w:rStyle w:val="VerbatimChar"/>
        </w:rPr>
        <w:t>E53_Lieu</w:t>
      </w:r>
      <w:r>
        <w:t>.</w:t>
      </w:r>
    </w:p>
    <w:p w14:paraId="6C122E7A" w14:textId="5962D868" w:rsidR="00065317" w:rsidRDefault="005C7BF7">
      <w:pPr>
        <w:pStyle w:val="Corpsdetexte"/>
      </w:pPr>
      <w:r>
        <w:t xml:space="preserve">Les instances de </w:t>
      </w:r>
      <w:r>
        <w:rPr>
          <w:rStyle w:val="VerbatimChar"/>
        </w:rPr>
        <w:t>E94_Primitive_spatiale</w:t>
      </w:r>
      <w:r>
        <w:t xml:space="preserve"> offrent la possibilité de lier les données codées du </w:t>
      </w:r>
      <w:r w:rsidR="00C8288F">
        <w:t>CIDOC CRM</w:t>
      </w:r>
      <w:r>
        <w:t xml:space="preserve"> aux types de géométries utilisées dans les cartes ou les systèmes de géoinformation. Elles peuvent être utilisées pour visualiser les instances de </w:t>
      </w:r>
      <w:r>
        <w:rPr>
          <w:rStyle w:val="VerbatimChar"/>
        </w:rPr>
        <w:t>E53_Lieu</w:t>
      </w:r>
      <w:r>
        <w:t xml:space="preserve"> qu</w:t>
      </w:r>
      <w:r w:rsidR="00E84B0E">
        <w:t>’</w:t>
      </w:r>
      <w:r>
        <w:t xml:space="preserve">elles définissent, dans leur contexte géographique et pour calculer les relations topologiques entre les lieux à partir de ces géométries. La classe </w:t>
      </w:r>
      <w:r>
        <w:rPr>
          <w:rStyle w:val="VerbatimChar"/>
        </w:rPr>
        <w:t>E94_Primitive_spatiale</w:t>
      </w:r>
      <w:r>
        <w:t xml:space="preserve"> n</w:t>
      </w:r>
      <w:r w:rsidR="00E84B0E">
        <w:t>’</w:t>
      </w:r>
      <w:r>
        <w:t>est pas développée davantage dans ce modèle. Il est considéré comme une bonne pratique de maintenir la compatibilité avec les standards du Open Geospatial Consortium (OGC).</w:t>
      </w:r>
    </w:p>
    <w:p w14:paraId="108DFA8E" w14:textId="10224008" w:rsidR="00065317" w:rsidRDefault="005C7BF7">
      <w:pPr>
        <w:pStyle w:val="Corpsdetexte"/>
      </w:pPr>
      <w:r>
        <w:rPr>
          <w:b/>
          <w:bCs/>
        </w:rPr>
        <w:t>Exemples</w:t>
      </w:r>
    </w:p>
    <w:p w14:paraId="31D1D35B" w14:textId="4F1104B0" w:rsidR="00065317" w:rsidRDefault="0014074C" w:rsidP="0014074C">
      <w:pPr>
        <w:pStyle w:val="Paragraphedeliste"/>
        <w:numPr>
          <w:ilvl w:val="0"/>
          <w:numId w:val="138"/>
        </w:numPr>
      </w:pPr>
      <w:r w:rsidRPr="0014074C">
        <w:t>&lt;gml:Point gml:id="p21" srsName="http://www.opengis.net/def/crs/EPSG/0/4326"&gt; &lt;gml:coordinates&gt;45.67, 88.56&lt;/gml:coordinates&gt; &lt;/gml:Point&gt; [Information sur les coordonnées en Geography Markup Language (GML)]</w:t>
      </w:r>
    </w:p>
    <w:p w14:paraId="59A6259F" w14:textId="06BDDD07" w:rsidR="00065317" w:rsidRDefault="005C7BF7">
      <w:pPr>
        <w:numPr>
          <w:ilvl w:val="0"/>
          <w:numId w:val="138"/>
        </w:numPr>
      </w:pPr>
      <w:r>
        <w:t>« 40°31</w:t>
      </w:r>
      <w:r w:rsidR="00E84B0E">
        <w:t>’</w:t>
      </w:r>
      <w:r>
        <w:t>17.9"N 21°15</w:t>
      </w:r>
      <w:r w:rsidR="00E84B0E">
        <w:t>’</w:t>
      </w:r>
      <w:r>
        <w:t>48.3"E » [Un point unique pour l</w:t>
      </w:r>
      <w:r w:rsidR="00E84B0E">
        <w:t>’</w:t>
      </w:r>
      <w:r>
        <w:t>approximation du centre de la ville de Kastoria en Grèce]</w:t>
      </w:r>
    </w:p>
    <w:p w14:paraId="55FE1D40" w14:textId="77777777" w:rsidR="00065317" w:rsidRPr="00EC2D6E" w:rsidRDefault="005C7BF7">
      <w:pPr>
        <w:numPr>
          <w:ilvl w:val="0"/>
          <w:numId w:val="138"/>
        </w:numPr>
        <w:rPr>
          <w:lang w:val="en-CA"/>
        </w:rPr>
      </w:pPr>
      <w:r w:rsidRPr="00EC2D6E">
        <w:rPr>
          <w:lang w:val="en-CA"/>
        </w:rPr>
        <w:t>POLYGON ((30 10, 40 40, 20 40, 10 20, 30 10)) [Well-known text (WKT)]</w:t>
      </w:r>
    </w:p>
    <w:p w14:paraId="10B50DF3" w14:textId="77777777" w:rsidR="00065317" w:rsidRDefault="005C7BF7">
      <w:pPr>
        <w:pStyle w:val="FirstParagraph"/>
      </w:pPr>
      <w:r>
        <w:rPr>
          <w:b/>
          <w:bCs/>
        </w:rPr>
        <w:t>Logique</w:t>
      </w:r>
    </w:p>
    <w:p w14:paraId="0CE4D3C2" w14:textId="77777777" w:rsidR="00065317" w:rsidRDefault="005C7BF7">
      <w:pPr>
        <w:pStyle w:val="Corpsdetexte"/>
      </w:pPr>
      <w:r>
        <w:t>E94(x) ⇒ E41(x)</w:t>
      </w:r>
    </w:p>
    <w:p w14:paraId="419C80F5" w14:textId="77777777" w:rsidR="00065317" w:rsidRDefault="005C7BF7">
      <w:pPr>
        <w:pStyle w:val="Corpsdetexte"/>
      </w:pPr>
      <w:r>
        <w:t>E94(x) ⇒ E59(x)</w:t>
      </w:r>
    </w:p>
    <w:p w14:paraId="2C0C1BC9" w14:textId="77777777" w:rsidR="00065317" w:rsidRDefault="005C7BF7">
      <w:pPr>
        <w:pStyle w:val="Corpsdetexte"/>
      </w:pPr>
      <w:r>
        <w:rPr>
          <w:b/>
          <w:bCs/>
        </w:rPr>
        <w:t>Propriétés</w:t>
      </w:r>
    </w:p>
    <w:p w14:paraId="6792AD42" w14:textId="77777777" w:rsidR="00065317" w:rsidRDefault="005C7BF7">
      <w:pPr>
        <w:pStyle w:val="Normalcentr"/>
      </w:pPr>
      <w:r>
        <w:rPr>
          <w:b/>
          <w:bCs/>
          <w:i/>
          <w:iCs/>
        </w:rPr>
        <w:t>Note de traduction</w:t>
      </w:r>
    </w:p>
    <w:p w14:paraId="010DA282" w14:textId="2E467A2A" w:rsidR="00065317" w:rsidRDefault="005C7BF7">
      <w:pPr>
        <w:pStyle w:val="Normalcentr"/>
      </w:pPr>
      <w:r>
        <w:t>Le langage de balisage « Well-known text » s</w:t>
      </w:r>
      <w:r w:rsidR="00E84B0E">
        <w:t>’</w:t>
      </w:r>
      <w:r>
        <w:t>écrit de différentes façons. Dans cette traduction, la forme «</w:t>
      </w:r>
      <w:r w:rsidR="00BF7EA3">
        <w:t> </w:t>
      </w:r>
      <w:r>
        <w:t>Well-known text</w:t>
      </w:r>
      <w:r w:rsidR="00BF7EA3">
        <w:t> </w:t>
      </w:r>
      <w:r>
        <w:t>» utilisée par Wikipédia a été préconisée.</w:t>
      </w:r>
    </w:p>
    <w:p w14:paraId="03200D6D" w14:textId="77777777" w:rsidR="00065317" w:rsidRPr="00EC2D6E" w:rsidRDefault="005C7BF7">
      <w:pPr>
        <w:pStyle w:val="Normalcentr"/>
        <w:rPr>
          <w:lang w:val="en-CA"/>
        </w:rPr>
      </w:pPr>
      <w:r w:rsidRPr="00EC2D6E">
        <w:rPr>
          <w:b/>
          <w:bCs/>
          <w:i/>
          <w:iCs/>
          <w:lang w:val="en-CA"/>
        </w:rPr>
        <w:t>Références</w:t>
      </w:r>
    </w:p>
    <w:p w14:paraId="7FAFCAEA" w14:textId="4CCC90E1" w:rsidR="00065317" w:rsidRDefault="005C7BF7">
      <w:pPr>
        <w:pStyle w:val="Normalcentr"/>
      </w:pPr>
      <w:r w:rsidRPr="00EC2D6E">
        <w:rPr>
          <w:lang w:val="en-CA"/>
        </w:rPr>
        <w:t xml:space="preserve">Wikipédia. « Well-Known Text Representation of Geometry ». Dans </w:t>
      </w:r>
      <w:r w:rsidRPr="00EC2D6E">
        <w:rPr>
          <w:i/>
          <w:iCs/>
          <w:lang w:val="en-CA"/>
        </w:rPr>
        <w:t>Wikipédia</w:t>
      </w:r>
      <w:r w:rsidRPr="00EC2D6E">
        <w:rPr>
          <w:lang w:val="en-CA"/>
        </w:rPr>
        <w:t>. San Francisco, US-CA: Wikipédia, 20</w:t>
      </w:r>
      <w:r w:rsidR="00056DCD">
        <w:rPr>
          <w:lang w:val="en-CA"/>
        </w:rPr>
        <w:t> août </w:t>
      </w:r>
      <w:r w:rsidRPr="00EC2D6E">
        <w:rPr>
          <w:lang w:val="en-CA"/>
        </w:rPr>
        <w:t>2022.</w:t>
      </w:r>
      <w:hyperlink r:id="rId214">
        <w:r w:rsidRPr="00EC2D6E">
          <w:rPr>
            <w:rStyle w:val="Lienhypertexte"/>
            <w:lang w:val="en-CA"/>
          </w:rPr>
          <w:t xml:space="preserve"> </w:t>
        </w:r>
      </w:hyperlink>
      <w:hyperlink r:id="rId215">
        <w:r>
          <w:rPr>
            <w:rStyle w:val="Lienhypertexte"/>
          </w:rPr>
          <w:t>https://en.wikipedia.org/w/index.php?title=Well-known_text_representation_of_geometry&amp;oldid=1105540049</w:t>
        </w:r>
      </w:hyperlink>
      <w:r>
        <w:t>.</w:t>
      </w:r>
    </w:p>
    <w:p w14:paraId="160860D1" w14:textId="77777777" w:rsidR="00065317" w:rsidRDefault="005C7BF7" w:rsidP="00914F34">
      <w:pPr>
        <w:pStyle w:val="Titre3"/>
      </w:pPr>
      <w:bookmarkStart w:id="258" w:name="_Toc154048814"/>
      <w:bookmarkStart w:id="259" w:name="e95-primitive-spatio-temporelle"/>
      <w:bookmarkEnd w:id="257"/>
      <w:r>
        <w:t>E95 Primitive spatio-temporelle</w:t>
      </w:r>
      <w:bookmarkEnd w:id="258"/>
    </w:p>
    <w:p w14:paraId="5A76E926" w14:textId="77777777" w:rsidR="00065317" w:rsidRDefault="005C7BF7">
      <w:pPr>
        <w:pStyle w:val="FirstParagraph"/>
      </w:pPr>
      <w:r>
        <w:rPr>
          <w:b/>
          <w:bCs/>
        </w:rPr>
        <w:t>Sous-classe de</w:t>
      </w:r>
    </w:p>
    <w:p w14:paraId="1EDB2BA0" w14:textId="77777777" w:rsidR="00065317" w:rsidRDefault="005C7BF7">
      <w:pPr>
        <w:pStyle w:val="Corpsdetexte"/>
      </w:pPr>
      <w:r>
        <w:rPr>
          <w:rStyle w:val="VerbatimChar"/>
        </w:rPr>
        <w:t>E41_Appellation</w:t>
      </w:r>
    </w:p>
    <w:p w14:paraId="59256447" w14:textId="77777777" w:rsidR="00065317" w:rsidRDefault="005C7BF7">
      <w:pPr>
        <w:pStyle w:val="Corpsdetexte"/>
      </w:pPr>
      <w:r>
        <w:rPr>
          <w:rStyle w:val="VerbatimChar"/>
        </w:rPr>
        <w:t>E59_Valeur_primitive</w:t>
      </w:r>
    </w:p>
    <w:p w14:paraId="0A84D8C1" w14:textId="77777777" w:rsidR="00065317" w:rsidRDefault="005C7BF7">
      <w:pPr>
        <w:pStyle w:val="Corpsdetexte"/>
      </w:pPr>
      <w:r>
        <w:rPr>
          <w:b/>
          <w:bCs/>
        </w:rPr>
        <w:t>Super-classe de</w:t>
      </w:r>
    </w:p>
    <w:p w14:paraId="257C193D" w14:textId="4B616355" w:rsidR="00065317" w:rsidRDefault="005C7BF7">
      <w:pPr>
        <w:pStyle w:val="Corpsdetexte"/>
      </w:pPr>
      <w:r>
        <w:rPr>
          <w:b/>
          <w:bCs/>
        </w:rPr>
        <w:t>Note d</w:t>
      </w:r>
      <w:r w:rsidR="00E84B0E">
        <w:rPr>
          <w:b/>
          <w:bCs/>
        </w:rPr>
        <w:t>’</w:t>
      </w:r>
      <w:r>
        <w:rPr>
          <w:b/>
          <w:bCs/>
        </w:rPr>
        <w:t>application</w:t>
      </w:r>
    </w:p>
    <w:p w14:paraId="24E10AAF" w14:textId="77777777" w:rsidR="00065317" w:rsidRDefault="005C7BF7">
      <w:pPr>
        <w:pStyle w:val="Corpsdetexte"/>
      </w:pPr>
      <w:r>
        <w:t xml:space="preserve">Cette classe comprend les instances de </w:t>
      </w:r>
      <w:r>
        <w:rPr>
          <w:rStyle w:val="VerbatimChar"/>
        </w:rPr>
        <w:t>E59_Valeur_primitive</w:t>
      </w:r>
      <w:r>
        <w:t xml:space="preserve"> pour les volumes spatio-temporels qui doivent être implémentées avec les validations, précisions et références appropriées pour exprimer des </w:t>
      </w:r>
      <w:r>
        <w:lastRenderedPageBreak/>
        <w:t>géométries limitées et variables dans le temps sur ou relatives à la Terre ou tout autre regroupement stable de matière et pertinentes pour la documentation culturelle et scientifique</w:t>
      </w:r>
    </w:p>
    <w:p w14:paraId="6863A706" w14:textId="60C96AE2" w:rsidR="00065317" w:rsidRDefault="005C7BF7">
      <w:pPr>
        <w:pStyle w:val="Corpsdetexte"/>
      </w:pPr>
      <w:r>
        <w:t xml:space="preserve">Une instance de </w:t>
      </w:r>
      <w:r>
        <w:rPr>
          <w:rStyle w:val="VerbatimChar"/>
        </w:rPr>
        <w:t>E95_Primitive_spatio-temporelle</w:t>
      </w:r>
      <w:r>
        <w:t xml:space="preserve"> peut être constituée d</w:t>
      </w:r>
      <w:r w:rsidR="00E84B0E">
        <w:t>’</w:t>
      </w:r>
      <w:r>
        <w:t>une unique expression incluant des informations spatiales et temporelles, comme pour le langage Geography Markup Language (GML), ou d</w:t>
      </w:r>
      <w:r w:rsidR="00E84B0E">
        <w:t>’</w:t>
      </w:r>
      <w:r>
        <w:t>une différente forme pour exprimer l</w:t>
      </w:r>
      <w:r w:rsidR="00E84B0E">
        <w:t>’</w:t>
      </w:r>
      <w:r>
        <w:t>espace-temps de manière intégrée, comme dans une formule contenant les quatre dimensions.</w:t>
      </w:r>
    </w:p>
    <w:p w14:paraId="520B8E02" w14:textId="3048B445" w:rsidR="00065317" w:rsidRDefault="005C7BF7">
      <w:pPr>
        <w:pStyle w:val="Corpsdetexte"/>
      </w:pPr>
      <w:r>
        <w:t xml:space="preserve">Une instance de </w:t>
      </w:r>
      <w:r>
        <w:rPr>
          <w:rStyle w:val="VerbatimChar"/>
        </w:rPr>
        <w:t>E95_Primitive_spatio-temporelle</w:t>
      </w:r>
      <w:r>
        <w:t xml:space="preserve"> définit une instance de </w:t>
      </w:r>
      <w:r>
        <w:rPr>
          <w:rStyle w:val="VerbatimChar"/>
        </w:rPr>
        <w:t>E92_Volume_spatio-temporel</w:t>
      </w:r>
      <w:r>
        <w:t xml:space="preserve"> dans le sens d</w:t>
      </w:r>
      <w:r w:rsidR="00E84B0E">
        <w:t>’</w:t>
      </w:r>
      <w:r>
        <w:t>un volume spatio-temporel déclaratif, comme défini dans CRMgeo (D</w:t>
      </w:r>
      <w:r w:rsidR="003C7A4A">
        <w:t>oe</w:t>
      </w:r>
      <w:r>
        <w:t>rr et Hiebel, 2013), ce qui signifie que l</w:t>
      </w:r>
      <w:r w:rsidR="00E84B0E">
        <w:t>’</w:t>
      </w:r>
      <w:r>
        <w:t>identité de l</w:t>
      </w:r>
      <w:r w:rsidR="00E84B0E">
        <w:t>’</w:t>
      </w:r>
      <w:r>
        <w:t xml:space="preserve">instance de </w:t>
      </w:r>
      <w:r>
        <w:rPr>
          <w:rStyle w:val="VerbatimChar"/>
        </w:rPr>
        <w:t>E92_Volume_spatio-temporel</w:t>
      </w:r>
      <w:r>
        <w:t xml:space="preserve"> est dérivée de ses définitions géométriques et temporelles. Ce volume spatio-temporel déclaratif permet l</w:t>
      </w:r>
      <w:r w:rsidR="00E84B0E">
        <w:t>’</w:t>
      </w:r>
      <w:r>
        <w:t xml:space="preserve">application de toutes les propriétés de </w:t>
      </w:r>
      <w:r>
        <w:rPr>
          <w:rStyle w:val="VerbatimChar"/>
        </w:rPr>
        <w:t>E92_Volume_spatio-temporel</w:t>
      </w:r>
      <w:r>
        <w:t xml:space="preserve"> pour relier les volumes spatio-temporels phénoménals des périodes et choses physiques aux propositions concernant leurs étendues spatiales et temporelles.</w:t>
      </w:r>
    </w:p>
    <w:p w14:paraId="2053D418" w14:textId="77777777" w:rsidR="00065317" w:rsidRDefault="005C7BF7">
      <w:pPr>
        <w:pStyle w:val="Corpsdetexte"/>
      </w:pPr>
      <w:r>
        <w:t xml:space="preserve">Les instances de </w:t>
      </w:r>
      <w:r>
        <w:rPr>
          <w:rStyle w:val="VerbatimChar"/>
        </w:rPr>
        <w:t>E92_Volume_spatio-temporel</w:t>
      </w:r>
      <w:r>
        <w:t xml:space="preserve"> définies par la propriété </w:t>
      </w:r>
      <w:r>
        <w:rPr>
          <w:rStyle w:val="VerbatimChar"/>
        </w:rPr>
        <w:t>P169_définit_le_volume_spatio-temporel (volume_spatio-temporel_défini_par)</w:t>
      </w:r>
      <w:r>
        <w:t xml:space="preserve"> et utilisant des systèmes de référence spatio-temporels différents sont toujours considérées comme des instances différentes de </w:t>
      </w:r>
      <w:r>
        <w:rPr>
          <w:rStyle w:val="VerbatimChar"/>
        </w:rPr>
        <w:t>E92_Volume_spatio-temporel</w:t>
      </w:r>
      <w:r>
        <w:t>.</w:t>
      </w:r>
    </w:p>
    <w:p w14:paraId="4AFC6FBD" w14:textId="08D7AFB8" w:rsidR="00065317" w:rsidRDefault="005C7BF7">
      <w:pPr>
        <w:pStyle w:val="Corpsdetexte"/>
      </w:pPr>
      <w:r>
        <w:t>Il est possible pour un volume spatio-temporel d</w:t>
      </w:r>
      <w:r w:rsidR="00E84B0E">
        <w:t>’</w:t>
      </w:r>
      <w:r>
        <w:t>être défini par des phénomènes l</w:t>
      </w:r>
      <w:r w:rsidR="00E84B0E">
        <w:t>’</w:t>
      </w:r>
      <w:r>
        <w:t>ayant causé, comme l</w:t>
      </w:r>
      <w:r w:rsidR="00E84B0E">
        <w:t>’</w:t>
      </w:r>
      <w:r>
        <w:t>expansion ou en rétraction d</w:t>
      </w:r>
      <w:r w:rsidR="00E84B0E">
        <w:t>’</w:t>
      </w:r>
      <w:r>
        <w:t>un royaume, une structure d</w:t>
      </w:r>
      <w:r w:rsidR="00E84B0E">
        <w:t>’</w:t>
      </w:r>
      <w:r>
        <w:t>occupation, une bataille ou tout autre forme d</w:t>
      </w:r>
      <w:r w:rsidR="00E84B0E">
        <w:t>’</w:t>
      </w:r>
      <w:r>
        <w:t xml:space="preserve">identification qui ne mobilisent pas une instance de </w:t>
      </w:r>
      <w:r>
        <w:rPr>
          <w:rStyle w:val="VerbatimChar"/>
        </w:rPr>
        <w:t>E95_Primitive_spatio-temporelle</w:t>
      </w:r>
      <w:r>
        <w:t>. Toute approximation spatio-temporelle d</w:t>
      </w:r>
      <w:r w:rsidR="00E84B0E">
        <w:t>’</w:t>
      </w:r>
      <w:r>
        <w:t xml:space="preserve">un tel phénomène par une instance de </w:t>
      </w:r>
      <w:r>
        <w:rPr>
          <w:rStyle w:val="VerbatimChar"/>
        </w:rPr>
        <w:t>E95_Primitive_spatio-temporelle</w:t>
      </w:r>
      <w:r>
        <w:t xml:space="preserve"> constitue une instance de </w:t>
      </w:r>
      <w:r>
        <w:rPr>
          <w:rStyle w:val="VerbatimChar"/>
        </w:rPr>
        <w:t>E92_Volume_spatio-temporel</w:t>
      </w:r>
      <w:r>
        <w:t xml:space="preserve"> à part entière.</w:t>
      </w:r>
    </w:p>
    <w:p w14:paraId="51578964" w14:textId="32258AE7" w:rsidR="00065317" w:rsidRDefault="005C7BF7">
      <w:pPr>
        <w:pStyle w:val="Corpsdetexte"/>
      </w:pPr>
      <w:r>
        <w:t xml:space="preserve">La classe </w:t>
      </w:r>
      <w:r>
        <w:rPr>
          <w:rStyle w:val="VerbatimChar"/>
        </w:rPr>
        <w:t>E95_Primitive_spatio-temporelle</w:t>
      </w:r>
      <w:r>
        <w:t xml:space="preserve"> n</w:t>
      </w:r>
      <w:r w:rsidR="00E84B0E">
        <w:t>’</w:t>
      </w:r>
      <w:r>
        <w:t>est pas davantage élaborée au sein de ce modèle. Une compatibilité avec les standards du Open Geospatial Consortium (OGC) est recommandée.</w:t>
      </w:r>
    </w:p>
    <w:p w14:paraId="263E921A" w14:textId="77777777" w:rsidR="00065317" w:rsidRDefault="005C7BF7">
      <w:pPr>
        <w:pStyle w:val="Corpsdetexte"/>
        <w:rPr>
          <w:b/>
          <w:bCs/>
        </w:rPr>
      </w:pPr>
      <w:r>
        <w:rPr>
          <w:b/>
          <w:bCs/>
        </w:rPr>
        <w:t>Exemples</w:t>
      </w:r>
    </w:p>
    <w:p w14:paraId="53C09227" w14:textId="75F66B37" w:rsidR="00523021" w:rsidRPr="00523021" w:rsidRDefault="00523021" w:rsidP="00523021">
      <w:pPr>
        <w:pStyle w:val="Corpsdetexte"/>
        <w:numPr>
          <w:ilvl w:val="0"/>
          <w:numId w:val="317"/>
        </w:numPr>
      </w:pPr>
      <w:r w:rsidRPr="00523021">
        <w:t>&lt;Placemark&gt;</w:t>
      </w:r>
      <w:r w:rsidRPr="00523021">
        <w:br/>
        <w:t xml:space="preserve">    &lt;name&gt; Byzantine Empire &lt;/name&gt;&lt;styleUrl&gt;#style_1&lt;/styleUrl&gt;</w:t>
      </w:r>
      <w:r w:rsidRPr="00523021">
        <w:br/>
        <w:t xml:space="preserve">    &lt;TimeSpan&gt;</w:t>
      </w:r>
      <w:r w:rsidRPr="00523021">
        <w:br/>
        <w:t xml:space="preserve">        &lt;begin&gt;330&lt;/begin&gt;&lt;end&gt;1453&lt;/end&gt;</w:t>
      </w:r>
      <w:r w:rsidRPr="00523021">
        <w:br/>
        <w:t xml:space="preserve">    &lt;/TimeSpan&gt;</w:t>
      </w:r>
      <w:r w:rsidRPr="00523021">
        <w:br/>
        <w:t xml:space="preserve">    &lt;Polygon&gt;</w:t>
      </w:r>
      <w:r w:rsidRPr="00523021">
        <w:br/>
        <w:t xml:space="preserve">        &lt;altitudeMode&gt;clampToGround&lt;/altitudeMode&gt;</w:t>
      </w:r>
      <w:r w:rsidRPr="00523021">
        <w:br/>
        <w:t xml:space="preserve">        &lt;outerBoundaryIs&gt;</w:t>
      </w:r>
      <w:r w:rsidRPr="00523021">
        <w:br/>
        <w:t xml:space="preserve">            &lt;LinearRing&gt;</w:t>
      </w:r>
      <w:r w:rsidRPr="00523021">
        <w:br/>
        <w:t xml:space="preserve">                &lt;coordinates&gt;18.452787460,40.85553626,017.2223187,40.589098,....0 17.2223,39.783&lt;/coordinates&gt;</w:t>
      </w:r>
      <w:r w:rsidRPr="00523021">
        <w:br/>
        <w:t xml:space="preserve">            &lt;/LinearRing&gt;</w:t>
      </w:r>
      <w:r w:rsidRPr="00523021">
        <w:br/>
        <w:t xml:space="preserve">        &lt;/outerBoundaryIs&gt;</w:t>
      </w:r>
      <w:r w:rsidRPr="00523021">
        <w:br/>
        <w:t xml:space="preserve">    &lt;/Polygon&gt;</w:t>
      </w:r>
      <w:r w:rsidRPr="00523021">
        <w:br/>
        <w:t>&lt;/Placemark&gt;</w:t>
      </w:r>
      <w:r w:rsidRPr="00523021">
        <w:br/>
      </w:r>
      <w:r>
        <w:t>[Les informations spatiales et temporelles dans le langage Keyhole Markup Language (KML) pour l’étendue maximum de l’empire Byzantin]</w:t>
      </w:r>
    </w:p>
    <w:p w14:paraId="4977C1F1" w14:textId="77777777" w:rsidR="00065317" w:rsidRDefault="005C7BF7">
      <w:pPr>
        <w:pStyle w:val="FirstParagraph"/>
      </w:pPr>
      <w:r>
        <w:rPr>
          <w:b/>
          <w:bCs/>
        </w:rPr>
        <w:t>Logique</w:t>
      </w:r>
    </w:p>
    <w:p w14:paraId="125813DE" w14:textId="77777777" w:rsidR="00065317" w:rsidRDefault="005C7BF7">
      <w:pPr>
        <w:pStyle w:val="Corpsdetexte"/>
      </w:pPr>
      <w:r>
        <w:t>E95(x) ⇒ E41(x)</w:t>
      </w:r>
    </w:p>
    <w:p w14:paraId="57FEF2E7" w14:textId="77777777" w:rsidR="00065317" w:rsidRDefault="005C7BF7">
      <w:pPr>
        <w:pStyle w:val="Corpsdetexte"/>
      </w:pPr>
      <w:r>
        <w:lastRenderedPageBreak/>
        <w:t>E95(x) ⇒ E59(x)</w:t>
      </w:r>
    </w:p>
    <w:p w14:paraId="6AB97E27" w14:textId="77777777" w:rsidR="00065317" w:rsidRDefault="005C7BF7">
      <w:pPr>
        <w:pStyle w:val="Corpsdetexte"/>
      </w:pPr>
      <w:r>
        <w:rPr>
          <w:b/>
          <w:bCs/>
        </w:rPr>
        <w:t>Propriétés</w:t>
      </w:r>
    </w:p>
    <w:p w14:paraId="69299022" w14:textId="77777777" w:rsidR="00065317" w:rsidRDefault="005C7BF7">
      <w:pPr>
        <w:pStyle w:val="Corpsdetexte"/>
      </w:pPr>
      <w:r>
        <w:rPr>
          <w:rStyle w:val="VerbatimChar"/>
        </w:rPr>
        <w:t>P169_définit_le_volume_spatio-temporel (volume_spatio-temporel_défini_par)</w:t>
      </w:r>
      <w:r>
        <w:t xml:space="preserve"> : </w:t>
      </w:r>
      <w:r>
        <w:rPr>
          <w:rStyle w:val="VerbatimChar"/>
        </w:rPr>
        <w:t>E92_Volume_spatio-temporel</w:t>
      </w:r>
    </w:p>
    <w:p w14:paraId="7A8B4CC1" w14:textId="77777777" w:rsidR="00065317" w:rsidRDefault="005C7BF7">
      <w:pPr>
        <w:pStyle w:val="Normalcentr"/>
      </w:pPr>
      <w:r>
        <w:rPr>
          <w:b/>
          <w:bCs/>
          <w:i/>
          <w:iCs/>
        </w:rPr>
        <w:t>Note de traduction</w:t>
      </w:r>
    </w:p>
    <w:p w14:paraId="71610501" w14:textId="2A1640D6" w:rsidR="00065317" w:rsidRDefault="005C7BF7" w:rsidP="00BF7EA3">
      <w:pPr>
        <w:pStyle w:val="Normalcentr"/>
      </w:pPr>
      <w:r>
        <w:rPr>
          <w:b/>
          <w:bCs/>
          <w:i/>
          <w:iCs/>
        </w:rPr>
        <w:t>Références</w:t>
      </w:r>
    </w:p>
    <w:p w14:paraId="3209DB05" w14:textId="77777777" w:rsidR="00065317" w:rsidRDefault="005C7BF7" w:rsidP="00914F34">
      <w:pPr>
        <w:pStyle w:val="Titre3"/>
      </w:pPr>
      <w:bookmarkStart w:id="260" w:name="_Toc154048815"/>
      <w:bookmarkStart w:id="261" w:name="e96-achat"/>
      <w:bookmarkEnd w:id="259"/>
      <w:r>
        <w:t>E96 Achat</w:t>
      </w:r>
      <w:bookmarkEnd w:id="260"/>
    </w:p>
    <w:p w14:paraId="3F2418C5" w14:textId="77777777" w:rsidR="00065317" w:rsidRDefault="005C7BF7">
      <w:pPr>
        <w:pStyle w:val="FirstParagraph"/>
      </w:pPr>
      <w:r>
        <w:rPr>
          <w:b/>
          <w:bCs/>
        </w:rPr>
        <w:t>Sous-classe de</w:t>
      </w:r>
    </w:p>
    <w:p w14:paraId="66D7221E" w14:textId="77777777" w:rsidR="00065317" w:rsidRDefault="005C7BF7">
      <w:pPr>
        <w:pStyle w:val="Corpsdetexte"/>
      </w:pPr>
      <w:r>
        <w:rPr>
          <w:rStyle w:val="VerbatimChar"/>
        </w:rPr>
        <w:t>E8_Acquisition</w:t>
      </w:r>
    </w:p>
    <w:p w14:paraId="6644CFF5" w14:textId="77777777" w:rsidR="00065317" w:rsidRDefault="005C7BF7">
      <w:pPr>
        <w:pStyle w:val="Corpsdetexte"/>
      </w:pPr>
      <w:r>
        <w:rPr>
          <w:b/>
          <w:bCs/>
        </w:rPr>
        <w:t>Super-classe de</w:t>
      </w:r>
    </w:p>
    <w:p w14:paraId="78EADBE4" w14:textId="0FCD02ED" w:rsidR="00065317" w:rsidRDefault="005C7BF7">
      <w:pPr>
        <w:pStyle w:val="Corpsdetexte"/>
      </w:pPr>
      <w:r>
        <w:rPr>
          <w:b/>
          <w:bCs/>
        </w:rPr>
        <w:t>Note d</w:t>
      </w:r>
      <w:r w:rsidR="00E84B0E">
        <w:rPr>
          <w:b/>
          <w:bCs/>
        </w:rPr>
        <w:t>’</w:t>
      </w:r>
      <w:r>
        <w:rPr>
          <w:b/>
          <w:bCs/>
        </w:rPr>
        <w:t>application</w:t>
      </w:r>
    </w:p>
    <w:p w14:paraId="6502BDA0" w14:textId="4531B995" w:rsidR="00065317" w:rsidRDefault="005C7BF7">
      <w:pPr>
        <w:pStyle w:val="Corpsdetexte"/>
      </w:pPr>
      <w:r>
        <w:t>Cette classe comprend les transferts de propriété légale d</w:t>
      </w:r>
      <w:r w:rsidR="00E84B0E">
        <w:t>’</w:t>
      </w:r>
      <w:r>
        <w:t xml:space="preserve">une ou de plusieurs instances de </w:t>
      </w:r>
      <w:r>
        <w:rPr>
          <w:rStyle w:val="VerbatimChar"/>
        </w:rPr>
        <w:t>E39_Actant</w:t>
      </w:r>
      <w:r>
        <w:t xml:space="preserve"> à une ou plusieurs instances différentes de </w:t>
      </w:r>
      <w:r>
        <w:rPr>
          <w:rStyle w:val="VerbatimChar"/>
        </w:rPr>
        <w:t>E39_Actant</w:t>
      </w:r>
      <w:r>
        <w:t>, lorsque la partie cédante est entièrement indemnisée par une valeur monétaire. Plus précisément, une entente d</w:t>
      </w:r>
      <w:r w:rsidR="00E84B0E">
        <w:t>’</w:t>
      </w:r>
      <w:r>
        <w:t>achat établit dès le départ l</w:t>
      </w:r>
      <w:r w:rsidR="00E84B0E">
        <w:t>’</w:t>
      </w:r>
      <w:r>
        <w:t xml:space="preserve">obligation monétaire de la partie destinataire à la partie cédante. Une instance de </w:t>
      </w:r>
      <w:r>
        <w:rPr>
          <w:rStyle w:val="VerbatimChar"/>
        </w:rPr>
        <w:t>E96_Achat</w:t>
      </w:r>
      <w:r>
        <w:t xml:space="preserve"> débute avec la mise en place d</w:t>
      </w:r>
      <w:r w:rsidR="00E84B0E">
        <w:t>’</w:t>
      </w:r>
      <w:r>
        <w:t>un contrat ou d</w:t>
      </w:r>
      <w:r w:rsidR="00E84B0E">
        <w:t>’</w:t>
      </w:r>
      <w:r>
        <w:t>une entente d</w:t>
      </w:r>
      <w:r w:rsidR="00E84B0E">
        <w:t>’</w:t>
      </w:r>
      <w:r>
        <w:t>achat équivalente et se termine par la réalisation de toutes les obligations contractuelles. Dans le cas où l</w:t>
      </w:r>
      <w:r w:rsidR="00E84B0E">
        <w:t>’</w:t>
      </w:r>
      <w:r>
        <w:t>activité est abandonnée avant que les deux parties n</w:t>
      </w:r>
      <w:r w:rsidR="00E84B0E">
        <w:t>’</w:t>
      </w:r>
      <w:r>
        <w:t>aient rempli leurs obligations, celle-ci n</w:t>
      </w:r>
      <w:r w:rsidR="00E84B0E">
        <w:t>’</w:t>
      </w:r>
      <w:r>
        <w:t xml:space="preserve">est pas considérée comme une instance de </w:t>
      </w:r>
      <w:r>
        <w:rPr>
          <w:rStyle w:val="VerbatimChar"/>
        </w:rPr>
        <w:t>E96_Achat</w:t>
      </w:r>
      <w:r>
        <w:t>.</w:t>
      </w:r>
    </w:p>
    <w:p w14:paraId="4EFFBE27" w14:textId="53571DEE" w:rsidR="00A81E78" w:rsidRPr="00144B23" w:rsidRDefault="005C7BF7">
      <w:pPr>
        <w:pStyle w:val="Corpsdetexte"/>
      </w:pPr>
      <w:r>
        <w:t>Cette classe est un cas très spécifique des pratiques sociales commerciales beaucoup plus complexes d</w:t>
      </w:r>
      <w:r w:rsidR="00E84B0E">
        <w:t>’</w:t>
      </w:r>
      <w:r>
        <w:t>échanges de biens et de la création et satisfaction d</w:t>
      </w:r>
      <w:r w:rsidR="00E84B0E">
        <w:t>’</w:t>
      </w:r>
      <w:r>
        <w:t>obligations sociales connexes. Les activités d</w:t>
      </w:r>
      <w:r w:rsidR="00E84B0E">
        <w:t>’</w:t>
      </w:r>
      <w:r>
        <w:t xml:space="preserve">achat définissant des prix de vente par objet peuvent être modélisées en créant des instances de </w:t>
      </w:r>
      <w:r>
        <w:rPr>
          <w:rStyle w:val="VerbatimChar"/>
        </w:rPr>
        <w:t>E96_Achat</w:t>
      </w:r>
      <w:r>
        <w:t xml:space="preserve"> pour chaque objet acheté, puis une instance de </w:t>
      </w:r>
      <w:r>
        <w:rPr>
          <w:rStyle w:val="VerbatimChar"/>
        </w:rPr>
        <w:t>E96_Achat</w:t>
      </w:r>
      <w:r>
        <w:t xml:space="preserve"> pour la transaction globale.</w:t>
      </w:r>
    </w:p>
    <w:p w14:paraId="497F3FC7" w14:textId="34D79F1C" w:rsidR="00065317" w:rsidRDefault="005C7BF7">
      <w:pPr>
        <w:pStyle w:val="Corpsdetexte"/>
      </w:pPr>
      <w:r>
        <w:rPr>
          <w:b/>
          <w:bCs/>
        </w:rPr>
        <w:t>Exemples</w:t>
      </w:r>
    </w:p>
    <w:p w14:paraId="31BE9162" w14:textId="2B5F1898" w:rsidR="00065317" w:rsidRDefault="005C7BF7">
      <w:pPr>
        <w:numPr>
          <w:ilvl w:val="0"/>
          <w:numId w:val="139"/>
        </w:numPr>
      </w:pPr>
      <w:r>
        <w:t>L</w:t>
      </w:r>
      <w:r w:rsidR="00E84B0E">
        <w:t>’</w:t>
      </w:r>
      <w:r>
        <w:t>achat de 10 oques de clous par le capitaine A. Syrmas le 18</w:t>
      </w:r>
      <w:r w:rsidR="00056DCD">
        <w:t> septembre </w:t>
      </w:r>
      <w:r>
        <w:t>1895 à Thessalonique (Syrmas, 1896)</w:t>
      </w:r>
    </w:p>
    <w:p w14:paraId="76DC1924" w14:textId="77777777" w:rsidR="00065317" w:rsidRDefault="005C7BF7">
      <w:pPr>
        <w:pStyle w:val="FirstParagraph"/>
      </w:pPr>
      <w:r>
        <w:rPr>
          <w:b/>
          <w:bCs/>
        </w:rPr>
        <w:t>Logique</w:t>
      </w:r>
    </w:p>
    <w:p w14:paraId="74BD7149" w14:textId="77777777" w:rsidR="00065317" w:rsidRDefault="005C7BF7">
      <w:pPr>
        <w:pStyle w:val="Corpsdetexte"/>
      </w:pPr>
      <w:r>
        <w:t>E96(x) ⇒ E8(x)</w:t>
      </w:r>
    </w:p>
    <w:p w14:paraId="22AFFD6D" w14:textId="77777777" w:rsidR="00065317" w:rsidRDefault="005C7BF7">
      <w:pPr>
        <w:pStyle w:val="Corpsdetexte"/>
      </w:pPr>
      <w:r>
        <w:rPr>
          <w:b/>
          <w:bCs/>
        </w:rPr>
        <w:t>Propriétés</w:t>
      </w:r>
    </w:p>
    <w:p w14:paraId="5499F478" w14:textId="77777777" w:rsidR="00065317" w:rsidRDefault="005C7BF7">
      <w:pPr>
        <w:pStyle w:val="Corpsdetexte"/>
      </w:pPr>
      <w:r>
        <w:rPr>
          <w:rStyle w:val="VerbatimChar"/>
        </w:rPr>
        <w:t>P179_a_eu_pour_prix_de_vente (a_été_le_prix_de_vente_de)</w:t>
      </w:r>
      <w:r>
        <w:t xml:space="preserve"> : </w:t>
      </w:r>
      <w:r>
        <w:rPr>
          <w:rStyle w:val="VerbatimChar"/>
        </w:rPr>
        <w:t>E97_Valeur_monétaire</w:t>
      </w:r>
    </w:p>
    <w:p w14:paraId="31449070" w14:textId="77777777" w:rsidR="00065317" w:rsidRDefault="005C7BF7">
      <w:pPr>
        <w:pStyle w:val="Normalcentr"/>
      </w:pPr>
      <w:r>
        <w:rPr>
          <w:b/>
          <w:bCs/>
          <w:i/>
          <w:iCs/>
        </w:rPr>
        <w:t>Note de traduction</w:t>
      </w:r>
    </w:p>
    <w:p w14:paraId="1580D476" w14:textId="32C21853" w:rsidR="00065317" w:rsidRDefault="005C7BF7" w:rsidP="00BF7EA3">
      <w:pPr>
        <w:pStyle w:val="Normalcentr"/>
      </w:pPr>
      <w:r>
        <w:rPr>
          <w:b/>
          <w:bCs/>
          <w:i/>
          <w:iCs/>
        </w:rPr>
        <w:t>Références</w:t>
      </w:r>
    </w:p>
    <w:p w14:paraId="0A638105" w14:textId="77777777" w:rsidR="00065317" w:rsidRDefault="005C7BF7" w:rsidP="00914F34">
      <w:pPr>
        <w:pStyle w:val="Titre3"/>
      </w:pPr>
      <w:bookmarkStart w:id="262" w:name="_Toc154048816"/>
      <w:bookmarkStart w:id="263" w:name="e97-valeur-monetaire"/>
      <w:bookmarkEnd w:id="261"/>
      <w:r>
        <w:t>E97 Valeur monétaire</w:t>
      </w:r>
      <w:bookmarkEnd w:id="262"/>
    </w:p>
    <w:p w14:paraId="2659619A" w14:textId="77777777" w:rsidR="00065317" w:rsidRDefault="005C7BF7">
      <w:pPr>
        <w:pStyle w:val="FirstParagraph"/>
      </w:pPr>
      <w:r>
        <w:rPr>
          <w:b/>
          <w:bCs/>
        </w:rPr>
        <w:t>Sous-classe de</w:t>
      </w:r>
    </w:p>
    <w:p w14:paraId="4E02210B" w14:textId="77777777" w:rsidR="00065317" w:rsidRDefault="005C7BF7">
      <w:pPr>
        <w:pStyle w:val="Corpsdetexte"/>
      </w:pPr>
      <w:r>
        <w:rPr>
          <w:rStyle w:val="VerbatimChar"/>
        </w:rPr>
        <w:t>E54_Dimension</w:t>
      </w:r>
    </w:p>
    <w:p w14:paraId="42BA8381" w14:textId="77777777" w:rsidR="00065317" w:rsidRDefault="005C7BF7">
      <w:pPr>
        <w:pStyle w:val="Corpsdetexte"/>
      </w:pPr>
      <w:r>
        <w:rPr>
          <w:b/>
          <w:bCs/>
        </w:rPr>
        <w:t>Super-classe de</w:t>
      </w:r>
    </w:p>
    <w:p w14:paraId="767DF1C1" w14:textId="77777777" w:rsidR="00DE2D62" w:rsidRDefault="00DE2D62">
      <w:pPr>
        <w:pStyle w:val="Corpsdetexte"/>
        <w:rPr>
          <w:b/>
          <w:bCs/>
        </w:rPr>
      </w:pPr>
    </w:p>
    <w:p w14:paraId="0853C3E8" w14:textId="3B102C3D" w:rsidR="00065317" w:rsidRDefault="005C7BF7">
      <w:pPr>
        <w:pStyle w:val="Corpsdetexte"/>
      </w:pPr>
      <w:r>
        <w:rPr>
          <w:b/>
          <w:bCs/>
        </w:rPr>
        <w:lastRenderedPageBreak/>
        <w:t>Note d</w:t>
      </w:r>
      <w:r w:rsidR="00E84B0E">
        <w:rPr>
          <w:b/>
          <w:bCs/>
        </w:rPr>
        <w:t>’</w:t>
      </w:r>
      <w:r>
        <w:rPr>
          <w:b/>
          <w:bCs/>
        </w:rPr>
        <w:t>application</w:t>
      </w:r>
    </w:p>
    <w:p w14:paraId="108F5F2B" w14:textId="5B2C0609" w:rsidR="00065317" w:rsidRDefault="005C7BF7">
      <w:pPr>
        <w:pStyle w:val="Corpsdetexte"/>
      </w:pPr>
      <w:r>
        <w:t>Cette classe comprend la valeur nominale, exprimée dans une devise spécifique, d</w:t>
      </w:r>
      <w:r w:rsidR="00E84B0E">
        <w:t>’</w:t>
      </w:r>
      <w:r>
        <w:t>une quantité de possessions monétaires ou d</w:t>
      </w:r>
      <w:r w:rsidR="00E84B0E">
        <w:t>’</w:t>
      </w:r>
      <w:r>
        <w:t>obligations. Ces quantités peuvent être des unités comptables abstraites, la valeur nominale d</w:t>
      </w:r>
      <w:r w:rsidR="00E84B0E">
        <w:t>’</w:t>
      </w:r>
      <w:r>
        <w:t>une pile de pièces de monnaie ou de billets de banque durant la période de leur validité dans une devise spécifique, la valeur nominale d</w:t>
      </w:r>
      <w:r w:rsidR="00E84B0E">
        <w:t>’</w:t>
      </w:r>
      <w:r>
        <w:t>une lettre de change ou tout autre document attestant de créances monétaires ou d</w:t>
      </w:r>
      <w:r w:rsidR="00E84B0E">
        <w:t>’</w:t>
      </w:r>
      <w:r>
        <w:t>obligations. Cette classe exclut spécifiquement les montants exprimés en termes de poids de biens de valeur, comme l</w:t>
      </w:r>
      <w:r w:rsidR="00E84B0E">
        <w:t>’</w:t>
      </w:r>
      <w:r>
        <w:t>or ou les diamants, ou tout autre quantité de biens non</w:t>
      </w:r>
      <w:r w:rsidR="003773B9">
        <w:t xml:space="preserve"> </w:t>
      </w:r>
      <w:r>
        <w:t>monétaires, comme des chèvres ou des actions et obligations.</w:t>
      </w:r>
    </w:p>
    <w:p w14:paraId="6742BDD3" w14:textId="77777777" w:rsidR="00065317" w:rsidRDefault="005C7BF7">
      <w:pPr>
        <w:pStyle w:val="Corpsdetexte"/>
      </w:pPr>
      <w:r>
        <w:rPr>
          <w:b/>
          <w:bCs/>
        </w:rPr>
        <w:t>Exemples</w:t>
      </w:r>
    </w:p>
    <w:p w14:paraId="06793341" w14:textId="6F04A414" w:rsidR="00065317" w:rsidRDefault="005C7BF7">
      <w:pPr>
        <w:numPr>
          <w:ilvl w:val="0"/>
          <w:numId w:val="140"/>
        </w:numPr>
      </w:pPr>
      <w:r>
        <w:t>Le prix d</w:t>
      </w:r>
      <w:r w:rsidR="00E84B0E">
        <w:t>’</w:t>
      </w:r>
      <w:r>
        <w:t>adjudication par Christie</w:t>
      </w:r>
      <w:r w:rsidR="00E84B0E">
        <w:t>’</w:t>
      </w:r>
      <w:r>
        <w:t>s à Londres le 30</w:t>
      </w:r>
      <w:r w:rsidR="00056DCD">
        <w:t> mars </w:t>
      </w:r>
      <w:r>
        <w:t>1987 de l</w:t>
      </w:r>
      <w:r w:rsidR="00E84B0E">
        <w:t>’</w:t>
      </w:r>
      <w:r>
        <w:t xml:space="preserve">œuvre peinte </w:t>
      </w:r>
      <w:r>
        <w:rPr>
          <w:i/>
          <w:iCs/>
        </w:rPr>
        <w:t>Vase avec quinze tournesols</w:t>
      </w:r>
      <w:r>
        <w:t xml:space="preserve"> (</w:t>
      </w:r>
      <w:r>
        <w:rPr>
          <w:rStyle w:val="VerbatimChar"/>
        </w:rPr>
        <w:t>E97_Valeur_monétaire</w:t>
      </w:r>
      <w:r>
        <w:t>) a pour unité monétaire (</w:t>
      </w:r>
      <w:r>
        <w:rPr>
          <w:rStyle w:val="VerbatimChar"/>
        </w:rPr>
        <w:t>P180_a_pour_unité_monétaire</w:t>
      </w:r>
      <w:r>
        <w:t>) livre sterling (</w:t>
      </w:r>
      <w:r>
        <w:rPr>
          <w:rStyle w:val="VerbatimChar"/>
        </w:rPr>
        <w:t>E98_Unité_monétaire</w:t>
      </w:r>
      <w:r>
        <w:t>)</w:t>
      </w:r>
    </w:p>
    <w:p w14:paraId="72AFF1CB" w14:textId="77777777" w:rsidR="00065317" w:rsidRDefault="005C7BF7">
      <w:pPr>
        <w:pStyle w:val="FirstParagraph"/>
      </w:pPr>
      <w:r>
        <w:rPr>
          <w:b/>
          <w:bCs/>
        </w:rPr>
        <w:t>Logique</w:t>
      </w:r>
    </w:p>
    <w:p w14:paraId="62DBE6E4" w14:textId="77777777" w:rsidR="00065317" w:rsidRDefault="005C7BF7">
      <w:pPr>
        <w:pStyle w:val="Corpsdetexte"/>
      </w:pPr>
      <w:r>
        <w:t>E97(x) ⇒ E54(x)</w:t>
      </w:r>
    </w:p>
    <w:p w14:paraId="29359345" w14:textId="77777777" w:rsidR="00065317" w:rsidRDefault="005C7BF7">
      <w:pPr>
        <w:pStyle w:val="Corpsdetexte"/>
      </w:pPr>
      <w:r>
        <w:rPr>
          <w:b/>
          <w:bCs/>
        </w:rPr>
        <w:t>Propriétés</w:t>
      </w:r>
    </w:p>
    <w:p w14:paraId="075F7AC3" w14:textId="6BFDF27A" w:rsidR="00065317" w:rsidRDefault="005C7BF7">
      <w:pPr>
        <w:pStyle w:val="Corpsdetexte"/>
      </w:pPr>
      <w:r>
        <w:rPr>
          <w:rStyle w:val="VerbatimChar"/>
        </w:rPr>
        <w:t>P180_a_pour_unité_monétaire (était_l</w:t>
      </w:r>
      <w:r w:rsidR="00E84B0E">
        <w:rPr>
          <w:rStyle w:val="VerbatimChar"/>
        </w:rPr>
        <w:t>’</w:t>
      </w:r>
      <w:r>
        <w:rPr>
          <w:rStyle w:val="VerbatimChar"/>
        </w:rPr>
        <w:t>unité_monétaire_de)</w:t>
      </w:r>
      <w:r>
        <w:t xml:space="preserve"> : </w:t>
      </w:r>
      <w:r>
        <w:rPr>
          <w:rStyle w:val="VerbatimChar"/>
        </w:rPr>
        <w:t>E98_Unité_monétaire</w:t>
      </w:r>
    </w:p>
    <w:p w14:paraId="74F54342" w14:textId="77777777" w:rsidR="00065317" w:rsidRDefault="005C7BF7">
      <w:pPr>
        <w:pStyle w:val="Normalcentr"/>
      </w:pPr>
      <w:r>
        <w:rPr>
          <w:b/>
          <w:bCs/>
          <w:i/>
          <w:iCs/>
        </w:rPr>
        <w:t>Note de traduction</w:t>
      </w:r>
    </w:p>
    <w:p w14:paraId="4EDD3BD4" w14:textId="42F077F6" w:rsidR="00A81E78" w:rsidRPr="00A81E78" w:rsidRDefault="005C7BF7" w:rsidP="00914F34">
      <w:pPr>
        <w:pStyle w:val="Normalcentr"/>
      </w:pPr>
      <w:r>
        <w:rPr>
          <w:b/>
          <w:bCs/>
          <w:i/>
          <w:iCs/>
        </w:rPr>
        <w:t>Références</w:t>
      </w:r>
    </w:p>
    <w:p w14:paraId="3A166891" w14:textId="77777777" w:rsidR="00065317" w:rsidRDefault="005C7BF7" w:rsidP="00914F34">
      <w:pPr>
        <w:pStyle w:val="Titre3"/>
      </w:pPr>
      <w:bookmarkStart w:id="264" w:name="_Toc154048817"/>
      <w:bookmarkStart w:id="265" w:name="e98-unite-monetaire"/>
      <w:bookmarkEnd w:id="263"/>
      <w:r>
        <w:t>E98 Unité monétaire</w:t>
      </w:r>
      <w:bookmarkEnd w:id="264"/>
    </w:p>
    <w:p w14:paraId="08B65A92" w14:textId="77777777" w:rsidR="00065317" w:rsidRDefault="005C7BF7">
      <w:pPr>
        <w:pStyle w:val="FirstParagraph"/>
      </w:pPr>
      <w:r>
        <w:rPr>
          <w:b/>
          <w:bCs/>
        </w:rPr>
        <w:t>Sous-classe de</w:t>
      </w:r>
    </w:p>
    <w:p w14:paraId="56BD48FD" w14:textId="77777777" w:rsidR="00065317" w:rsidRDefault="005C7BF7">
      <w:pPr>
        <w:pStyle w:val="Corpsdetexte"/>
      </w:pPr>
      <w:r>
        <w:rPr>
          <w:rStyle w:val="VerbatimChar"/>
        </w:rPr>
        <w:t>E58_Unité_de_mesure</w:t>
      </w:r>
    </w:p>
    <w:p w14:paraId="36A5E35C" w14:textId="77777777" w:rsidR="00065317" w:rsidRDefault="005C7BF7">
      <w:pPr>
        <w:pStyle w:val="Corpsdetexte"/>
      </w:pPr>
      <w:r>
        <w:rPr>
          <w:b/>
          <w:bCs/>
        </w:rPr>
        <w:t>Super-classe de</w:t>
      </w:r>
    </w:p>
    <w:p w14:paraId="151004E9" w14:textId="6A895B0C" w:rsidR="00065317" w:rsidRDefault="005C7BF7">
      <w:pPr>
        <w:pStyle w:val="Corpsdetexte"/>
      </w:pPr>
      <w:r>
        <w:rPr>
          <w:b/>
          <w:bCs/>
        </w:rPr>
        <w:t>Note d</w:t>
      </w:r>
      <w:r w:rsidR="00E84B0E">
        <w:rPr>
          <w:b/>
          <w:bCs/>
        </w:rPr>
        <w:t>’</w:t>
      </w:r>
      <w:r>
        <w:rPr>
          <w:b/>
          <w:bCs/>
        </w:rPr>
        <w:t>application</w:t>
      </w:r>
    </w:p>
    <w:p w14:paraId="229912DF" w14:textId="0646D201" w:rsidR="00065317" w:rsidRDefault="005C7BF7">
      <w:pPr>
        <w:pStyle w:val="Corpsdetexte"/>
      </w:pPr>
      <w:r>
        <w:t>Cette classe comprend les unités avec lesquelles un système monétaire, soutenu par une autorité administrative ou d</w:t>
      </w:r>
      <w:r w:rsidR="00E84B0E">
        <w:t>’</w:t>
      </w:r>
      <w:r>
        <w:t>autres communautés, quantifie et compare arithmétiquement toutes les valeurs monétaires déclarées dans l</w:t>
      </w:r>
      <w:r w:rsidR="00E84B0E">
        <w:t>’</w:t>
      </w:r>
      <w:r>
        <w:t>unité. L</w:t>
      </w:r>
      <w:r w:rsidR="00E84B0E">
        <w:t>’</w:t>
      </w:r>
      <w:r>
        <w:t>unité d</w:t>
      </w:r>
      <w:r w:rsidR="00E84B0E">
        <w:t>’</w:t>
      </w:r>
      <w:r>
        <w:t>un système monétaire doit décrire une valeur nominale qui est maintenue constante par son autorité administrative et un système bancaire associé, s</w:t>
      </w:r>
      <w:r w:rsidR="00E84B0E">
        <w:t>’</w:t>
      </w:r>
      <w:r>
        <w:t>il existe, et non par sa valeur sur le marché. Par exemple, il est possible d</w:t>
      </w:r>
      <w:r w:rsidR="00E84B0E">
        <w:t>’</w:t>
      </w:r>
      <w:r>
        <w:t>acheter un bien avec des grammes d</w:t>
      </w:r>
      <w:r w:rsidR="00E84B0E">
        <w:t>’</w:t>
      </w:r>
      <w:r>
        <w:t>or, mais la valeur monétaire de ce bien aurait été convenue comme le prix de l</w:t>
      </w:r>
      <w:r w:rsidR="00E84B0E">
        <w:t>’</w:t>
      </w:r>
      <w:r>
        <w:t>or en dollars américains le jour du paiement. Selon cette définition, des livres sterling, des dollars américains et des euros sont des exemples d</w:t>
      </w:r>
      <w:r w:rsidR="00E84B0E">
        <w:t>’</w:t>
      </w:r>
      <w:r>
        <w:t>unité monétaire, mais « des grammes d</w:t>
      </w:r>
      <w:r w:rsidR="00E84B0E">
        <w:t>’</w:t>
      </w:r>
      <w:r>
        <w:t>or » ne le sont pas. Un système monétaire a une seule et unique unité monétaire.</w:t>
      </w:r>
    </w:p>
    <w:p w14:paraId="6575BFA3" w14:textId="2EB0CB43" w:rsidR="00065317" w:rsidRDefault="005C7BF7">
      <w:pPr>
        <w:pStyle w:val="Corpsdetexte"/>
      </w:pPr>
      <w:r>
        <w:t>Les instances de cette classe ne doivent pas être confondues avec les dénominations de pièces, comme les « centimes » ou les « sesterces ». Les valeurs d</w:t>
      </w:r>
      <w:r w:rsidR="00E84B0E">
        <w:t>’</w:t>
      </w:r>
      <w:r>
        <w:t>échanges monétaires exprimées en quantités d</w:t>
      </w:r>
      <w:r w:rsidR="00E84B0E">
        <w:t>’</w:t>
      </w:r>
      <w:r>
        <w:t>un type particulier de bien, comme des vaches, ne constituent pas des unité</w:t>
      </w:r>
      <w:r w:rsidR="00BF7EA3">
        <w:t>s</w:t>
      </w:r>
      <w:r>
        <w:t xml:space="preserve"> monétaire</w:t>
      </w:r>
      <w:r w:rsidR="00BF7EA3">
        <w:t>s</w:t>
      </w:r>
      <w:r>
        <w:t>.</w:t>
      </w:r>
    </w:p>
    <w:p w14:paraId="7145CD1E" w14:textId="77777777" w:rsidR="00065317" w:rsidRDefault="005C7BF7">
      <w:pPr>
        <w:pStyle w:val="Corpsdetexte"/>
      </w:pPr>
      <w:r>
        <w:rPr>
          <w:b/>
          <w:bCs/>
        </w:rPr>
        <w:t>Exemples</w:t>
      </w:r>
    </w:p>
    <w:p w14:paraId="1DDAF03C" w14:textId="79B1C6FC" w:rsidR="00065317" w:rsidRDefault="005C7BF7">
      <w:pPr>
        <w:numPr>
          <w:ilvl w:val="0"/>
          <w:numId w:val="141"/>
        </w:numPr>
      </w:pPr>
      <w:r>
        <w:t>« As » [unité monétaire de l</w:t>
      </w:r>
      <w:r w:rsidR="00E84B0E">
        <w:t>’</w:t>
      </w:r>
      <w:r>
        <w:t>époque romaine républicaine]</w:t>
      </w:r>
    </w:p>
    <w:p w14:paraId="733EFCD8" w14:textId="77777777" w:rsidR="00065317" w:rsidRDefault="005C7BF7">
      <w:pPr>
        <w:numPr>
          <w:ilvl w:val="0"/>
          <w:numId w:val="141"/>
        </w:numPr>
      </w:pPr>
      <w:r>
        <w:t>« Euro » (Temperton, 1997)</w:t>
      </w:r>
    </w:p>
    <w:p w14:paraId="5276DC82" w14:textId="77777777" w:rsidR="00065317" w:rsidRDefault="005C7BF7">
      <w:pPr>
        <w:numPr>
          <w:ilvl w:val="0"/>
          <w:numId w:val="141"/>
        </w:numPr>
      </w:pPr>
      <w:r>
        <w:lastRenderedPageBreak/>
        <w:t>« Dollar américain » (Rose, 1978)</w:t>
      </w:r>
    </w:p>
    <w:p w14:paraId="34F652C0" w14:textId="77777777" w:rsidR="00065317" w:rsidRDefault="005C7BF7">
      <w:pPr>
        <w:pStyle w:val="FirstParagraph"/>
      </w:pPr>
      <w:r>
        <w:rPr>
          <w:b/>
          <w:bCs/>
        </w:rPr>
        <w:t>Logique</w:t>
      </w:r>
    </w:p>
    <w:p w14:paraId="68D15C53" w14:textId="77777777" w:rsidR="00065317" w:rsidRDefault="005C7BF7">
      <w:pPr>
        <w:pStyle w:val="Corpsdetexte"/>
      </w:pPr>
      <w:r>
        <w:t>E98(x) ⇒ E58(x)</w:t>
      </w:r>
    </w:p>
    <w:p w14:paraId="42CFCE6B" w14:textId="77777777" w:rsidR="00065317" w:rsidRDefault="005C7BF7">
      <w:pPr>
        <w:pStyle w:val="Corpsdetexte"/>
      </w:pPr>
      <w:r>
        <w:rPr>
          <w:b/>
          <w:bCs/>
        </w:rPr>
        <w:t>Propriétés</w:t>
      </w:r>
    </w:p>
    <w:p w14:paraId="392EB8C9" w14:textId="77777777" w:rsidR="00065317" w:rsidRDefault="005C7BF7">
      <w:pPr>
        <w:pStyle w:val="Normalcentr"/>
      </w:pPr>
      <w:r>
        <w:rPr>
          <w:b/>
          <w:bCs/>
          <w:i/>
          <w:iCs/>
        </w:rPr>
        <w:t>Note de traduction</w:t>
      </w:r>
    </w:p>
    <w:p w14:paraId="05F25BAB" w14:textId="1E36F967" w:rsidR="00065317" w:rsidRDefault="005C7BF7" w:rsidP="00BF7EA3">
      <w:pPr>
        <w:pStyle w:val="Normalcentr"/>
      </w:pPr>
      <w:r>
        <w:rPr>
          <w:b/>
          <w:bCs/>
          <w:i/>
          <w:iCs/>
        </w:rPr>
        <w:t>Références</w:t>
      </w:r>
    </w:p>
    <w:p w14:paraId="3DB3575C" w14:textId="77777777" w:rsidR="00065317" w:rsidRDefault="005C7BF7" w:rsidP="00914F34">
      <w:pPr>
        <w:pStyle w:val="Titre3"/>
      </w:pPr>
      <w:bookmarkStart w:id="266" w:name="_Toc154048818"/>
      <w:bookmarkStart w:id="267" w:name="e99-modele-de-produit"/>
      <w:bookmarkEnd w:id="265"/>
      <w:r>
        <w:t>E99 Modèle de produit</w:t>
      </w:r>
      <w:bookmarkEnd w:id="266"/>
    </w:p>
    <w:p w14:paraId="242B2CA8" w14:textId="77777777" w:rsidR="00065317" w:rsidRDefault="005C7BF7">
      <w:pPr>
        <w:pStyle w:val="FirstParagraph"/>
      </w:pPr>
      <w:r>
        <w:rPr>
          <w:b/>
          <w:bCs/>
        </w:rPr>
        <w:t>Sous-classe de</w:t>
      </w:r>
    </w:p>
    <w:p w14:paraId="275CE068" w14:textId="77777777" w:rsidR="00065317" w:rsidRDefault="005C7BF7">
      <w:pPr>
        <w:pStyle w:val="Corpsdetexte"/>
      </w:pPr>
      <w:r>
        <w:rPr>
          <w:rStyle w:val="VerbatimChar"/>
        </w:rPr>
        <w:t>E55_Type</w:t>
      </w:r>
    </w:p>
    <w:p w14:paraId="1F5684BB" w14:textId="040E56E8" w:rsidR="004E5EA3" w:rsidRPr="00DE2D62" w:rsidRDefault="005C7BF7" w:rsidP="00DE2D62">
      <w:pPr>
        <w:pStyle w:val="Corpsdetexte"/>
      </w:pPr>
      <w:r>
        <w:rPr>
          <w:b/>
          <w:bCs/>
        </w:rPr>
        <w:t>Super-classe de</w:t>
      </w:r>
    </w:p>
    <w:p w14:paraId="41D52B42" w14:textId="69488D02" w:rsidR="00065317" w:rsidRDefault="005C7BF7">
      <w:pPr>
        <w:pStyle w:val="Corpsdetexte"/>
      </w:pPr>
      <w:r>
        <w:rPr>
          <w:b/>
          <w:bCs/>
        </w:rPr>
        <w:t>Note d</w:t>
      </w:r>
      <w:r w:rsidR="00E84B0E">
        <w:rPr>
          <w:b/>
          <w:bCs/>
        </w:rPr>
        <w:t>’</w:t>
      </w:r>
      <w:r>
        <w:rPr>
          <w:b/>
          <w:bCs/>
        </w:rPr>
        <w:t>application</w:t>
      </w:r>
    </w:p>
    <w:p w14:paraId="29E964AF" w14:textId="2C33DAC6" w:rsidR="00065317" w:rsidRDefault="005C7BF7">
      <w:pPr>
        <w:pStyle w:val="Corpsdetexte"/>
      </w:pPr>
      <w:r>
        <w:t xml:space="preserve">Cette classe comprend les types servant de modèles pour les instances de </w:t>
      </w:r>
      <w:r>
        <w:rPr>
          <w:rStyle w:val="VerbatimChar"/>
        </w:rPr>
        <w:t>E22_Objet_élaboré_par_l</w:t>
      </w:r>
      <w:r w:rsidR="00E84B0E">
        <w:rPr>
          <w:rStyle w:val="VerbatimChar"/>
        </w:rPr>
        <w:t>’</w:t>
      </w:r>
      <w:r>
        <w:rPr>
          <w:rStyle w:val="VerbatimChar"/>
        </w:rPr>
        <w:t>humain</w:t>
      </w:r>
      <w:r>
        <w:t xml:space="preserve"> produites par des activités de production utilisant des plans suffisamment précis pour mener à une ou plusieurs séries d</w:t>
      </w:r>
      <w:r w:rsidR="00E84B0E">
        <w:t>’</w:t>
      </w:r>
      <w:r>
        <w:t>objets uniformes, fonctionnellement et esthétiquement identiques et interchangeables.</w:t>
      </w:r>
    </w:p>
    <w:p w14:paraId="79C86204" w14:textId="5CA3B76E" w:rsidR="00065317" w:rsidRDefault="005C7BF7">
      <w:pPr>
        <w:pStyle w:val="Corpsdetexte"/>
      </w:pPr>
      <w:r>
        <w:t>Le modèle de produit est la forme idéale prévue par le processus de fabrication. Généralement, les composantes d</w:t>
      </w:r>
      <w:r w:rsidR="00E84B0E">
        <w:t>’</w:t>
      </w:r>
      <w:r>
        <w:t xml:space="preserve">une instance de </w:t>
      </w:r>
      <w:r>
        <w:rPr>
          <w:rStyle w:val="VerbatimChar"/>
        </w:rPr>
        <w:t>E22_Objet_élaboré_par_l</w:t>
      </w:r>
      <w:r w:rsidR="00E84B0E">
        <w:rPr>
          <w:rStyle w:val="VerbatimChar"/>
        </w:rPr>
        <w:t>’</w:t>
      </w:r>
      <w:r>
        <w:rPr>
          <w:rStyle w:val="VerbatimChar"/>
        </w:rPr>
        <w:t>humain</w:t>
      </w:r>
      <w:r>
        <w:t xml:space="preserve"> conforme à une instance de </w:t>
      </w:r>
      <w:r>
        <w:rPr>
          <w:rStyle w:val="VerbatimChar"/>
        </w:rPr>
        <w:t>E99_Modèle_de_produit</w:t>
      </w:r>
      <w:r>
        <w:t xml:space="preserve"> sont interchangeables avec des composantes d</w:t>
      </w:r>
      <w:r w:rsidR="00E84B0E">
        <w:t>’</w:t>
      </w:r>
      <w:r>
        <w:t xml:space="preserve">autres instances de </w:t>
      </w:r>
      <w:r>
        <w:rPr>
          <w:rStyle w:val="VerbatimChar"/>
        </w:rPr>
        <w:t>E22_Objet_élaboré_par_l</w:t>
      </w:r>
      <w:r w:rsidR="00E84B0E">
        <w:rPr>
          <w:rStyle w:val="VerbatimChar"/>
        </w:rPr>
        <w:t>’</w:t>
      </w:r>
      <w:r>
        <w:rPr>
          <w:rStyle w:val="VerbatimChar"/>
        </w:rPr>
        <w:t>humain</w:t>
      </w:r>
      <w:r>
        <w:t xml:space="preserve"> fabriquées à partir du modèle de la même instance de </w:t>
      </w:r>
      <w:r>
        <w:rPr>
          <w:rStyle w:val="VerbatimChar"/>
        </w:rPr>
        <w:t>E99_Modèle_de_produit</w:t>
      </w:r>
      <w:r>
        <w:t xml:space="preserve">. Souvent, la production uniforme selon une instance de </w:t>
      </w:r>
      <w:r>
        <w:rPr>
          <w:rStyle w:val="VerbatimChar"/>
        </w:rPr>
        <w:t>E99_Modèle_de_produit</w:t>
      </w:r>
      <w:r>
        <w:t xml:space="preserve"> est atteinte en créant des outils individuels, tels que des moules ou des plaques d</w:t>
      </w:r>
      <w:r w:rsidR="00E84B0E">
        <w:t>’</w:t>
      </w:r>
      <w:r>
        <w:t>impression, qui portent en eux-mêmes le design du modèle de produit. Les outils modernes peuvent utiliser la flexibilité associée aux dispositifs contrôlés électroniquement afin d</w:t>
      </w:r>
      <w:r w:rsidR="00E84B0E">
        <w:t>’</w:t>
      </w:r>
      <w:r>
        <w:t>atteindre une telle uniformité.</w:t>
      </w:r>
    </w:p>
    <w:p w14:paraId="015B9F10" w14:textId="7FCFCC7D" w:rsidR="00065317" w:rsidRDefault="005C7BF7" w:rsidP="004E5EA3">
      <w:pPr>
        <w:pStyle w:val="Corpsdetexte"/>
      </w:pPr>
      <w:r>
        <w:t>Le modèle de produit lui-même, c.-à-d. la série potentiellement illimitée d</w:t>
      </w:r>
      <w:r w:rsidR="00E84B0E">
        <w:t>’</w:t>
      </w:r>
      <w:r>
        <w:t>objets esthétiquement équivalents, peut être la cible d</w:t>
      </w:r>
      <w:r w:rsidR="00E84B0E">
        <w:t>’</w:t>
      </w:r>
      <w:r>
        <w:t>un design artistique plutôt que l</w:t>
      </w:r>
      <w:r w:rsidR="00E84B0E">
        <w:t>’</w:t>
      </w:r>
      <w:r>
        <w:t>objet individuel. Dans certains cas particuliers, une seule instance d</w:t>
      </w:r>
      <w:r w:rsidR="00E84B0E">
        <w:t>’</w:t>
      </w:r>
      <w:r>
        <w:t>un modèle de produit peut avoir été produite, comme dans un processus d</w:t>
      </w:r>
      <w:r w:rsidR="00E84B0E">
        <w:t>’</w:t>
      </w:r>
      <w:r>
        <w:t>« impression à la demande » qui n</w:t>
      </w:r>
      <w:r w:rsidR="00E84B0E">
        <w:t>’</w:t>
      </w:r>
      <w:r>
        <w:t>a été déclenché qu</w:t>
      </w:r>
      <w:r w:rsidR="00E84B0E">
        <w:t>’</w:t>
      </w:r>
      <w:r>
        <w:t>une seule fois. Cependant, il ne faut pas confondre cette situation avec les prototypes industriels, tels que les prototypes de voitures, qui sont produits avant la mise en place de la ligne de production ou qui testent la ligne de production.</w:t>
      </w:r>
    </w:p>
    <w:p w14:paraId="1ECF3920" w14:textId="77777777" w:rsidR="00065317" w:rsidRDefault="005C7BF7">
      <w:pPr>
        <w:pStyle w:val="Corpsdetexte"/>
      </w:pPr>
      <w:r>
        <w:rPr>
          <w:b/>
          <w:bCs/>
        </w:rPr>
        <w:t>Exemples</w:t>
      </w:r>
    </w:p>
    <w:p w14:paraId="0ECF41D1" w14:textId="77777777" w:rsidR="00065317" w:rsidRDefault="005C7BF7">
      <w:pPr>
        <w:numPr>
          <w:ilvl w:val="0"/>
          <w:numId w:val="142"/>
        </w:numPr>
      </w:pPr>
      <w:r>
        <w:t>Volkswagen Type 11 (Beetle) (Rieger, 2013)</w:t>
      </w:r>
    </w:p>
    <w:p w14:paraId="401CA373" w14:textId="77777777" w:rsidR="00065317" w:rsidRDefault="005C7BF7">
      <w:pPr>
        <w:numPr>
          <w:ilvl w:val="0"/>
          <w:numId w:val="142"/>
        </w:numPr>
      </w:pPr>
      <w:r>
        <w:t>Récipient samien Dragendorff 54</w:t>
      </w:r>
    </w:p>
    <w:p w14:paraId="25B75948" w14:textId="77777777" w:rsidR="00065317" w:rsidRDefault="005C7BF7">
      <w:pPr>
        <w:numPr>
          <w:ilvl w:val="0"/>
          <w:numId w:val="142"/>
        </w:numPr>
      </w:pPr>
      <w:r>
        <w:t>Pièce de trois pence en laiton de 1937 représentant Édouard VIII</w:t>
      </w:r>
    </w:p>
    <w:p w14:paraId="05E8E538" w14:textId="3E0AA083" w:rsidR="00065317" w:rsidRDefault="005C7BF7">
      <w:pPr>
        <w:numPr>
          <w:ilvl w:val="0"/>
          <w:numId w:val="142"/>
        </w:numPr>
      </w:pPr>
      <w:r>
        <w:t>Partie B non</w:t>
      </w:r>
      <w:r w:rsidR="003773B9">
        <w:t xml:space="preserve"> </w:t>
      </w:r>
      <w:r>
        <w:t>entaillée de la gâchette d</w:t>
      </w:r>
      <w:r w:rsidR="00E84B0E">
        <w:t>’</w:t>
      </w:r>
      <w:r>
        <w:t>une arbalète de la dynastie Qin (Bg2u) (Li, 2012)</w:t>
      </w:r>
    </w:p>
    <w:p w14:paraId="52AE4273" w14:textId="77777777" w:rsidR="00065317" w:rsidRDefault="005C7BF7">
      <w:pPr>
        <w:numPr>
          <w:ilvl w:val="0"/>
          <w:numId w:val="142"/>
        </w:numPr>
      </w:pPr>
      <w:r>
        <w:t>Nokia Cityman 1320 [le premier téléphone cellulaire produit par Nokia]</w:t>
      </w:r>
    </w:p>
    <w:p w14:paraId="02381CF5" w14:textId="77777777" w:rsidR="00065317" w:rsidRDefault="005C7BF7">
      <w:pPr>
        <w:pStyle w:val="FirstParagraph"/>
      </w:pPr>
      <w:r>
        <w:rPr>
          <w:b/>
          <w:bCs/>
        </w:rPr>
        <w:t>Logique</w:t>
      </w:r>
    </w:p>
    <w:p w14:paraId="3DBB9B0D" w14:textId="77777777" w:rsidR="00065317" w:rsidRDefault="005C7BF7">
      <w:pPr>
        <w:pStyle w:val="Corpsdetexte"/>
      </w:pPr>
      <w:r>
        <w:t>E99(x) ⇒ E55(x)</w:t>
      </w:r>
    </w:p>
    <w:p w14:paraId="61381678" w14:textId="77777777" w:rsidR="00065317" w:rsidRDefault="005C7BF7">
      <w:pPr>
        <w:pStyle w:val="Corpsdetexte"/>
      </w:pPr>
      <w:r>
        <w:rPr>
          <w:b/>
          <w:bCs/>
        </w:rPr>
        <w:lastRenderedPageBreak/>
        <w:t>Propriétés</w:t>
      </w:r>
    </w:p>
    <w:p w14:paraId="3FC2D4C8" w14:textId="77777777" w:rsidR="00065317" w:rsidRDefault="005C7BF7">
      <w:pPr>
        <w:pStyle w:val="Corpsdetexte"/>
      </w:pPr>
      <w:r>
        <w:rPr>
          <w:rStyle w:val="VerbatimChar"/>
        </w:rPr>
        <w:t>P187_a_pour_plan_de_production (est_le_plan_de_production_de)</w:t>
      </w:r>
      <w:r>
        <w:t xml:space="preserve"> : </w:t>
      </w:r>
      <w:r>
        <w:rPr>
          <w:rStyle w:val="VerbatimChar"/>
        </w:rPr>
        <w:t>E29_Conceptualisation_ou_procédure</w:t>
      </w:r>
    </w:p>
    <w:p w14:paraId="3069D8AB" w14:textId="75EE91A4" w:rsidR="00065317" w:rsidRDefault="005C7BF7">
      <w:pPr>
        <w:pStyle w:val="Corpsdetexte"/>
      </w:pPr>
      <w:r>
        <w:rPr>
          <w:rStyle w:val="VerbatimChar"/>
        </w:rPr>
        <w:t>P188_nécessite_l</w:t>
      </w:r>
      <w:r w:rsidR="00E84B0E">
        <w:rPr>
          <w:rStyle w:val="VerbatimChar"/>
        </w:rPr>
        <w:t>’</w:t>
      </w:r>
      <w:r>
        <w:rPr>
          <w:rStyle w:val="VerbatimChar"/>
        </w:rPr>
        <w:t>outil (est_l</w:t>
      </w:r>
      <w:r w:rsidR="00E84B0E">
        <w:rPr>
          <w:rStyle w:val="VerbatimChar"/>
        </w:rPr>
        <w:t>’</w:t>
      </w:r>
      <w:r>
        <w:rPr>
          <w:rStyle w:val="VerbatimChar"/>
        </w:rPr>
        <w:t>outil_de_production_de)</w:t>
      </w:r>
      <w:r>
        <w:t xml:space="preserve"> : </w:t>
      </w:r>
      <w:r>
        <w:rPr>
          <w:rStyle w:val="VerbatimChar"/>
        </w:rPr>
        <w:t>E19_Objet_matériel</w:t>
      </w:r>
    </w:p>
    <w:p w14:paraId="67A9F40E" w14:textId="77777777" w:rsidR="00065317" w:rsidRDefault="005C7BF7">
      <w:pPr>
        <w:pStyle w:val="Normalcentr"/>
      </w:pPr>
      <w:r>
        <w:rPr>
          <w:b/>
          <w:bCs/>
          <w:i/>
          <w:iCs/>
        </w:rPr>
        <w:t>Note de traduction</w:t>
      </w:r>
    </w:p>
    <w:p w14:paraId="61F93B1F" w14:textId="5BB78C30" w:rsidR="00A81E78" w:rsidRPr="00F54917" w:rsidRDefault="005C7BF7" w:rsidP="00F54917">
      <w:pPr>
        <w:pStyle w:val="Normalcentr"/>
      </w:pPr>
      <w:r>
        <w:rPr>
          <w:b/>
          <w:bCs/>
          <w:i/>
          <w:iCs/>
        </w:rPr>
        <w:t>Références</w:t>
      </w:r>
      <w:bookmarkStart w:id="268" w:name="declaration-des-proprietes-du-cidoc-crm"/>
      <w:bookmarkEnd w:id="104"/>
      <w:bookmarkEnd w:id="267"/>
    </w:p>
    <w:p w14:paraId="507A24CD" w14:textId="77777777" w:rsidR="00C86352" w:rsidRDefault="00C86352">
      <w:pPr>
        <w:spacing w:after="0"/>
        <w:rPr>
          <w:rFonts w:eastAsiaTheme="majorEastAsia" w:cstheme="majorBidi"/>
          <w:b/>
          <w:bCs/>
          <w:color w:val="000000"/>
          <w:sz w:val="32"/>
          <w:szCs w:val="32"/>
        </w:rPr>
      </w:pPr>
      <w:bookmarkStart w:id="269" w:name="_Toc154048819"/>
      <w:r>
        <w:br w:type="page"/>
      </w:r>
    </w:p>
    <w:p w14:paraId="73A1EB28" w14:textId="68A65790" w:rsidR="00065317" w:rsidRDefault="005C7BF7" w:rsidP="00303C54">
      <w:pPr>
        <w:pStyle w:val="Titre2"/>
      </w:pPr>
      <w:r>
        <w:lastRenderedPageBreak/>
        <w:t xml:space="preserve">Déclaration des propriétés du </w:t>
      </w:r>
      <w:r w:rsidR="00C8288F">
        <w:t>CIDOC CRM</w:t>
      </w:r>
      <w:bookmarkEnd w:id="269"/>
    </w:p>
    <w:p w14:paraId="25C740BD" w14:textId="06B5ECE2" w:rsidR="00065317" w:rsidRDefault="005C7BF7">
      <w:pPr>
        <w:pStyle w:val="FirstParagraph"/>
      </w:pPr>
      <w:r>
        <w:t xml:space="preserve">Les propriétés du </w:t>
      </w:r>
      <w:r w:rsidR="00C8288F">
        <w:t>CIDOC CRM</w:t>
      </w:r>
      <w:r>
        <w:t xml:space="preserve"> sont déclarées ici selon la forme suivante :</w:t>
      </w:r>
    </w:p>
    <w:p w14:paraId="680B5904" w14:textId="6C358B08" w:rsidR="00065317" w:rsidRDefault="005C7BF7">
      <w:pPr>
        <w:numPr>
          <w:ilvl w:val="0"/>
          <w:numId w:val="143"/>
        </w:numPr>
      </w:pPr>
      <w:r>
        <w:t>Les noms de propriété sont présentés comme des titres en gras précédés de l</w:t>
      </w:r>
      <w:r w:rsidR="00E84B0E">
        <w:t>’</w:t>
      </w:r>
      <w:r>
        <w:t>identifiant unique de la propriété</w:t>
      </w:r>
      <w:r w:rsidR="00303C54">
        <w:t>.</w:t>
      </w:r>
    </w:p>
    <w:p w14:paraId="1662DDCD" w14:textId="5D239542" w:rsidR="00065317" w:rsidRDefault="005C7BF7">
      <w:pPr>
        <w:numPr>
          <w:ilvl w:val="0"/>
          <w:numId w:val="143"/>
        </w:numPr>
      </w:pPr>
      <w:r>
        <w:t>La ligne « Domaine : » déclare la classe pour laquelle la propriété est définie</w:t>
      </w:r>
      <w:r w:rsidR="00303C54">
        <w:t>.</w:t>
      </w:r>
    </w:p>
    <w:p w14:paraId="69E3B1CD" w14:textId="3921FFC9" w:rsidR="00065317" w:rsidRDefault="005C7BF7">
      <w:pPr>
        <w:numPr>
          <w:ilvl w:val="0"/>
          <w:numId w:val="143"/>
        </w:numPr>
      </w:pPr>
      <w:r>
        <w:t>La ligne « Portée : » déclare la classe vers laquelle la propriété pointe ou celle qui fournit les valeurs de la propriété</w:t>
      </w:r>
      <w:r w:rsidR="00303C54">
        <w:t>.</w:t>
      </w:r>
    </w:p>
    <w:p w14:paraId="5F28E561" w14:textId="1429B754" w:rsidR="00065317" w:rsidRDefault="005C7BF7">
      <w:pPr>
        <w:numPr>
          <w:ilvl w:val="0"/>
          <w:numId w:val="143"/>
        </w:numPr>
      </w:pPr>
      <w:r>
        <w:t>La ligne « Sous-propriété de : » est un coréférencement des super-propriétés que peut avoir la propriété</w:t>
      </w:r>
      <w:r w:rsidR="00303C54">
        <w:t>.</w:t>
      </w:r>
    </w:p>
    <w:p w14:paraId="3EF4A742" w14:textId="61EB29B7" w:rsidR="00065317" w:rsidRDefault="005C7BF7">
      <w:pPr>
        <w:numPr>
          <w:ilvl w:val="0"/>
          <w:numId w:val="143"/>
        </w:numPr>
      </w:pPr>
      <w:r>
        <w:t>La ligne « Super-propriété de : » est un coréférencement des sous-propriétés que peut avoir la propriété</w:t>
      </w:r>
      <w:r w:rsidR="00303C54">
        <w:t>.</w:t>
      </w:r>
    </w:p>
    <w:p w14:paraId="4AC173D4" w14:textId="15AC34EA" w:rsidR="00065317" w:rsidRDefault="005C7BF7">
      <w:pPr>
        <w:numPr>
          <w:ilvl w:val="0"/>
          <w:numId w:val="143"/>
        </w:numPr>
      </w:pPr>
      <w:r>
        <w:t>La ligne « Quantification : » déclare le nombre possible d</w:t>
      </w:r>
      <w:r w:rsidR="00E84B0E">
        <w:t>’</w:t>
      </w:r>
      <w:r>
        <w:t>occurrences d</w:t>
      </w:r>
      <w:r w:rsidR="00E84B0E">
        <w:t>’</w:t>
      </w:r>
      <w:r>
        <w:t>instances de la classe de domaine et de la classe de portée pour la propriété (les valeurs possibles sont : « 1 : plusieurs », « plusieurs : plusieurs » et « plusieurs : 1 »)</w:t>
      </w:r>
      <w:r w:rsidR="00303C54">
        <w:t>.</w:t>
      </w:r>
    </w:p>
    <w:p w14:paraId="7A857895" w14:textId="77777777" w:rsidR="00065317" w:rsidRDefault="005C7BF7">
      <w:pPr>
        <w:numPr>
          <w:ilvl w:val="0"/>
          <w:numId w:val="143"/>
        </w:numPr>
      </w:pPr>
      <w:r>
        <w:t>La ligne « Note d</w:t>
      </w:r>
      <w:r w:rsidR="00E84B0E">
        <w:t>’</w:t>
      </w:r>
      <w:r>
        <w:t>application : » contient la définition textuelle du concept que représente la propriété</w:t>
      </w:r>
      <w:r w:rsidR="00303C54">
        <w:t>.</w:t>
      </w:r>
    </w:p>
    <w:p w14:paraId="39DBD92D" w14:textId="2E1FE5F8" w:rsidR="00065317" w:rsidRDefault="005C7BF7" w:rsidP="00C86352">
      <w:pPr>
        <w:numPr>
          <w:ilvl w:val="0"/>
          <w:numId w:val="143"/>
        </w:numPr>
      </w:pPr>
      <w:r>
        <w:t>La ligne « Exemples : » contient une liste d</w:t>
      </w:r>
      <w:r w:rsidR="00E84B0E">
        <w:t>’</w:t>
      </w:r>
      <w:r>
        <w:t>exemples d</w:t>
      </w:r>
      <w:r w:rsidR="00E84B0E">
        <w:t>’</w:t>
      </w:r>
      <w:r>
        <w:t>instances de la propriété qui illustre comment elle devrait être utilisée, de plus</w:t>
      </w:r>
      <w:r w:rsidR="00303C54">
        <w:t xml:space="preserve"> </w:t>
      </w:r>
      <w:r>
        <w:t>:</w:t>
      </w:r>
    </w:p>
    <w:p w14:paraId="7AEC9D7C" w14:textId="45B1D81E" w:rsidR="00065317" w:rsidRDefault="005C7BF7" w:rsidP="00303C54">
      <w:pPr>
        <w:numPr>
          <w:ilvl w:val="0"/>
          <w:numId w:val="311"/>
        </w:numPr>
        <w:ind w:left="1560" w:hanging="567"/>
      </w:pPr>
      <w:r>
        <w:t>Si l</w:t>
      </w:r>
      <w:r w:rsidR="00E84B0E">
        <w:t>’</w:t>
      </w:r>
      <w:r>
        <w:t>exemple illustre aussi l</w:t>
      </w:r>
      <w:r w:rsidR="00E84B0E">
        <w:t>’</w:t>
      </w:r>
      <w:r>
        <w:t>instance d</w:t>
      </w:r>
      <w:r w:rsidR="00E84B0E">
        <w:t>’</w:t>
      </w:r>
      <w:r>
        <w:t>une sous-propriété de la propriété, l</w:t>
      </w:r>
      <w:r w:rsidR="00E84B0E">
        <w:t>’</w:t>
      </w:r>
      <w:r>
        <w:t>identifiant unique de cette sous-classe est indiqué entre parenthèses.</w:t>
      </w:r>
    </w:p>
    <w:p w14:paraId="6262A3A4" w14:textId="55D5065F" w:rsidR="00065317" w:rsidRDefault="005C7BF7" w:rsidP="00303C54">
      <w:pPr>
        <w:numPr>
          <w:ilvl w:val="0"/>
          <w:numId w:val="311"/>
        </w:numPr>
        <w:ind w:left="1560" w:hanging="567"/>
      </w:pPr>
      <w:r>
        <w:t>Si l</w:t>
      </w:r>
      <w:r w:rsidR="00E84B0E">
        <w:t>’</w:t>
      </w:r>
      <w:r>
        <w:t>exemple illustre l</w:t>
      </w:r>
      <w:r w:rsidR="00E84B0E">
        <w:t>’</w:t>
      </w:r>
      <w:r>
        <w:t>instanciation de deux propriétés, l</w:t>
      </w:r>
      <w:r w:rsidR="00E84B0E">
        <w:t>’</w:t>
      </w:r>
      <w:r>
        <w:t>identifiant unique de chacune est indiqué entre parenthèses.</w:t>
      </w:r>
    </w:p>
    <w:p w14:paraId="7D2CC5AF" w14:textId="1FFE5EAD" w:rsidR="00065317" w:rsidRDefault="005C7BF7">
      <w:pPr>
        <w:numPr>
          <w:ilvl w:val="0"/>
          <w:numId w:val="143"/>
        </w:numPr>
      </w:pPr>
      <w:r>
        <w:t>La ligne « Logique » exprime les contraintes formelles d</w:t>
      </w:r>
      <w:r w:rsidR="00E84B0E">
        <w:t>’</w:t>
      </w:r>
      <w:r>
        <w:t>une propriété par des axiomes logiques en utilisant la notation de la logique du premier ordre.</w:t>
      </w:r>
    </w:p>
    <w:p w14:paraId="39A8B51F" w14:textId="77777777" w:rsidR="00065317" w:rsidRDefault="005C7BF7">
      <w:pPr>
        <w:pStyle w:val="Normalcentr"/>
      </w:pPr>
      <w:r>
        <w:rPr>
          <w:b/>
          <w:bCs/>
          <w:i/>
          <w:iCs/>
        </w:rPr>
        <w:t>Note de traduction</w:t>
      </w:r>
    </w:p>
    <w:p w14:paraId="5DCFF44B" w14:textId="0AF21FD7" w:rsidR="00C86352" w:rsidRDefault="005C7BF7" w:rsidP="00F54917">
      <w:pPr>
        <w:pStyle w:val="Normalcentr"/>
        <w:rPr>
          <w:b/>
          <w:bCs/>
          <w:i/>
          <w:iCs/>
        </w:rPr>
      </w:pPr>
      <w:r>
        <w:rPr>
          <w:b/>
          <w:bCs/>
          <w:i/>
          <w:iCs/>
        </w:rPr>
        <w:t>Références</w:t>
      </w:r>
      <w:bookmarkStart w:id="270" w:name="p1-est-identifie-par-(identifie)"/>
    </w:p>
    <w:p w14:paraId="060F1054" w14:textId="1F11BEC7" w:rsidR="00144B23" w:rsidRPr="00C86352" w:rsidRDefault="00C86352" w:rsidP="00C86352">
      <w:pPr>
        <w:spacing w:after="0"/>
        <w:rPr>
          <w:b/>
          <w:bCs/>
          <w:i/>
          <w:iCs/>
          <w:sz w:val="22"/>
        </w:rPr>
      </w:pPr>
      <w:r>
        <w:rPr>
          <w:b/>
          <w:bCs/>
          <w:i/>
          <w:iCs/>
        </w:rPr>
        <w:br w:type="page"/>
      </w:r>
    </w:p>
    <w:p w14:paraId="6E4FF2AB" w14:textId="610A28E6" w:rsidR="00065317" w:rsidRDefault="005C7BF7" w:rsidP="00914F34">
      <w:pPr>
        <w:pStyle w:val="Titre3"/>
      </w:pPr>
      <w:bookmarkStart w:id="271" w:name="_Toc154048820"/>
      <w:r>
        <w:lastRenderedPageBreak/>
        <w:t>P1 est identifié par (identifie)</w:t>
      </w:r>
      <w:bookmarkEnd w:id="271"/>
    </w:p>
    <w:p w14:paraId="0C1D6AEF" w14:textId="77777777" w:rsidR="00065317" w:rsidRDefault="005C7BF7">
      <w:pPr>
        <w:pStyle w:val="FirstParagraph"/>
      </w:pPr>
      <w:r>
        <w:rPr>
          <w:b/>
          <w:bCs/>
        </w:rPr>
        <w:t>Domaine</w:t>
      </w:r>
    </w:p>
    <w:p w14:paraId="5F9BFA03" w14:textId="77777777" w:rsidR="00065317" w:rsidRDefault="005C7BF7">
      <w:pPr>
        <w:pStyle w:val="Corpsdetexte"/>
      </w:pPr>
      <w:r>
        <w:rPr>
          <w:rStyle w:val="VerbatimChar"/>
        </w:rPr>
        <w:t>E1_Entité_CRM</w:t>
      </w:r>
    </w:p>
    <w:p w14:paraId="7DD31EDA" w14:textId="77777777" w:rsidR="00065317" w:rsidRDefault="005C7BF7">
      <w:pPr>
        <w:pStyle w:val="Corpsdetexte"/>
      </w:pPr>
      <w:r>
        <w:rPr>
          <w:b/>
          <w:bCs/>
        </w:rPr>
        <w:t>Portée</w:t>
      </w:r>
    </w:p>
    <w:p w14:paraId="27538244" w14:textId="77777777" w:rsidR="00065317" w:rsidRDefault="005C7BF7">
      <w:pPr>
        <w:pStyle w:val="Corpsdetexte"/>
      </w:pPr>
      <w:r>
        <w:rPr>
          <w:rStyle w:val="VerbatimChar"/>
        </w:rPr>
        <w:t>E41_Appellation</w:t>
      </w:r>
    </w:p>
    <w:p w14:paraId="5E5755EA" w14:textId="0DDBBAF0" w:rsidR="00065317" w:rsidRDefault="005C7BF7">
      <w:pPr>
        <w:pStyle w:val="Corpsdetexte"/>
      </w:pPr>
      <w:r>
        <w:rPr>
          <w:b/>
          <w:bCs/>
        </w:rPr>
        <w:t>Sous-propriété de</w:t>
      </w:r>
    </w:p>
    <w:p w14:paraId="5787E386" w14:textId="77777777" w:rsidR="00065317" w:rsidRDefault="005C7BF7">
      <w:pPr>
        <w:pStyle w:val="Corpsdetexte"/>
      </w:pPr>
      <w:r>
        <w:rPr>
          <w:b/>
          <w:bCs/>
        </w:rPr>
        <w:t>Super-propriété de</w:t>
      </w:r>
    </w:p>
    <w:p w14:paraId="13306CA4" w14:textId="34C6721A" w:rsidR="00065317" w:rsidRDefault="005C7BF7">
      <w:pPr>
        <w:pStyle w:val="Corpsdetexte"/>
      </w:pPr>
      <w:r>
        <w:rPr>
          <w:rStyle w:val="VerbatimChar"/>
        </w:rPr>
        <w:t>E1_Entité_CRM</w:t>
      </w:r>
      <w:r>
        <w:t xml:space="preserve">. </w:t>
      </w:r>
      <w:r>
        <w:rPr>
          <w:rStyle w:val="VerbatimChar"/>
        </w:rPr>
        <w:t>P48_a_pour_identifiant_préférentiel (est_l</w:t>
      </w:r>
      <w:r w:rsidR="00E84B0E">
        <w:rPr>
          <w:rStyle w:val="VerbatimChar"/>
        </w:rPr>
        <w:t>’</w:t>
      </w:r>
      <w:r>
        <w:rPr>
          <w:rStyle w:val="VerbatimChar"/>
        </w:rPr>
        <w:t>identifiant_préférentiel_de)</w:t>
      </w:r>
      <w:r w:rsidR="00AE2FF5">
        <w:t> </w:t>
      </w:r>
      <w:r>
        <w:t xml:space="preserve">: </w:t>
      </w:r>
      <w:r>
        <w:rPr>
          <w:rStyle w:val="VerbatimChar"/>
        </w:rPr>
        <w:t>E42_Identifiant</w:t>
      </w:r>
    </w:p>
    <w:p w14:paraId="43C484B4" w14:textId="07F37682" w:rsidR="00065317" w:rsidRDefault="005C7BF7">
      <w:pPr>
        <w:pStyle w:val="Corpsdetexte"/>
      </w:pPr>
      <w:r>
        <w:rPr>
          <w:rStyle w:val="VerbatimChar"/>
        </w:rPr>
        <w:t>E71_Chose_élaborée_par_l</w:t>
      </w:r>
      <w:r w:rsidR="00E84B0E">
        <w:rPr>
          <w:rStyle w:val="VerbatimChar"/>
        </w:rPr>
        <w:t>’</w:t>
      </w:r>
      <w:r>
        <w:rPr>
          <w:rStyle w:val="VerbatimChar"/>
        </w:rPr>
        <w:t>humain</w:t>
      </w:r>
      <w:r>
        <w:t xml:space="preserve">. </w:t>
      </w:r>
      <w:r>
        <w:rPr>
          <w:rStyle w:val="VerbatimChar"/>
        </w:rPr>
        <w:t xml:space="preserve">P102_a_pour_titre (est_le_titre_de) </w:t>
      </w:r>
      <w:r>
        <w:t xml:space="preserve">: </w:t>
      </w:r>
      <w:r>
        <w:rPr>
          <w:rStyle w:val="VerbatimChar"/>
        </w:rPr>
        <w:t>E35_Titre</w:t>
      </w:r>
    </w:p>
    <w:p w14:paraId="6523BEE9" w14:textId="77777777" w:rsidR="00065317" w:rsidRDefault="005C7BF7">
      <w:pPr>
        <w:pStyle w:val="Corpsdetexte"/>
      </w:pPr>
      <w:r>
        <w:rPr>
          <w:rStyle w:val="VerbatimChar"/>
        </w:rPr>
        <w:t>E53_Lieu</w:t>
      </w:r>
      <w:r>
        <w:t xml:space="preserve">. </w:t>
      </w:r>
      <w:r>
        <w:rPr>
          <w:rStyle w:val="VerbatimChar"/>
        </w:rPr>
        <w:t xml:space="preserve">P168_lieu_défini_par (définit_le_lieu) </w:t>
      </w:r>
      <w:r>
        <w:t xml:space="preserve">: </w:t>
      </w:r>
      <w:r>
        <w:rPr>
          <w:rStyle w:val="VerbatimChar"/>
        </w:rPr>
        <w:t>E94_Primitive_spatiale</w:t>
      </w:r>
    </w:p>
    <w:p w14:paraId="275FE276" w14:textId="77777777" w:rsidR="00065317" w:rsidRDefault="005C7BF7">
      <w:pPr>
        <w:pStyle w:val="Corpsdetexte"/>
      </w:pPr>
      <w:r>
        <w:rPr>
          <w:rStyle w:val="VerbatimChar"/>
        </w:rPr>
        <w:t>E92_Volume_spatio-temporel</w:t>
      </w:r>
      <w:r>
        <w:t xml:space="preserve">. </w:t>
      </w:r>
      <w:r>
        <w:rPr>
          <w:rStyle w:val="VerbatimChar"/>
        </w:rPr>
        <w:t xml:space="preserve">P169i_volume_spatio-temporel_défini_par </w:t>
      </w:r>
      <w:r>
        <w:t xml:space="preserve">: </w:t>
      </w:r>
      <w:r>
        <w:rPr>
          <w:rStyle w:val="VerbatimChar"/>
        </w:rPr>
        <w:t>E95_Primitive_spatio-temporelle</w:t>
      </w:r>
    </w:p>
    <w:p w14:paraId="247F9F56" w14:textId="77777777" w:rsidR="00065317" w:rsidRDefault="005C7BF7">
      <w:pPr>
        <w:pStyle w:val="Corpsdetexte"/>
      </w:pPr>
      <w:r>
        <w:rPr>
          <w:rStyle w:val="VerbatimChar"/>
        </w:rPr>
        <w:t>E52_Intervalle_temporel</w:t>
      </w:r>
      <w:r>
        <w:t xml:space="preserve">. </w:t>
      </w:r>
      <w:r>
        <w:rPr>
          <w:rStyle w:val="VerbatimChar"/>
        </w:rPr>
        <w:t xml:space="preserve">P170i_définit_le_temps </w:t>
      </w:r>
      <w:r>
        <w:t xml:space="preserve">: </w:t>
      </w:r>
      <w:r>
        <w:rPr>
          <w:rStyle w:val="VerbatimChar"/>
        </w:rPr>
        <w:t>E61_Primitive_temporelle</w:t>
      </w:r>
    </w:p>
    <w:p w14:paraId="4F10713F" w14:textId="77777777" w:rsidR="00065317" w:rsidRDefault="005C7BF7">
      <w:pPr>
        <w:pStyle w:val="Corpsdetexte"/>
      </w:pPr>
      <w:r>
        <w:rPr>
          <w:b/>
          <w:bCs/>
        </w:rPr>
        <w:t>Quantification</w:t>
      </w:r>
    </w:p>
    <w:p w14:paraId="44D550E8" w14:textId="77777777" w:rsidR="00065317" w:rsidRDefault="005C7BF7">
      <w:pPr>
        <w:pStyle w:val="Corpsdetexte"/>
      </w:pPr>
      <w:r>
        <w:t>plusieurs à plusieurs (0,n:0,n)</w:t>
      </w:r>
    </w:p>
    <w:p w14:paraId="468DB803" w14:textId="40FDFD91" w:rsidR="00065317" w:rsidRDefault="005C7BF7">
      <w:pPr>
        <w:pStyle w:val="Corpsdetexte"/>
      </w:pPr>
      <w:r>
        <w:rPr>
          <w:b/>
          <w:bCs/>
        </w:rPr>
        <w:t>Note d</w:t>
      </w:r>
      <w:r w:rsidR="00E84B0E">
        <w:rPr>
          <w:b/>
          <w:bCs/>
        </w:rPr>
        <w:t>’</w:t>
      </w:r>
      <w:r>
        <w:rPr>
          <w:b/>
          <w:bCs/>
        </w:rPr>
        <w:t>application</w:t>
      </w:r>
    </w:p>
    <w:p w14:paraId="45D91BDD" w14:textId="3DF62DAB" w:rsidR="00065317" w:rsidRDefault="005C7BF7">
      <w:pPr>
        <w:pStyle w:val="Corpsdetexte"/>
      </w:pPr>
      <w:r>
        <w:t>Cette propriété décrit la dénomination ou l</w:t>
      </w:r>
      <w:r w:rsidR="00E84B0E">
        <w:t>’</w:t>
      </w:r>
      <w:r>
        <w:t>identification de n</w:t>
      </w:r>
      <w:r w:rsidR="00E84B0E">
        <w:t>’</w:t>
      </w:r>
      <w:r>
        <w:t>importe quelle entité du monde réel par un nom ou tout autre identifiant.</w:t>
      </w:r>
    </w:p>
    <w:p w14:paraId="350EBFC8" w14:textId="7D29EBA1" w:rsidR="00065317" w:rsidRDefault="005C7BF7">
      <w:pPr>
        <w:pStyle w:val="Corpsdetexte"/>
      </w:pPr>
      <w:r>
        <w:t>Cette propriété est destinée aux identifiants d</w:t>
      </w:r>
      <w:r w:rsidR="00E84B0E">
        <w:t>’</w:t>
      </w:r>
      <w:r>
        <w:t>usage général, qui font partie du monde que le modèle vise à décrire, et pas seulement aux identifiants internes utilisés au sein de bases de données et qui sont spécifiques à un système technique, à moins que ces derniers aient aussi une utilisation plus générale qui ne se limite pas au contexte technique. Cette propriété comprend notamment l</w:t>
      </w:r>
      <w:r w:rsidR="00E84B0E">
        <w:t>’</w:t>
      </w:r>
      <w:r>
        <w:t>identification à l</w:t>
      </w:r>
      <w:r w:rsidR="00E84B0E">
        <w:t>’</w:t>
      </w:r>
      <w:r>
        <w:t>aide d</w:t>
      </w:r>
      <w:r w:rsidR="00E84B0E">
        <w:t>’</w:t>
      </w:r>
      <w:r>
        <w:t>expressions mathématiques, tels que les systèmes de coordonnées utilisés pour l</w:t>
      </w:r>
      <w:r w:rsidR="00E84B0E">
        <w:t>’</w:t>
      </w:r>
      <w:r>
        <w:t>identification d</w:t>
      </w:r>
      <w:r w:rsidR="00E84B0E">
        <w:t>’</w:t>
      </w:r>
      <w:r>
        <w:t xml:space="preserve">instances de </w:t>
      </w:r>
      <w:r>
        <w:rPr>
          <w:rStyle w:val="VerbatimChar"/>
        </w:rPr>
        <w:t>E53_Lieu</w:t>
      </w:r>
      <w:r>
        <w:t>. Cette propriété ne révèle rien sur quand, où et par qui cet identifiant a été utilisé. Une représentation plus détaillée peut être construite en utilisant le chemin sémantique complètement développé (c.-à-d. indirect) par l</w:t>
      </w:r>
      <w:r w:rsidR="00E84B0E">
        <w:t>’</w:t>
      </w:r>
      <w:r>
        <w:t xml:space="preserve">intermédiaire de la classe </w:t>
      </w:r>
      <w:r>
        <w:rPr>
          <w:rStyle w:val="VerbatimChar"/>
        </w:rPr>
        <w:t>E15_Assignation_d</w:t>
      </w:r>
      <w:r w:rsidR="00E84B0E">
        <w:rPr>
          <w:rStyle w:val="VerbatimChar"/>
        </w:rPr>
        <w:t>’</w:t>
      </w:r>
      <w:r>
        <w:rPr>
          <w:rStyle w:val="VerbatimChar"/>
        </w:rPr>
        <w:t>identifiant</w:t>
      </w:r>
      <w:r>
        <w:t>.</w:t>
      </w:r>
    </w:p>
    <w:p w14:paraId="11E034F9" w14:textId="6631D698" w:rsidR="00065317" w:rsidRDefault="005C7BF7">
      <w:pPr>
        <w:pStyle w:val="Corpsdetexte"/>
      </w:pPr>
      <w:r>
        <w:rPr>
          <w:rStyle w:val="VerbatimChar"/>
        </w:rPr>
        <w:t>P1_est_identifié_par (identifie)</w:t>
      </w:r>
      <w:r>
        <w:t xml:space="preserve"> est un raccourci du chemin sémantique suivant : </w:t>
      </w:r>
      <w:r>
        <w:rPr>
          <w:rStyle w:val="VerbatimChar"/>
        </w:rPr>
        <w:t>E1_Entité_CRM</w:t>
      </w:r>
      <w:r>
        <w:t xml:space="preserve">, </w:t>
      </w:r>
      <w:r>
        <w:rPr>
          <w:rStyle w:val="VerbatimChar"/>
        </w:rPr>
        <w:t>P140i_a_reçu_l</w:t>
      </w:r>
      <w:r w:rsidR="00E84B0E">
        <w:rPr>
          <w:rStyle w:val="VerbatimChar"/>
        </w:rPr>
        <w:t>’</w:t>
      </w:r>
      <w:r>
        <w:rPr>
          <w:rStyle w:val="VerbatimChar"/>
        </w:rPr>
        <w:t>attribut_par</w:t>
      </w:r>
      <w:r>
        <w:t xml:space="preserve">, </w:t>
      </w:r>
      <w:r>
        <w:rPr>
          <w:rStyle w:val="VerbatimChar"/>
        </w:rPr>
        <w:t>E15_Assignation_d</w:t>
      </w:r>
      <w:r w:rsidR="00E84B0E">
        <w:rPr>
          <w:rStyle w:val="VerbatimChar"/>
        </w:rPr>
        <w:t>’</w:t>
      </w:r>
      <w:r>
        <w:rPr>
          <w:rStyle w:val="VerbatimChar"/>
        </w:rPr>
        <w:t>identifiant</w:t>
      </w:r>
      <w:r>
        <w:t xml:space="preserve">, </w:t>
      </w:r>
      <w:r>
        <w:rPr>
          <w:rStyle w:val="VerbatimChar"/>
        </w:rPr>
        <w:t>P37_a_assigné (a_été_assigné_par)</w:t>
      </w:r>
      <w:r>
        <w:t xml:space="preserve">, </w:t>
      </w:r>
      <w:r>
        <w:rPr>
          <w:rStyle w:val="VerbatimChar"/>
        </w:rPr>
        <w:t>E42_Identifiant</w:t>
      </w:r>
      <w:r>
        <w:t>.</w:t>
      </w:r>
    </w:p>
    <w:p w14:paraId="615CFBB6" w14:textId="2B68B36E" w:rsidR="00065317" w:rsidRDefault="005C7BF7">
      <w:pPr>
        <w:pStyle w:val="Corpsdetexte"/>
      </w:pPr>
      <w:r>
        <w:t>Il s</w:t>
      </w:r>
      <w:r w:rsidR="00E84B0E">
        <w:t>’</w:t>
      </w:r>
      <w:r>
        <w:t>agit aussi d</w:t>
      </w:r>
      <w:r w:rsidR="00E84B0E">
        <w:t>’</w:t>
      </w:r>
      <w:r>
        <w:t xml:space="preserve">un raccourci du chemin sémantique suivant : </w:t>
      </w:r>
      <w:r>
        <w:rPr>
          <w:rStyle w:val="VerbatimChar"/>
        </w:rPr>
        <w:t>E1_Entité_CRM</w:t>
      </w:r>
      <w:r>
        <w:t xml:space="preserve">, </w:t>
      </w:r>
      <w:r>
        <w:rPr>
          <w:rStyle w:val="VerbatimChar"/>
        </w:rPr>
        <w:t>P1_est_identifié_par (identifie)</w:t>
      </w:r>
      <w:r>
        <w:t xml:space="preserve">, </w:t>
      </w:r>
      <w:r>
        <w:rPr>
          <w:rStyle w:val="VerbatimChar"/>
        </w:rPr>
        <w:t>E41_Appellation</w:t>
      </w:r>
      <w:r>
        <w:t xml:space="preserve">, </w:t>
      </w:r>
      <w:r>
        <w:rPr>
          <w:rStyle w:val="VerbatimChar"/>
        </w:rPr>
        <w:t>P139_a_pour_forme_alternative (est_la_forme_alternative_de)</w:t>
      </w:r>
      <w:r>
        <w:t xml:space="preserve">, </w:t>
      </w:r>
      <w:r>
        <w:rPr>
          <w:rStyle w:val="VerbatimChar"/>
        </w:rPr>
        <w:t>E41_Appellation</w:t>
      </w:r>
      <w:r>
        <w:t>.</w:t>
      </w:r>
    </w:p>
    <w:p w14:paraId="47316B5B" w14:textId="77777777" w:rsidR="00065317" w:rsidRDefault="005C7BF7">
      <w:pPr>
        <w:pStyle w:val="Corpsdetexte"/>
      </w:pPr>
      <w:r>
        <w:rPr>
          <w:b/>
          <w:bCs/>
        </w:rPr>
        <w:t>Exemples</w:t>
      </w:r>
    </w:p>
    <w:p w14:paraId="4DF04DA9" w14:textId="3C9F23B9" w:rsidR="00065317" w:rsidRDefault="005C7BF7">
      <w:pPr>
        <w:numPr>
          <w:ilvl w:val="0"/>
          <w:numId w:val="144"/>
        </w:numPr>
      </w:pPr>
      <w:r>
        <w:t>La capitale de l</w:t>
      </w:r>
      <w:r w:rsidR="00E84B0E">
        <w:t>’</w:t>
      </w:r>
      <w:r>
        <w:t>Italie (</w:t>
      </w:r>
      <w:r>
        <w:rPr>
          <w:rStyle w:val="VerbatimChar"/>
        </w:rPr>
        <w:t>E53_Lieu</w:t>
      </w:r>
      <w:r>
        <w:t>) est identifiée par (</w:t>
      </w:r>
      <w:r>
        <w:rPr>
          <w:rStyle w:val="VerbatimChar"/>
        </w:rPr>
        <w:t>P1_est_identifié_par</w:t>
      </w:r>
      <w:r>
        <w:t>) « Rome » (</w:t>
      </w:r>
      <w:r>
        <w:rPr>
          <w:rStyle w:val="VerbatimChar"/>
        </w:rPr>
        <w:t>E41_Appellation</w:t>
      </w:r>
      <w:r>
        <w:t>) (Leach, 2017)</w:t>
      </w:r>
    </w:p>
    <w:p w14:paraId="16E030CD" w14:textId="77777777" w:rsidR="00065317" w:rsidRDefault="005C7BF7">
      <w:pPr>
        <w:numPr>
          <w:ilvl w:val="0"/>
          <w:numId w:val="144"/>
        </w:numPr>
      </w:pPr>
      <w:r>
        <w:lastRenderedPageBreak/>
        <w:t>Le texte 25014-32 (</w:t>
      </w:r>
      <w:r>
        <w:rPr>
          <w:rStyle w:val="VerbatimChar"/>
        </w:rPr>
        <w:t>E33_Objet_linguistique</w:t>
      </w:r>
      <w:r>
        <w:t>) est identifié par (</w:t>
      </w:r>
      <w:r>
        <w:rPr>
          <w:rStyle w:val="VerbatimChar"/>
        </w:rPr>
        <w:t>P1_est_identifié_par</w:t>
      </w:r>
      <w:r>
        <w:t xml:space="preserve">) </w:t>
      </w:r>
      <w:r>
        <w:rPr>
          <w:i/>
          <w:iCs/>
        </w:rPr>
        <w:t>The Decline and Fall of the Roman Empire</w:t>
      </w:r>
      <w:r>
        <w:t xml:space="preserve"> (</w:t>
      </w:r>
      <w:r>
        <w:rPr>
          <w:rStyle w:val="VerbatimChar"/>
        </w:rPr>
        <w:t>E35_Titre</w:t>
      </w:r>
      <w:r>
        <w:t>) (Gibbon, 2013)</w:t>
      </w:r>
    </w:p>
    <w:p w14:paraId="31BCEB3C" w14:textId="77777777" w:rsidR="00065317" w:rsidRDefault="005C7BF7">
      <w:pPr>
        <w:pStyle w:val="FirstParagraph"/>
      </w:pPr>
      <w:r>
        <w:rPr>
          <w:b/>
          <w:bCs/>
        </w:rPr>
        <w:t>Logique</w:t>
      </w:r>
    </w:p>
    <w:p w14:paraId="37993091" w14:textId="77777777" w:rsidR="00065317" w:rsidRDefault="005C7BF7">
      <w:pPr>
        <w:pStyle w:val="Corpsdetexte"/>
      </w:pPr>
      <w:r>
        <w:t>P1(x,y) ⇒ E1(x)</w:t>
      </w:r>
    </w:p>
    <w:p w14:paraId="0AE9075E" w14:textId="77777777" w:rsidR="00065317" w:rsidRDefault="005C7BF7">
      <w:pPr>
        <w:pStyle w:val="Corpsdetexte"/>
      </w:pPr>
      <w:r>
        <w:t>P1(x,y) ⇒ E41(y)</w:t>
      </w:r>
    </w:p>
    <w:p w14:paraId="28CC48B6" w14:textId="77777777" w:rsidR="00065317" w:rsidRDefault="005C7BF7">
      <w:pPr>
        <w:pStyle w:val="Corpsdetexte"/>
      </w:pPr>
      <w:r>
        <w:t>P1(x,y) ⇐ (∃z) [E15(z)˄ P140i(x,z) ˄ P37(z,y)]</w:t>
      </w:r>
    </w:p>
    <w:p w14:paraId="400E445C" w14:textId="77777777" w:rsidR="00065317" w:rsidRDefault="005C7BF7">
      <w:pPr>
        <w:pStyle w:val="Corpsdetexte"/>
      </w:pPr>
      <w:r>
        <w:t>P1(x,y) ⇐ (∃z) [E41(z)˄ P1(x,z) ˄ P139(z,y)]</w:t>
      </w:r>
    </w:p>
    <w:p w14:paraId="7E6159E1" w14:textId="77777777" w:rsidR="00065317" w:rsidRDefault="005C7BF7">
      <w:pPr>
        <w:pStyle w:val="Corpsdetexte"/>
      </w:pPr>
      <w:r>
        <w:rPr>
          <w:b/>
          <w:bCs/>
        </w:rPr>
        <w:t>Propriétés</w:t>
      </w:r>
    </w:p>
    <w:p w14:paraId="77C2127B" w14:textId="77777777" w:rsidR="00065317" w:rsidRDefault="005C7BF7">
      <w:pPr>
        <w:pStyle w:val="Normalcentr"/>
      </w:pPr>
      <w:r>
        <w:rPr>
          <w:b/>
          <w:bCs/>
          <w:i/>
          <w:iCs/>
        </w:rPr>
        <w:t>Note de traduction</w:t>
      </w:r>
    </w:p>
    <w:p w14:paraId="5DEB1EF3" w14:textId="3C142264" w:rsidR="00065317" w:rsidRDefault="005C7BF7" w:rsidP="00BF7EA3">
      <w:pPr>
        <w:pStyle w:val="Normalcentr"/>
      </w:pPr>
      <w:r>
        <w:rPr>
          <w:b/>
          <w:bCs/>
          <w:i/>
          <w:iCs/>
        </w:rPr>
        <w:t>Références</w:t>
      </w:r>
    </w:p>
    <w:p w14:paraId="200F3D27" w14:textId="77777777" w:rsidR="00065317" w:rsidRDefault="005C7BF7" w:rsidP="00914F34">
      <w:pPr>
        <w:pStyle w:val="Titre3"/>
      </w:pPr>
      <w:bookmarkStart w:id="272" w:name="_Toc154048821"/>
      <w:bookmarkStart w:id="273" w:name="p2-a-pour-type-(est-le-type-de)"/>
      <w:bookmarkEnd w:id="270"/>
      <w:r>
        <w:t>P2 a pour type (est le type de)</w:t>
      </w:r>
      <w:bookmarkEnd w:id="272"/>
    </w:p>
    <w:p w14:paraId="03A9B1BA" w14:textId="77777777" w:rsidR="00065317" w:rsidRDefault="005C7BF7">
      <w:pPr>
        <w:pStyle w:val="FirstParagraph"/>
      </w:pPr>
      <w:r>
        <w:rPr>
          <w:b/>
          <w:bCs/>
        </w:rPr>
        <w:t>Domaine</w:t>
      </w:r>
    </w:p>
    <w:p w14:paraId="2013D4A9" w14:textId="77777777" w:rsidR="00065317" w:rsidRDefault="005C7BF7">
      <w:pPr>
        <w:pStyle w:val="Corpsdetexte"/>
      </w:pPr>
      <w:r>
        <w:rPr>
          <w:rStyle w:val="VerbatimChar"/>
        </w:rPr>
        <w:t>E1_Entité_CRM</w:t>
      </w:r>
    </w:p>
    <w:p w14:paraId="33D211B1" w14:textId="77777777" w:rsidR="00065317" w:rsidRDefault="005C7BF7">
      <w:pPr>
        <w:pStyle w:val="Corpsdetexte"/>
      </w:pPr>
      <w:r>
        <w:rPr>
          <w:b/>
          <w:bCs/>
        </w:rPr>
        <w:t>Portée</w:t>
      </w:r>
    </w:p>
    <w:p w14:paraId="1CFD72EB" w14:textId="77777777" w:rsidR="00065317" w:rsidRDefault="005C7BF7">
      <w:pPr>
        <w:pStyle w:val="Corpsdetexte"/>
      </w:pPr>
      <w:r>
        <w:rPr>
          <w:rStyle w:val="VerbatimChar"/>
        </w:rPr>
        <w:t>E55_Type</w:t>
      </w:r>
    </w:p>
    <w:p w14:paraId="422E5D04" w14:textId="77777777" w:rsidR="00065317" w:rsidRDefault="005C7BF7">
      <w:pPr>
        <w:pStyle w:val="Corpsdetexte"/>
      </w:pPr>
      <w:r>
        <w:rPr>
          <w:b/>
          <w:bCs/>
        </w:rPr>
        <w:t>Sous-propriété de</w:t>
      </w:r>
    </w:p>
    <w:p w14:paraId="07B32C69" w14:textId="77777777" w:rsidR="00065317" w:rsidRDefault="005C7BF7">
      <w:pPr>
        <w:pStyle w:val="Corpsdetexte"/>
      </w:pPr>
      <w:r>
        <w:rPr>
          <w:b/>
          <w:bCs/>
        </w:rPr>
        <w:t>Super-propriété de</w:t>
      </w:r>
    </w:p>
    <w:p w14:paraId="7FBB7655" w14:textId="77777777" w:rsidR="00065317" w:rsidRDefault="005C7BF7">
      <w:pPr>
        <w:pStyle w:val="Corpsdetexte"/>
      </w:pPr>
      <w:r>
        <w:rPr>
          <w:rStyle w:val="VerbatimChar"/>
        </w:rPr>
        <w:t>E1_Entité_CRM</w:t>
      </w:r>
      <w:r>
        <w:t xml:space="preserve">. </w:t>
      </w:r>
      <w:r>
        <w:rPr>
          <w:rStyle w:val="VerbatimChar"/>
        </w:rPr>
        <w:t>P137_exemplifie (est_exemplifié_par)</w:t>
      </w:r>
      <w:r>
        <w:t xml:space="preserve"> : </w:t>
      </w:r>
      <w:r>
        <w:rPr>
          <w:rStyle w:val="VerbatimChar"/>
        </w:rPr>
        <w:t>E55_Type</w:t>
      </w:r>
    </w:p>
    <w:p w14:paraId="55B791F0" w14:textId="32F14E51" w:rsidR="00065317" w:rsidRDefault="005C7BF7">
      <w:pPr>
        <w:pStyle w:val="Corpsdetexte"/>
      </w:pPr>
      <w:r>
        <w:rPr>
          <w:rStyle w:val="VerbatimChar"/>
        </w:rPr>
        <w:t>E13_Assignation_d</w:t>
      </w:r>
      <w:r w:rsidR="00E84B0E">
        <w:rPr>
          <w:rStyle w:val="VerbatimChar"/>
        </w:rPr>
        <w:t>’</w:t>
      </w:r>
      <w:r>
        <w:rPr>
          <w:rStyle w:val="VerbatimChar"/>
        </w:rPr>
        <w:t>attribut</w:t>
      </w:r>
      <w:r>
        <w:t xml:space="preserve">. </w:t>
      </w:r>
      <w:r>
        <w:rPr>
          <w:rStyle w:val="VerbatimChar"/>
        </w:rPr>
        <w:t>P177_a_assigné_le_type_de_propriété (est_le_type_de_la_propriété_assigné)</w:t>
      </w:r>
      <w:r>
        <w:t xml:space="preserve"> : </w:t>
      </w:r>
      <w:r>
        <w:rPr>
          <w:rStyle w:val="VerbatimChar"/>
        </w:rPr>
        <w:t>E55_Type</w:t>
      </w:r>
    </w:p>
    <w:p w14:paraId="7E669626" w14:textId="77777777" w:rsidR="00065317" w:rsidRDefault="005C7BF7">
      <w:pPr>
        <w:pStyle w:val="Corpsdetexte"/>
      </w:pPr>
      <w:r>
        <w:rPr>
          <w:b/>
          <w:bCs/>
        </w:rPr>
        <w:t>Quantification</w:t>
      </w:r>
    </w:p>
    <w:p w14:paraId="409B3A92" w14:textId="77777777" w:rsidR="00065317" w:rsidRDefault="005C7BF7">
      <w:pPr>
        <w:pStyle w:val="Corpsdetexte"/>
      </w:pPr>
      <w:r>
        <w:t>plusieurs à plusieurs (0,n:0,n)</w:t>
      </w:r>
    </w:p>
    <w:p w14:paraId="1E22DC2A" w14:textId="7C94F99C" w:rsidR="00065317" w:rsidRDefault="005C7BF7">
      <w:pPr>
        <w:pStyle w:val="Corpsdetexte"/>
      </w:pPr>
      <w:r>
        <w:rPr>
          <w:b/>
          <w:bCs/>
        </w:rPr>
        <w:t>Note d</w:t>
      </w:r>
      <w:r w:rsidR="00E84B0E">
        <w:rPr>
          <w:b/>
          <w:bCs/>
        </w:rPr>
        <w:t>’</w:t>
      </w:r>
      <w:r>
        <w:rPr>
          <w:b/>
          <w:bCs/>
        </w:rPr>
        <w:t>application</w:t>
      </w:r>
    </w:p>
    <w:p w14:paraId="3A650B07" w14:textId="0AD16D85" w:rsidR="00065317" w:rsidRDefault="005C7BF7">
      <w:pPr>
        <w:pStyle w:val="Corpsdetexte"/>
      </w:pPr>
      <w:r>
        <w:t>Cette propriété permet le sous-typage d</w:t>
      </w:r>
      <w:r w:rsidR="00E84B0E">
        <w:t>’</w:t>
      </w:r>
      <w:r>
        <w:t xml:space="preserve">entités du </w:t>
      </w:r>
      <w:r w:rsidR="00C8288F">
        <w:t>CIDOC CRM</w:t>
      </w:r>
      <w:r>
        <w:t xml:space="preserve"> </w:t>
      </w:r>
      <w:r w:rsidR="00AE2FF5">
        <w:t>‒</w:t>
      </w:r>
      <w:r>
        <w:t xml:space="preserve"> une forme de spécialisation </w:t>
      </w:r>
      <w:r w:rsidR="00AE2FF5">
        <w:t>‒</w:t>
      </w:r>
      <w:r>
        <w:t xml:space="preserve"> grâce à l</w:t>
      </w:r>
      <w:r w:rsidR="00E84B0E">
        <w:t>’</w:t>
      </w:r>
      <w:r>
        <w:t>utilisation d</w:t>
      </w:r>
      <w:r w:rsidR="00E84B0E">
        <w:t>’</w:t>
      </w:r>
      <w:r>
        <w:t>un thésaurus ou d</w:t>
      </w:r>
      <w:r w:rsidR="00E84B0E">
        <w:t>’</w:t>
      </w:r>
      <w:r>
        <w:t>une hiérarchie terminologique.</w:t>
      </w:r>
    </w:p>
    <w:p w14:paraId="5164E83B" w14:textId="3B60DD45" w:rsidR="00065317" w:rsidRDefault="005C7BF7">
      <w:pPr>
        <w:pStyle w:val="Corpsdetexte"/>
      </w:pPr>
      <w:r>
        <w:t xml:space="preserve">Le </w:t>
      </w:r>
      <w:r w:rsidR="00C8288F">
        <w:t>CIDOC CRM</w:t>
      </w:r>
      <w:r>
        <w:t xml:space="preserve"> porte principalement sur les entités de haut niveau et les relations qui sont nécessaires à la description des structures de données. À cet égard, le modèle ne précise pas les entités par des spécialisations supplémentaires au-delà de ce qui est nécessaire à ses objectifs. Les entités relevant d</w:t>
      </w:r>
      <w:r w:rsidR="00E84B0E">
        <w:t>’</w:t>
      </w:r>
      <w:r>
        <w:t xml:space="preserve">une hiérarchie </w:t>
      </w:r>
      <w:r>
        <w:rPr>
          <w:rStyle w:val="VerbatimChar"/>
        </w:rPr>
        <w:t>estUn</w:t>
      </w:r>
      <w:r>
        <w:t xml:space="preserve"> peuvent néanmoins être précisées par plusieurs sous-entités qui peuvent être définies dans une hiérarchie de </w:t>
      </w:r>
      <w:r>
        <w:rPr>
          <w:rStyle w:val="VerbatimChar"/>
        </w:rPr>
        <w:t>E55_Type</w:t>
      </w:r>
      <w:r>
        <w:t xml:space="preserve">. Par exemple, </w:t>
      </w:r>
      <w:r>
        <w:rPr>
          <w:rStyle w:val="VerbatimChar"/>
        </w:rPr>
        <w:t>E41_Appellation</w:t>
      </w:r>
      <w:r>
        <w:t xml:space="preserve"> peut être précisée [</w:t>
      </w:r>
      <w:r w:rsidR="00AF51A3">
        <w:t xml:space="preserve">n.d.t. </w:t>
      </w:r>
      <w:r>
        <w:t xml:space="preserve">des types] « adresse courriel », « numéro de téléphone », « boîte postale » ou « URL » sans que ceux-ci ne se trouvent explicitement dans la hiérarchie du </w:t>
      </w:r>
      <w:r w:rsidR="00C8288F">
        <w:t>CIDOC CRM</w:t>
      </w:r>
      <w:r>
        <w:t>.</w:t>
      </w:r>
    </w:p>
    <w:p w14:paraId="272DED5C" w14:textId="6A3D1C14" w:rsidR="00065317" w:rsidRDefault="005C7BF7">
      <w:pPr>
        <w:pStyle w:val="Corpsdetexte"/>
      </w:pPr>
      <w:r>
        <w:t xml:space="preserve">Une explication exhaustive de la manière de préciser des concepts du </w:t>
      </w:r>
      <w:r w:rsidR="00C8288F">
        <w:t>CIDOC CRM</w:t>
      </w:r>
      <w:r>
        <w:t xml:space="preserve"> en utilisant la classe </w:t>
      </w:r>
      <w:r>
        <w:rPr>
          <w:rStyle w:val="VerbatimChar"/>
        </w:rPr>
        <w:t>E55_Type</w:t>
      </w:r>
      <w:r>
        <w:t xml:space="preserve"> se trouve dans la sous-section « Des types » de la section « Construits spécifiques de modélisation ».</w:t>
      </w:r>
    </w:p>
    <w:p w14:paraId="27F7B8AB" w14:textId="77777777" w:rsidR="00065317" w:rsidRDefault="005C7BF7">
      <w:pPr>
        <w:pStyle w:val="Corpsdetexte"/>
      </w:pPr>
      <w:r>
        <w:rPr>
          <w:rStyle w:val="VerbatimChar"/>
        </w:rPr>
        <w:lastRenderedPageBreak/>
        <w:t>P2_a_pour_type (est_le_type_de)</w:t>
      </w:r>
      <w:r>
        <w:t xml:space="preserve"> est un raccourci du chemin sémantique suivant : </w:t>
      </w:r>
      <w:r>
        <w:rPr>
          <w:rStyle w:val="VerbatimChar"/>
        </w:rPr>
        <w:t>E1_Entité_CRM</w:t>
      </w:r>
      <w:r>
        <w:t xml:space="preserve">, </w:t>
      </w:r>
      <w:r>
        <w:rPr>
          <w:rStyle w:val="VerbatimChar"/>
        </w:rPr>
        <w:t>P41i_a_été_classifié_par</w:t>
      </w:r>
      <w:r>
        <w:t xml:space="preserve">, </w:t>
      </w:r>
      <w:r>
        <w:rPr>
          <w:rStyle w:val="VerbatimChar"/>
        </w:rPr>
        <w:t>E17_Assignation_de_type</w:t>
      </w:r>
      <w:r>
        <w:t xml:space="preserve">, </w:t>
      </w:r>
      <w:r>
        <w:rPr>
          <w:rStyle w:val="VerbatimChar"/>
        </w:rPr>
        <w:t>P42_a_assigné</w:t>
      </w:r>
      <w:r>
        <w:t xml:space="preserve">, </w:t>
      </w:r>
      <w:r>
        <w:rPr>
          <w:rStyle w:val="VerbatimChar"/>
        </w:rPr>
        <w:t>E55_Type</w:t>
      </w:r>
      <w:r>
        <w:t>.</w:t>
      </w:r>
    </w:p>
    <w:p w14:paraId="65742E38" w14:textId="77777777" w:rsidR="00065317" w:rsidRDefault="005C7BF7">
      <w:pPr>
        <w:pStyle w:val="Corpsdetexte"/>
      </w:pPr>
      <w:r>
        <w:rPr>
          <w:b/>
          <w:bCs/>
        </w:rPr>
        <w:t>Exemples</w:t>
      </w:r>
    </w:p>
    <w:p w14:paraId="351DF9BA" w14:textId="77777777" w:rsidR="00065317" w:rsidRDefault="005C7BF7">
      <w:pPr>
        <w:numPr>
          <w:ilvl w:val="0"/>
          <w:numId w:val="145"/>
        </w:numPr>
      </w:pPr>
      <w:r>
        <w:t>« enquiries@cidoc-crm.org » (</w:t>
      </w:r>
      <w:r>
        <w:rPr>
          <w:rStyle w:val="VerbatimChar"/>
        </w:rPr>
        <w:t>E41_Appellation</w:t>
      </w:r>
      <w:r>
        <w:t>) a pour type (</w:t>
      </w:r>
      <w:r>
        <w:rPr>
          <w:rStyle w:val="VerbatimChar"/>
        </w:rPr>
        <w:t>P2_a_pour_type</w:t>
      </w:r>
      <w:r>
        <w:t>) adresse courriel (</w:t>
      </w:r>
      <w:r>
        <w:rPr>
          <w:rStyle w:val="VerbatimChar"/>
        </w:rPr>
        <w:t>E55_Type</w:t>
      </w:r>
      <w:r>
        <w:t>) (fictive)</w:t>
      </w:r>
    </w:p>
    <w:p w14:paraId="5A02372D" w14:textId="77777777" w:rsidR="00065317" w:rsidRDefault="005C7BF7">
      <w:pPr>
        <w:pStyle w:val="FirstParagraph"/>
      </w:pPr>
      <w:r>
        <w:rPr>
          <w:b/>
          <w:bCs/>
        </w:rPr>
        <w:t>Logique</w:t>
      </w:r>
    </w:p>
    <w:p w14:paraId="220B94B0" w14:textId="77777777" w:rsidR="00065317" w:rsidRDefault="005C7BF7">
      <w:pPr>
        <w:pStyle w:val="Corpsdetexte"/>
      </w:pPr>
      <w:r>
        <w:t>P2(x,y) ⇒ E1(x)</w:t>
      </w:r>
    </w:p>
    <w:p w14:paraId="3153E786" w14:textId="77777777" w:rsidR="00065317" w:rsidRDefault="005C7BF7">
      <w:pPr>
        <w:pStyle w:val="Corpsdetexte"/>
      </w:pPr>
      <w:r>
        <w:t>P2(x,y) ⇒ E55(y)</w:t>
      </w:r>
    </w:p>
    <w:p w14:paraId="7AE5D35F" w14:textId="77777777" w:rsidR="00065317" w:rsidRDefault="005C7BF7">
      <w:pPr>
        <w:pStyle w:val="Corpsdetexte"/>
      </w:pPr>
      <w:r>
        <w:t>P2(x,y) ⇐ (∃z) [E17(z)] ˄ P41i(x,z) ˄ P42(z,y)]</w:t>
      </w:r>
    </w:p>
    <w:p w14:paraId="5DEADF97" w14:textId="77777777" w:rsidR="00065317" w:rsidRDefault="005C7BF7">
      <w:pPr>
        <w:pStyle w:val="Corpsdetexte"/>
      </w:pPr>
      <w:r>
        <w:rPr>
          <w:b/>
          <w:bCs/>
        </w:rPr>
        <w:t>Propriétés</w:t>
      </w:r>
    </w:p>
    <w:p w14:paraId="16909C45" w14:textId="77777777" w:rsidR="00065317" w:rsidRDefault="005C7BF7">
      <w:pPr>
        <w:pStyle w:val="Normalcentr"/>
      </w:pPr>
      <w:r>
        <w:rPr>
          <w:b/>
          <w:bCs/>
          <w:i/>
          <w:iCs/>
        </w:rPr>
        <w:t>Note de traduction</w:t>
      </w:r>
    </w:p>
    <w:p w14:paraId="44C7B292" w14:textId="2F6EEC66" w:rsidR="00065317" w:rsidRDefault="005C7BF7">
      <w:pPr>
        <w:pStyle w:val="Normalcentr"/>
      </w:pPr>
      <w:r>
        <w:t>Dans des phrases telles que « Consequently, it does not specialise entities any further than is required for this immediate purpose », le terme « specialise » a été traduit par « précise » car il s</w:t>
      </w:r>
      <w:r w:rsidR="00E84B0E">
        <w:t>’</w:t>
      </w:r>
      <w:r>
        <w:t>agit d</w:t>
      </w:r>
      <w:r w:rsidR="00E84B0E">
        <w:t>’</w:t>
      </w:r>
      <w:r>
        <w:t>une clarification de type plutôt que de d</w:t>
      </w:r>
      <w:r w:rsidR="00E84B0E">
        <w:t>’</w:t>
      </w:r>
      <w:r>
        <w:t>espèces ou de connaissances.</w:t>
      </w:r>
    </w:p>
    <w:p w14:paraId="3C1A6B06" w14:textId="77777777" w:rsidR="00065317" w:rsidRDefault="005C7BF7">
      <w:pPr>
        <w:pStyle w:val="Normalcentr"/>
      </w:pPr>
      <w:r>
        <w:rPr>
          <w:b/>
          <w:bCs/>
          <w:i/>
          <w:iCs/>
        </w:rPr>
        <w:t>Références</w:t>
      </w:r>
    </w:p>
    <w:p w14:paraId="5C8892CE" w14:textId="0D3BDC4C" w:rsidR="00065317" w:rsidRDefault="005C7BF7">
      <w:pPr>
        <w:pStyle w:val="Normalcentr"/>
      </w:pPr>
      <w:r>
        <w:t xml:space="preserve">Antidote. « précision ». Dans </w:t>
      </w:r>
      <w:r>
        <w:rPr>
          <w:i/>
          <w:iCs/>
        </w:rPr>
        <w:t>Antidote</w:t>
      </w:r>
      <w:r>
        <w:t>. Montr</w:t>
      </w:r>
      <w:r w:rsidR="001458EA">
        <w:t>é</w:t>
      </w:r>
      <w:r>
        <w:t>al, CA-QC</w:t>
      </w:r>
      <w:r w:rsidR="001458EA">
        <w:t> </w:t>
      </w:r>
      <w:r>
        <w:t>: Druide Informatique, 2022.</w:t>
      </w:r>
    </w:p>
    <w:p w14:paraId="7E74C991" w14:textId="4C7F07F4" w:rsidR="00065317" w:rsidRDefault="005C7BF7">
      <w:pPr>
        <w:pStyle w:val="Normalcentr"/>
      </w:pPr>
      <w:r>
        <w:t xml:space="preserve">———. « spécialisation ». Dans </w:t>
      </w:r>
      <w:r>
        <w:rPr>
          <w:i/>
          <w:iCs/>
        </w:rPr>
        <w:t>Antidote</w:t>
      </w:r>
      <w:r>
        <w:t>. Montr</w:t>
      </w:r>
      <w:r w:rsidR="001458EA">
        <w:t>é</w:t>
      </w:r>
      <w:r>
        <w:t>al, CA-QC</w:t>
      </w:r>
      <w:r w:rsidR="001458EA">
        <w:t> </w:t>
      </w:r>
      <w:r>
        <w:t>: Druide Informatique, 2022.</w:t>
      </w:r>
      <w:hyperlink r:id="rId216">
        <w:r>
          <w:rPr>
            <w:rStyle w:val="Lienhypertexte"/>
          </w:rPr>
          <w:t xml:space="preserve"> </w:t>
        </w:r>
      </w:hyperlink>
      <w:hyperlink r:id="rId217">
        <w:r>
          <w:rPr>
            <w:rStyle w:val="Lienhypertexte"/>
          </w:rPr>
          <w:t>https://antidote.app/dictionnaires/fr/definitions/FRUAgAAAABGUgBDZAAAQ2QAAC0AAACDTm9thmFjdGFudICAgA%3D%3Dd707/RlLvh7cyNTY2N%2B%2BHt05vbQ%3D%3D/RlLvh7cyNTY2N%2B%2BHt05vbe%2BHt2FjdGFudO%2BHt2FjdGFudA%3D%3D</w:t>
        </w:r>
      </w:hyperlink>
      <w:r>
        <w:t>.</w:t>
      </w:r>
    </w:p>
    <w:p w14:paraId="6165AC9F" w14:textId="77777777" w:rsidR="00065317" w:rsidRDefault="005C7BF7" w:rsidP="00914F34">
      <w:pPr>
        <w:pStyle w:val="Titre3"/>
      </w:pPr>
      <w:bookmarkStart w:id="274" w:name="_Toc154048822"/>
      <w:bookmarkStart w:id="275" w:name="p3-a-pour-note"/>
      <w:bookmarkEnd w:id="273"/>
      <w:r>
        <w:t>P3 a pour note</w:t>
      </w:r>
      <w:bookmarkEnd w:id="274"/>
    </w:p>
    <w:p w14:paraId="149C2DCD" w14:textId="77777777" w:rsidR="00065317" w:rsidRDefault="005C7BF7">
      <w:pPr>
        <w:pStyle w:val="FirstParagraph"/>
      </w:pPr>
      <w:r>
        <w:rPr>
          <w:b/>
          <w:bCs/>
        </w:rPr>
        <w:t>Domaine</w:t>
      </w:r>
    </w:p>
    <w:p w14:paraId="4695C360" w14:textId="77777777" w:rsidR="00065317" w:rsidRDefault="005C7BF7">
      <w:pPr>
        <w:pStyle w:val="Corpsdetexte"/>
      </w:pPr>
      <w:r>
        <w:rPr>
          <w:rStyle w:val="VerbatimChar"/>
        </w:rPr>
        <w:t>E1_Entité_CRM</w:t>
      </w:r>
    </w:p>
    <w:p w14:paraId="7A7512A9" w14:textId="77777777" w:rsidR="00065317" w:rsidRDefault="005C7BF7">
      <w:pPr>
        <w:pStyle w:val="Corpsdetexte"/>
      </w:pPr>
      <w:r>
        <w:rPr>
          <w:b/>
          <w:bCs/>
        </w:rPr>
        <w:t>Portée</w:t>
      </w:r>
    </w:p>
    <w:p w14:paraId="7859E6F6" w14:textId="77777777" w:rsidR="00065317" w:rsidRDefault="005C7BF7">
      <w:pPr>
        <w:pStyle w:val="Corpsdetexte"/>
      </w:pPr>
      <w:r>
        <w:rPr>
          <w:rStyle w:val="VerbatimChar"/>
        </w:rPr>
        <w:t>E62_Chaîne_de_caractères</w:t>
      </w:r>
    </w:p>
    <w:p w14:paraId="01AFA058" w14:textId="0C3257DA" w:rsidR="00065317" w:rsidRPr="00F54917" w:rsidRDefault="005C7BF7" w:rsidP="00C86352">
      <w:pPr>
        <w:pStyle w:val="Corpsdetexte"/>
        <w:rPr>
          <w:b/>
          <w:bCs/>
        </w:rPr>
      </w:pPr>
      <w:r>
        <w:rPr>
          <w:b/>
          <w:bCs/>
        </w:rPr>
        <w:t>Sous-propriété de</w:t>
      </w:r>
    </w:p>
    <w:p w14:paraId="57863369" w14:textId="77777777" w:rsidR="00065317" w:rsidRDefault="005C7BF7">
      <w:pPr>
        <w:pStyle w:val="Corpsdetexte"/>
      </w:pPr>
      <w:r>
        <w:rPr>
          <w:b/>
          <w:bCs/>
        </w:rPr>
        <w:t>Super-propriété de</w:t>
      </w:r>
    </w:p>
    <w:p w14:paraId="526F20CE" w14:textId="77777777" w:rsidR="00065317" w:rsidRDefault="005C7BF7">
      <w:pPr>
        <w:pStyle w:val="Corpsdetexte"/>
      </w:pPr>
      <w:r>
        <w:rPr>
          <w:rStyle w:val="VerbatimChar"/>
        </w:rPr>
        <w:t>E52_Intervalle_temporel</w:t>
      </w:r>
      <w:r>
        <w:t xml:space="preserve">. </w:t>
      </w:r>
      <w:r>
        <w:rPr>
          <w:rStyle w:val="VerbatimChar"/>
        </w:rPr>
        <w:t>P79_a_son_début_qualifié_par</w:t>
      </w:r>
      <w:r>
        <w:t xml:space="preserve"> : </w:t>
      </w:r>
      <w:r>
        <w:rPr>
          <w:rStyle w:val="VerbatimChar"/>
        </w:rPr>
        <w:t>E62_Chaîne_de_caractères</w:t>
      </w:r>
    </w:p>
    <w:p w14:paraId="0C4A5AA0" w14:textId="77777777" w:rsidR="00065317" w:rsidRDefault="005C7BF7">
      <w:pPr>
        <w:pStyle w:val="Corpsdetexte"/>
      </w:pPr>
      <w:r>
        <w:rPr>
          <w:rStyle w:val="VerbatimChar"/>
        </w:rPr>
        <w:t>E52_Intervalle_temporel</w:t>
      </w:r>
      <w:r>
        <w:t xml:space="preserve">. </w:t>
      </w:r>
      <w:r>
        <w:rPr>
          <w:rStyle w:val="VerbatimChar"/>
        </w:rPr>
        <w:t>P80_a_sa_fin_qualifiée_par</w:t>
      </w:r>
      <w:r>
        <w:t xml:space="preserve"> : </w:t>
      </w:r>
      <w:r>
        <w:rPr>
          <w:rStyle w:val="VerbatimChar"/>
        </w:rPr>
        <w:t>E62_Chaîne_de_caractères</w:t>
      </w:r>
    </w:p>
    <w:p w14:paraId="1B837329" w14:textId="77777777" w:rsidR="00065317" w:rsidRDefault="005C7BF7">
      <w:pPr>
        <w:pStyle w:val="Corpsdetexte"/>
      </w:pPr>
      <w:r>
        <w:rPr>
          <w:rStyle w:val="VerbatimChar"/>
        </w:rPr>
        <w:t>E90_Objet_symbolique</w:t>
      </w:r>
      <w:r>
        <w:t xml:space="preserve">. </w:t>
      </w:r>
      <w:r>
        <w:rPr>
          <w:rStyle w:val="VerbatimChar"/>
        </w:rPr>
        <w:t>P190_a_pour_contenu_symbolique</w:t>
      </w:r>
      <w:r>
        <w:t xml:space="preserve"> : </w:t>
      </w:r>
      <w:r>
        <w:rPr>
          <w:rStyle w:val="VerbatimChar"/>
        </w:rPr>
        <w:t>E62_Chaîne_de_caractères</w:t>
      </w:r>
    </w:p>
    <w:p w14:paraId="1CE5A6DE" w14:textId="77777777" w:rsidR="00065317" w:rsidRDefault="005C7BF7">
      <w:pPr>
        <w:pStyle w:val="Corpsdetexte"/>
      </w:pPr>
      <w:r>
        <w:rPr>
          <w:b/>
          <w:bCs/>
        </w:rPr>
        <w:t>Quantification</w:t>
      </w:r>
    </w:p>
    <w:p w14:paraId="313F4441" w14:textId="77777777" w:rsidR="00065317" w:rsidRDefault="005C7BF7">
      <w:pPr>
        <w:pStyle w:val="Corpsdetexte"/>
      </w:pPr>
      <w:r>
        <w:t>un à plusieurs (0,n:0,1)</w:t>
      </w:r>
    </w:p>
    <w:p w14:paraId="632A2E87" w14:textId="582B6456" w:rsidR="00065317" w:rsidRDefault="005C7BF7">
      <w:pPr>
        <w:pStyle w:val="Corpsdetexte"/>
      </w:pPr>
      <w:r>
        <w:rPr>
          <w:b/>
          <w:bCs/>
        </w:rPr>
        <w:t>Note d</w:t>
      </w:r>
      <w:r w:rsidR="00E84B0E">
        <w:rPr>
          <w:b/>
          <w:bCs/>
        </w:rPr>
        <w:t>’</w:t>
      </w:r>
      <w:r>
        <w:rPr>
          <w:b/>
          <w:bCs/>
        </w:rPr>
        <w:t>application</w:t>
      </w:r>
    </w:p>
    <w:p w14:paraId="6447E4BB" w14:textId="3955E473" w:rsidR="00065317" w:rsidRDefault="005C7BF7">
      <w:pPr>
        <w:pStyle w:val="Corpsdetexte"/>
      </w:pPr>
      <w:r>
        <w:t>Cette propriété renferme toutes les descriptions informelles d</w:t>
      </w:r>
      <w:r w:rsidR="00E84B0E">
        <w:t>’</w:t>
      </w:r>
      <w:r>
        <w:t>un objet qui n</w:t>
      </w:r>
      <w:r w:rsidR="00E84B0E">
        <w:t>’</w:t>
      </w:r>
      <w:r>
        <w:t xml:space="preserve">ont pas été exprimées selon les structures du </w:t>
      </w:r>
      <w:r w:rsidR="00C8288F">
        <w:t>CIDOC CRM</w:t>
      </w:r>
      <w:r>
        <w:t>.</w:t>
      </w:r>
    </w:p>
    <w:p w14:paraId="351EC528" w14:textId="1C8AC581" w:rsidR="00065317" w:rsidRDefault="005C7BF7">
      <w:pPr>
        <w:pStyle w:val="Corpsdetexte"/>
      </w:pPr>
      <w:r>
        <w:lastRenderedPageBreak/>
        <w:t>En particulier, elle documente les informations qui caractérisent l</w:t>
      </w:r>
      <w:r w:rsidR="00E84B0E">
        <w:t>’</w:t>
      </w:r>
      <w:r>
        <w:t>entité elle-même, comme sa structure interne, son apparence, etc. Ainsi, une entité peut posséder plusieurs notes, mais une note est rattachée à une seule entité.</w:t>
      </w:r>
    </w:p>
    <w:p w14:paraId="787E6698" w14:textId="765C7397" w:rsidR="00065317" w:rsidRDefault="005C7BF7">
      <w:pPr>
        <w:pStyle w:val="Corpsdetexte"/>
      </w:pPr>
      <w:r>
        <w:t xml:space="preserve">Tout comme la propriété </w:t>
      </w:r>
      <w:r>
        <w:rPr>
          <w:rStyle w:val="VerbatimChar"/>
        </w:rPr>
        <w:t>P2_a_pour_type (est_le_type_de)</w:t>
      </w:r>
      <w:r>
        <w:t xml:space="preserve">, cette propriété est une conséquence de la portée restreinte du </w:t>
      </w:r>
      <w:r w:rsidR="00C8288F">
        <w:t>CIDOC CRM</w:t>
      </w:r>
      <w:r>
        <w:t xml:space="preserve"> dont le but n</w:t>
      </w:r>
      <w:r w:rsidR="00E84B0E">
        <w:t>’</w:t>
      </w:r>
      <w:r>
        <w:t>est pas de documenter, sous une forme structurée, tout ce qui peut être énoncé à propos d</w:t>
      </w:r>
      <w:r w:rsidR="00E84B0E">
        <w:t>’</w:t>
      </w:r>
      <w:r>
        <w:t xml:space="preserve">une entité. En effet, le formalisme du </w:t>
      </w:r>
      <w:r w:rsidR="00C8288F">
        <w:t>CIDOC CRM</w:t>
      </w:r>
      <w:r>
        <w:t xml:space="preserve"> n</w:t>
      </w:r>
      <w:r w:rsidR="00E84B0E">
        <w:t>’</w:t>
      </w:r>
      <w:r>
        <w:t>est pas considéré comme suffisant pour exprimer tout ce qui peut être dit.</w:t>
      </w:r>
    </w:p>
    <w:p w14:paraId="2432D7F8" w14:textId="745D35B2" w:rsidR="00065317" w:rsidRDefault="005C7BF7">
      <w:pPr>
        <w:pStyle w:val="Corpsdetexte"/>
      </w:pPr>
      <w:r>
        <w:t>Une bonne pratique nécessite l</w:t>
      </w:r>
      <w:r w:rsidR="00E84B0E">
        <w:t>’</w:t>
      </w:r>
      <w:r>
        <w:t>utilisation de champs de notes distincts pour les différents aspects de la caractérisation d</w:t>
      </w:r>
      <w:r w:rsidR="00E84B0E">
        <w:t>’</w:t>
      </w:r>
      <w:r>
        <w:t xml:space="preserve">une entité. La propriété </w:t>
      </w:r>
      <w:r>
        <w:rPr>
          <w:rStyle w:val="VerbatimChar"/>
        </w:rPr>
        <w:t>P3.1_has_type</w:t>
      </w:r>
      <w:r>
        <w:t xml:space="preserve">, qui a pour domaine la propriété </w:t>
      </w:r>
      <w:r>
        <w:rPr>
          <w:rStyle w:val="VerbatimChar"/>
        </w:rPr>
        <w:t>P3_has_note</w:t>
      </w:r>
      <w:r>
        <w:t>, permet la différenciation de notes spécifiques, par exemple « construction », « décoration », etc.</w:t>
      </w:r>
    </w:p>
    <w:p w14:paraId="4D941D95" w14:textId="77777777" w:rsidR="00065317" w:rsidRDefault="005C7BF7">
      <w:pPr>
        <w:pStyle w:val="Corpsdetexte"/>
      </w:pPr>
      <w:r>
        <w:rPr>
          <w:b/>
          <w:bCs/>
        </w:rPr>
        <w:t>Exemples</w:t>
      </w:r>
    </w:p>
    <w:p w14:paraId="463FCAD3" w14:textId="11EB4C5E" w:rsidR="00065317" w:rsidRDefault="005C7BF7">
      <w:pPr>
        <w:numPr>
          <w:ilvl w:val="0"/>
          <w:numId w:val="146"/>
        </w:numPr>
      </w:pPr>
      <w:r>
        <w:t>La tasse à café « OXCMS:1983.1.1 » (</w:t>
      </w:r>
      <w:r>
        <w:rPr>
          <w:rStyle w:val="VerbatimChar"/>
        </w:rPr>
        <w:t>E19_Objet_matériel</w:t>
      </w:r>
      <w:r>
        <w:t>) a pour note (</w:t>
      </w:r>
      <w:r>
        <w:rPr>
          <w:rStyle w:val="VerbatimChar"/>
        </w:rPr>
        <w:t>P3_a_pour_note</w:t>
      </w:r>
      <w:r>
        <w:t>) « ébréchée sur le bord de l</w:t>
      </w:r>
      <w:r w:rsidR="00E84B0E">
        <w:t>’</w:t>
      </w:r>
      <w:r>
        <w:t>anse » (</w:t>
      </w:r>
      <w:r>
        <w:rPr>
          <w:rStyle w:val="VerbatimChar"/>
        </w:rPr>
        <w:t>E62_Chaîne_de_caractères</w:t>
      </w:r>
      <w:r>
        <w:t>) a pour type (</w:t>
      </w:r>
      <w:r>
        <w:rPr>
          <w:rStyle w:val="VerbatimChar"/>
        </w:rPr>
        <w:t>P2_a_pour_type</w:t>
      </w:r>
      <w:r>
        <w:t>) condition (</w:t>
      </w:r>
      <w:r>
        <w:rPr>
          <w:rStyle w:val="VerbatimChar"/>
        </w:rPr>
        <w:t>E55_Type</w:t>
      </w:r>
      <w:r>
        <w:t>) (fictif)</w:t>
      </w:r>
    </w:p>
    <w:p w14:paraId="1854D77F" w14:textId="77777777" w:rsidR="00065317" w:rsidRDefault="005C7BF7">
      <w:pPr>
        <w:pStyle w:val="FirstParagraph"/>
      </w:pPr>
      <w:r>
        <w:rPr>
          <w:b/>
          <w:bCs/>
        </w:rPr>
        <w:t>Logique</w:t>
      </w:r>
    </w:p>
    <w:p w14:paraId="09DBEA9F" w14:textId="77777777" w:rsidR="00065317" w:rsidRDefault="005C7BF7">
      <w:pPr>
        <w:pStyle w:val="Corpsdetexte"/>
      </w:pPr>
      <w:r>
        <w:t>P3(x,y) ⇒ E1(x)</w:t>
      </w:r>
    </w:p>
    <w:p w14:paraId="54C4942D" w14:textId="77777777" w:rsidR="00065317" w:rsidRDefault="005C7BF7">
      <w:pPr>
        <w:pStyle w:val="Corpsdetexte"/>
      </w:pPr>
      <w:r>
        <w:t>P3(x,y) ⇒ E62(y)</w:t>
      </w:r>
    </w:p>
    <w:p w14:paraId="147567F4" w14:textId="77777777" w:rsidR="00065317" w:rsidRDefault="005C7BF7">
      <w:pPr>
        <w:pStyle w:val="Corpsdetexte"/>
      </w:pPr>
      <w:r>
        <w:t>P3(x,y,z) ⇒ [P3(x,y) ∧ E55(z)]</w:t>
      </w:r>
    </w:p>
    <w:p w14:paraId="7721BACD" w14:textId="77777777" w:rsidR="00065317" w:rsidRDefault="005C7BF7">
      <w:pPr>
        <w:pStyle w:val="Corpsdetexte"/>
      </w:pPr>
      <w:r>
        <w:rPr>
          <w:b/>
          <w:bCs/>
        </w:rPr>
        <w:t>Propriétés</w:t>
      </w:r>
    </w:p>
    <w:p w14:paraId="64084F65" w14:textId="77777777" w:rsidR="00065317" w:rsidRDefault="005C7BF7">
      <w:pPr>
        <w:pStyle w:val="Corpsdetexte"/>
      </w:pPr>
      <w:r>
        <w:rPr>
          <w:rStyle w:val="VerbatimChar"/>
        </w:rPr>
        <w:t>P3.1_a_pour_type</w:t>
      </w:r>
      <w:r>
        <w:t xml:space="preserve"> : </w:t>
      </w:r>
      <w:r>
        <w:rPr>
          <w:rStyle w:val="VerbatimChar"/>
        </w:rPr>
        <w:t>E55_Type</w:t>
      </w:r>
    </w:p>
    <w:p w14:paraId="2DDAB886" w14:textId="77777777" w:rsidR="00065317" w:rsidRDefault="005C7BF7">
      <w:pPr>
        <w:pStyle w:val="Normalcentr"/>
      </w:pPr>
      <w:r>
        <w:rPr>
          <w:b/>
          <w:bCs/>
          <w:i/>
          <w:iCs/>
        </w:rPr>
        <w:t>Note de traduction</w:t>
      </w:r>
    </w:p>
    <w:p w14:paraId="1999698A" w14:textId="40610C42" w:rsidR="00065317" w:rsidRDefault="005C7BF7" w:rsidP="00BF7EA3">
      <w:pPr>
        <w:pStyle w:val="Normalcentr"/>
      </w:pPr>
      <w:r>
        <w:rPr>
          <w:b/>
          <w:bCs/>
          <w:i/>
          <w:iCs/>
        </w:rPr>
        <w:t>Références</w:t>
      </w:r>
    </w:p>
    <w:p w14:paraId="2D728197" w14:textId="6BE68D68" w:rsidR="00065317" w:rsidRDefault="005C7BF7" w:rsidP="00914F34">
      <w:pPr>
        <w:pStyle w:val="Titre3"/>
      </w:pPr>
      <w:bookmarkStart w:id="276" w:name="_Toc154048823"/>
      <w:bookmarkStart w:id="277" w:name="X35d63bc91b549d2cf3f893e1e9a03d301bedc27"/>
      <w:bookmarkEnd w:id="275"/>
      <w:r>
        <w:t>P4 a pour intervalle temporel (est l</w:t>
      </w:r>
      <w:r w:rsidR="00E84B0E">
        <w:t>’</w:t>
      </w:r>
      <w:r>
        <w:t>intervalle temporel de)</w:t>
      </w:r>
      <w:bookmarkEnd w:id="276"/>
    </w:p>
    <w:p w14:paraId="1CE24903" w14:textId="77777777" w:rsidR="00065317" w:rsidRDefault="005C7BF7">
      <w:pPr>
        <w:pStyle w:val="FirstParagraph"/>
      </w:pPr>
      <w:r>
        <w:rPr>
          <w:b/>
          <w:bCs/>
        </w:rPr>
        <w:t>Domaine</w:t>
      </w:r>
    </w:p>
    <w:p w14:paraId="10E36C10" w14:textId="5BDE7E19" w:rsidR="00065317" w:rsidRPr="00F54917" w:rsidRDefault="005C7BF7" w:rsidP="00C86352">
      <w:pPr>
        <w:pStyle w:val="Corpsdetexte"/>
        <w:rPr>
          <w:rFonts w:ascii="Consolas" w:hAnsi="Consolas"/>
          <w:sz w:val="22"/>
          <w:shd w:val="clear" w:color="auto" w:fill="EAEEF3"/>
        </w:rPr>
      </w:pPr>
      <w:r>
        <w:rPr>
          <w:rStyle w:val="VerbatimChar"/>
        </w:rPr>
        <w:t>E2_Entité_temporelle</w:t>
      </w:r>
    </w:p>
    <w:p w14:paraId="182EBF10" w14:textId="77777777" w:rsidR="00065317" w:rsidRDefault="005C7BF7">
      <w:pPr>
        <w:pStyle w:val="Corpsdetexte"/>
      </w:pPr>
      <w:r>
        <w:rPr>
          <w:b/>
          <w:bCs/>
        </w:rPr>
        <w:t>Portée</w:t>
      </w:r>
    </w:p>
    <w:p w14:paraId="54649A55" w14:textId="77777777" w:rsidR="00065317" w:rsidRDefault="005C7BF7">
      <w:pPr>
        <w:pStyle w:val="Corpsdetexte"/>
      </w:pPr>
      <w:r>
        <w:rPr>
          <w:rStyle w:val="VerbatimChar"/>
        </w:rPr>
        <w:t>E52_Intervalle_temporel</w:t>
      </w:r>
    </w:p>
    <w:p w14:paraId="3281A0B2" w14:textId="77777777" w:rsidR="00065317" w:rsidRDefault="005C7BF7">
      <w:pPr>
        <w:pStyle w:val="Corpsdetexte"/>
      </w:pPr>
      <w:r>
        <w:rPr>
          <w:b/>
          <w:bCs/>
        </w:rPr>
        <w:t>Sous-propriété de</w:t>
      </w:r>
    </w:p>
    <w:p w14:paraId="31FEA322" w14:textId="77777777" w:rsidR="00065317" w:rsidRDefault="005C7BF7">
      <w:pPr>
        <w:pStyle w:val="Corpsdetexte"/>
      </w:pPr>
      <w:r>
        <w:rPr>
          <w:b/>
          <w:bCs/>
        </w:rPr>
        <w:t>Super-propriété de</w:t>
      </w:r>
    </w:p>
    <w:p w14:paraId="10C51A5C" w14:textId="77777777" w:rsidR="00065317" w:rsidRDefault="005C7BF7">
      <w:pPr>
        <w:pStyle w:val="Corpsdetexte"/>
      </w:pPr>
      <w:r>
        <w:rPr>
          <w:b/>
          <w:bCs/>
        </w:rPr>
        <w:t>Quantification</w:t>
      </w:r>
    </w:p>
    <w:p w14:paraId="7490E814" w14:textId="77777777" w:rsidR="00065317" w:rsidRDefault="005C7BF7">
      <w:pPr>
        <w:pStyle w:val="Corpsdetexte"/>
      </w:pPr>
      <w:r>
        <w:t>plusieurs à un, nécessaire (1,1:0,n)</w:t>
      </w:r>
    </w:p>
    <w:p w14:paraId="4DD78866" w14:textId="77777777" w:rsidR="00C86352" w:rsidRDefault="00C86352">
      <w:pPr>
        <w:spacing w:after="0"/>
        <w:rPr>
          <w:b/>
          <w:bCs/>
        </w:rPr>
      </w:pPr>
      <w:r>
        <w:rPr>
          <w:b/>
          <w:bCs/>
        </w:rPr>
        <w:br w:type="page"/>
      </w:r>
    </w:p>
    <w:p w14:paraId="76242AFE" w14:textId="01986140" w:rsidR="00065317" w:rsidRDefault="005C7BF7">
      <w:pPr>
        <w:pStyle w:val="Corpsdetexte"/>
      </w:pPr>
      <w:r>
        <w:rPr>
          <w:b/>
          <w:bCs/>
        </w:rPr>
        <w:lastRenderedPageBreak/>
        <w:t>Note d</w:t>
      </w:r>
      <w:r w:rsidR="00E84B0E">
        <w:rPr>
          <w:b/>
          <w:bCs/>
        </w:rPr>
        <w:t>’</w:t>
      </w:r>
      <w:r>
        <w:rPr>
          <w:b/>
          <w:bCs/>
        </w:rPr>
        <w:t>application</w:t>
      </w:r>
    </w:p>
    <w:p w14:paraId="6492497C" w14:textId="1F0145D2" w:rsidR="00065317" w:rsidRDefault="005C7BF7">
      <w:pPr>
        <w:pStyle w:val="Corpsdetexte"/>
      </w:pPr>
      <w:r>
        <w:t xml:space="preserve">Cette propriété associe une instance de </w:t>
      </w:r>
      <w:r>
        <w:rPr>
          <w:rStyle w:val="VerbatimChar"/>
        </w:rPr>
        <w:t>E2_Entité_temporelle</w:t>
      </w:r>
      <w:r>
        <w:t xml:space="preserve"> à l</w:t>
      </w:r>
      <w:r w:rsidR="00E84B0E">
        <w:t>’</w:t>
      </w:r>
      <w:r>
        <w:t xml:space="preserve">instance de </w:t>
      </w:r>
      <w:r>
        <w:rPr>
          <w:rStyle w:val="VerbatimChar"/>
        </w:rPr>
        <w:t>E52_Intervalle_temporel</w:t>
      </w:r>
      <w:r>
        <w:t xml:space="preserve"> durant laquelle elle était en cours. L</w:t>
      </w:r>
      <w:r w:rsidR="00E84B0E">
        <w:t>’</w:t>
      </w:r>
      <w:r>
        <w:t xml:space="preserve">instance de </w:t>
      </w:r>
      <w:r>
        <w:rPr>
          <w:rStyle w:val="VerbatimChar"/>
        </w:rPr>
        <w:t>E52_Intervalle_temporel</w:t>
      </w:r>
      <w:r>
        <w:t xml:space="preserve"> associée est comprise comme l</w:t>
      </w:r>
      <w:r w:rsidR="00E84B0E">
        <w:t>’</w:t>
      </w:r>
      <w:r>
        <w:t>intervalle temporel réel durant lequel les phénomènes constituant l</w:t>
      </w:r>
      <w:r w:rsidR="00E84B0E">
        <w:t>’</w:t>
      </w:r>
      <w:r>
        <w:t xml:space="preserve">instance de </w:t>
      </w:r>
      <w:r>
        <w:rPr>
          <w:rStyle w:val="VerbatimChar"/>
        </w:rPr>
        <w:t>E2_Entité_temporelle</w:t>
      </w:r>
      <w:r>
        <w:t xml:space="preserve"> étaient actifs. Plus d</w:t>
      </w:r>
      <w:r w:rsidR="00E84B0E">
        <w:t>’</w:t>
      </w:r>
      <w:r>
        <w:t xml:space="preserve">une instance de </w:t>
      </w:r>
      <w:r>
        <w:rPr>
          <w:rStyle w:val="VerbatimChar"/>
        </w:rPr>
        <w:t>E2_Entité_temporelle</w:t>
      </w:r>
      <w:r>
        <w:t xml:space="preserve"> peut partager une même instance de </w:t>
      </w:r>
      <w:r>
        <w:rPr>
          <w:rStyle w:val="VerbatimChar"/>
        </w:rPr>
        <w:t>E52_Intervalle_temporel</w:t>
      </w:r>
      <w:r>
        <w:t>, mais uniquement si elles commencent et se terminent à cause de déclarations ou d</w:t>
      </w:r>
      <w:r w:rsidR="00E84B0E">
        <w:t>’</w:t>
      </w:r>
      <w:r>
        <w:t>évènements identiques.</w:t>
      </w:r>
    </w:p>
    <w:p w14:paraId="5B19F396" w14:textId="77777777" w:rsidR="00065317" w:rsidRDefault="005C7BF7">
      <w:pPr>
        <w:pStyle w:val="Corpsdetexte"/>
      </w:pPr>
      <w:r>
        <w:rPr>
          <w:b/>
          <w:bCs/>
        </w:rPr>
        <w:t>Exemples</w:t>
      </w:r>
    </w:p>
    <w:p w14:paraId="0DA29DA8" w14:textId="50A3E208" w:rsidR="00065317" w:rsidRDefault="005C7BF7">
      <w:pPr>
        <w:numPr>
          <w:ilvl w:val="0"/>
          <w:numId w:val="147"/>
        </w:numPr>
      </w:pPr>
      <w:r>
        <w:t>La Conférence de Yalta (</w:t>
      </w:r>
      <w:r>
        <w:rPr>
          <w:rStyle w:val="VerbatimChar"/>
        </w:rPr>
        <w:t>E7_Activité</w:t>
      </w:r>
      <w:r>
        <w:t>) a pour intervalle temporel (</w:t>
      </w:r>
      <w:r>
        <w:rPr>
          <w:rStyle w:val="VerbatimChar"/>
        </w:rPr>
        <w:t>P4_a_pour_intervalle_temporel</w:t>
      </w:r>
      <w:r>
        <w:t>) l</w:t>
      </w:r>
      <w:r w:rsidR="00E84B0E">
        <w:t>’</w:t>
      </w:r>
      <w:r>
        <w:t>intervalle temporel de la Conférence de Yalta (</w:t>
      </w:r>
      <w:r>
        <w:rPr>
          <w:rStyle w:val="VerbatimChar"/>
        </w:rPr>
        <w:t>E52_Intervalle_temporel</w:t>
      </w:r>
      <w:r>
        <w:t>) (Harbutt, 2010)</w:t>
      </w:r>
    </w:p>
    <w:p w14:paraId="3286F98B" w14:textId="77777777" w:rsidR="00065317" w:rsidRDefault="005C7BF7">
      <w:pPr>
        <w:pStyle w:val="FirstParagraph"/>
      </w:pPr>
      <w:r>
        <w:rPr>
          <w:b/>
          <w:bCs/>
        </w:rPr>
        <w:t>Logique</w:t>
      </w:r>
    </w:p>
    <w:p w14:paraId="7F201638" w14:textId="77777777" w:rsidR="00065317" w:rsidRDefault="005C7BF7">
      <w:pPr>
        <w:pStyle w:val="Corpsdetexte"/>
      </w:pPr>
      <w:r>
        <w:t>P4(x,y) ⇒ E2(x)</w:t>
      </w:r>
    </w:p>
    <w:p w14:paraId="0D01628D" w14:textId="77777777" w:rsidR="00065317" w:rsidRDefault="005C7BF7">
      <w:pPr>
        <w:pStyle w:val="Corpsdetexte"/>
      </w:pPr>
      <w:r>
        <w:t>P4(x,y) ⇒ E52(y)</w:t>
      </w:r>
    </w:p>
    <w:p w14:paraId="092E669C" w14:textId="77777777" w:rsidR="00065317" w:rsidRDefault="005C7BF7">
      <w:pPr>
        <w:pStyle w:val="Corpsdetexte"/>
      </w:pPr>
      <w:r>
        <w:rPr>
          <w:b/>
          <w:bCs/>
        </w:rPr>
        <w:t>Propriétés</w:t>
      </w:r>
    </w:p>
    <w:p w14:paraId="542328AA" w14:textId="77777777" w:rsidR="00065317" w:rsidRDefault="005C7BF7">
      <w:pPr>
        <w:pStyle w:val="Normalcentr"/>
      </w:pPr>
      <w:r>
        <w:rPr>
          <w:b/>
          <w:bCs/>
          <w:i/>
          <w:iCs/>
        </w:rPr>
        <w:t>Note de traduction</w:t>
      </w:r>
    </w:p>
    <w:p w14:paraId="07E86734" w14:textId="66201A0A" w:rsidR="00065317" w:rsidRDefault="005C7BF7" w:rsidP="00BF7EA3">
      <w:pPr>
        <w:pStyle w:val="Normalcentr"/>
      </w:pPr>
      <w:r>
        <w:rPr>
          <w:b/>
          <w:bCs/>
          <w:i/>
          <w:iCs/>
        </w:rPr>
        <w:t>Références</w:t>
      </w:r>
    </w:p>
    <w:p w14:paraId="79CBD7FB" w14:textId="77777777" w:rsidR="00065317" w:rsidRDefault="005C7BF7" w:rsidP="00914F34">
      <w:pPr>
        <w:pStyle w:val="Titre3"/>
      </w:pPr>
      <w:bookmarkStart w:id="278" w:name="_Toc154048824"/>
      <w:bookmarkStart w:id="279" w:name="p5-comprend-(fait-partie-de)"/>
      <w:bookmarkEnd w:id="277"/>
      <w:r>
        <w:t>P5 comprend (fait partie de)</w:t>
      </w:r>
      <w:bookmarkEnd w:id="278"/>
    </w:p>
    <w:p w14:paraId="1C29AAD4" w14:textId="77777777" w:rsidR="00065317" w:rsidRDefault="005C7BF7">
      <w:pPr>
        <w:pStyle w:val="FirstParagraph"/>
      </w:pPr>
      <w:r>
        <w:rPr>
          <w:b/>
          <w:bCs/>
        </w:rPr>
        <w:t>Domaine</w:t>
      </w:r>
    </w:p>
    <w:p w14:paraId="058B3733" w14:textId="77777777" w:rsidR="00065317" w:rsidRDefault="005C7BF7">
      <w:pPr>
        <w:pStyle w:val="Corpsdetexte"/>
      </w:pPr>
      <w:r>
        <w:rPr>
          <w:rStyle w:val="VerbatimChar"/>
        </w:rPr>
        <w:t>E3_État_matériel</w:t>
      </w:r>
    </w:p>
    <w:p w14:paraId="48D14B23" w14:textId="77777777" w:rsidR="00065317" w:rsidRDefault="005C7BF7">
      <w:pPr>
        <w:pStyle w:val="Corpsdetexte"/>
      </w:pPr>
      <w:r>
        <w:rPr>
          <w:b/>
          <w:bCs/>
        </w:rPr>
        <w:t>Portée</w:t>
      </w:r>
    </w:p>
    <w:p w14:paraId="203C4C9E" w14:textId="77777777" w:rsidR="00065317" w:rsidRDefault="005C7BF7">
      <w:pPr>
        <w:pStyle w:val="Corpsdetexte"/>
      </w:pPr>
      <w:r>
        <w:rPr>
          <w:rStyle w:val="VerbatimChar"/>
        </w:rPr>
        <w:t>E3_État_matériel</w:t>
      </w:r>
    </w:p>
    <w:p w14:paraId="44540724" w14:textId="77777777" w:rsidR="00065317" w:rsidRDefault="005C7BF7">
      <w:pPr>
        <w:pStyle w:val="Corpsdetexte"/>
      </w:pPr>
      <w:r>
        <w:rPr>
          <w:b/>
          <w:bCs/>
        </w:rPr>
        <w:t>Sous-propriété de</w:t>
      </w:r>
    </w:p>
    <w:p w14:paraId="66A2BD54" w14:textId="77777777" w:rsidR="00065317" w:rsidRDefault="005C7BF7">
      <w:pPr>
        <w:pStyle w:val="Corpsdetexte"/>
      </w:pPr>
      <w:r>
        <w:rPr>
          <w:b/>
          <w:bCs/>
        </w:rPr>
        <w:t>Super-propriété de</w:t>
      </w:r>
    </w:p>
    <w:p w14:paraId="0C4623C6" w14:textId="77777777" w:rsidR="00065317" w:rsidRDefault="005C7BF7">
      <w:pPr>
        <w:pStyle w:val="Corpsdetexte"/>
      </w:pPr>
      <w:r>
        <w:rPr>
          <w:b/>
          <w:bCs/>
        </w:rPr>
        <w:t>Quantification</w:t>
      </w:r>
    </w:p>
    <w:p w14:paraId="01D3B9D0" w14:textId="59823464" w:rsidR="00065317" w:rsidRDefault="005C7BF7" w:rsidP="00C86352">
      <w:pPr>
        <w:pStyle w:val="Corpsdetexte"/>
      </w:pPr>
      <w:r>
        <w:t>plusieurs à plusieurs (0,n:0,n)</w:t>
      </w:r>
    </w:p>
    <w:p w14:paraId="4BB72320" w14:textId="723617AF" w:rsidR="00065317" w:rsidRDefault="005C7BF7">
      <w:pPr>
        <w:pStyle w:val="Corpsdetexte"/>
      </w:pPr>
      <w:r>
        <w:rPr>
          <w:b/>
          <w:bCs/>
        </w:rPr>
        <w:t>Note d</w:t>
      </w:r>
      <w:r w:rsidR="00E84B0E">
        <w:rPr>
          <w:b/>
          <w:bCs/>
        </w:rPr>
        <w:t>’</w:t>
      </w:r>
      <w:r>
        <w:rPr>
          <w:b/>
          <w:bCs/>
        </w:rPr>
        <w:t>application</w:t>
      </w:r>
    </w:p>
    <w:p w14:paraId="4BCB5E90" w14:textId="0E8D110B" w:rsidR="00065317" w:rsidRDefault="005C7BF7">
      <w:pPr>
        <w:pStyle w:val="Corpsdetexte"/>
      </w:pPr>
      <w:r>
        <w:t>Cette propriété décrit la décomposition d</w:t>
      </w:r>
      <w:r w:rsidR="00E84B0E">
        <w:t>’</w:t>
      </w:r>
      <w:r>
        <w:t xml:space="preserve">une instance de </w:t>
      </w:r>
      <w:r>
        <w:rPr>
          <w:rStyle w:val="VerbatimChar"/>
        </w:rPr>
        <w:t>E3_État_matériel</w:t>
      </w:r>
      <w:r>
        <w:t xml:space="preserve"> en des états discrets et auxiliaires.</w:t>
      </w:r>
    </w:p>
    <w:p w14:paraId="53F78F48" w14:textId="5ADA5CA4" w:rsidR="00065317" w:rsidRDefault="005C7BF7">
      <w:pPr>
        <w:pStyle w:val="Corpsdetexte"/>
      </w:pPr>
      <w:r>
        <w:t>On suppose que les sous-états dans lesquels l</w:t>
      </w:r>
      <w:r w:rsidR="00E84B0E">
        <w:t>’</w:t>
      </w:r>
      <w:r>
        <w:t xml:space="preserve">état matériel est analysé forment un tout logique </w:t>
      </w:r>
      <w:r w:rsidR="00AE2FF5">
        <w:t>‒</w:t>
      </w:r>
      <w:r>
        <w:t xml:space="preserve"> bien que l</w:t>
      </w:r>
      <w:r w:rsidR="00E84B0E">
        <w:t>’</w:t>
      </w:r>
      <w:r>
        <w:t xml:space="preserve">ensemble de ces sous-états puisse ne pas être complètement connu </w:t>
      </w:r>
      <w:r w:rsidR="00AE2FF5">
        <w:t>‒</w:t>
      </w:r>
      <w:r>
        <w:t xml:space="preserve"> et que ceux-ci sont en fait constitutifs de l</w:t>
      </w:r>
      <w:r w:rsidR="00E84B0E">
        <w:t>’</w:t>
      </w:r>
      <w:r>
        <w:t>état matériel général. Par exemple, un état matériel général « en ruines » peut être décomposé en stades de décomposition individuels.</w:t>
      </w:r>
    </w:p>
    <w:p w14:paraId="5B40963F" w14:textId="77777777" w:rsidR="00065317" w:rsidRDefault="005C7BF7">
      <w:pPr>
        <w:pStyle w:val="Corpsdetexte"/>
      </w:pPr>
      <w:r>
        <w:t>Cette propriété est transitive et asymétrique.</w:t>
      </w:r>
    </w:p>
    <w:p w14:paraId="4CE2CF24" w14:textId="77777777" w:rsidR="00C86352" w:rsidRDefault="00C86352">
      <w:pPr>
        <w:spacing w:after="0"/>
        <w:rPr>
          <w:b/>
          <w:bCs/>
        </w:rPr>
      </w:pPr>
      <w:r>
        <w:rPr>
          <w:b/>
          <w:bCs/>
        </w:rPr>
        <w:br w:type="page"/>
      </w:r>
    </w:p>
    <w:p w14:paraId="57D0C79A" w14:textId="7320D045" w:rsidR="00065317" w:rsidRDefault="005C7BF7">
      <w:pPr>
        <w:pStyle w:val="Corpsdetexte"/>
      </w:pPr>
      <w:r>
        <w:rPr>
          <w:b/>
          <w:bCs/>
        </w:rPr>
        <w:lastRenderedPageBreak/>
        <w:t>Exemples</w:t>
      </w:r>
    </w:p>
    <w:p w14:paraId="7F863B2E" w14:textId="396EFF6F" w:rsidR="00065317" w:rsidRDefault="005C7BF7">
      <w:pPr>
        <w:numPr>
          <w:ilvl w:val="0"/>
          <w:numId w:val="148"/>
        </w:numPr>
      </w:pPr>
      <w:r>
        <w:t>L</w:t>
      </w:r>
      <w:r w:rsidR="00E84B0E">
        <w:t>’</w:t>
      </w:r>
      <w:r>
        <w:t>état matériel des ruines du Parthénon (</w:t>
      </w:r>
      <w:r>
        <w:rPr>
          <w:rStyle w:val="VerbatimChar"/>
        </w:rPr>
        <w:t>E3_État_matériel</w:t>
      </w:r>
      <w:r>
        <w:t>) comprend (</w:t>
      </w:r>
      <w:r>
        <w:rPr>
          <w:rStyle w:val="VerbatimChar"/>
        </w:rPr>
        <w:t>P5_comprend</w:t>
      </w:r>
      <w:r>
        <w:t>) l</w:t>
      </w:r>
      <w:r w:rsidR="00E84B0E">
        <w:t>’</w:t>
      </w:r>
      <w:r>
        <w:t>état «</w:t>
      </w:r>
      <w:r w:rsidR="00AE2FF5">
        <w:t> </w:t>
      </w:r>
      <w:r>
        <w:t>bombardé</w:t>
      </w:r>
      <w:r w:rsidR="00AE2FF5">
        <w:t> </w:t>
      </w:r>
      <w:r>
        <w:t>» à la suite de l</w:t>
      </w:r>
      <w:r w:rsidR="00E84B0E">
        <w:t>’</w:t>
      </w:r>
      <w:r>
        <w:t>explosion d</w:t>
      </w:r>
      <w:r w:rsidR="00E84B0E">
        <w:t>’</w:t>
      </w:r>
      <w:r>
        <w:t>un obus vénitien en 1687 (</w:t>
      </w:r>
      <w:r>
        <w:rPr>
          <w:rStyle w:val="VerbatimChar"/>
        </w:rPr>
        <w:t>E3_État_matériel</w:t>
      </w:r>
      <w:r>
        <w:t>) (Mommsen, 1941)</w:t>
      </w:r>
    </w:p>
    <w:p w14:paraId="5B99448D" w14:textId="77777777" w:rsidR="00065317" w:rsidRDefault="005C7BF7">
      <w:pPr>
        <w:pStyle w:val="FirstParagraph"/>
      </w:pPr>
      <w:r>
        <w:rPr>
          <w:b/>
          <w:bCs/>
        </w:rPr>
        <w:t>Logique</w:t>
      </w:r>
    </w:p>
    <w:p w14:paraId="21E7C458" w14:textId="77777777" w:rsidR="00065317" w:rsidRDefault="005C7BF7">
      <w:pPr>
        <w:pStyle w:val="Corpsdetexte"/>
      </w:pPr>
      <w:r>
        <w:t>P5(x,y) ⇒ E3(x)</w:t>
      </w:r>
    </w:p>
    <w:p w14:paraId="536425C1" w14:textId="77777777" w:rsidR="00065317" w:rsidRDefault="005C7BF7">
      <w:pPr>
        <w:pStyle w:val="Corpsdetexte"/>
      </w:pPr>
      <w:r>
        <w:t>P5(x,y) ⇒ E3(y)</w:t>
      </w:r>
    </w:p>
    <w:p w14:paraId="44094962" w14:textId="77777777" w:rsidR="00065317" w:rsidRDefault="005C7BF7">
      <w:pPr>
        <w:pStyle w:val="Corpsdetexte"/>
      </w:pPr>
      <w:r>
        <w:t>[P5(x,y) ∧ P5(y,z)] ⇒ P5(x,z)</w:t>
      </w:r>
    </w:p>
    <w:p w14:paraId="33512080" w14:textId="77777777" w:rsidR="00065317" w:rsidRDefault="005C7BF7">
      <w:pPr>
        <w:pStyle w:val="Corpsdetexte"/>
      </w:pPr>
      <w:r>
        <w:t>P5(x,y) ⇒ ¬P5(y,x)</w:t>
      </w:r>
    </w:p>
    <w:p w14:paraId="4A58978E" w14:textId="77777777" w:rsidR="00065317" w:rsidRDefault="005C7BF7">
      <w:pPr>
        <w:pStyle w:val="Corpsdetexte"/>
      </w:pPr>
      <w:r>
        <w:rPr>
          <w:b/>
          <w:bCs/>
        </w:rPr>
        <w:t>Propriétés</w:t>
      </w:r>
    </w:p>
    <w:p w14:paraId="43BB003F" w14:textId="77777777" w:rsidR="00065317" w:rsidRDefault="005C7BF7">
      <w:pPr>
        <w:pStyle w:val="Normalcentr"/>
      </w:pPr>
      <w:r>
        <w:rPr>
          <w:b/>
          <w:bCs/>
          <w:i/>
          <w:iCs/>
        </w:rPr>
        <w:t>Note de traduction</w:t>
      </w:r>
    </w:p>
    <w:p w14:paraId="7E5B4FE0" w14:textId="724A2036" w:rsidR="00065317" w:rsidRDefault="005C7BF7" w:rsidP="00BF7EA3">
      <w:pPr>
        <w:pStyle w:val="Normalcentr"/>
      </w:pPr>
      <w:r>
        <w:rPr>
          <w:b/>
          <w:bCs/>
          <w:i/>
          <w:iCs/>
        </w:rPr>
        <w:t>Références</w:t>
      </w:r>
    </w:p>
    <w:p w14:paraId="10144C13" w14:textId="77777777" w:rsidR="00065317" w:rsidRDefault="005C7BF7" w:rsidP="00914F34">
      <w:pPr>
        <w:pStyle w:val="Titre3"/>
      </w:pPr>
      <w:bookmarkStart w:id="280" w:name="_Toc154048825"/>
      <w:bookmarkStart w:id="281" w:name="p7-a-eu-lieu-dans-(a-ete-temoin-de)"/>
      <w:bookmarkEnd w:id="279"/>
      <w:r>
        <w:t>P7 a eu lieu dans (a été témoin de)</w:t>
      </w:r>
      <w:bookmarkEnd w:id="280"/>
    </w:p>
    <w:p w14:paraId="75B72694" w14:textId="77777777" w:rsidR="00065317" w:rsidRDefault="005C7BF7">
      <w:pPr>
        <w:pStyle w:val="FirstParagraph"/>
      </w:pPr>
      <w:r>
        <w:rPr>
          <w:b/>
          <w:bCs/>
        </w:rPr>
        <w:t>Domaine</w:t>
      </w:r>
    </w:p>
    <w:p w14:paraId="0E4FE604" w14:textId="77777777" w:rsidR="00065317" w:rsidRDefault="005C7BF7">
      <w:pPr>
        <w:pStyle w:val="Corpsdetexte"/>
      </w:pPr>
      <w:r>
        <w:rPr>
          <w:rStyle w:val="VerbatimChar"/>
        </w:rPr>
        <w:t>E4_Période</w:t>
      </w:r>
    </w:p>
    <w:p w14:paraId="2A37F0CF" w14:textId="77777777" w:rsidR="00065317" w:rsidRDefault="005C7BF7">
      <w:pPr>
        <w:pStyle w:val="Corpsdetexte"/>
      </w:pPr>
      <w:r>
        <w:rPr>
          <w:b/>
          <w:bCs/>
        </w:rPr>
        <w:t>Portée</w:t>
      </w:r>
    </w:p>
    <w:p w14:paraId="3F1E085F" w14:textId="77777777" w:rsidR="00065317" w:rsidRDefault="005C7BF7">
      <w:pPr>
        <w:pStyle w:val="Corpsdetexte"/>
      </w:pPr>
      <w:r>
        <w:rPr>
          <w:rStyle w:val="VerbatimChar"/>
        </w:rPr>
        <w:t>E53_Lieu</w:t>
      </w:r>
    </w:p>
    <w:p w14:paraId="7E33EFD0" w14:textId="77777777" w:rsidR="00065317" w:rsidRDefault="005C7BF7">
      <w:pPr>
        <w:pStyle w:val="Corpsdetexte"/>
      </w:pPr>
      <w:r>
        <w:rPr>
          <w:b/>
          <w:bCs/>
        </w:rPr>
        <w:t>Sous-propriété de</w:t>
      </w:r>
    </w:p>
    <w:p w14:paraId="2983ED75" w14:textId="77777777" w:rsidR="00065317" w:rsidRDefault="005C7BF7">
      <w:pPr>
        <w:pStyle w:val="Corpsdetexte"/>
      </w:pPr>
      <w:r>
        <w:rPr>
          <w:rStyle w:val="VerbatimChar"/>
        </w:rPr>
        <w:t>E92_Volume_spatio-temporel</w:t>
      </w:r>
      <w:r>
        <w:t xml:space="preserve">. </w:t>
      </w:r>
      <w:r>
        <w:rPr>
          <w:rStyle w:val="VerbatimChar"/>
        </w:rPr>
        <w:t>P161_a_pour_projection_spatiale (est_la_projection_spatiale_de)</w:t>
      </w:r>
      <w:r>
        <w:t xml:space="preserve"> : </w:t>
      </w:r>
      <w:r>
        <w:rPr>
          <w:rStyle w:val="VerbatimChar"/>
        </w:rPr>
        <w:t>E53_Lieu</w:t>
      </w:r>
    </w:p>
    <w:p w14:paraId="453974C0" w14:textId="77777777" w:rsidR="00065317" w:rsidRDefault="005C7BF7">
      <w:pPr>
        <w:pStyle w:val="Corpsdetexte"/>
      </w:pPr>
      <w:r>
        <w:rPr>
          <w:b/>
          <w:bCs/>
        </w:rPr>
        <w:t>Super-propriété de</w:t>
      </w:r>
    </w:p>
    <w:p w14:paraId="4840BC05" w14:textId="77777777" w:rsidR="00065317" w:rsidRDefault="005C7BF7">
      <w:pPr>
        <w:pStyle w:val="Corpsdetexte"/>
      </w:pPr>
      <w:r>
        <w:rPr>
          <w:b/>
          <w:bCs/>
        </w:rPr>
        <w:t>Quantification</w:t>
      </w:r>
    </w:p>
    <w:p w14:paraId="7679F696" w14:textId="77777777" w:rsidR="00065317" w:rsidRDefault="005C7BF7">
      <w:pPr>
        <w:pStyle w:val="Corpsdetexte"/>
      </w:pPr>
      <w:r>
        <w:t>plusieurs à plusieurs, nécessaire (1,n:0,n)</w:t>
      </w:r>
    </w:p>
    <w:p w14:paraId="3FF5D27A" w14:textId="29E919B5" w:rsidR="00065317" w:rsidRDefault="005C7BF7">
      <w:pPr>
        <w:pStyle w:val="Corpsdetexte"/>
      </w:pPr>
      <w:r>
        <w:rPr>
          <w:b/>
          <w:bCs/>
        </w:rPr>
        <w:t>Note d</w:t>
      </w:r>
      <w:r w:rsidR="00E84B0E">
        <w:rPr>
          <w:b/>
          <w:bCs/>
        </w:rPr>
        <w:t>’</w:t>
      </w:r>
      <w:r>
        <w:rPr>
          <w:b/>
          <w:bCs/>
        </w:rPr>
        <w:t>application</w:t>
      </w:r>
    </w:p>
    <w:p w14:paraId="54986112" w14:textId="0C91C07B" w:rsidR="00065317" w:rsidRDefault="005C7BF7">
      <w:pPr>
        <w:pStyle w:val="Corpsdetexte"/>
      </w:pPr>
      <w:r>
        <w:t>Cette propriété décrit la localisation spatiale d</w:t>
      </w:r>
      <w:r w:rsidR="00E84B0E">
        <w:t>’</w:t>
      </w:r>
      <w:r>
        <w:t xml:space="preserve">une instance de </w:t>
      </w:r>
      <w:r>
        <w:rPr>
          <w:rStyle w:val="VerbatimChar"/>
        </w:rPr>
        <w:t>E4_Période</w:t>
      </w:r>
      <w:r>
        <w:t>.</w:t>
      </w:r>
    </w:p>
    <w:p w14:paraId="74D0C5B4" w14:textId="23522CDB" w:rsidR="00065317" w:rsidRDefault="005C7BF7">
      <w:pPr>
        <w:pStyle w:val="Corpsdetexte"/>
      </w:pPr>
      <w:r>
        <w:t>L</w:t>
      </w:r>
      <w:r w:rsidR="00E84B0E">
        <w:t>’</w:t>
      </w:r>
      <w:r>
        <w:t xml:space="preserve">instance de </w:t>
      </w:r>
      <w:r>
        <w:rPr>
          <w:rStyle w:val="VerbatimChar"/>
        </w:rPr>
        <w:t>E53_Lieu</w:t>
      </w:r>
      <w:r>
        <w:t xml:space="preserve"> à laquelle la propriété est liée doit être considérée comme une approximation plus large de l</w:t>
      </w:r>
      <w:r w:rsidR="00E84B0E">
        <w:t>’</w:t>
      </w:r>
      <w:r>
        <w:t>étendue géométrique dans laquelle les phénomènes qui caractérisent la période en question se sont produits. Voir ci-dessous.</w:t>
      </w:r>
    </w:p>
    <w:p w14:paraId="083D8640" w14:textId="570065B3" w:rsidR="00065317" w:rsidRDefault="005C7BF7">
      <w:pPr>
        <w:pStyle w:val="Corpsdetexte"/>
      </w:pPr>
      <w:r>
        <w:rPr>
          <w:rStyle w:val="VerbatimChar"/>
        </w:rPr>
        <w:t>P7_a_eu_lieu_dans (a_été_témoin_de)</w:t>
      </w:r>
      <w:r>
        <w:t xml:space="preserve"> ne véhicule aucune autre signification que le positionnement spatial d</w:t>
      </w:r>
      <w:r w:rsidR="00E84B0E">
        <w:t>’</w:t>
      </w:r>
      <w:r>
        <w:t xml:space="preserve">une instance de </w:t>
      </w:r>
      <w:r>
        <w:rPr>
          <w:rStyle w:val="VerbatimChar"/>
        </w:rPr>
        <w:t>E4_Période</w:t>
      </w:r>
      <w:r>
        <w:t xml:space="preserve"> (souvent à la surface de la terre). Par exemple, on peut dire que la période « Révolution française » a eu lieu en « France en 1789 ». On peut aussi dire que l</w:t>
      </w:r>
      <w:r w:rsidR="00E84B0E">
        <w:t>’</w:t>
      </w:r>
      <w:r>
        <w:t>époque « victorienne » a eu lieu en « Grande-Bretagne de 1837 à 1901 », mais aussi dans ses colonies ainsi que d</w:t>
      </w:r>
      <w:r w:rsidR="00E84B0E">
        <w:t>’</w:t>
      </w:r>
      <w:r>
        <w:t>autres parties de l</w:t>
      </w:r>
      <w:r w:rsidR="00E84B0E">
        <w:t>’</w:t>
      </w:r>
      <w:r>
        <w:t>Europe et de l</w:t>
      </w:r>
      <w:r w:rsidR="00E84B0E">
        <w:t>’</w:t>
      </w:r>
      <w:r>
        <w:t xml:space="preserve">Amérique du Nord. Une instance de </w:t>
      </w:r>
      <w:r>
        <w:rPr>
          <w:rStyle w:val="VerbatimChar"/>
        </w:rPr>
        <w:t>E4_Période</w:t>
      </w:r>
      <w:r>
        <w:t xml:space="preserve"> peut avoir lieu dans plusieurs localisations qui ne sont ni adjacentes ni se chevauchent.</w:t>
      </w:r>
    </w:p>
    <w:p w14:paraId="69A6C220" w14:textId="77777777" w:rsidR="00C86352" w:rsidRDefault="00C86352">
      <w:pPr>
        <w:spacing w:after="0"/>
      </w:pPr>
      <w:r>
        <w:br w:type="page"/>
      </w:r>
    </w:p>
    <w:p w14:paraId="3B540278" w14:textId="34317D75" w:rsidR="00065317" w:rsidRDefault="005C7BF7">
      <w:pPr>
        <w:pStyle w:val="Corpsdetexte"/>
      </w:pPr>
      <w:r>
        <w:lastRenderedPageBreak/>
        <w:t xml:space="preserve">Cette propriété est un raccourci du chemin sémantique suivant : </w:t>
      </w:r>
      <w:r>
        <w:rPr>
          <w:rStyle w:val="VerbatimChar"/>
        </w:rPr>
        <w:t>E4_Période</w:t>
      </w:r>
      <w:r>
        <w:t xml:space="preserve">, </w:t>
      </w:r>
      <w:r>
        <w:rPr>
          <w:rStyle w:val="VerbatimChar"/>
        </w:rPr>
        <w:t>P161_a_pour_projection_spatiale (est_la_projection_spatiale_de)</w:t>
      </w:r>
      <w:r>
        <w:t xml:space="preserve">, </w:t>
      </w:r>
      <w:r>
        <w:rPr>
          <w:rStyle w:val="VerbatimChar"/>
        </w:rPr>
        <w:t>E53_Lieu</w:t>
      </w:r>
      <w:r>
        <w:t xml:space="preserve">, </w:t>
      </w:r>
      <w:r>
        <w:rPr>
          <w:rStyle w:val="VerbatimChar"/>
        </w:rPr>
        <w:t>P89_s</w:t>
      </w:r>
      <w:r w:rsidR="00E84B0E">
        <w:rPr>
          <w:rStyle w:val="VerbatimChar"/>
        </w:rPr>
        <w:t>’</w:t>
      </w:r>
      <w:r>
        <w:rPr>
          <w:rStyle w:val="VerbatimChar"/>
        </w:rPr>
        <w:t>insère_dans (contient)</w:t>
      </w:r>
      <w:r>
        <w:t xml:space="preserve">, </w:t>
      </w:r>
      <w:r>
        <w:rPr>
          <w:rStyle w:val="VerbatimChar"/>
        </w:rPr>
        <w:t>E53_Lieu</w:t>
      </w:r>
      <w:r>
        <w:t xml:space="preserve">. </w:t>
      </w:r>
      <w:r>
        <w:rPr>
          <w:rStyle w:val="VerbatimChar"/>
        </w:rPr>
        <w:t>E4_Période</w:t>
      </w:r>
      <w:r>
        <w:t xml:space="preserve"> est une sous-classe de </w:t>
      </w:r>
      <w:r>
        <w:rPr>
          <w:rStyle w:val="VerbatimChar"/>
        </w:rPr>
        <w:t>E92_Volume_spatio-temporel</w:t>
      </w:r>
      <w:r>
        <w:t>.</w:t>
      </w:r>
    </w:p>
    <w:p w14:paraId="20EF786F" w14:textId="41387466" w:rsidR="00065317" w:rsidRDefault="005C7BF7">
      <w:pPr>
        <w:pStyle w:val="Corpsdetexte"/>
      </w:pPr>
      <w:r>
        <w:t xml:space="preserve">Selon la définition de </w:t>
      </w:r>
      <w:r>
        <w:rPr>
          <w:rStyle w:val="VerbatimChar"/>
        </w:rPr>
        <w:t>P161_a_pour_projection_spatiale (est_la_projection_spatiale_de)</w:t>
      </w:r>
      <w:r>
        <w:t xml:space="preserve">, une instance de </w:t>
      </w:r>
      <w:r>
        <w:rPr>
          <w:rStyle w:val="VerbatimChar"/>
        </w:rPr>
        <w:t>E4_Période</w:t>
      </w:r>
      <w:r>
        <w:t xml:space="preserve"> a lieu sur toutes ses projections spatiales, c.-à-d. sur des instances de </w:t>
      </w:r>
      <w:r>
        <w:rPr>
          <w:rStyle w:val="VerbatimChar"/>
        </w:rPr>
        <w:t>E53_Lieu</w:t>
      </w:r>
      <w:r>
        <w:t>. Un évènement qui se produit dans un lieu donné peut également être considéré comme se produisant dans un lieu plus vaste qui contient le premier. Par exemple, l</w:t>
      </w:r>
      <w:r w:rsidR="00E84B0E">
        <w:t>’</w:t>
      </w:r>
      <w:r>
        <w:t>assaut de la Bastille le 14</w:t>
      </w:r>
      <w:r w:rsidR="00056DCD">
        <w:t> juillet </w:t>
      </w:r>
      <w:r>
        <w:t>1789 a eu lieu dans la région couverte par Paris en 1789, mais aussi dans la région couverte par la France en 1789.</w:t>
      </w:r>
    </w:p>
    <w:p w14:paraId="1DEBEEB4" w14:textId="77777777" w:rsidR="00065317" w:rsidRDefault="005C7BF7">
      <w:pPr>
        <w:pStyle w:val="Corpsdetexte"/>
      </w:pPr>
      <w:r>
        <w:rPr>
          <w:b/>
          <w:bCs/>
        </w:rPr>
        <w:t>Exemples</w:t>
      </w:r>
    </w:p>
    <w:p w14:paraId="7F312197" w14:textId="77777777" w:rsidR="00065317" w:rsidRDefault="005C7BF7">
      <w:pPr>
        <w:numPr>
          <w:ilvl w:val="0"/>
          <w:numId w:val="149"/>
        </w:numPr>
      </w:pPr>
      <w:r>
        <w:t>La période « Révolution française » (</w:t>
      </w:r>
      <w:r>
        <w:rPr>
          <w:rStyle w:val="VerbatimChar"/>
        </w:rPr>
        <w:t>E4_Période</w:t>
      </w:r>
      <w:r>
        <w:t>) a eu lieu dans (</w:t>
      </w:r>
      <w:r>
        <w:rPr>
          <w:rStyle w:val="VerbatimChar"/>
        </w:rPr>
        <w:t>P7_a_eu_lieu_dans</w:t>
      </w:r>
      <w:r>
        <w:t>) la région couverte par la France en 1789 (</w:t>
      </w:r>
      <w:r>
        <w:rPr>
          <w:rStyle w:val="VerbatimChar"/>
        </w:rPr>
        <w:t>E53_Lieu</w:t>
      </w:r>
      <w:r>
        <w:t>) (Bertaud, 2004)</w:t>
      </w:r>
    </w:p>
    <w:p w14:paraId="1AE29285" w14:textId="77777777" w:rsidR="00065317" w:rsidRDefault="005C7BF7">
      <w:pPr>
        <w:pStyle w:val="FirstParagraph"/>
      </w:pPr>
      <w:r>
        <w:rPr>
          <w:b/>
          <w:bCs/>
        </w:rPr>
        <w:t>Logique</w:t>
      </w:r>
    </w:p>
    <w:p w14:paraId="011BCB1E" w14:textId="77777777" w:rsidR="00065317" w:rsidRDefault="005C7BF7">
      <w:pPr>
        <w:pStyle w:val="Corpsdetexte"/>
      </w:pPr>
      <w:r>
        <w:t>P7(x,y) ⇒ E4(x)</w:t>
      </w:r>
    </w:p>
    <w:p w14:paraId="224BE65D" w14:textId="77777777" w:rsidR="00065317" w:rsidRDefault="005C7BF7">
      <w:pPr>
        <w:pStyle w:val="Corpsdetexte"/>
      </w:pPr>
      <w:r>
        <w:t>P7(x,y) ⇒ E53(y)</w:t>
      </w:r>
    </w:p>
    <w:p w14:paraId="54D1348F" w14:textId="77777777" w:rsidR="00065317" w:rsidRDefault="005C7BF7">
      <w:pPr>
        <w:pStyle w:val="Corpsdetexte"/>
      </w:pPr>
      <w:r>
        <w:rPr>
          <w:b/>
          <w:bCs/>
        </w:rPr>
        <w:t>Propriétés</w:t>
      </w:r>
    </w:p>
    <w:p w14:paraId="78DA2ED2" w14:textId="77777777" w:rsidR="00065317" w:rsidRDefault="005C7BF7">
      <w:pPr>
        <w:pStyle w:val="Normalcentr"/>
      </w:pPr>
      <w:r>
        <w:rPr>
          <w:b/>
          <w:bCs/>
          <w:i/>
          <w:iCs/>
        </w:rPr>
        <w:t>Note de traduction</w:t>
      </w:r>
    </w:p>
    <w:p w14:paraId="5B4D611C" w14:textId="20C29E1F" w:rsidR="00065317" w:rsidRDefault="005C7BF7" w:rsidP="00BF7EA3">
      <w:pPr>
        <w:pStyle w:val="Normalcentr"/>
      </w:pPr>
      <w:r>
        <w:rPr>
          <w:b/>
          <w:bCs/>
          <w:i/>
          <w:iCs/>
        </w:rPr>
        <w:t>Références</w:t>
      </w:r>
    </w:p>
    <w:p w14:paraId="429361D0" w14:textId="77777777" w:rsidR="00065317" w:rsidRDefault="005C7BF7" w:rsidP="00914F34">
      <w:pPr>
        <w:pStyle w:val="Titre3"/>
      </w:pPr>
      <w:bookmarkStart w:id="282" w:name="_Toc154048826"/>
      <w:bookmarkStart w:id="283" w:name="p8-a-eu-lieu-a-(a-ete-temoin-de)"/>
      <w:bookmarkEnd w:id="281"/>
      <w:r>
        <w:t>P8 a eu lieu à (a été témoin de)</w:t>
      </w:r>
      <w:bookmarkEnd w:id="282"/>
    </w:p>
    <w:p w14:paraId="2B1C3EF5" w14:textId="77777777" w:rsidR="00065317" w:rsidRDefault="005C7BF7">
      <w:pPr>
        <w:pStyle w:val="FirstParagraph"/>
      </w:pPr>
      <w:r>
        <w:rPr>
          <w:b/>
          <w:bCs/>
        </w:rPr>
        <w:t>Domaine</w:t>
      </w:r>
    </w:p>
    <w:p w14:paraId="75A80109" w14:textId="77777777" w:rsidR="00065317" w:rsidRDefault="005C7BF7">
      <w:pPr>
        <w:pStyle w:val="Corpsdetexte"/>
      </w:pPr>
      <w:r>
        <w:rPr>
          <w:rStyle w:val="VerbatimChar"/>
        </w:rPr>
        <w:t>E4_Période</w:t>
      </w:r>
    </w:p>
    <w:p w14:paraId="493CB3C6" w14:textId="77777777" w:rsidR="00065317" w:rsidRDefault="005C7BF7">
      <w:pPr>
        <w:pStyle w:val="Corpsdetexte"/>
      </w:pPr>
      <w:r>
        <w:rPr>
          <w:b/>
          <w:bCs/>
        </w:rPr>
        <w:t>Portée</w:t>
      </w:r>
    </w:p>
    <w:p w14:paraId="38C9965C" w14:textId="77777777" w:rsidR="00065317" w:rsidRDefault="005C7BF7">
      <w:pPr>
        <w:pStyle w:val="Corpsdetexte"/>
      </w:pPr>
      <w:r>
        <w:rPr>
          <w:rStyle w:val="VerbatimChar"/>
        </w:rPr>
        <w:t>E18_Chose_matérielle</w:t>
      </w:r>
    </w:p>
    <w:p w14:paraId="289A22B0" w14:textId="77777777" w:rsidR="00065317" w:rsidRDefault="005C7BF7">
      <w:pPr>
        <w:pStyle w:val="Corpsdetexte"/>
      </w:pPr>
      <w:r>
        <w:rPr>
          <w:b/>
          <w:bCs/>
        </w:rPr>
        <w:t>Sous-propriété de</w:t>
      </w:r>
    </w:p>
    <w:p w14:paraId="3C31768E" w14:textId="77777777" w:rsidR="00065317" w:rsidRDefault="005C7BF7">
      <w:pPr>
        <w:pStyle w:val="Corpsdetexte"/>
      </w:pPr>
      <w:r>
        <w:rPr>
          <w:b/>
          <w:bCs/>
        </w:rPr>
        <w:t>Super-propriété de</w:t>
      </w:r>
    </w:p>
    <w:p w14:paraId="509DFD67" w14:textId="77777777" w:rsidR="00065317" w:rsidRDefault="005C7BF7">
      <w:pPr>
        <w:pStyle w:val="Corpsdetexte"/>
      </w:pPr>
      <w:r>
        <w:rPr>
          <w:b/>
          <w:bCs/>
        </w:rPr>
        <w:t>Quantification</w:t>
      </w:r>
    </w:p>
    <w:p w14:paraId="2366C57B" w14:textId="60BD4C6A" w:rsidR="00065317" w:rsidRDefault="005C7BF7" w:rsidP="00C86352">
      <w:pPr>
        <w:pStyle w:val="Corpsdetexte"/>
      </w:pPr>
      <w:r>
        <w:t>plusieurs à plusieurs (0,n:0,n)</w:t>
      </w:r>
    </w:p>
    <w:p w14:paraId="595B6768" w14:textId="048D8622" w:rsidR="00065317" w:rsidRDefault="005C7BF7">
      <w:pPr>
        <w:pStyle w:val="Corpsdetexte"/>
      </w:pPr>
      <w:r>
        <w:rPr>
          <w:b/>
          <w:bCs/>
        </w:rPr>
        <w:t>Note d</w:t>
      </w:r>
      <w:r w:rsidR="00E84B0E">
        <w:rPr>
          <w:b/>
          <w:bCs/>
        </w:rPr>
        <w:t>’</w:t>
      </w:r>
      <w:r>
        <w:rPr>
          <w:b/>
          <w:bCs/>
        </w:rPr>
        <w:t>application</w:t>
      </w:r>
    </w:p>
    <w:p w14:paraId="229AEB42" w14:textId="20191170" w:rsidR="00065317" w:rsidRDefault="005C7BF7">
      <w:pPr>
        <w:pStyle w:val="Corpsdetexte"/>
      </w:pPr>
      <w:r>
        <w:t>Cette propriété décrit la localisation d</w:t>
      </w:r>
      <w:r w:rsidR="00E84B0E">
        <w:t>’</w:t>
      </w:r>
      <w:r>
        <w:t xml:space="preserve">une instance de </w:t>
      </w:r>
      <w:r>
        <w:rPr>
          <w:rStyle w:val="VerbatimChar"/>
        </w:rPr>
        <w:t>E4_Période</w:t>
      </w:r>
      <w:r>
        <w:t xml:space="preserve"> par rapport à une instance de </w:t>
      </w:r>
      <w:r>
        <w:rPr>
          <w:rStyle w:val="VerbatimChar"/>
        </w:rPr>
        <w:t>E19_Objet_matériel</w:t>
      </w:r>
      <w:r>
        <w:t>.</w:t>
      </w:r>
    </w:p>
    <w:p w14:paraId="2C3FFABA" w14:textId="77777777" w:rsidR="00065317" w:rsidRDefault="005C7BF7">
      <w:pPr>
        <w:pStyle w:val="Corpsdetexte"/>
      </w:pPr>
      <w:r>
        <w:t xml:space="preserve">Cette propriété est un raccourci du chemin sémantique suivant : </w:t>
      </w:r>
      <w:r>
        <w:rPr>
          <w:rStyle w:val="VerbatimChar"/>
        </w:rPr>
        <w:t>E4_Période</w:t>
      </w:r>
      <w:r>
        <w:t xml:space="preserve">, </w:t>
      </w:r>
      <w:r>
        <w:rPr>
          <w:rStyle w:val="VerbatimChar"/>
        </w:rPr>
        <w:t>P7_a_eu_lieu_dans (a_été_témoin_de)</w:t>
      </w:r>
      <w:r>
        <w:t xml:space="preserve">, </w:t>
      </w:r>
      <w:r>
        <w:rPr>
          <w:rStyle w:val="VerbatimChar"/>
        </w:rPr>
        <w:t>E53_Lieu</w:t>
      </w:r>
      <w:r>
        <w:t xml:space="preserve">, </w:t>
      </w:r>
      <w:r>
        <w:rPr>
          <w:rStyle w:val="VerbatimChar"/>
        </w:rPr>
        <w:t>P156i_est_occupé_par</w:t>
      </w:r>
      <w:r>
        <w:t xml:space="preserve">, </w:t>
      </w:r>
      <w:r>
        <w:rPr>
          <w:rStyle w:val="VerbatimChar"/>
        </w:rPr>
        <w:t>E18_Chose_matérielle</w:t>
      </w:r>
      <w:r>
        <w:t>.</w:t>
      </w:r>
    </w:p>
    <w:p w14:paraId="2D826A71" w14:textId="53180763" w:rsidR="00065317" w:rsidRDefault="005C7BF7">
      <w:pPr>
        <w:pStyle w:val="Corpsdetexte"/>
      </w:pPr>
      <w:r>
        <w:t>Elle décrit une période qui peut être localisée dans l</w:t>
      </w:r>
      <w:r w:rsidR="00E84B0E">
        <w:t>’</w:t>
      </w:r>
      <w:r>
        <w:t xml:space="preserve">espace défini par une instance de </w:t>
      </w:r>
      <w:r>
        <w:rPr>
          <w:rStyle w:val="VerbatimChar"/>
        </w:rPr>
        <w:t>E19_Objet_matériel</w:t>
      </w:r>
      <w:r>
        <w:t>, tel qu</w:t>
      </w:r>
      <w:r w:rsidR="00E84B0E">
        <w:t>’</w:t>
      </w:r>
      <w:r>
        <w:t>un navire ou un bâtiment. La localisation géographique précise de l</w:t>
      </w:r>
      <w:r w:rsidR="00E84B0E">
        <w:t>’</w:t>
      </w:r>
      <w:r>
        <w:t>objet durant la période en question peut être inconnue ou sans importance.</w:t>
      </w:r>
    </w:p>
    <w:p w14:paraId="1756DB5E" w14:textId="33225B35" w:rsidR="00144B23" w:rsidRDefault="005C7BF7">
      <w:pPr>
        <w:pStyle w:val="Corpsdetexte"/>
        <w:rPr>
          <w:b/>
          <w:bCs/>
        </w:rPr>
      </w:pPr>
      <w:r>
        <w:lastRenderedPageBreak/>
        <w:t>Par exemple, l</w:t>
      </w:r>
      <w:r w:rsidR="00E84B0E">
        <w:t>’</w:t>
      </w:r>
      <w:r>
        <w:t>armistice du 22</w:t>
      </w:r>
      <w:r w:rsidR="00056DCD">
        <w:t> juin </w:t>
      </w:r>
      <w:r>
        <w:t>1940 entre la France et l</w:t>
      </w:r>
      <w:r w:rsidR="00E84B0E">
        <w:t>’</w:t>
      </w:r>
      <w:r>
        <w:t>Allemagne fut signé dans le même wagon où a eu lieu la signature de l</w:t>
      </w:r>
      <w:r w:rsidR="00E84B0E">
        <w:t>’</w:t>
      </w:r>
      <w:r>
        <w:t>armistice du 11</w:t>
      </w:r>
      <w:r w:rsidR="00056DCD">
        <w:t> novembre </w:t>
      </w:r>
      <w:r>
        <w:t>1918.</w:t>
      </w:r>
    </w:p>
    <w:p w14:paraId="7991876C" w14:textId="419F4CEC" w:rsidR="00065317" w:rsidRDefault="005C7BF7">
      <w:pPr>
        <w:pStyle w:val="Corpsdetexte"/>
      </w:pPr>
      <w:r>
        <w:rPr>
          <w:b/>
          <w:bCs/>
        </w:rPr>
        <w:t>Exemples</w:t>
      </w:r>
    </w:p>
    <w:p w14:paraId="5F052382" w14:textId="7A516D76" w:rsidR="00065317" w:rsidRDefault="005C7BF7">
      <w:pPr>
        <w:numPr>
          <w:ilvl w:val="0"/>
          <w:numId w:val="150"/>
        </w:numPr>
      </w:pPr>
      <w:r>
        <w:t>Le couronnement de la reine Elizabeth II (</w:t>
      </w:r>
      <w:r>
        <w:rPr>
          <w:rStyle w:val="VerbatimChar"/>
        </w:rPr>
        <w:t>E7_Activité</w:t>
      </w:r>
      <w:r>
        <w:t>) a eu lieu à (</w:t>
      </w:r>
      <w:r>
        <w:rPr>
          <w:rStyle w:val="VerbatimChar"/>
        </w:rPr>
        <w:t>P8_a_eu_lieu_à</w:t>
      </w:r>
      <w:r>
        <w:t>) l</w:t>
      </w:r>
      <w:r w:rsidR="00E84B0E">
        <w:t>’</w:t>
      </w:r>
      <w:r>
        <w:t>abbaye de Westminster (</w:t>
      </w:r>
      <w:r>
        <w:rPr>
          <w:rStyle w:val="VerbatimChar"/>
        </w:rPr>
        <w:t>E18_Chose_matérielle</w:t>
      </w:r>
      <w:r>
        <w:t>) (Strong, 2005)</w:t>
      </w:r>
    </w:p>
    <w:p w14:paraId="63301402" w14:textId="77777777" w:rsidR="00065317" w:rsidRDefault="005C7BF7">
      <w:pPr>
        <w:pStyle w:val="FirstParagraph"/>
      </w:pPr>
      <w:r>
        <w:rPr>
          <w:b/>
          <w:bCs/>
        </w:rPr>
        <w:t>Logique</w:t>
      </w:r>
    </w:p>
    <w:p w14:paraId="467C6C24" w14:textId="77777777" w:rsidR="00065317" w:rsidRDefault="005C7BF7">
      <w:pPr>
        <w:pStyle w:val="Corpsdetexte"/>
      </w:pPr>
      <w:r>
        <w:t>P8(x,y) ⇒ E4(x)</w:t>
      </w:r>
    </w:p>
    <w:p w14:paraId="2E4D6BA2" w14:textId="77777777" w:rsidR="00065317" w:rsidRDefault="005C7BF7">
      <w:pPr>
        <w:pStyle w:val="Corpsdetexte"/>
      </w:pPr>
      <w:r>
        <w:t>P8(x,y) ⇒ E18(y)</w:t>
      </w:r>
    </w:p>
    <w:p w14:paraId="6B26F56C" w14:textId="77777777" w:rsidR="00065317" w:rsidRDefault="005C7BF7">
      <w:pPr>
        <w:pStyle w:val="Corpsdetexte"/>
      </w:pPr>
      <w:r>
        <w:t>P8(x,y) ⇐ (∃z) [E53(z) ˄ P7(x,z) ˄ P156i(z,y)]</w:t>
      </w:r>
    </w:p>
    <w:p w14:paraId="50A22CB1" w14:textId="77777777" w:rsidR="00065317" w:rsidRDefault="005C7BF7">
      <w:pPr>
        <w:pStyle w:val="Corpsdetexte"/>
      </w:pPr>
      <w:r>
        <w:rPr>
          <w:b/>
          <w:bCs/>
        </w:rPr>
        <w:t>Propriétés</w:t>
      </w:r>
    </w:p>
    <w:p w14:paraId="789950E6" w14:textId="77777777" w:rsidR="00065317" w:rsidRDefault="005C7BF7">
      <w:pPr>
        <w:pStyle w:val="Normalcentr"/>
      </w:pPr>
      <w:r>
        <w:rPr>
          <w:b/>
          <w:bCs/>
          <w:i/>
          <w:iCs/>
        </w:rPr>
        <w:t>Note de traduction</w:t>
      </w:r>
    </w:p>
    <w:p w14:paraId="14DE6D8B" w14:textId="4FC30A42" w:rsidR="00065317" w:rsidRDefault="005C7BF7" w:rsidP="00BF7EA3">
      <w:pPr>
        <w:pStyle w:val="Normalcentr"/>
      </w:pPr>
      <w:r>
        <w:rPr>
          <w:b/>
          <w:bCs/>
          <w:i/>
          <w:iCs/>
        </w:rPr>
        <w:t>Références</w:t>
      </w:r>
    </w:p>
    <w:p w14:paraId="341D29E4" w14:textId="77777777" w:rsidR="00065317" w:rsidRDefault="005C7BF7" w:rsidP="00914F34">
      <w:pPr>
        <w:pStyle w:val="Titre3"/>
      </w:pPr>
      <w:bookmarkStart w:id="284" w:name="_Toc154048827"/>
      <w:bookmarkStart w:id="285" w:name="p9-comprend-(fait-partie-de)"/>
      <w:bookmarkEnd w:id="283"/>
      <w:r>
        <w:t>P9 comprend (fait partie de)</w:t>
      </w:r>
      <w:bookmarkEnd w:id="284"/>
    </w:p>
    <w:p w14:paraId="5DDCD2BD" w14:textId="77777777" w:rsidR="00065317" w:rsidRDefault="005C7BF7">
      <w:pPr>
        <w:pStyle w:val="FirstParagraph"/>
      </w:pPr>
      <w:r>
        <w:rPr>
          <w:b/>
          <w:bCs/>
        </w:rPr>
        <w:t>Domaine</w:t>
      </w:r>
    </w:p>
    <w:p w14:paraId="7B8D7E5D" w14:textId="77777777" w:rsidR="00065317" w:rsidRDefault="005C7BF7">
      <w:pPr>
        <w:pStyle w:val="Corpsdetexte"/>
      </w:pPr>
      <w:r>
        <w:rPr>
          <w:rStyle w:val="VerbatimChar"/>
        </w:rPr>
        <w:t>E4_Période</w:t>
      </w:r>
    </w:p>
    <w:p w14:paraId="7E35B097" w14:textId="77777777" w:rsidR="00065317" w:rsidRDefault="005C7BF7">
      <w:pPr>
        <w:pStyle w:val="Corpsdetexte"/>
      </w:pPr>
      <w:r>
        <w:rPr>
          <w:b/>
          <w:bCs/>
        </w:rPr>
        <w:t>Portée</w:t>
      </w:r>
    </w:p>
    <w:p w14:paraId="6CC485F7" w14:textId="77777777" w:rsidR="00065317" w:rsidRDefault="005C7BF7">
      <w:pPr>
        <w:pStyle w:val="Corpsdetexte"/>
      </w:pPr>
      <w:r>
        <w:rPr>
          <w:rStyle w:val="VerbatimChar"/>
        </w:rPr>
        <w:t>E4_Période</w:t>
      </w:r>
    </w:p>
    <w:p w14:paraId="4A545156" w14:textId="77777777" w:rsidR="00065317" w:rsidRDefault="005C7BF7">
      <w:pPr>
        <w:pStyle w:val="Corpsdetexte"/>
      </w:pPr>
      <w:r>
        <w:rPr>
          <w:b/>
          <w:bCs/>
        </w:rPr>
        <w:t>Sous-propriété de</w:t>
      </w:r>
    </w:p>
    <w:p w14:paraId="1FC12CC8" w14:textId="7D548F2F" w:rsidR="00065317" w:rsidRDefault="005C7BF7">
      <w:pPr>
        <w:pStyle w:val="Corpsdetexte"/>
      </w:pPr>
      <w:r>
        <w:rPr>
          <w:rStyle w:val="VerbatimChar"/>
        </w:rPr>
        <w:t>E92_Volume_spatio-temporel</w:t>
      </w:r>
      <w:r>
        <w:t xml:space="preserve">. </w:t>
      </w:r>
      <w:r>
        <w:rPr>
          <w:rStyle w:val="VerbatimChar"/>
        </w:rPr>
        <w:t>P10i_contient (s</w:t>
      </w:r>
      <w:r w:rsidR="00E84B0E">
        <w:rPr>
          <w:rStyle w:val="VerbatimChar"/>
        </w:rPr>
        <w:t>’</w:t>
      </w:r>
      <w:r>
        <w:rPr>
          <w:rStyle w:val="VerbatimChar"/>
        </w:rPr>
        <w:t>insère dans)</w:t>
      </w:r>
      <w:r>
        <w:t xml:space="preserve"> : </w:t>
      </w:r>
      <w:r>
        <w:rPr>
          <w:rStyle w:val="VerbatimChar"/>
        </w:rPr>
        <w:t>E92_Volume_spatio-temporel</w:t>
      </w:r>
    </w:p>
    <w:p w14:paraId="50DFB4A5" w14:textId="77777777" w:rsidR="00065317" w:rsidRDefault="005C7BF7">
      <w:pPr>
        <w:pStyle w:val="Corpsdetexte"/>
      </w:pPr>
      <w:r>
        <w:rPr>
          <w:b/>
          <w:bCs/>
        </w:rPr>
        <w:t>Super-propriété de</w:t>
      </w:r>
    </w:p>
    <w:p w14:paraId="3121FC6D" w14:textId="77777777" w:rsidR="00065317" w:rsidRDefault="005C7BF7">
      <w:pPr>
        <w:pStyle w:val="Corpsdetexte"/>
      </w:pPr>
      <w:r>
        <w:rPr>
          <w:b/>
          <w:bCs/>
        </w:rPr>
        <w:t>Quantification</w:t>
      </w:r>
    </w:p>
    <w:p w14:paraId="7FDDBD4E" w14:textId="77777777" w:rsidR="00065317" w:rsidRDefault="005C7BF7">
      <w:pPr>
        <w:pStyle w:val="Corpsdetexte"/>
      </w:pPr>
      <w:r>
        <w:t>plusieurs à plusieurs (0,n:0,n)</w:t>
      </w:r>
    </w:p>
    <w:p w14:paraId="78B46620" w14:textId="6DDC7F6F" w:rsidR="00065317" w:rsidRDefault="005C7BF7">
      <w:pPr>
        <w:pStyle w:val="Corpsdetexte"/>
      </w:pPr>
      <w:r>
        <w:rPr>
          <w:b/>
          <w:bCs/>
        </w:rPr>
        <w:t>Note d</w:t>
      </w:r>
      <w:r w:rsidR="00E84B0E">
        <w:rPr>
          <w:b/>
          <w:bCs/>
        </w:rPr>
        <w:t>’</w:t>
      </w:r>
      <w:r>
        <w:rPr>
          <w:b/>
          <w:bCs/>
        </w:rPr>
        <w:t>application</w:t>
      </w:r>
    </w:p>
    <w:p w14:paraId="3BBEBF27" w14:textId="280E9E2C" w:rsidR="00065317" w:rsidRDefault="005C7BF7">
      <w:pPr>
        <w:pStyle w:val="Corpsdetexte"/>
      </w:pPr>
      <w:r>
        <w:t>Cette propriété décrit l</w:t>
      </w:r>
      <w:r w:rsidR="00E84B0E">
        <w:t>’</w:t>
      </w:r>
      <w:r>
        <w:t>association d</w:t>
      </w:r>
      <w:r w:rsidR="00E84B0E">
        <w:t>’</w:t>
      </w:r>
      <w:r>
        <w:t xml:space="preserve">une instance de </w:t>
      </w:r>
      <w:r>
        <w:rPr>
          <w:rStyle w:val="VerbatimChar"/>
        </w:rPr>
        <w:t>E4_Période</w:t>
      </w:r>
      <w:r>
        <w:t xml:space="preserve"> avec une autre instance de </w:t>
      </w:r>
      <w:r>
        <w:rPr>
          <w:rStyle w:val="VerbatimChar"/>
        </w:rPr>
        <w:t>E4_Période</w:t>
      </w:r>
      <w:r>
        <w:t xml:space="preserve"> lorsque le phénomène qui définit la seconde est un sous-ensemble de celui qui définit la première. Ainsi, le volume spatio-temporel de la seconde doit être compris dans celui de la première.</w:t>
      </w:r>
    </w:p>
    <w:p w14:paraId="1FB819CE" w14:textId="77777777" w:rsidR="00065317" w:rsidRDefault="005C7BF7">
      <w:pPr>
        <w:pStyle w:val="Corpsdetexte"/>
      </w:pPr>
      <w:r>
        <w:t>Cette propriété est transitive et asymétrique.</w:t>
      </w:r>
    </w:p>
    <w:p w14:paraId="74C2B71E" w14:textId="77777777" w:rsidR="00065317" w:rsidRDefault="005C7BF7">
      <w:pPr>
        <w:pStyle w:val="Corpsdetexte"/>
      </w:pPr>
      <w:r>
        <w:rPr>
          <w:b/>
          <w:bCs/>
        </w:rPr>
        <w:t>Exemples</w:t>
      </w:r>
    </w:p>
    <w:p w14:paraId="6CF7FE72" w14:textId="5FC1A0C1" w:rsidR="00065317" w:rsidRDefault="005C7BF7">
      <w:pPr>
        <w:numPr>
          <w:ilvl w:val="0"/>
          <w:numId w:val="151"/>
        </w:numPr>
      </w:pPr>
      <w:r>
        <w:t>L</w:t>
      </w:r>
      <w:r w:rsidR="00E84B0E">
        <w:t>’</w:t>
      </w:r>
      <w:r>
        <w:t>Âge du Bronze en Crète (</w:t>
      </w:r>
      <w:r>
        <w:rPr>
          <w:rStyle w:val="VerbatimChar"/>
        </w:rPr>
        <w:t>E4_Période</w:t>
      </w:r>
      <w:r>
        <w:t>) comprend (</w:t>
      </w:r>
      <w:r>
        <w:rPr>
          <w:rStyle w:val="VerbatimChar"/>
        </w:rPr>
        <w:t>P9_comprend</w:t>
      </w:r>
      <w:r>
        <w:t>) le Min</w:t>
      </w:r>
      <w:r w:rsidR="00C012B4">
        <w:t>œ</w:t>
      </w:r>
      <w:r>
        <w:t>n moyen (</w:t>
      </w:r>
      <w:r>
        <w:rPr>
          <w:rStyle w:val="VerbatimChar"/>
        </w:rPr>
        <w:t>E4_Période</w:t>
      </w:r>
      <w:r>
        <w:t>) (Hood, 1971)</w:t>
      </w:r>
    </w:p>
    <w:p w14:paraId="25093F28" w14:textId="77777777" w:rsidR="00C86352" w:rsidRDefault="00C86352">
      <w:pPr>
        <w:spacing w:after="0"/>
        <w:rPr>
          <w:b/>
          <w:bCs/>
        </w:rPr>
      </w:pPr>
      <w:r>
        <w:rPr>
          <w:b/>
          <w:bCs/>
        </w:rPr>
        <w:br w:type="page"/>
      </w:r>
    </w:p>
    <w:p w14:paraId="00E941B2" w14:textId="59296B61" w:rsidR="00065317" w:rsidRDefault="005C7BF7">
      <w:pPr>
        <w:pStyle w:val="FirstParagraph"/>
      </w:pPr>
      <w:r>
        <w:rPr>
          <w:b/>
          <w:bCs/>
        </w:rPr>
        <w:lastRenderedPageBreak/>
        <w:t>Logique</w:t>
      </w:r>
    </w:p>
    <w:p w14:paraId="0F89FAE5" w14:textId="77777777" w:rsidR="00065317" w:rsidRDefault="005C7BF7">
      <w:pPr>
        <w:pStyle w:val="Corpsdetexte"/>
      </w:pPr>
      <w:r>
        <w:t>P9(x,y) ⇒ E4(x)</w:t>
      </w:r>
    </w:p>
    <w:p w14:paraId="3B6AE3A2" w14:textId="77777777" w:rsidR="00065317" w:rsidRDefault="005C7BF7">
      <w:pPr>
        <w:pStyle w:val="Corpsdetexte"/>
      </w:pPr>
      <w:r>
        <w:t>P9(x,y) ⇒ E4(y)</w:t>
      </w:r>
    </w:p>
    <w:p w14:paraId="0EAB84ED" w14:textId="77777777" w:rsidR="00065317" w:rsidRDefault="005C7BF7">
      <w:pPr>
        <w:pStyle w:val="Corpsdetexte"/>
      </w:pPr>
      <w:r>
        <w:t>P9(x,y) ⇒ P10(y,x)</w:t>
      </w:r>
    </w:p>
    <w:p w14:paraId="65172367" w14:textId="77777777" w:rsidR="00065317" w:rsidRDefault="005C7BF7">
      <w:pPr>
        <w:pStyle w:val="Corpsdetexte"/>
      </w:pPr>
      <w:r>
        <w:t>[P9(x,y) ∧ P9(y,z)] ⇒ P9(x,z)</w:t>
      </w:r>
    </w:p>
    <w:p w14:paraId="43B6262C" w14:textId="77777777" w:rsidR="00065317" w:rsidRDefault="005C7BF7">
      <w:pPr>
        <w:pStyle w:val="Corpsdetexte"/>
      </w:pPr>
      <w:r>
        <w:t>P9(x,y) ⇒ ¬P9(y,x)</w:t>
      </w:r>
    </w:p>
    <w:p w14:paraId="3DE33436" w14:textId="77777777" w:rsidR="00065317" w:rsidRDefault="005C7BF7">
      <w:pPr>
        <w:pStyle w:val="Corpsdetexte"/>
      </w:pPr>
      <w:r>
        <w:rPr>
          <w:b/>
          <w:bCs/>
        </w:rPr>
        <w:t>Propriétés</w:t>
      </w:r>
    </w:p>
    <w:p w14:paraId="5056C75E" w14:textId="77777777" w:rsidR="00065317" w:rsidRDefault="005C7BF7">
      <w:pPr>
        <w:pStyle w:val="Normalcentr"/>
      </w:pPr>
      <w:r>
        <w:rPr>
          <w:b/>
          <w:bCs/>
          <w:i/>
          <w:iCs/>
        </w:rPr>
        <w:t>Note de traduction</w:t>
      </w:r>
    </w:p>
    <w:p w14:paraId="2C2B537E" w14:textId="0186A96F" w:rsidR="00065317" w:rsidRDefault="005C7BF7">
      <w:pPr>
        <w:pStyle w:val="Normalcentr"/>
      </w:pPr>
      <w:r>
        <w:t>Le terme « Middle Minoan » est utilisé par Sir Arthur John Evans en 1921 lorsqu</w:t>
      </w:r>
      <w:r w:rsidR="00E84B0E">
        <w:t>’</w:t>
      </w:r>
      <w:r>
        <w:t>il définit une chronologie min</w:t>
      </w:r>
      <w:r w:rsidR="00C012B4">
        <w:t>œ</w:t>
      </w:r>
      <w:r>
        <w:t xml:space="preserve">nne dans </w:t>
      </w:r>
      <w:r>
        <w:rPr>
          <w:i/>
          <w:iCs/>
        </w:rPr>
        <w:t>The Palace of Minos at Knossos</w:t>
      </w:r>
      <w:r>
        <w:t>. L</w:t>
      </w:r>
      <w:r w:rsidR="00E84B0E">
        <w:t>’</w:t>
      </w:r>
      <w:r>
        <w:t>équivalent de « Middle Minoan » dans les revues françaises de ce texte est « Min</w:t>
      </w:r>
      <w:r w:rsidR="00C012B4">
        <w:t>œ</w:t>
      </w:r>
      <w:r>
        <w:t>n moyen » et c</w:t>
      </w:r>
      <w:r w:rsidR="00E84B0E">
        <w:t>’</w:t>
      </w:r>
      <w:r>
        <w:t>est cette formulation qui a été retenue. Une revue sommaire a confirmé que c</w:t>
      </w:r>
      <w:r w:rsidR="00E84B0E">
        <w:t>’</w:t>
      </w:r>
      <w:r>
        <w:t>est une traduction fréquente de ce concept et que cette formulation est fréquemment utilisée.</w:t>
      </w:r>
    </w:p>
    <w:p w14:paraId="152EC34C" w14:textId="77777777" w:rsidR="00065317" w:rsidRPr="00EC2D6E" w:rsidRDefault="005C7BF7">
      <w:pPr>
        <w:pStyle w:val="Normalcentr"/>
        <w:rPr>
          <w:lang w:val="en-CA"/>
        </w:rPr>
      </w:pPr>
      <w:r w:rsidRPr="00EC2D6E">
        <w:rPr>
          <w:b/>
          <w:bCs/>
          <w:i/>
          <w:iCs/>
          <w:lang w:val="en-CA"/>
        </w:rPr>
        <w:t>Références</w:t>
      </w:r>
    </w:p>
    <w:p w14:paraId="3E06E8C4" w14:textId="08F8BF46" w:rsidR="00065317" w:rsidRPr="00EC2D6E" w:rsidRDefault="005C7BF7">
      <w:pPr>
        <w:pStyle w:val="Normalcentr"/>
        <w:rPr>
          <w:lang w:val="en-CA"/>
        </w:rPr>
      </w:pPr>
      <w:r w:rsidRPr="00EC2D6E">
        <w:rPr>
          <w:lang w:val="en-CA"/>
        </w:rPr>
        <w:t xml:space="preserve">Evans, Arthur John. </w:t>
      </w:r>
      <w:r w:rsidRPr="00EC2D6E">
        <w:rPr>
          <w:i/>
          <w:iCs/>
          <w:lang w:val="en-CA"/>
        </w:rPr>
        <w:t>The Palace of Minos: The Neolithic and Early Middle Minoan Age</w:t>
      </w:r>
      <w:r w:rsidRPr="00EC2D6E">
        <w:rPr>
          <w:lang w:val="en-CA"/>
        </w:rPr>
        <w:t>. Vol. 1. 6 vol. The Palace of Minos. London, GB-LND: Macmillan, 1921.</w:t>
      </w:r>
      <w:hyperlink r:id="rId218">
        <w:r w:rsidRPr="00EC2D6E">
          <w:rPr>
            <w:rStyle w:val="Lienhypertexte"/>
            <w:lang w:val="en-CA"/>
          </w:rPr>
          <w:t xml:space="preserve"> </w:t>
        </w:r>
      </w:hyperlink>
      <w:hyperlink r:id="rId219">
        <w:r w:rsidRPr="00EC2D6E">
          <w:rPr>
            <w:rStyle w:val="Lienhypertexte"/>
            <w:lang w:val="en-CA"/>
          </w:rPr>
          <w:t>https://openlibrary.org/books/OL7063760M/The_palace_of_Minos</w:t>
        </w:r>
      </w:hyperlink>
      <w:r w:rsidRPr="00EC2D6E">
        <w:rPr>
          <w:lang w:val="en-CA"/>
        </w:rPr>
        <w:t>.</w:t>
      </w:r>
    </w:p>
    <w:p w14:paraId="2A1C7CD9" w14:textId="6E8BC170" w:rsidR="00065317" w:rsidRDefault="005C7BF7">
      <w:pPr>
        <w:pStyle w:val="Normalcentr"/>
      </w:pPr>
      <w:r>
        <w:t xml:space="preserve">Picard, Charles. « Le palais de Minos à Cnossos ». </w:t>
      </w:r>
      <w:r>
        <w:rPr>
          <w:i/>
          <w:iCs/>
        </w:rPr>
        <w:t>Journal des Savants</w:t>
      </w:r>
      <w:r>
        <w:t xml:space="preserve"> 3, n</w:t>
      </w:r>
      <w:r>
        <w:rPr>
          <w:vertAlign w:val="superscript"/>
        </w:rPr>
        <w:t>o</w:t>
      </w:r>
      <w:r>
        <w:t xml:space="preserve"> 1 (1929): 97‑110.</w:t>
      </w:r>
    </w:p>
    <w:p w14:paraId="21EE5BEA" w14:textId="66F89563" w:rsidR="00065317" w:rsidRDefault="005C7BF7" w:rsidP="00914F34">
      <w:pPr>
        <w:pStyle w:val="Titre3"/>
      </w:pPr>
      <w:bookmarkStart w:id="286" w:name="_Toc154048828"/>
      <w:bookmarkStart w:id="287" w:name="p10-sinsere-dans-(contient)"/>
      <w:bookmarkEnd w:id="285"/>
      <w:r>
        <w:t>P10 s</w:t>
      </w:r>
      <w:r w:rsidR="00E84B0E">
        <w:t>’</w:t>
      </w:r>
      <w:r>
        <w:t>insère dans (contient)</w:t>
      </w:r>
      <w:bookmarkEnd w:id="286"/>
    </w:p>
    <w:p w14:paraId="5048D3A2" w14:textId="77777777" w:rsidR="00065317" w:rsidRDefault="005C7BF7">
      <w:pPr>
        <w:pStyle w:val="FirstParagraph"/>
      </w:pPr>
      <w:r>
        <w:rPr>
          <w:b/>
          <w:bCs/>
        </w:rPr>
        <w:t>Domaine</w:t>
      </w:r>
    </w:p>
    <w:p w14:paraId="14EBCD77" w14:textId="77777777" w:rsidR="00065317" w:rsidRDefault="005C7BF7">
      <w:pPr>
        <w:pStyle w:val="Corpsdetexte"/>
      </w:pPr>
      <w:r>
        <w:rPr>
          <w:rStyle w:val="VerbatimChar"/>
        </w:rPr>
        <w:t>E92_Volume_spatio-temporel</w:t>
      </w:r>
    </w:p>
    <w:p w14:paraId="3535F904" w14:textId="77777777" w:rsidR="00065317" w:rsidRDefault="005C7BF7">
      <w:pPr>
        <w:pStyle w:val="Corpsdetexte"/>
      </w:pPr>
      <w:r>
        <w:rPr>
          <w:b/>
          <w:bCs/>
        </w:rPr>
        <w:t>Portée</w:t>
      </w:r>
    </w:p>
    <w:p w14:paraId="729EDD6D" w14:textId="77777777" w:rsidR="00065317" w:rsidRDefault="005C7BF7">
      <w:pPr>
        <w:pStyle w:val="Corpsdetexte"/>
      </w:pPr>
      <w:r>
        <w:rPr>
          <w:rStyle w:val="VerbatimChar"/>
        </w:rPr>
        <w:t>E92_Volume_spatio-temporel</w:t>
      </w:r>
    </w:p>
    <w:p w14:paraId="53A189AB" w14:textId="77777777" w:rsidR="00065317" w:rsidRDefault="005C7BF7">
      <w:pPr>
        <w:pStyle w:val="Corpsdetexte"/>
      </w:pPr>
      <w:r>
        <w:rPr>
          <w:b/>
          <w:bCs/>
        </w:rPr>
        <w:t>Sous-propriété de</w:t>
      </w:r>
    </w:p>
    <w:p w14:paraId="772B54B0" w14:textId="77777777" w:rsidR="00065317" w:rsidRDefault="005C7BF7">
      <w:pPr>
        <w:pStyle w:val="Corpsdetexte"/>
      </w:pPr>
      <w:r>
        <w:rPr>
          <w:rStyle w:val="VerbatimChar"/>
        </w:rPr>
        <w:t>E92_Volume_spatio-temporel</w:t>
      </w:r>
      <w:r>
        <w:t xml:space="preserve">. </w:t>
      </w:r>
      <w:r>
        <w:rPr>
          <w:rStyle w:val="VerbatimChar"/>
        </w:rPr>
        <w:t>P132_recoupe_spatio-temporellement</w:t>
      </w:r>
      <w:r>
        <w:t xml:space="preserve"> : </w:t>
      </w:r>
      <w:r>
        <w:rPr>
          <w:rStyle w:val="VerbatimChar"/>
        </w:rPr>
        <w:t>E92_Volume_spatio-temporel</w:t>
      </w:r>
    </w:p>
    <w:p w14:paraId="545CCF89" w14:textId="77777777" w:rsidR="00065317" w:rsidRDefault="005C7BF7">
      <w:pPr>
        <w:pStyle w:val="Corpsdetexte"/>
      </w:pPr>
      <w:r>
        <w:rPr>
          <w:b/>
          <w:bCs/>
        </w:rPr>
        <w:t>Super-propriété de</w:t>
      </w:r>
    </w:p>
    <w:p w14:paraId="07928E51" w14:textId="77777777" w:rsidR="00065317" w:rsidRDefault="005C7BF7">
      <w:pPr>
        <w:pStyle w:val="Corpsdetexte"/>
      </w:pPr>
      <w:r>
        <w:rPr>
          <w:rStyle w:val="VerbatimChar"/>
        </w:rPr>
        <w:t>E4_Période</w:t>
      </w:r>
      <w:r>
        <w:t xml:space="preserve">. </w:t>
      </w:r>
      <w:r>
        <w:rPr>
          <w:rStyle w:val="VerbatimChar"/>
        </w:rPr>
        <w:t>P9i_fait_partie_de</w:t>
      </w:r>
      <w:r>
        <w:t xml:space="preserve"> : </w:t>
      </w:r>
      <w:r>
        <w:rPr>
          <w:rStyle w:val="VerbatimChar"/>
        </w:rPr>
        <w:t>E4_Période</w:t>
      </w:r>
    </w:p>
    <w:p w14:paraId="1C6A8136" w14:textId="77777777" w:rsidR="00065317" w:rsidRDefault="005C7BF7">
      <w:pPr>
        <w:pStyle w:val="Corpsdetexte"/>
      </w:pPr>
      <w:r>
        <w:rPr>
          <w:rStyle w:val="VerbatimChar"/>
        </w:rPr>
        <w:t>E93_Présence</w:t>
      </w:r>
      <w:r>
        <w:t xml:space="preserve">. </w:t>
      </w:r>
      <w:r>
        <w:rPr>
          <w:rStyle w:val="VerbatimChar"/>
        </w:rPr>
        <w:t>P166_a_été_une_présence_de (a_eu_pour_présence)</w:t>
      </w:r>
      <w:r>
        <w:t xml:space="preserve"> : </w:t>
      </w:r>
      <w:r>
        <w:rPr>
          <w:rStyle w:val="VerbatimChar"/>
        </w:rPr>
        <w:t>E92_Volume_spatio-temporel</w:t>
      </w:r>
    </w:p>
    <w:p w14:paraId="3CEBA88B" w14:textId="77777777" w:rsidR="00065317" w:rsidRDefault="005C7BF7">
      <w:pPr>
        <w:pStyle w:val="Corpsdetexte"/>
      </w:pPr>
      <w:r>
        <w:rPr>
          <w:b/>
          <w:bCs/>
        </w:rPr>
        <w:t>Quantification</w:t>
      </w:r>
    </w:p>
    <w:p w14:paraId="055AB0B6" w14:textId="241410D8" w:rsidR="00065317" w:rsidRDefault="005C7BF7" w:rsidP="00C86352">
      <w:pPr>
        <w:pStyle w:val="Corpsdetexte"/>
      </w:pPr>
      <w:r>
        <w:t>plusieurs à plusieurs, nécessaire, dépendant (1,n:0,n)</w:t>
      </w:r>
    </w:p>
    <w:p w14:paraId="1D83BB10" w14:textId="1F2509AD" w:rsidR="00065317" w:rsidRDefault="005C7BF7">
      <w:pPr>
        <w:pStyle w:val="Corpsdetexte"/>
      </w:pPr>
      <w:r>
        <w:rPr>
          <w:b/>
          <w:bCs/>
        </w:rPr>
        <w:t>Note d</w:t>
      </w:r>
      <w:r w:rsidR="00E84B0E">
        <w:rPr>
          <w:b/>
          <w:bCs/>
        </w:rPr>
        <w:t>’</w:t>
      </w:r>
      <w:r>
        <w:rPr>
          <w:b/>
          <w:bCs/>
        </w:rPr>
        <w:t>application</w:t>
      </w:r>
    </w:p>
    <w:p w14:paraId="61AC2549" w14:textId="70D25C0B" w:rsidR="00065317" w:rsidRDefault="005C7BF7">
      <w:pPr>
        <w:pStyle w:val="Corpsdetexte"/>
      </w:pPr>
      <w:r>
        <w:t xml:space="preserve">Cette propriété associe une instance de </w:t>
      </w:r>
      <w:r>
        <w:rPr>
          <w:rStyle w:val="VerbatimChar"/>
        </w:rPr>
        <w:t>E92_Volume_spatio-temporel</w:t>
      </w:r>
      <w:r>
        <w:t xml:space="preserve"> à une autre instance de </w:t>
      </w:r>
      <w:r>
        <w:rPr>
          <w:rStyle w:val="VerbatimChar"/>
        </w:rPr>
        <w:t>E92_Volume_spatio-temporel</w:t>
      </w:r>
      <w:r>
        <w:t xml:space="preserve"> qui s</w:t>
      </w:r>
      <w:r w:rsidR="00E84B0E">
        <w:t>’</w:t>
      </w:r>
      <w:r>
        <w:t>insère dans cette dernière. En d</w:t>
      </w:r>
      <w:r w:rsidR="00E84B0E">
        <w:t>’</w:t>
      </w:r>
      <w:r>
        <w:t>autres termes, tous les points de la première instance sont également des points de la dernière.</w:t>
      </w:r>
    </w:p>
    <w:p w14:paraId="241F3E82" w14:textId="77777777" w:rsidR="00065317" w:rsidRDefault="005C7BF7">
      <w:pPr>
        <w:pStyle w:val="Corpsdetexte"/>
      </w:pPr>
      <w:r>
        <w:t>Cette propriété est transitive et réflexive.</w:t>
      </w:r>
    </w:p>
    <w:p w14:paraId="5DADC4A9" w14:textId="77777777" w:rsidR="00065317" w:rsidRDefault="005C7BF7">
      <w:pPr>
        <w:pStyle w:val="Corpsdetexte"/>
      </w:pPr>
      <w:r>
        <w:rPr>
          <w:b/>
          <w:bCs/>
        </w:rPr>
        <w:lastRenderedPageBreak/>
        <w:t>Exemples</w:t>
      </w:r>
    </w:p>
    <w:p w14:paraId="6E5E7383" w14:textId="7063F103" w:rsidR="00065317" w:rsidRDefault="005C7BF7">
      <w:pPr>
        <w:numPr>
          <w:ilvl w:val="0"/>
          <w:numId w:val="152"/>
        </w:numPr>
      </w:pPr>
      <w:r>
        <w:t>La grande peste de Londres (</w:t>
      </w:r>
      <w:r>
        <w:rPr>
          <w:rStyle w:val="VerbatimChar"/>
        </w:rPr>
        <w:t>E4_Période</w:t>
      </w:r>
      <w:r>
        <w:t>) s</w:t>
      </w:r>
      <w:r w:rsidR="00E84B0E">
        <w:t>’</w:t>
      </w:r>
      <w:r>
        <w:t>insère dans (</w:t>
      </w:r>
      <w:r>
        <w:rPr>
          <w:rStyle w:val="VerbatimChar"/>
        </w:rPr>
        <w:t>P10_s</w:t>
      </w:r>
      <w:r w:rsidR="00E84B0E">
        <w:rPr>
          <w:rStyle w:val="VerbatimChar"/>
        </w:rPr>
        <w:t>’</w:t>
      </w:r>
      <w:r>
        <w:rPr>
          <w:rStyle w:val="VerbatimChar"/>
        </w:rPr>
        <w:t>insère_dans</w:t>
      </w:r>
      <w:r>
        <w:t>) la période de l</w:t>
      </w:r>
      <w:r w:rsidR="00E84B0E">
        <w:t>’</w:t>
      </w:r>
      <w:r>
        <w:t>art gothique (</w:t>
      </w:r>
      <w:r>
        <w:rPr>
          <w:rStyle w:val="VerbatimChar"/>
        </w:rPr>
        <w:t>E4_Période</w:t>
      </w:r>
      <w:r>
        <w:t>) (Porter, 2009)</w:t>
      </w:r>
    </w:p>
    <w:p w14:paraId="38826CEA" w14:textId="77777777" w:rsidR="00065317" w:rsidRDefault="005C7BF7">
      <w:pPr>
        <w:pStyle w:val="FirstParagraph"/>
      </w:pPr>
      <w:r>
        <w:rPr>
          <w:b/>
          <w:bCs/>
        </w:rPr>
        <w:t>Logique</w:t>
      </w:r>
    </w:p>
    <w:p w14:paraId="7E991E74" w14:textId="77777777" w:rsidR="00065317" w:rsidRDefault="005C7BF7">
      <w:pPr>
        <w:pStyle w:val="Corpsdetexte"/>
      </w:pPr>
      <w:r>
        <w:t>P10(x,y) ⇒ E92(x)</w:t>
      </w:r>
    </w:p>
    <w:p w14:paraId="533232FD" w14:textId="77777777" w:rsidR="00065317" w:rsidRDefault="005C7BF7">
      <w:pPr>
        <w:pStyle w:val="Corpsdetexte"/>
      </w:pPr>
      <w:r>
        <w:t>P10(x,y) ⇒ E92(y)</w:t>
      </w:r>
    </w:p>
    <w:p w14:paraId="47DAEEA6" w14:textId="77777777" w:rsidR="00065317" w:rsidRDefault="005C7BF7">
      <w:pPr>
        <w:pStyle w:val="Corpsdetexte"/>
      </w:pPr>
      <w:r>
        <w:t>P10(x,y) ⇒ P132(x,y)</w:t>
      </w:r>
    </w:p>
    <w:p w14:paraId="35022EDF" w14:textId="77777777" w:rsidR="00065317" w:rsidRDefault="005C7BF7">
      <w:pPr>
        <w:pStyle w:val="Corpsdetexte"/>
      </w:pPr>
      <w:r>
        <w:t>[P10(x,y) ∧ P10(y,z)] ⇒ P10(x,z)</w:t>
      </w:r>
    </w:p>
    <w:p w14:paraId="2FCCEF50" w14:textId="77777777" w:rsidR="00065317" w:rsidRDefault="005C7BF7">
      <w:pPr>
        <w:pStyle w:val="Corpsdetexte"/>
      </w:pPr>
      <w:r>
        <w:t>P10(x,x)</w:t>
      </w:r>
    </w:p>
    <w:p w14:paraId="6405A2C8" w14:textId="77777777" w:rsidR="00065317" w:rsidRDefault="005C7BF7">
      <w:pPr>
        <w:pStyle w:val="Corpsdetexte"/>
      </w:pPr>
      <w:r>
        <w:rPr>
          <w:b/>
          <w:bCs/>
        </w:rPr>
        <w:t>Propriétés</w:t>
      </w:r>
    </w:p>
    <w:p w14:paraId="4742C0E0" w14:textId="77777777" w:rsidR="00065317" w:rsidRDefault="005C7BF7">
      <w:pPr>
        <w:pStyle w:val="Normalcentr"/>
      </w:pPr>
      <w:r>
        <w:rPr>
          <w:b/>
          <w:bCs/>
          <w:i/>
          <w:iCs/>
        </w:rPr>
        <w:t>Note de traduction</w:t>
      </w:r>
    </w:p>
    <w:p w14:paraId="5B1941D9" w14:textId="086D6D28" w:rsidR="00065317" w:rsidRDefault="005C7BF7" w:rsidP="00BF7EA3">
      <w:pPr>
        <w:pStyle w:val="Normalcentr"/>
      </w:pPr>
      <w:r>
        <w:rPr>
          <w:b/>
          <w:bCs/>
          <w:i/>
          <w:iCs/>
        </w:rPr>
        <w:t>Références</w:t>
      </w:r>
    </w:p>
    <w:p w14:paraId="7300093B" w14:textId="77777777" w:rsidR="00065317" w:rsidRDefault="005C7BF7" w:rsidP="00F54917">
      <w:pPr>
        <w:pStyle w:val="Titre3"/>
        <w:spacing w:before="140" w:after="140"/>
      </w:pPr>
      <w:bookmarkStart w:id="288" w:name="_Toc154048829"/>
      <w:bookmarkStart w:id="289" w:name="Xdbc3261115d94523e58e02e9b8a10239c297eb3"/>
      <w:bookmarkEnd w:id="287"/>
      <w:r>
        <w:t>P11 a eu pour actant participant (a participé à)</w:t>
      </w:r>
      <w:bookmarkEnd w:id="288"/>
    </w:p>
    <w:p w14:paraId="636F0FBF" w14:textId="77777777" w:rsidR="00065317" w:rsidRDefault="005C7BF7">
      <w:pPr>
        <w:pStyle w:val="FirstParagraph"/>
      </w:pPr>
      <w:r>
        <w:rPr>
          <w:b/>
          <w:bCs/>
        </w:rPr>
        <w:t>Domaine</w:t>
      </w:r>
    </w:p>
    <w:p w14:paraId="36BC0135" w14:textId="77777777" w:rsidR="00065317" w:rsidRDefault="005C7BF7">
      <w:pPr>
        <w:pStyle w:val="Corpsdetexte"/>
      </w:pPr>
      <w:r>
        <w:rPr>
          <w:rStyle w:val="VerbatimChar"/>
        </w:rPr>
        <w:t>E5_Évènement</w:t>
      </w:r>
    </w:p>
    <w:p w14:paraId="65871A87" w14:textId="77777777" w:rsidR="00065317" w:rsidRDefault="005C7BF7">
      <w:pPr>
        <w:pStyle w:val="Corpsdetexte"/>
      </w:pPr>
      <w:r>
        <w:rPr>
          <w:b/>
          <w:bCs/>
        </w:rPr>
        <w:t>Portée</w:t>
      </w:r>
    </w:p>
    <w:p w14:paraId="0B11A9CD" w14:textId="77777777" w:rsidR="00065317" w:rsidRDefault="005C7BF7">
      <w:pPr>
        <w:pStyle w:val="Corpsdetexte"/>
      </w:pPr>
      <w:r>
        <w:rPr>
          <w:rStyle w:val="VerbatimChar"/>
        </w:rPr>
        <w:t>E39_Actant</w:t>
      </w:r>
    </w:p>
    <w:p w14:paraId="3FABE182" w14:textId="77777777" w:rsidR="00065317" w:rsidRDefault="005C7BF7">
      <w:pPr>
        <w:pStyle w:val="Corpsdetexte"/>
      </w:pPr>
      <w:r>
        <w:rPr>
          <w:b/>
          <w:bCs/>
        </w:rPr>
        <w:t>Sous-propriété de</w:t>
      </w:r>
    </w:p>
    <w:p w14:paraId="3FF70F5E" w14:textId="77777777" w:rsidR="00065317" w:rsidRDefault="005C7BF7">
      <w:pPr>
        <w:pStyle w:val="Corpsdetexte"/>
      </w:pPr>
      <w:r>
        <w:rPr>
          <w:rStyle w:val="VerbatimChar"/>
        </w:rPr>
        <w:t>E5_Évènement</w:t>
      </w:r>
      <w:r>
        <w:t xml:space="preserve">. </w:t>
      </w:r>
      <w:r>
        <w:rPr>
          <w:rStyle w:val="VerbatimChar"/>
        </w:rPr>
        <w:t>P12_a_eu_lieu_en_présence_de (a_été_présent_à)</w:t>
      </w:r>
      <w:r>
        <w:t xml:space="preserve"> : </w:t>
      </w:r>
      <w:r>
        <w:rPr>
          <w:rStyle w:val="VerbatimChar"/>
        </w:rPr>
        <w:t>E77_Entité_persistante</w:t>
      </w:r>
    </w:p>
    <w:p w14:paraId="04156C82" w14:textId="77777777" w:rsidR="00065317" w:rsidRDefault="005C7BF7">
      <w:pPr>
        <w:pStyle w:val="Corpsdetexte"/>
      </w:pPr>
      <w:r>
        <w:rPr>
          <w:b/>
          <w:bCs/>
        </w:rPr>
        <w:t>Super-propriété de</w:t>
      </w:r>
    </w:p>
    <w:p w14:paraId="44F06528" w14:textId="77777777" w:rsidR="00065317" w:rsidRDefault="005C7BF7">
      <w:pPr>
        <w:pStyle w:val="Corpsdetexte"/>
      </w:pPr>
      <w:r>
        <w:rPr>
          <w:rStyle w:val="VerbatimChar"/>
        </w:rPr>
        <w:t>E7_Activité</w:t>
      </w:r>
      <w:r>
        <w:t xml:space="preserve">. </w:t>
      </w:r>
      <w:r>
        <w:rPr>
          <w:rStyle w:val="VerbatimChar"/>
        </w:rPr>
        <w:t>P14_a_été_effectué_par (a_effectué)</w:t>
      </w:r>
      <w:r>
        <w:t xml:space="preserve"> : </w:t>
      </w:r>
      <w:r>
        <w:rPr>
          <w:rStyle w:val="VerbatimChar"/>
        </w:rPr>
        <w:t>E39_Actant</w:t>
      </w:r>
    </w:p>
    <w:p w14:paraId="556596A2" w14:textId="77777777" w:rsidR="00065317" w:rsidRDefault="005C7BF7">
      <w:pPr>
        <w:pStyle w:val="Corpsdetexte"/>
      </w:pPr>
      <w:r>
        <w:rPr>
          <w:rStyle w:val="VerbatimChar"/>
        </w:rPr>
        <w:t>E67_Naissance</w:t>
      </w:r>
      <w:r>
        <w:t xml:space="preserve">. </w:t>
      </w:r>
      <w:r>
        <w:rPr>
          <w:rStyle w:val="VerbatimChar"/>
        </w:rPr>
        <w:t>P96_de_mère (a_donné_naissance_à)</w:t>
      </w:r>
      <w:r>
        <w:t xml:space="preserve"> : </w:t>
      </w:r>
      <w:r>
        <w:rPr>
          <w:rStyle w:val="VerbatimChar"/>
        </w:rPr>
        <w:t>E21_Personne</w:t>
      </w:r>
    </w:p>
    <w:p w14:paraId="35509C4B" w14:textId="77777777" w:rsidR="00065317" w:rsidRDefault="005C7BF7">
      <w:pPr>
        <w:pStyle w:val="Corpsdetexte"/>
      </w:pPr>
      <w:r>
        <w:rPr>
          <w:rStyle w:val="VerbatimChar"/>
        </w:rPr>
        <w:t>E68_Dissolution</w:t>
      </w:r>
      <w:r>
        <w:t xml:space="preserve">. </w:t>
      </w:r>
      <w:r>
        <w:rPr>
          <w:rStyle w:val="VerbatimChar"/>
        </w:rPr>
        <w:t>P99_a_dissous (a_été_dissous_par)</w:t>
      </w:r>
      <w:r>
        <w:t xml:space="preserve"> : </w:t>
      </w:r>
      <w:r>
        <w:rPr>
          <w:rStyle w:val="VerbatimChar"/>
        </w:rPr>
        <w:t>E74_Groupe</w:t>
      </w:r>
    </w:p>
    <w:p w14:paraId="7088C21C" w14:textId="77777777" w:rsidR="00065317" w:rsidRDefault="005C7BF7">
      <w:pPr>
        <w:pStyle w:val="Corpsdetexte"/>
      </w:pPr>
      <w:r>
        <w:rPr>
          <w:rStyle w:val="VerbatimChar"/>
        </w:rPr>
        <w:t>E85_Adhésion</w:t>
      </w:r>
      <w:r>
        <w:t xml:space="preserve">. </w:t>
      </w:r>
      <w:r>
        <w:rPr>
          <w:rStyle w:val="VerbatimChar"/>
        </w:rPr>
        <w:t>P143_a_fait_adhérer (a_adhéré_par)</w:t>
      </w:r>
      <w:r>
        <w:t xml:space="preserve"> : </w:t>
      </w:r>
      <w:r>
        <w:rPr>
          <w:rStyle w:val="VerbatimChar"/>
        </w:rPr>
        <w:t>E39_Actant</w:t>
      </w:r>
    </w:p>
    <w:p w14:paraId="498B9658" w14:textId="77777777" w:rsidR="00065317" w:rsidRDefault="005C7BF7">
      <w:pPr>
        <w:pStyle w:val="Corpsdetexte"/>
      </w:pPr>
      <w:r>
        <w:rPr>
          <w:rStyle w:val="VerbatimChar"/>
        </w:rPr>
        <w:t>E85_Adhésion</w:t>
      </w:r>
      <w:r>
        <w:t xml:space="preserve">. </w:t>
      </w:r>
      <w:r>
        <w:rPr>
          <w:rStyle w:val="VerbatimChar"/>
        </w:rPr>
        <w:t>P144_a_fait_adhérer_à (a_accueilli_le_membre_par)</w:t>
      </w:r>
      <w:r>
        <w:t xml:space="preserve"> : </w:t>
      </w:r>
      <w:r>
        <w:rPr>
          <w:rStyle w:val="VerbatimChar"/>
        </w:rPr>
        <w:t>E74_Groupe</w:t>
      </w:r>
    </w:p>
    <w:p w14:paraId="0B1396A6" w14:textId="77777777" w:rsidR="00065317" w:rsidRDefault="005C7BF7">
      <w:pPr>
        <w:pStyle w:val="Corpsdetexte"/>
      </w:pPr>
      <w:r>
        <w:rPr>
          <w:rStyle w:val="VerbatimChar"/>
        </w:rPr>
        <w:t>E86_Départ</w:t>
      </w:r>
      <w:r>
        <w:t xml:space="preserve">. </w:t>
      </w:r>
      <w:r>
        <w:rPr>
          <w:rStyle w:val="VerbatimChar"/>
        </w:rPr>
        <w:t>P145_a_dissocié (est_dissocié_par)</w:t>
      </w:r>
      <w:r>
        <w:t xml:space="preserve"> : </w:t>
      </w:r>
      <w:r>
        <w:rPr>
          <w:rStyle w:val="VerbatimChar"/>
        </w:rPr>
        <w:t>E39_Actant</w:t>
      </w:r>
    </w:p>
    <w:p w14:paraId="09870845" w14:textId="77777777" w:rsidR="00065317" w:rsidRDefault="005C7BF7">
      <w:pPr>
        <w:pStyle w:val="Corpsdetexte"/>
      </w:pPr>
      <w:r>
        <w:rPr>
          <w:rStyle w:val="VerbatimChar"/>
        </w:rPr>
        <w:t>E86_Départ</w:t>
      </w:r>
      <w:r>
        <w:t xml:space="preserve">. </w:t>
      </w:r>
      <w:r>
        <w:rPr>
          <w:rStyle w:val="VerbatimChar"/>
        </w:rPr>
        <w:t>P146_a_dissocié_de (a_perdu_le_membre_par)</w:t>
      </w:r>
      <w:r>
        <w:t xml:space="preserve"> : </w:t>
      </w:r>
      <w:r>
        <w:rPr>
          <w:rStyle w:val="VerbatimChar"/>
        </w:rPr>
        <w:t>E74_Groupe</w:t>
      </w:r>
    </w:p>
    <w:p w14:paraId="1C54E7C1" w14:textId="77777777" w:rsidR="00065317" w:rsidRDefault="005C7BF7">
      <w:pPr>
        <w:pStyle w:val="Corpsdetexte"/>
      </w:pPr>
      <w:r>
        <w:rPr>
          <w:rStyle w:val="VerbatimChar"/>
        </w:rPr>
        <w:t>E66_Formation</w:t>
      </w:r>
      <w:r>
        <w:t xml:space="preserve">. </w:t>
      </w:r>
      <w:r>
        <w:rPr>
          <w:rStyle w:val="VerbatimChar"/>
        </w:rPr>
        <w:t>P151_a_été_formé_à_partir_de (a_participé_à)</w:t>
      </w:r>
      <w:r>
        <w:t xml:space="preserve"> : </w:t>
      </w:r>
      <w:r>
        <w:rPr>
          <w:rStyle w:val="VerbatimChar"/>
        </w:rPr>
        <w:t>E74_Groupe</w:t>
      </w:r>
    </w:p>
    <w:p w14:paraId="004BA2CC" w14:textId="77777777" w:rsidR="00065317" w:rsidRDefault="005C7BF7">
      <w:pPr>
        <w:pStyle w:val="Corpsdetexte"/>
      </w:pPr>
      <w:r>
        <w:rPr>
          <w:b/>
          <w:bCs/>
        </w:rPr>
        <w:t>Quantification</w:t>
      </w:r>
    </w:p>
    <w:p w14:paraId="70B10AC1" w14:textId="77777777" w:rsidR="00065317" w:rsidRDefault="005C7BF7">
      <w:pPr>
        <w:pStyle w:val="Corpsdetexte"/>
      </w:pPr>
      <w:r>
        <w:t>plusieurs à plusieurs (0,n:0,n)</w:t>
      </w:r>
    </w:p>
    <w:p w14:paraId="407E3D60" w14:textId="77777777" w:rsidR="00C86352" w:rsidRDefault="00C86352">
      <w:pPr>
        <w:spacing w:after="0"/>
        <w:rPr>
          <w:b/>
          <w:bCs/>
        </w:rPr>
      </w:pPr>
      <w:r>
        <w:rPr>
          <w:b/>
          <w:bCs/>
        </w:rPr>
        <w:br w:type="page"/>
      </w:r>
    </w:p>
    <w:p w14:paraId="52F6731E" w14:textId="30D6EE3C" w:rsidR="00065317" w:rsidRDefault="005C7BF7">
      <w:pPr>
        <w:pStyle w:val="Corpsdetexte"/>
      </w:pPr>
      <w:r>
        <w:rPr>
          <w:b/>
          <w:bCs/>
        </w:rPr>
        <w:lastRenderedPageBreak/>
        <w:t>Note d</w:t>
      </w:r>
      <w:r w:rsidR="00E84B0E">
        <w:rPr>
          <w:b/>
          <w:bCs/>
        </w:rPr>
        <w:t>’</w:t>
      </w:r>
      <w:r>
        <w:rPr>
          <w:b/>
          <w:bCs/>
        </w:rPr>
        <w:t>application</w:t>
      </w:r>
    </w:p>
    <w:p w14:paraId="53AB286E" w14:textId="489111CD" w:rsidR="00065317" w:rsidRDefault="005C7BF7">
      <w:pPr>
        <w:pStyle w:val="Corpsdetexte"/>
      </w:pPr>
      <w:r>
        <w:t>Cette propriété décrit la participation active ou passive d</w:t>
      </w:r>
      <w:r w:rsidR="00E84B0E">
        <w:t>’</w:t>
      </w:r>
      <w:r>
        <w:t xml:space="preserve">une instance de </w:t>
      </w:r>
      <w:r>
        <w:rPr>
          <w:rStyle w:val="VerbatimChar"/>
        </w:rPr>
        <w:t>E39_Actant</w:t>
      </w:r>
      <w:r>
        <w:t xml:space="preserve"> à une instance de </w:t>
      </w:r>
      <w:r>
        <w:rPr>
          <w:rStyle w:val="VerbatimChar"/>
        </w:rPr>
        <w:t>E5_Évènement</w:t>
      </w:r>
      <w:r>
        <w:t>.</w:t>
      </w:r>
    </w:p>
    <w:p w14:paraId="683AD854" w14:textId="77777777" w:rsidR="00065317" w:rsidRDefault="005C7BF7">
      <w:pPr>
        <w:pStyle w:val="Corpsdetexte"/>
      </w:pPr>
      <w:r>
        <w:t xml:space="preserve">Elle documente les évènements connus auxquels une instance de </w:t>
      </w:r>
      <w:r>
        <w:rPr>
          <w:rStyle w:val="VerbatimChar"/>
        </w:rPr>
        <w:t>E39_Actant</w:t>
      </w:r>
      <w:r>
        <w:t xml:space="preserve"> a pris part durant le cours de sa vie ou de son histoire.</w:t>
      </w:r>
    </w:p>
    <w:p w14:paraId="3489FC96" w14:textId="77777777" w:rsidR="00065317" w:rsidRDefault="005C7BF7">
      <w:pPr>
        <w:pStyle w:val="Corpsdetexte"/>
      </w:pPr>
      <w:r>
        <w:t xml:space="preserve">Les instances de </w:t>
      </w:r>
      <w:r>
        <w:rPr>
          <w:rStyle w:val="VerbatimChar"/>
        </w:rPr>
        <w:t>E53_Lieu</w:t>
      </w:r>
      <w:r>
        <w:t xml:space="preserve"> et de </w:t>
      </w:r>
      <w:r>
        <w:rPr>
          <w:rStyle w:val="VerbatimChar"/>
        </w:rPr>
        <w:t>E52_Intervalle_temporel</w:t>
      </w:r>
      <w:r>
        <w:t xml:space="preserve"> précisant où et quand ces évènements ont eu lieu indiquent des contraintes quant à la présence dans le passé des instances de </w:t>
      </w:r>
      <w:r>
        <w:rPr>
          <w:rStyle w:val="VerbatimChar"/>
        </w:rPr>
        <w:t>E39_Actant</w:t>
      </w:r>
      <w:r>
        <w:t xml:space="preserve"> impliquées dans ces évènements.</w:t>
      </w:r>
    </w:p>
    <w:p w14:paraId="2CABD9D0" w14:textId="36175A33" w:rsidR="00065317" w:rsidRDefault="005C7BF7">
      <w:pPr>
        <w:pStyle w:val="Corpsdetexte"/>
      </w:pPr>
      <w:r>
        <w:t xml:space="preserve">Les actants collectifs, c.-à-d. les instances de </w:t>
      </w:r>
      <w:r>
        <w:rPr>
          <w:rStyle w:val="VerbatimChar"/>
        </w:rPr>
        <w:t>E74_Groupe</w:t>
      </w:r>
      <w:r>
        <w:t>, ne peuvent participer physiquement à des évènements que par l</w:t>
      </w:r>
      <w:r w:rsidR="00E84B0E">
        <w:t>’</w:t>
      </w:r>
      <w:r>
        <w:t xml:space="preserve">intermédiaire des instances de </w:t>
      </w:r>
      <w:r>
        <w:rPr>
          <w:rStyle w:val="VerbatimChar"/>
        </w:rPr>
        <w:t>E21_Personne</w:t>
      </w:r>
      <w:r>
        <w:t xml:space="preserve"> qui les caractérisent. La participation de plusieurs actants à un évènement est très probablement une indication de leurs connaissances et interactions.</w:t>
      </w:r>
    </w:p>
    <w:p w14:paraId="57CFD9CD" w14:textId="3D02CE0C" w:rsidR="00065317" w:rsidRDefault="005C7BF7">
      <w:pPr>
        <w:pStyle w:val="Corpsdetexte"/>
      </w:pPr>
      <w:r>
        <w:t>Cette propriété signifie qu</w:t>
      </w:r>
      <w:r w:rsidR="00E84B0E">
        <w:t>’</w:t>
      </w:r>
      <w:r>
        <w:t>un actant a été impliqué dans un évènement, mais n</w:t>
      </w:r>
      <w:r w:rsidR="00E84B0E">
        <w:t>’</w:t>
      </w:r>
      <w:r>
        <w:t>implique aucune relation causale. Par exemple, une personne dépeinte peut être considérée comme ayant participé à la création de son portrait.</w:t>
      </w:r>
    </w:p>
    <w:p w14:paraId="5BE3741F" w14:textId="77777777" w:rsidR="00065317" w:rsidRDefault="005C7BF7">
      <w:pPr>
        <w:pStyle w:val="Corpsdetexte"/>
      </w:pPr>
      <w:r>
        <w:rPr>
          <w:b/>
          <w:bCs/>
        </w:rPr>
        <w:t>Exemples</w:t>
      </w:r>
    </w:p>
    <w:p w14:paraId="3FEAC39F" w14:textId="77777777" w:rsidR="00065317" w:rsidRDefault="005C7BF7">
      <w:pPr>
        <w:numPr>
          <w:ilvl w:val="0"/>
          <w:numId w:val="153"/>
        </w:numPr>
      </w:pPr>
      <w:r>
        <w:t>Napoléon (</w:t>
      </w:r>
      <w:r>
        <w:rPr>
          <w:rStyle w:val="VerbatimChar"/>
        </w:rPr>
        <w:t>E21_Personne</w:t>
      </w:r>
      <w:r>
        <w:t>) a participé à (</w:t>
      </w:r>
      <w:r>
        <w:rPr>
          <w:rStyle w:val="VerbatimChar"/>
        </w:rPr>
        <w:t>P11i_a_participé_à</w:t>
      </w:r>
      <w:r>
        <w:t>) la Bataille de Waterloo (</w:t>
      </w:r>
      <w:r>
        <w:rPr>
          <w:rStyle w:val="VerbatimChar"/>
        </w:rPr>
        <w:t>E7_Activité</w:t>
      </w:r>
      <w:r>
        <w:t>) (Dawson, 2018)</w:t>
      </w:r>
    </w:p>
    <w:p w14:paraId="2C5F75FE" w14:textId="77777777" w:rsidR="00065317" w:rsidRDefault="005C7BF7">
      <w:pPr>
        <w:numPr>
          <w:ilvl w:val="0"/>
          <w:numId w:val="153"/>
        </w:numPr>
      </w:pPr>
      <w:r>
        <w:t>Maria (</w:t>
      </w:r>
      <w:r>
        <w:rPr>
          <w:rStyle w:val="VerbatimChar"/>
        </w:rPr>
        <w:t>E21_Personne</w:t>
      </w:r>
      <w:r>
        <w:t>) a participé à (</w:t>
      </w:r>
      <w:r>
        <w:rPr>
          <w:rStyle w:val="VerbatimChar"/>
        </w:rPr>
        <w:t>P11i_a_participé_à</w:t>
      </w:r>
      <w:r>
        <w:t>) la Photographie de Maria (</w:t>
      </w:r>
      <w:r>
        <w:rPr>
          <w:rStyle w:val="VerbatimChar"/>
        </w:rPr>
        <w:t>E7_Activité</w:t>
      </w:r>
      <w:r>
        <w:t>)</w:t>
      </w:r>
    </w:p>
    <w:p w14:paraId="653E52D5" w14:textId="77777777" w:rsidR="00065317" w:rsidRDefault="005C7BF7">
      <w:pPr>
        <w:pStyle w:val="FirstParagraph"/>
      </w:pPr>
      <w:r>
        <w:rPr>
          <w:b/>
          <w:bCs/>
        </w:rPr>
        <w:t>Logique</w:t>
      </w:r>
    </w:p>
    <w:p w14:paraId="22FCB31C" w14:textId="77777777" w:rsidR="00065317" w:rsidRDefault="005C7BF7">
      <w:pPr>
        <w:pStyle w:val="Corpsdetexte"/>
      </w:pPr>
      <w:r>
        <w:t>P11(x,y) ⇒ E5(x)</w:t>
      </w:r>
    </w:p>
    <w:p w14:paraId="53700B11" w14:textId="77777777" w:rsidR="00065317" w:rsidRDefault="005C7BF7">
      <w:pPr>
        <w:pStyle w:val="Corpsdetexte"/>
      </w:pPr>
      <w:r>
        <w:t>P11(x,y) ⇒ E39(y)</w:t>
      </w:r>
    </w:p>
    <w:p w14:paraId="0C657979" w14:textId="77777777" w:rsidR="00065317" w:rsidRDefault="005C7BF7">
      <w:pPr>
        <w:pStyle w:val="Corpsdetexte"/>
      </w:pPr>
      <w:r>
        <w:t>P11(x,y) ⇒ P12(x,y)</w:t>
      </w:r>
    </w:p>
    <w:p w14:paraId="2BF1D8D2" w14:textId="77777777" w:rsidR="00065317" w:rsidRDefault="005C7BF7">
      <w:pPr>
        <w:pStyle w:val="Corpsdetexte"/>
      </w:pPr>
      <w:r>
        <w:rPr>
          <w:b/>
          <w:bCs/>
        </w:rPr>
        <w:t>Propriétés</w:t>
      </w:r>
    </w:p>
    <w:p w14:paraId="7817BD2A" w14:textId="77777777" w:rsidR="00065317" w:rsidRDefault="005C7BF7">
      <w:pPr>
        <w:pStyle w:val="Normalcentr"/>
      </w:pPr>
      <w:r>
        <w:rPr>
          <w:b/>
          <w:bCs/>
          <w:i/>
          <w:iCs/>
        </w:rPr>
        <w:t>Note de traduction</w:t>
      </w:r>
    </w:p>
    <w:p w14:paraId="1EC60EC7" w14:textId="69014F93" w:rsidR="00065317" w:rsidRDefault="005C7BF7" w:rsidP="00BF7EA3">
      <w:pPr>
        <w:pStyle w:val="Normalcentr"/>
      </w:pPr>
      <w:r>
        <w:rPr>
          <w:b/>
          <w:bCs/>
          <w:i/>
          <w:iCs/>
        </w:rPr>
        <w:t>Références</w:t>
      </w:r>
    </w:p>
    <w:p w14:paraId="2F31A30A" w14:textId="77777777" w:rsidR="00065317" w:rsidRDefault="005C7BF7" w:rsidP="00914F34">
      <w:pPr>
        <w:pStyle w:val="Titre3"/>
      </w:pPr>
      <w:bookmarkStart w:id="290" w:name="_Toc154048830"/>
      <w:bookmarkStart w:id="291" w:name="Xf265938c6d8c7c696b9c9e3cd4813b14819ba8e"/>
      <w:bookmarkEnd w:id="289"/>
      <w:r>
        <w:t>P12 a eu lieu en présence de (a été présent à)</w:t>
      </w:r>
      <w:bookmarkEnd w:id="290"/>
    </w:p>
    <w:p w14:paraId="1E4879B2" w14:textId="77777777" w:rsidR="00065317" w:rsidRDefault="005C7BF7">
      <w:pPr>
        <w:pStyle w:val="FirstParagraph"/>
      </w:pPr>
      <w:r>
        <w:rPr>
          <w:b/>
          <w:bCs/>
        </w:rPr>
        <w:t>Domaine</w:t>
      </w:r>
    </w:p>
    <w:p w14:paraId="5D716AF1" w14:textId="77777777" w:rsidR="00065317" w:rsidRDefault="005C7BF7">
      <w:pPr>
        <w:pStyle w:val="Corpsdetexte"/>
      </w:pPr>
      <w:r>
        <w:rPr>
          <w:rStyle w:val="VerbatimChar"/>
        </w:rPr>
        <w:t>E5_Évènement</w:t>
      </w:r>
    </w:p>
    <w:p w14:paraId="6320921D" w14:textId="77777777" w:rsidR="00065317" w:rsidRDefault="005C7BF7">
      <w:pPr>
        <w:pStyle w:val="Corpsdetexte"/>
      </w:pPr>
      <w:r>
        <w:rPr>
          <w:b/>
          <w:bCs/>
        </w:rPr>
        <w:t>Portée</w:t>
      </w:r>
    </w:p>
    <w:p w14:paraId="73925852" w14:textId="77777777" w:rsidR="00065317" w:rsidRDefault="005C7BF7">
      <w:pPr>
        <w:pStyle w:val="Corpsdetexte"/>
      </w:pPr>
      <w:r>
        <w:rPr>
          <w:rStyle w:val="VerbatimChar"/>
        </w:rPr>
        <w:t>E77_Entité_persistante</w:t>
      </w:r>
    </w:p>
    <w:p w14:paraId="5053304F" w14:textId="77777777" w:rsidR="00065317" w:rsidRDefault="005C7BF7">
      <w:pPr>
        <w:pStyle w:val="Corpsdetexte"/>
      </w:pPr>
      <w:r>
        <w:rPr>
          <w:b/>
          <w:bCs/>
        </w:rPr>
        <w:t>Sous-propriété de</w:t>
      </w:r>
    </w:p>
    <w:p w14:paraId="5A3E1694" w14:textId="77777777" w:rsidR="00C86352" w:rsidRDefault="00C86352">
      <w:pPr>
        <w:spacing w:after="0"/>
        <w:rPr>
          <w:b/>
          <w:bCs/>
        </w:rPr>
      </w:pPr>
      <w:r>
        <w:rPr>
          <w:b/>
          <w:bCs/>
        </w:rPr>
        <w:br w:type="page"/>
      </w:r>
    </w:p>
    <w:p w14:paraId="22711D8B" w14:textId="460573F3" w:rsidR="00065317" w:rsidRDefault="005C7BF7">
      <w:pPr>
        <w:pStyle w:val="Corpsdetexte"/>
      </w:pPr>
      <w:r>
        <w:rPr>
          <w:b/>
          <w:bCs/>
        </w:rPr>
        <w:lastRenderedPageBreak/>
        <w:t>Super-propriété de</w:t>
      </w:r>
    </w:p>
    <w:p w14:paraId="688724FA" w14:textId="77777777" w:rsidR="00065317" w:rsidRDefault="005C7BF7">
      <w:pPr>
        <w:pStyle w:val="Corpsdetexte"/>
      </w:pPr>
      <w:r>
        <w:rPr>
          <w:rStyle w:val="VerbatimChar"/>
        </w:rPr>
        <w:t>E5_Évènement</w:t>
      </w:r>
      <w:r>
        <w:t xml:space="preserve">. </w:t>
      </w:r>
      <w:r>
        <w:rPr>
          <w:rStyle w:val="VerbatimChar"/>
        </w:rPr>
        <w:t>P11_a eu_pour_actant_participant (a_participé_à)</w:t>
      </w:r>
      <w:r>
        <w:t xml:space="preserve"> : </w:t>
      </w:r>
      <w:r>
        <w:rPr>
          <w:rStyle w:val="VerbatimChar"/>
        </w:rPr>
        <w:t>E39_Actant</w:t>
      </w:r>
    </w:p>
    <w:p w14:paraId="23A26F9A" w14:textId="470405D2" w:rsidR="00065317" w:rsidRDefault="005C7BF7">
      <w:pPr>
        <w:pStyle w:val="Corpsdetexte"/>
      </w:pPr>
      <w:r>
        <w:rPr>
          <w:rStyle w:val="VerbatimChar"/>
        </w:rPr>
        <w:t>E7_Activité</w:t>
      </w:r>
      <w:r>
        <w:t xml:space="preserve">. </w:t>
      </w:r>
      <w:r>
        <w:rPr>
          <w:rStyle w:val="VerbatimChar"/>
        </w:rPr>
        <w:t>P16_a_mobilisé_l</w:t>
      </w:r>
      <w:r w:rsidR="00E84B0E">
        <w:rPr>
          <w:rStyle w:val="VerbatimChar"/>
        </w:rPr>
        <w:t>’</w:t>
      </w:r>
      <w:r>
        <w:rPr>
          <w:rStyle w:val="VerbatimChar"/>
        </w:rPr>
        <w:t>objet_spécifique (a_été_mobilisé_pour)</w:t>
      </w:r>
      <w:r>
        <w:t xml:space="preserve"> : </w:t>
      </w:r>
      <w:r>
        <w:rPr>
          <w:rStyle w:val="VerbatimChar"/>
        </w:rPr>
        <w:t>E70_Chose</w:t>
      </w:r>
    </w:p>
    <w:p w14:paraId="29A02630" w14:textId="77777777" w:rsidR="00065317" w:rsidRDefault="005C7BF7">
      <w:pPr>
        <w:pStyle w:val="Corpsdetexte"/>
      </w:pPr>
      <w:r>
        <w:rPr>
          <w:rStyle w:val="VerbatimChar"/>
        </w:rPr>
        <w:t>E9_Déplacement</w:t>
      </w:r>
      <w:r>
        <w:t xml:space="preserve">. </w:t>
      </w:r>
      <w:r>
        <w:rPr>
          <w:rStyle w:val="VerbatimChar"/>
        </w:rPr>
        <w:t>P25_a_déplacé (a_été_déplacé_par)</w:t>
      </w:r>
      <w:r>
        <w:t xml:space="preserve"> : </w:t>
      </w:r>
      <w:r>
        <w:rPr>
          <w:rStyle w:val="VerbatimChar"/>
        </w:rPr>
        <w:t>E18_Chose_matérielle</w:t>
      </w:r>
    </w:p>
    <w:p w14:paraId="7FE5BE99" w14:textId="032ABAEC" w:rsidR="00065317" w:rsidRDefault="005C7BF7">
      <w:pPr>
        <w:pStyle w:val="Corpsdetexte"/>
      </w:pPr>
      <w:r>
        <w:rPr>
          <w:rStyle w:val="VerbatimChar"/>
        </w:rPr>
        <w:t>E63_Début_d</w:t>
      </w:r>
      <w:r w:rsidR="00E84B0E">
        <w:rPr>
          <w:rStyle w:val="VerbatimChar"/>
        </w:rPr>
        <w:t>’</w:t>
      </w:r>
      <w:r>
        <w:rPr>
          <w:rStyle w:val="VerbatimChar"/>
        </w:rPr>
        <w:t>existence</w:t>
      </w:r>
      <w:r>
        <w:t xml:space="preserve">. </w:t>
      </w:r>
      <w:r>
        <w:rPr>
          <w:rStyle w:val="VerbatimChar"/>
        </w:rPr>
        <w:t>P92_a_fait_exister (a_commencé_à_exister_par)</w:t>
      </w:r>
      <w:r>
        <w:t xml:space="preserve"> : </w:t>
      </w:r>
      <w:r>
        <w:rPr>
          <w:rStyle w:val="VerbatimChar"/>
        </w:rPr>
        <w:t>E77_Entité_persistante</w:t>
      </w:r>
    </w:p>
    <w:p w14:paraId="2BCDF882" w14:textId="69274ACD" w:rsidR="00065317" w:rsidRDefault="005C7BF7">
      <w:pPr>
        <w:pStyle w:val="Corpsdetexte"/>
      </w:pPr>
      <w:r>
        <w:rPr>
          <w:rStyle w:val="VerbatimChar"/>
        </w:rPr>
        <w:t>E64_Fin_d</w:t>
      </w:r>
      <w:r w:rsidR="00E84B0E">
        <w:rPr>
          <w:rStyle w:val="VerbatimChar"/>
        </w:rPr>
        <w:t>’</w:t>
      </w:r>
      <w:r>
        <w:rPr>
          <w:rStyle w:val="VerbatimChar"/>
        </w:rPr>
        <w:t>existence</w:t>
      </w:r>
      <w:r>
        <w:t xml:space="preserve">. </w:t>
      </w:r>
      <w:r>
        <w:rPr>
          <w:rStyle w:val="VerbatimChar"/>
        </w:rPr>
        <w:t>P93_a_mis_fin_à_l</w:t>
      </w:r>
      <w:r w:rsidR="00E84B0E">
        <w:rPr>
          <w:rStyle w:val="VerbatimChar"/>
        </w:rPr>
        <w:t>’</w:t>
      </w:r>
      <w:r>
        <w:rPr>
          <w:rStyle w:val="VerbatimChar"/>
        </w:rPr>
        <w:t>existence_de (a_cessé_d</w:t>
      </w:r>
      <w:r w:rsidR="00E84B0E">
        <w:rPr>
          <w:rStyle w:val="VerbatimChar"/>
        </w:rPr>
        <w:t>’</w:t>
      </w:r>
      <w:r>
        <w:rPr>
          <w:rStyle w:val="VerbatimChar"/>
        </w:rPr>
        <w:t>exister_par)</w:t>
      </w:r>
      <w:r>
        <w:t xml:space="preserve"> : </w:t>
      </w:r>
      <w:r>
        <w:rPr>
          <w:rStyle w:val="VerbatimChar"/>
        </w:rPr>
        <w:t>E77_Entité_persistante</w:t>
      </w:r>
    </w:p>
    <w:p w14:paraId="17C34FB2" w14:textId="3EE7CF9D" w:rsidR="00065317" w:rsidRDefault="005C7BF7">
      <w:pPr>
        <w:pStyle w:val="Corpsdetexte"/>
      </w:pPr>
      <w:r>
        <w:rPr>
          <w:rStyle w:val="VerbatimChar"/>
        </w:rPr>
        <w:t>E80_Retrait_d</w:t>
      </w:r>
      <w:r w:rsidR="00E84B0E">
        <w:rPr>
          <w:rStyle w:val="VerbatimChar"/>
        </w:rPr>
        <w:t>’</w:t>
      </w:r>
      <w:r>
        <w:rPr>
          <w:rStyle w:val="VerbatimChar"/>
        </w:rPr>
        <w:t>élément</w:t>
      </w:r>
      <w:r>
        <w:t xml:space="preserve">. </w:t>
      </w:r>
      <w:r>
        <w:rPr>
          <w:rStyle w:val="VerbatimChar"/>
        </w:rPr>
        <w:t>P113_a_retiré (a_été_retiré_par)</w:t>
      </w:r>
      <w:r>
        <w:t xml:space="preserve"> : </w:t>
      </w:r>
      <w:r>
        <w:rPr>
          <w:rStyle w:val="VerbatimChar"/>
        </w:rPr>
        <w:t>E18_Chose_matérielle</w:t>
      </w:r>
    </w:p>
    <w:p w14:paraId="3AD5298B" w14:textId="77777777" w:rsidR="00065317" w:rsidRDefault="005C7BF7">
      <w:pPr>
        <w:pStyle w:val="Corpsdetexte"/>
      </w:pPr>
      <w:r>
        <w:rPr>
          <w:b/>
          <w:bCs/>
        </w:rPr>
        <w:t>Quantification</w:t>
      </w:r>
    </w:p>
    <w:p w14:paraId="1EA79715" w14:textId="77777777" w:rsidR="00065317" w:rsidRDefault="005C7BF7">
      <w:pPr>
        <w:pStyle w:val="Corpsdetexte"/>
      </w:pPr>
      <w:r>
        <w:t>plusieurs à plusieurs, nécessaire (1,n:0,n)</w:t>
      </w:r>
    </w:p>
    <w:p w14:paraId="1E5BD573" w14:textId="57D59A66" w:rsidR="00065317" w:rsidRDefault="005C7BF7">
      <w:pPr>
        <w:pStyle w:val="Corpsdetexte"/>
      </w:pPr>
      <w:r>
        <w:rPr>
          <w:b/>
          <w:bCs/>
        </w:rPr>
        <w:t>Note d</w:t>
      </w:r>
      <w:r w:rsidR="00E84B0E">
        <w:rPr>
          <w:b/>
          <w:bCs/>
        </w:rPr>
        <w:t>’</w:t>
      </w:r>
      <w:r>
        <w:rPr>
          <w:b/>
          <w:bCs/>
        </w:rPr>
        <w:t>application</w:t>
      </w:r>
    </w:p>
    <w:p w14:paraId="441867EE" w14:textId="7256B582" w:rsidR="00065317" w:rsidRDefault="005C7BF7">
      <w:pPr>
        <w:pStyle w:val="Corpsdetexte"/>
      </w:pPr>
      <w:r>
        <w:t>Cette propriété décrit la présence active ou passive [</w:t>
      </w:r>
      <w:r w:rsidR="00AF51A3">
        <w:t xml:space="preserve">n.d.t. </w:t>
      </w:r>
      <w:r>
        <w:t>d</w:t>
      </w:r>
      <w:r w:rsidR="00E84B0E">
        <w:t>’</w:t>
      </w:r>
      <w:r>
        <w:t xml:space="preserve">une instance de] </w:t>
      </w:r>
      <w:r>
        <w:rPr>
          <w:rStyle w:val="VerbatimChar"/>
        </w:rPr>
        <w:t>E77_Entité_Persistante</w:t>
      </w:r>
      <w:r>
        <w:t xml:space="preserve"> à une instance de </w:t>
      </w:r>
      <w:r>
        <w:rPr>
          <w:rStyle w:val="VerbatimChar"/>
        </w:rPr>
        <w:t>E5_Évènement</w:t>
      </w:r>
      <w:r>
        <w:t xml:space="preserve"> sans impliquer de rôle spécifique.</w:t>
      </w:r>
    </w:p>
    <w:p w14:paraId="7757F66A" w14:textId="77777777" w:rsidR="00065317" w:rsidRDefault="005C7BF7">
      <w:pPr>
        <w:pStyle w:val="Corpsdetexte"/>
      </w:pPr>
      <w:r>
        <w:t xml:space="preserve">Elle documente les évènements connus au cours desquels une instance de </w:t>
      </w:r>
      <w:r>
        <w:rPr>
          <w:rStyle w:val="VerbatimChar"/>
        </w:rPr>
        <w:t>E77_Entité_persistante</w:t>
      </w:r>
      <w:r>
        <w:t xml:space="preserve"> était présente pendant le cours de son existence ou de son histoire.</w:t>
      </w:r>
    </w:p>
    <w:p w14:paraId="0495425D" w14:textId="2D96FB0F" w:rsidR="00065317" w:rsidRDefault="005C7BF7">
      <w:pPr>
        <w:pStyle w:val="Corpsdetexte"/>
      </w:pPr>
      <w:r>
        <w:t>Par exemple, l</w:t>
      </w:r>
      <w:r w:rsidR="00E84B0E">
        <w:t>’</w:t>
      </w:r>
      <w:r>
        <w:t>objet peut être un bureau sur lequel un traité a été signé et qui se trouve maintenant dans un musée.</w:t>
      </w:r>
    </w:p>
    <w:p w14:paraId="6D1F9504" w14:textId="4CA99931" w:rsidR="00065317" w:rsidRDefault="005C7BF7">
      <w:pPr>
        <w:pStyle w:val="Corpsdetexte"/>
      </w:pPr>
      <w:r>
        <w:t>L</w:t>
      </w:r>
      <w:r w:rsidR="00E84B0E">
        <w:t>’</w:t>
      </w:r>
      <w:r>
        <w:t xml:space="preserve">instance de </w:t>
      </w:r>
      <w:r>
        <w:rPr>
          <w:rStyle w:val="VerbatimChar"/>
        </w:rPr>
        <w:t>E53_Lieu</w:t>
      </w:r>
      <w:r>
        <w:t xml:space="preserve"> et l</w:t>
      </w:r>
      <w:r w:rsidR="00E84B0E">
        <w:t>’</w:t>
      </w:r>
      <w:r>
        <w:t xml:space="preserve">instance de </w:t>
      </w:r>
      <w:r>
        <w:rPr>
          <w:rStyle w:val="VerbatimChar"/>
        </w:rPr>
        <w:t>E52_Intervalle_temporel</w:t>
      </w:r>
      <w:r>
        <w:t xml:space="preserve"> précisant où et quand ces évènements ont eu lieu indiquent des contraintes quant à la présence dans le passé de l</w:t>
      </w:r>
      <w:r w:rsidR="00E84B0E">
        <w:t>’</w:t>
      </w:r>
      <w:r>
        <w:t xml:space="preserve">instance de </w:t>
      </w:r>
      <w:r>
        <w:rPr>
          <w:rStyle w:val="VerbatimChar"/>
        </w:rPr>
        <w:t>E77_Entité_persistante</w:t>
      </w:r>
      <w:r>
        <w:t xml:space="preserve"> impliquée dans ces évènements.</w:t>
      </w:r>
    </w:p>
    <w:p w14:paraId="6FA4B33C" w14:textId="13A710A7" w:rsidR="00065317" w:rsidRDefault="005C7BF7">
      <w:pPr>
        <w:pStyle w:val="Corpsdetexte"/>
      </w:pPr>
      <w:r>
        <w:t xml:space="preserve">Les instances de </w:t>
      </w:r>
      <w:r>
        <w:rPr>
          <w:rStyle w:val="VerbatimChar"/>
        </w:rPr>
        <w:t>E90_Objet_symbolique</w:t>
      </w:r>
      <w:r>
        <w:t>, en particulier les objets informationnels, sont physiquement présentes lors d</w:t>
      </w:r>
      <w:r w:rsidR="00E84B0E">
        <w:t>’</w:t>
      </w:r>
      <w:r>
        <w:t xml:space="preserve">évènements via au moins une des instances de </w:t>
      </w:r>
      <w:r>
        <w:rPr>
          <w:rStyle w:val="VerbatimChar"/>
        </w:rPr>
        <w:t>E18_Chose_matérielle</w:t>
      </w:r>
      <w:r>
        <w:t xml:space="preserve"> qui en sont les supports. Il est à noter que l</w:t>
      </w:r>
      <w:r w:rsidR="00E84B0E">
        <w:t>’</w:t>
      </w:r>
      <w:r>
        <w:t>esprit humain peut être l</w:t>
      </w:r>
      <w:r w:rsidR="00E84B0E">
        <w:t>’</w:t>
      </w:r>
      <w:r>
        <w:t>un de ces supports.</w:t>
      </w:r>
    </w:p>
    <w:p w14:paraId="1C7CFD82" w14:textId="037E26C7" w:rsidR="00065317" w:rsidRDefault="005C7BF7">
      <w:pPr>
        <w:pStyle w:val="Corpsdetexte"/>
      </w:pPr>
      <w:r>
        <w:t>Une condition préalable au transfert de l</w:t>
      </w:r>
      <w:r w:rsidR="00E84B0E">
        <w:t>’</w:t>
      </w:r>
      <w:r>
        <w:t>information vers une personne ou un nouveau support physique est la présence [</w:t>
      </w:r>
      <w:r w:rsidR="00AF51A3">
        <w:t xml:space="preserve">n.d.t. </w:t>
      </w:r>
      <w:r>
        <w:t>conjointe] de l</w:t>
      </w:r>
      <w:r w:rsidR="00E84B0E">
        <w:t>’</w:t>
      </w:r>
      <w:r>
        <w:t>objet informationnel et de cette personne ou de cette chose matérielle à un même évènement.</w:t>
      </w:r>
    </w:p>
    <w:p w14:paraId="02162FAF" w14:textId="77777777" w:rsidR="00065317" w:rsidRDefault="005C7BF7">
      <w:pPr>
        <w:pStyle w:val="Corpsdetexte"/>
      </w:pPr>
      <w:r>
        <w:rPr>
          <w:b/>
          <w:bCs/>
        </w:rPr>
        <w:t>Exemples</w:t>
      </w:r>
    </w:p>
    <w:p w14:paraId="282FFCAE" w14:textId="77777777" w:rsidR="00065317" w:rsidRDefault="005C7BF7">
      <w:pPr>
        <w:numPr>
          <w:ilvl w:val="0"/>
          <w:numId w:val="154"/>
        </w:numPr>
      </w:pPr>
      <w:r>
        <w:t>La Chaise longue 42 (</w:t>
      </w:r>
      <w:r>
        <w:rPr>
          <w:rStyle w:val="VerbatimChar"/>
        </w:rPr>
        <w:t>E19_Objet_matériel</w:t>
      </w:r>
      <w:r>
        <w:t>) a été présente au (</w:t>
      </w:r>
      <w:r>
        <w:rPr>
          <w:rStyle w:val="VerbatimChar"/>
        </w:rPr>
        <w:t>P12i_a_été présent_à</w:t>
      </w:r>
      <w:r>
        <w:t>) naufrage du Titanic (</w:t>
      </w:r>
      <w:r>
        <w:rPr>
          <w:rStyle w:val="VerbatimChar"/>
        </w:rPr>
        <w:t>E5_Évènement</w:t>
      </w:r>
      <w:r>
        <w:t>) (Aldridge, 2008)</w:t>
      </w:r>
    </w:p>
    <w:p w14:paraId="53FD6A37" w14:textId="77777777" w:rsidR="00065317" w:rsidRDefault="005C7BF7">
      <w:pPr>
        <w:pStyle w:val="FirstParagraph"/>
      </w:pPr>
      <w:r>
        <w:rPr>
          <w:b/>
          <w:bCs/>
        </w:rPr>
        <w:t>Logique</w:t>
      </w:r>
    </w:p>
    <w:p w14:paraId="3BE0AA01" w14:textId="77777777" w:rsidR="00065317" w:rsidRDefault="005C7BF7">
      <w:pPr>
        <w:pStyle w:val="Corpsdetexte"/>
      </w:pPr>
      <w:r>
        <w:t>P12(x,y) ⇒ E5(x)</w:t>
      </w:r>
    </w:p>
    <w:p w14:paraId="34E6C307" w14:textId="77777777" w:rsidR="00065317" w:rsidRDefault="005C7BF7">
      <w:pPr>
        <w:pStyle w:val="Corpsdetexte"/>
      </w:pPr>
      <w:r>
        <w:t>P12(x,y) ⇒ E77(y)</w:t>
      </w:r>
    </w:p>
    <w:p w14:paraId="13D4B525" w14:textId="196476B0" w:rsidR="00F54917" w:rsidRDefault="005C7BF7">
      <w:pPr>
        <w:pStyle w:val="Corpsdetexte"/>
        <w:rPr>
          <w:b/>
          <w:bCs/>
        </w:rPr>
      </w:pPr>
      <w:r>
        <w:rPr>
          <w:b/>
          <w:bCs/>
        </w:rPr>
        <w:t>Propriétés</w:t>
      </w:r>
    </w:p>
    <w:p w14:paraId="6F15261F" w14:textId="6D949958" w:rsidR="00065317" w:rsidRPr="00F54917" w:rsidRDefault="00F54917" w:rsidP="00F54917">
      <w:pPr>
        <w:spacing w:after="0"/>
        <w:rPr>
          <w:b/>
          <w:bCs/>
        </w:rPr>
      </w:pPr>
      <w:r>
        <w:rPr>
          <w:b/>
          <w:bCs/>
        </w:rPr>
        <w:br w:type="page"/>
      </w:r>
    </w:p>
    <w:p w14:paraId="6235F87F" w14:textId="77777777" w:rsidR="00065317" w:rsidRDefault="005C7BF7">
      <w:pPr>
        <w:pStyle w:val="Normalcentr"/>
      </w:pPr>
      <w:r>
        <w:rPr>
          <w:b/>
          <w:bCs/>
          <w:i/>
          <w:iCs/>
        </w:rPr>
        <w:lastRenderedPageBreak/>
        <w:t>Note de traduction</w:t>
      </w:r>
    </w:p>
    <w:p w14:paraId="4B8B18D9" w14:textId="3FC5E82A" w:rsidR="00065317" w:rsidRDefault="005C7BF7">
      <w:pPr>
        <w:pStyle w:val="Normalcentr"/>
      </w:pPr>
      <w:r>
        <w:t xml:space="preserve">Les termes </w:t>
      </w:r>
      <w:r w:rsidR="00BF7EA3">
        <w:t>« </w:t>
      </w:r>
      <w:r>
        <w:t xml:space="preserve">its life and history [of an instance of </w:t>
      </w:r>
      <w:r>
        <w:rPr>
          <w:rStyle w:val="VerbatimChar"/>
        </w:rPr>
        <w:t>E77_Persistent_Item</w:t>
      </w:r>
      <w:r>
        <w:t>]</w:t>
      </w:r>
      <w:r w:rsidR="00BF7EA3">
        <w:t> »</w:t>
      </w:r>
      <w:r>
        <w:t xml:space="preserve"> ont été traduits par </w:t>
      </w:r>
      <w:r w:rsidR="003773B9">
        <w:t>« </w:t>
      </w:r>
      <w:r>
        <w:t>de son existence ou de son histoire</w:t>
      </w:r>
      <w:r w:rsidR="003773B9">
        <w:t> »</w:t>
      </w:r>
      <w:r>
        <w:t xml:space="preserve">, étant donné que le mot </w:t>
      </w:r>
      <w:r w:rsidR="003773B9">
        <w:t>« </w:t>
      </w:r>
      <w:r>
        <w:t>vie</w:t>
      </w:r>
      <w:r w:rsidR="003773B9">
        <w:t> »</w:t>
      </w:r>
      <w:r>
        <w:t xml:space="preserve"> est davantage utilisé pour décrire l</w:t>
      </w:r>
      <w:r w:rsidR="00E84B0E">
        <w:t>’</w:t>
      </w:r>
      <w:r>
        <w:t>existence d</w:t>
      </w:r>
      <w:r w:rsidR="00E84B0E">
        <w:t>’</w:t>
      </w:r>
      <w:r>
        <w:t>un être vivant que d</w:t>
      </w:r>
      <w:r w:rsidR="00E84B0E">
        <w:t>’</w:t>
      </w:r>
      <w:r>
        <w:t>un objet.</w:t>
      </w:r>
    </w:p>
    <w:p w14:paraId="1D58CF1E" w14:textId="26685DF7" w:rsidR="00065317" w:rsidRDefault="005C7BF7" w:rsidP="00BF7EA3">
      <w:pPr>
        <w:pStyle w:val="Normalcentr"/>
      </w:pPr>
      <w:r>
        <w:rPr>
          <w:b/>
          <w:bCs/>
          <w:i/>
          <w:iCs/>
        </w:rPr>
        <w:t>Références</w:t>
      </w:r>
    </w:p>
    <w:p w14:paraId="730E8105" w14:textId="77777777" w:rsidR="00065317" w:rsidRDefault="005C7BF7" w:rsidP="00914F34">
      <w:pPr>
        <w:pStyle w:val="Titre3"/>
      </w:pPr>
      <w:bookmarkStart w:id="292" w:name="_Toc154048831"/>
      <w:bookmarkStart w:id="293" w:name="p13-a-detruit-(a-ete-detruit-par)"/>
      <w:bookmarkEnd w:id="291"/>
      <w:r>
        <w:t>P13 a détruit (a été détruit par)</w:t>
      </w:r>
      <w:bookmarkEnd w:id="292"/>
    </w:p>
    <w:p w14:paraId="0E7895D4" w14:textId="77777777" w:rsidR="00065317" w:rsidRDefault="005C7BF7">
      <w:pPr>
        <w:pStyle w:val="FirstParagraph"/>
      </w:pPr>
      <w:r>
        <w:rPr>
          <w:b/>
          <w:bCs/>
        </w:rPr>
        <w:t>Domaine</w:t>
      </w:r>
    </w:p>
    <w:p w14:paraId="4318A6FB" w14:textId="77777777" w:rsidR="00065317" w:rsidRDefault="005C7BF7">
      <w:pPr>
        <w:pStyle w:val="Corpsdetexte"/>
      </w:pPr>
      <w:r>
        <w:rPr>
          <w:rStyle w:val="VerbatimChar"/>
        </w:rPr>
        <w:t>E6_Destruction</w:t>
      </w:r>
    </w:p>
    <w:p w14:paraId="23CAB12B" w14:textId="77777777" w:rsidR="00065317" w:rsidRDefault="005C7BF7">
      <w:pPr>
        <w:pStyle w:val="Corpsdetexte"/>
      </w:pPr>
      <w:r>
        <w:rPr>
          <w:b/>
          <w:bCs/>
        </w:rPr>
        <w:t>Portée</w:t>
      </w:r>
    </w:p>
    <w:p w14:paraId="31FB8B20" w14:textId="77777777" w:rsidR="00065317" w:rsidRDefault="005C7BF7">
      <w:pPr>
        <w:pStyle w:val="Corpsdetexte"/>
      </w:pPr>
      <w:r>
        <w:rPr>
          <w:rStyle w:val="VerbatimChar"/>
        </w:rPr>
        <w:t>E18_Chose_matérielle</w:t>
      </w:r>
    </w:p>
    <w:p w14:paraId="1A150F90" w14:textId="77777777" w:rsidR="00065317" w:rsidRDefault="005C7BF7">
      <w:pPr>
        <w:pStyle w:val="Corpsdetexte"/>
      </w:pPr>
      <w:r>
        <w:rPr>
          <w:b/>
          <w:bCs/>
        </w:rPr>
        <w:t>Sous-propriété de</w:t>
      </w:r>
    </w:p>
    <w:p w14:paraId="3502BEFC" w14:textId="60825800" w:rsidR="00065317" w:rsidRDefault="005C7BF7">
      <w:pPr>
        <w:pStyle w:val="Corpsdetexte"/>
      </w:pPr>
      <w:r>
        <w:rPr>
          <w:rStyle w:val="VerbatimChar"/>
        </w:rPr>
        <w:t>E64_Fin_d</w:t>
      </w:r>
      <w:r w:rsidR="00E84B0E">
        <w:rPr>
          <w:rStyle w:val="VerbatimChar"/>
        </w:rPr>
        <w:t>’</w:t>
      </w:r>
      <w:r>
        <w:rPr>
          <w:rStyle w:val="VerbatimChar"/>
        </w:rPr>
        <w:t>existence</w:t>
      </w:r>
      <w:r>
        <w:t xml:space="preserve">. </w:t>
      </w:r>
      <w:r>
        <w:rPr>
          <w:rStyle w:val="VerbatimChar"/>
        </w:rPr>
        <w:t>P93_a_mis_fin_à_l</w:t>
      </w:r>
      <w:r w:rsidR="00E84B0E">
        <w:rPr>
          <w:rStyle w:val="VerbatimChar"/>
        </w:rPr>
        <w:t>’</w:t>
      </w:r>
      <w:r>
        <w:rPr>
          <w:rStyle w:val="VerbatimChar"/>
        </w:rPr>
        <w:t>existence_de (a_cessé_d</w:t>
      </w:r>
      <w:r w:rsidR="00E84B0E">
        <w:rPr>
          <w:rStyle w:val="VerbatimChar"/>
        </w:rPr>
        <w:t>’</w:t>
      </w:r>
      <w:r>
        <w:rPr>
          <w:rStyle w:val="VerbatimChar"/>
        </w:rPr>
        <w:t>exister_par)</w:t>
      </w:r>
      <w:r>
        <w:t xml:space="preserve"> : </w:t>
      </w:r>
      <w:r>
        <w:rPr>
          <w:rStyle w:val="VerbatimChar"/>
        </w:rPr>
        <w:t>E77_Entité_persistante</w:t>
      </w:r>
    </w:p>
    <w:p w14:paraId="4565A1D0" w14:textId="77777777" w:rsidR="00065317" w:rsidRDefault="005C7BF7">
      <w:pPr>
        <w:pStyle w:val="Corpsdetexte"/>
      </w:pPr>
      <w:r>
        <w:rPr>
          <w:b/>
          <w:bCs/>
        </w:rPr>
        <w:t>Super-propriété de</w:t>
      </w:r>
    </w:p>
    <w:p w14:paraId="66FD815A" w14:textId="77777777" w:rsidR="00065317" w:rsidRDefault="005C7BF7">
      <w:pPr>
        <w:pStyle w:val="Corpsdetexte"/>
      </w:pPr>
      <w:r>
        <w:rPr>
          <w:b/>
          <w:bCs/>
        </w:rPr>
        <w:t>Quantification</w:t>
      </w:r>
    </w:p>
    <w:p w14:paraId="26583CE7" w14:textId="77777777" w:rsidR="00065317" w:rsidRDefault="005C7BF7">
      <w:pPr>
        <w:pStyle w:val="Corpsdetexte"/>
      </w:pPr>
      <w:r>
        <w:t>un à plusieurs, nécessaire (1,n:0,1)</w:t>
      </w:r>
    </w:p>
    <w:p w14:paraId="22253047" w14:textId="01B30764" w:rsidR="00065317" w:rsidRDefault="005C7BF7">
      <w:pPr>
        <w:pStyle w:val="Corpsdetexte"/>
      </w:pPr>
      <w:r>
        <w:rPr>
          <w:b/>
          <w:bCs/>
        </w:rPr>
        <w:t>Note d</w:t>
      </w:r>
      <w:r w:rsidR="00E84B0E">
        <w:rPr>
          <w:b/>
          <w:bCs/>
        </w:rPr>
        <w:t>’</w:t>
      </w:r>
      <w:r>
        <w:rPr>
          <w:b/>
          <w:bCs/>
        </w:rPr>
        <w:t>application</w:t>
      </w:r>
    </w:p>
    <w:p w14:paraId="07B9DCC7" w14:textId="4C1D94EE" w:rsidR="00065317" w:rsidRDefault="005C7BF7">
      <w:pPr>
        <w:pStyle w:val="Corpsdetexte"/>
      </w:pPr>
      <w:r>
        <w:t xml:space="preserve">Cette propriété lie une instance de </w:t>
      </w:r>
      <w:r>
        <w:rPr>
          <w:rStyle w:val="VerbatimChar"/>
        </w:rPr>
        <w:t>E6_Destruction</w:t>
      </w:r>
      <w:r>
        <w:t xml:space="preserve"> à une instance de </w:t>
      </w:r>
      <w:r>
        <w:rPr>
          <w:rStyle w:val="VerbatimChar"/>
        </w:rPr>
        <w:t>E18_Chose_matérielle</w:t>
      </w:r>
      <w:r>
        <w:t xml:space="preserve"> qu</w:t>
      </w:r>
      <w:r w:rsidR="00E84B0E">
        <w:t>’</w:t>
      </w:r>
      <w:r>
        <w:t>elle a détruite.</w:t>
      </w:r>
    </w:p>
    <w:p w14:paraId="00576EA0" w14:textId="0CE983E2" w:rsidR="00065317" w:rsidRDefault="005C7BF7">
      <w:pPr>
        <w:pStyle w:val="Corpsdetexte"/>
      </w:pPr>
      <w:r>
        <w:t>La destruction implique la fin de l</w:t>
      </w:r>
      <w:r w:rsidR="00E84B0E">
        <w:t>’</w:t>
      </w:r>
      <w:r>
        <w:t>existence d</w:t>
      </w:r>
      <w:r w:rsidR="00E84B0E">
        <w:t>’</w:t>
      </w:r>
      <w:r>
        <w:t xml:space="preserve">une entité, en tant que sujet de la documentation culturelle </w:t>
      </w:r>
      <w:r w:rsidR="00C413F4">
        <w:t>–</w:t>
      </w:r>
      <w:r>
        <w:t xml:space="preserve"> la matière physique qui composait l</w:t>
      </w:r>
      <w:r w:rsidR="00E84B0E">
        <w:t>’</w:t>
      </w:r>
      <w:r>
        <w:t>entité peut en fait continuer d</w:t>
      </w:r>
      <w:r w:rsidR="00E84B0E">
        <w:t>’</w:t>
      </w:r>
      <w:r>
        <w:t xml:space="preserve">exister. Une instance de </w:t>
      </w:r>
      <w:r>
        <w:rPr>
          <w:rStyle w:val="VerbatimChar"/>
        </w:rPr>
        <w:t>E6_Destruction</w:t>
      </w:r>
      <w:r>
        <w:t xml:space="preserve"> peut être contiguë à une instance de </w:t>
      </w:r>
      <w:r>
        <w:rPr>
          <w:rStyle w:val="VerbatimChar"/>
        </w:rPr>
        <w:t>E12_Production</w:t>
      </w:r>
      <w:r>
        <w:t xml:space="preserve"> qui permet l</w:t>
      </w:r>
      <w:r w:rsidR="00E84B0E">
        <w:t>’</w:t>
      </w:r>
      <w:r>
        <w:t>avènement d</w:t>
      </w:r>
      <w:r w:rsidR="00E84B0E">
        <w:t>’</w:t>
      </w:r>
      <w:r>
        <w:t>un objet dérivé composé en partie de matière provenant de l</w:t>
      </w:r>
      <w:r w:rsidR="00E84B0E">
        <w:t>’</w:t>
      </w:r>
      <w:r>
        <w:t>objet détruit.</w:t>
      </w:r>
    </w:p>
    <w:p w14:paraId="353BA9AC" w14:textId="77777777" w:rsidR="00065317" w:rsidRDefault="005C7BF7">
      <w:pPr>
        <w:pStyle w:val="Corpsdetexte"/>
      </w:pPr>
      <w:r>
        <w:rPr>
          <w:b/>
          <w:bCs/>
        </w:rPr>
        <w:t>Exemples</w:t>
      </w:r>
    </w:p>
    <w:p w14:paraId="4CE8F225" w14:textId="30B5A6EB" w:rsidR="00065317" w:rsidRDefault="005C7BF7">
      <w:pPr>
        <w:numPr>
          <w:ilvl w:val="0"/>
          <w:numId w:val="155"/>
        </w:numPr>
      </w:pPr>
      <w:r>
        <w:t>La catastrophe ferroviaire du pont du Tay (</w:t>
      </w:r>
      <w:r>
        <w:rPr>
          <w:rStyle w:val="VerbatimChar"/>
        </w:rPr>
        <w:t>E6_Destruction</w:t>
      </w:r>
      <w:r>
        <w:t>) a détruit (</w:t>
      </w:r>
      <w:r>
        <w:rPr>
          <w:rStyle w:val="VerbatimChar"/>
        </w:rPr>
        <w:t>P13_a_détruit</w:t>
      </w:r>
      <w:r>
        <w:t>) le pont du Tay (</w:t>
      </w:r>
      <w:r>
        <w:rPr>
          <w:rStyle w:val="VerbatimChar"/>
        </w:rPr>
        <w:t>E22_Objet_élaboré_par_l</w:t>
      </w:r>
      <w:r w:rsidR="00E84B0E">
        <w:rPr>
          <w:rStyle w:val="VerbatimChar"/>
        </w:rPr>
        <w:t>’</w:t>
      </w:r>
      <w:r>
        <w:rPr>
          <w:rStyle w:val="VerbatimChar"/>
        </w:rPr>
        <w:t>humain</w:t>
      </w:r>
      <w:r>
        <w:t>) (Thomas, 1972)</w:t>
      </w:r>
    </w:p>
    <w:p w14:paraId="1F9E4252" w14:textId="77777777" w:rsidR="00065317" w:rsidRDefault="005C7BF7">
      <w:pPr>
        <w:pStyle w:val="FirstParagraph"/>
      </w:pPr>
      <w:r>
        <w:rPr>
          <w:b/>
          <w:bCs/>
        </w:rPr>
        <w:t>Logique</w:t>
      </w:r>
    </w:p>
    <w:p w14:paraId="15630534" w14:textId="77777777" w:rsidR="00065317" w:rsidRDefault="005C7BF7">
      <w:pPr>
        <w:pStyle w:val="Corpsdetexte"/>
      </w:pPr>
      <w:r>
        <w:t>P13(x,y) ⇒ E6 (x)</w:t>
      </w:r>
    </w:p>
    <w:p w14:paraId="12CB6553" w14:textId="77777777" w:rsidR="00065317" w:rsidRDefault="005C7BF7">
      <w:pPr>
        <w:pStyle w:val="Corpsdetexte"/>
      </w:pPr>
      <w:r>
        <w:t>P13(x,y) ⇒ E18(y)</w:t>
      </w:r>
    </w:p>
    <w:p w14:paraId="1FFAD4EE" w14:textId="77777777" w:rsidR="00065317" w:rsidRDefault="005C7BF7">
      <w:pPr>
        <w:pStyle w:val="Corpsdetexte"/>
      </w:pPr>
      <w:r>
        <w:t>P13(x,y) ⇒ P93(x,y)</w:t>
      </w:r>
    </w:p>
    <w:p w14:paraId="74C775A4" w14:textId="77777777" w:rsidR="00065317" w:rsidRDefault="005C7BF7">
      <w:pPr>
        <w:pStyle w:val="Corpsdetexte"/>
      </w:pPr>
      <w:r>
        <w:rPr>
          <w:b/>
          <w:bCs/>
        </w:rPr>
        <w:t>Propriétés</w:t>
      </w:r>
    </w:p>
    <w:p w14:paraId="22F903D9" w14:textId="77777777" w:rsidR="00065317" w:rsidRDefault="005C7BF7">
      <w:pPr>
        <w:pStyle w:val="Normalcentr"/>
      </w:pPr>
      <w:r>
        <w:rPr>
          <w:b/>
          <w:bCs/>
          <w:i/>
          <w:iCs/>
        </w:rPr>
        <w:t>Note de traduction</w:t>
      </w:r>
    </w:p>
    <w:p w14:paraId="46156BA1" w14:textId="0C7A09D6" w:rsidR="00F54917" w:rsidRDefault="005C7BF7">
      <w:pPr>
        <w:pStyle w:val="Normalcentr"/>
      </w:pPr>
      <w:r>
        <w:t>Le terme « contiguous » a été traduit par « contigu(ë) », conformément à la traduction suggérée par Termium Plus.</w:t>
      </w:r>
    </w:p>
    <w:p w14:paraId="3BC84133" w14:textId="3CADA544" w:rsidR="00065317" w:rsidRPr="00F54917" w:rsidRDefault="00F54917" w:rsidP="00F54917">
      <w:pPr>
        <w:spacing w:after="0"/>
        <w:rPr>
          <w:sz w:val="22"/>
        </w:rPr>
      </w:pPr>
      <w:r>
        <w:br w:type="page"/>
      </w:r>
    </w:p>
    <w:p w14:paraId="3ECEEA7C" w14:textId="77777777" w:rsidR="00065317" w:rsidRDefault="005C7BF7">
      <w:pPr>
        <w:pStyle w:val="Normalcentr"/>
      </w:pPr>
      <w:r>
        <w:rPr>
          <w:b/>
          <w:bCs/>
          <w:i/>
          <w:iCs/>
        </w:rPr>
        <w:lastRenderedPageBreak/>
        <w:t>Références</w:t>
      </w:r>
    </w:p>
    <w:p w14:paraId="23067F93" w14:textId="5F6488B9" w:rsidR="00065317" w:rsidRDefault="005C7BF7">
      <w:pPr>
        <w:pStyle w:val="Normalcentr"/>
      </w:pPr>
      <w:r>
        <w:t xml:space="preserve">Termium. « contiguous ». Dans </w:t>
      </w:r>
      <w:r>
        <w:rPr>
          <w:i/>
          <w:iCs/>
        </w:rPr>
        <w:t>Termium Plus</w:t>
      </w:r>
      <w:r>
        <w:t>. Ottawa, CA-ON: Gouvernement du Canada, 8</w:t>
      </w:r>
      <w:r w:rsidR="00056DCD">
        <w:t> octobre </w:t>
      </w:r>
      <w:r>
        <w:t>2009.</w:t>
      </w:r>
      <w:hyperlink r:id="rId220" w:anchor="resultrecs">
        <w:r>
          <w:rPr>
            <w:rStyle w:val="Lienhypertexte"/>
          </w:rPr>
          <w:t xml:space="preserve"> </w:t>
        </w:r>
      </w:hyperlink>
      <w:hyperlink r:id="rId221" w:anchor="resultrecs">
        <w:r>
          <w:rPr>
            <w:rStyle w:val="Lienhypertexte"/>
          </w:rPr>
          <w:t>https://www.btb.termiumplus.gc.ca/tpv2alpha/alpha-fra.html?lang=fra&amp;i=1&amp;srchtxt=contiguous&amp;codom2nd_wet=1#resultrecs</w:t>
        </w:r>
      </w:hyperlink>
      <w:r>
        <w:t>.</w:t>
      </w:r>
    </w:p>
    <w:p w14:paraId="4B58ECCA" w14:textId="77777777" w:rsidR="00065317" w:rsidRDefault="005C7BF7" w:rsidP="00914F34">
      <w:pPr>
        <w:pStyle w:val="Titre3"/>
      </w:pPr>
      <w:bookmarkStart w:id="294" w:name="_Toc154048832"/>
      <w:bookmarkStart w:id="295" w:name="p14-a-ete-effectue-par-(a-effectue)"/>
      <w:bookmarkEnd w:id="293"/>
      <w:r>
        <w:t>P14 a été effectué par (a effectué)</w:t>
      </w:r>
      <w:bookmarkEnd w:id="294"/>
    </w:p>
    <w:p w14:paraId="2D80D8AD" w14:textId="77777777" w:rsidR="00065317" w:rsidRDefault="005C7BF7">
      <w:pPr>
        <w:pStyle w:val="FirstParagraph"/>
      </w:pPr>
      <w:r>
        <w:rPr>
          <w:b/>
          <w:bCs/>
        </w:rPr>
        <w:t>Domaine</w:t>
      </w:r>
    </w:p>
    <w:p w14:paraId="43052FC7" w14:textId="77777777" w:rsidR="00065317" w:rsidRDefault="005C7BF7">
      <w:pPr>
        <w:pStyle w:val="Corpsdetexte"/>
      </w:pPr>
      <w:r>
        <w:rPr>
          <w:rStyle w:val="VerbatimChar"/>
        </w:rPr>
        <w:t>E7_Activité</w:t>
      </w:r>
    </w:p>
    <w:p w14:paraId="3906B159" w14:textId="77777777" w:rsidR="00065317" w:rsidRDefault="005C7BF7">
      <w:pPr>
        <w:pStyle w:val="Corpsdetexte"/>
      </w:pPr>
      <w:r>
        <w:rPr>
          <w:b/>
          <w:bCs/>
        </w:rPr>
        <w:t>Portée</w:t>
      </w:r>
    </w:p>
    <w:p w14:paraId="50CE64D2" w14:textId="77777777" w:rsidR="00065317" w:rsidRDefault="005C7BF7">
      <w:pPr>
        <w:pStyle w:val="Corpsdetexte"/>
      </w:pPr>
      <w:r>
        <w:rPr>
          <w:rStyle w:val="VerbatimChar"/>
        </w:rPr>
        <w:t>E39_Actant</w:t>
      </w:r>
    </w:p>
    <w:p w14:paraId="18FE9CB1" w14:textId="77777777" w:rsidR="00065317" w:rsidRDefault="005C7BF7">
      <w:pPr>
        <w:pStyle w:val="Corpsdetexte"/>
      </w:pPr>
      <w:r>
        <w:rPr>
          <w:b/>
          <w:bCs/>
        </w:rPr>
        <w:t>Sous-propriété de</w:t>
      </w:r>
    </w:p>
    <w:p w14:paraId="7ACDE1F4" w14:textId="77777777" w:rsidR="00065317" w:rsidRDefault="005C7BF7">
      <w:pPr>
        <w:pStyle w:val="Corpsdetexte"/>
      </w:pPr>
      <w:r>
        <w:rPr>
          <w:rStyle w:val="VerbatimChar"/>
        </w:rPr>
        <w:t>E5_Évènement</w:t>
      </w:r>
      <w:r>
        <w:t xml:space="preserve">. </w:t>
      </w:r>
      <w:r>
        <w:rPr>
          <w:rStyle w:val="VerbatimChar"/>
        </w:rPr>
        <w:t>P11_a eu_pour_actant_participant (a_participé_à)</w:t>
      </w:r>
      <w:r>
        <w:t xml:space="preserve"> : </w:t>
      </w:r>
      <w:r>
        <w:rPr>
          <w:rStyle w:val="VerbatimChar"/>
        </w:rPr>
        <w:t>E39_Actant</w:t>
      </w:r>
    </w:p>
    <w:p w14:paraId="47623B8F" w14:textId="77777777" w:rsidR="00065317" w:rsidRDefault="005C7BF7">
      <w:pPr>
        <w:pStyle w:val="Corpsdetexte"/>
      </w:pPr>
      <w:r>
        <w:rPr>
          <w:b/>
          <w:bCs/>
        </w:rPr>
        <w:t>Super-propriété de</w:t>
      </w:r>
    </w:p>
    <w:p w14:paraId="1E93C8C6" w14:textId="77777777" w:rsidR="00065317" w:rsidRDefault="005C7BF7">
      <w:pPr>
        <w:pStyle w:val="Corpsdetexte"/>
      </w:pPr>
      <w:r>
        <w:rPr>
          <w:rStyle w:val="VerbatimChar"/>
        </w:rPr>
        <w:t>E8_Acquisition</w:t>
      </w:r>
      <w:r>
        <w:t xml:space="preserve">. </w:t>
      </w:r>
      <w:r>
        <w:rPr>
          <w:rStyle w:val="VerbatimChar"/>
        </w:rPr>
        <w:t>P22_a_transféré_le_titre_de_propriété_à (a_acquis_le_titre_de_propriété_par)</w:t>
      </w:r>
      <w:r>
        <w:t xml:space="preserve"> : </w:t>
      </w:r>
      <w:r>
        <w:rPr>
          <w:rStyle w:val="VerbatimChar"/>
        </w:rPr>
        <w:t>E39_Actant</w:t>
      </w:r>
    </w:p>
    <w:p w14:paraId="268A1605" w14:textId="75751C96" w:rsidR="00065317" w:rsidRDefault="005C7BF7">
      <w:pPr>
        <w:pStyle w:val="Corpsdetexte"/>
      </w:pPr>
      <w:r>
        <w:rPr>
          <w:rStyle w:val="VerbatimChar"/>
        </w:rPr>
        <w:t>E8_Acquisition</w:t>
      </w:r>
      <w:r>
        <w:t xml:space="preserve">. </w:t>
      </w:r>
      <w:r>
        <w:rPr>
          <w:rStyle w:val="VerbatimChar"/>
        </w:rPr>
        <w:t>P23_a_transféré_le_titre_de_propriété_de (a_cédé_le_titre_de_propriété_à)</w:t>
      </w:r>
      <w:r w:rsidR="00A84B19">
        <w:t> </w:t>
      </w:r>
      <w:r>
        <w:t xml:space="preserve">: </w:t>
      </w:r>
      <w:r>
        <w:rPr>
          <w:rStyle w:val="VerbatimChar"/>
        </w:rPr>
        <w:t>E39_Actant</w:t>
      </w:r>
    </w:p>
    <w:p w14:paraId="1A7B793D" w14:textId="77777777" w:rsidR="00065317" w:rsidRDefault="005C7BF7">
      <w:pPr>
        <w:pStyle w:val="Corpsdetexte"/>
      </w:pPr>
      <w:r>
        <w:rPr>
          <w:rStyle w:val="VerbatimChar"/>
        </w:rPr>
        <w:t>E10_Transfert_de_la_garde</w:t>
      </w:r>
      <w:r>
        <w:t xml:space="preserve">. </w:t>
      </w:r>
      <w:r>
        <w:rPr>
          <w:rStyle w:val="VerbatimChar"/>
        </w:rPr>
        <w:t>P28_a_mis_fin_à_la_garde_par (a_cédé_la_garde_par)</w:t>
      </w:r>
      <w:r>
        <w:t xml:space="preserve"> : </w:t>
      </w:r>
      <w:r>
        <w:rPr>
          <w:rStyle w:val="VerbatimChar"/>
        </w:rPr>
        <w:t>E39_Actant</w:t>
      </w:r>
    </w:p>
    <w:p w14:paraId="0DE6CE36" w14:textId="77777777" w:rsidR="00065317" w:rsidRDefault="005C7BF7">
      <w:pPr>
        <w:pStyle w:val="Corpsdetexte"/>
      </w:pPr>
      <w:r>
        <w:rPr>
          <w:rStyle w:val="VerbatimChar"/>
        </w:rPr>
        <w:t>E10_Transfert_de_la_garde</w:t>
      </w:r>
      <w:r>
        <w:t xml:space="preserve">. </w:t>
      </w:r>
      <w:r>
        <w:rPr>
          <w:rStyle w:val="VerbatimChar"/>
        </w:rPr>
        <w:t>P29_a_confié_la_garde_par (a_reçu_la_garde_par)</w:t>
      </w:r>
      <w:r>
        <w:t xml:space="preserve"> : </w:t>
      </w:r>
      <w:r>
        <w:rPr>
          <w:rStyle w:val="VerbatimChar"/>
        </w:rPr>
        <w:t>E39_Actant</w:t>
      </w:r>
    </w:p>
    <w:p w14:paraId="6A81B82B" w14:textId="77777777" w:rsidR="00065317" w:rsidRDefault="005C7BF7">
      <w:pPr>
        <w:pStyle w:val="Corpsdetexte"/>
      </w:pPr>
      <w:r>
        <w:rPr>
          <w:b/>
          <w:bCs/>
        </w:rPr>
        <w:t>Quantification</w:t>
      </w:r>
    </w:p>
    <w:p w14:paraId="0D833F90" w14:textId="77777777" w:rsidR="00065317" w:rsidRDefault="005C7BF7">
      <w:pPr>
        <w:pStyle w:val="Corpsdetexte"/>
      </w:pPr>
      <w:r>
        <w:t>plusieurs à plusieurs, nécessaire (1,n:0,n)</w:t>
      </w:r>
    </w:p>
    <w:p w14:paraId="7F2A270A" w14:textId="4E3F1A54" w:rsidR="00065317" w:rsidRDefault="005C7BF7">
      <w:pPr>
        <w:pStyle w:val="Corpsdetexte"/>
      </w:pPr>
      <w:r>
        <w:rPr>
          <w:b/>
          <w:bCs/>
        </w:rPr>
        <w:t>Note d</w:t>
      </w:r>
      <w:r w:rsidR="00E84B0E">
        <w:rPr>
          <w:b/>
          <w:bCs/>
        </w:rPr>
        <w:t>’</w:t>
      </w:r>
      <w:r>
        <w:rPr>
          <w:b/>
          <w:bCs/>
        </w:rPr>
        <w:t>application</w:t>
      </w:r>
    </w:p>
    <w:p w14:paraId="0F289F86" w14:textId="2708BF79" w:rsidR="00065317" w:rsidRDefault="005C7BF7">
      <w:pPr>
        <w:pStyle w:val="Corpsdetexte"/>
      </w:pPr>
      <w:r>
        <w:t>Cette propriété décrit la participation active d</w:t>
      </w:r>
      <w:r w:rsidR="00E84B0E">
        <w:t>’</w:t>
      </w:r>
      <w:r>
        <w:t xml:space="preserve">une instance de </w:t>
      </w:r>
      <w:r>
        <w:rPr>
          <w:rStyle w:val="VerbatimChar"/>
        </w:rPr>
        <w:t>E39_Actant</w:t>
      </w:r>
      <w:r>
        <w:t xml:space="preserve"> à une instance de </w:t>
      </w:r>
      <w:r>
        <w:rPr>
          <w:rStyle w:val="VerbatimChar"/>
        </w:rPr>
        <w:t>E7_Activité</w:t>
      </w:r>
      <w:r>
        <w:t>.</w:t>
      </w:r>
    </w:p>
    <w:p w14:paraId="247C98F2" w14:textId="269BB74E" w:rsidR="00065317" w:rsidRDefault="005C7BF7">
      <w:pPr>
        <w:pStyle w:val="Corpsdetexte"/>
      </w:pPr>
      <w:r>
        <w:t xml:space="preserve">La propriété </w:t>
      </w:r>
      <w:r>
        <w:rPr>
          <w:rStyle w:val="VerbatimChar"/>
        </w:rPr>
        <w:t>P14_a_été_effectué_par (a_effectué)</w:t>
      </w:r>
      <w:r>
        <w:t xml:space="preserve"> implique une responsabilité causale ou légale. La propriété </w:t>
      </w:r>
      <w:r>
        <w:rPr>
          <w:rStyle w:val="VerbatimChar"/>
        </w:rPr>
        <w:t>P14.1_dans_le_rôle_de</w:t>
      </w:r>
      <w:r>
        <w:t xml:space="preserve"> de la propriété </w:t>
      </w:r>
      <w:r>
        <w:rPr>
          <w:rStyle w:val="VerbatimChar"/>
        </w:rPr>
        <w:t>P14_a_été_effectué_par (a_effectué)</w:t>
      </w:r>
      <w:r>
        <w:t xml:space="preserve"> précise la nature de la participation d</w:t>
      </w:r>
      <w:r w:rsidR="00E84B0E">
        <w:t>’</w:t>
      </w:r>
      <w:r>
        <w:t>un actant.</w:t>
      </w:r>
    </w:p>
    <w:p w14:paraId="5B043768" w14:textId="77777777" w:rsidR="00065317" w:rsidRDefault="005C7BF7">
      <w:pPr>
        <w:pStyle w:val="Corpsdetexte"/>
      </w:pPr>
      <w:r>
        <w:rPr>
          <w:b/>
          <w:bCs/>
        </w:rPr>
        <w:t>Exemples</w:t>
      </w:r>
    </w:p>
    <w:p w14:paraId="4BCE7329" w14:textId="77777777" w:rsidR="00065317" w:rsidRDefault="005C7BF7">
      <w:pPr>
        <w:numPr>
          <w:ilvl w:val="0"/>
          <w:numId w:val="156"/>
        </w:numPr>
      </w:pPr>
      <w:r>
        <w:t>La fresque de la chapelle Sixtine (</w:t>
      </w:r>
      <w:r>
        <w:rPr>
          <w:rStyle w:val="VerbatimChar"/>
        </w:rPr>
        <w:t>E7_Activité</w:t>
      </w:r>
      <w:r>
        <w:t>) a été effectué par (</w:t>
      </w:r>
      <w:r>
        <w:rPr>
          <w:rStyle w:val="VerbatimChar"/>
        </w:rPr>
        <w:t>P14_a_été_effectué_par</w:t>
      </w:r>
      <w:r>
        <w:t>) Michel-Ange (</w:t>
      </w:r>
      <w:r>
        <w:rPr>
          <w:rStyle w:val="VerbatimChar"/>
        </w:rPr>
        <w:t>E21_Personne</w:t>
      </w:r>
      <w:r>
        <w:t>) dans le rôle de (</w:t>
      </w:r>
      <w:r>
        <w:rPr>
          <w:rStyle w:val="VerbatimChar"/>
        </w:rPr>
        <w:t>P14.1_dans_le_rôle_de</w:t>
      </w:r>
      <w:r>
        <w:t>) maître artisan (</w:t>
      </w:r>
      <w:r>
        <w:rPr>
          <w:rStyle w:val="VerbatimChar"/>
        </w:rPr>
        <w:t>E55_Type</w:t>
      </w:r>
      <w:r>
        <w:t>) (Goldscheider, 1953)</w:t>
      </w:r>
    </w:p>
    <w:p w14:paraId="4A24D8B1" w14:textId="77777777" w:rsidR="00065317" w:rsidRDefault="005C7BF7">
      <w:pPr>
        <w:pStyle w:val="FirstParagraph"/>
      </w:pPr>
      <w:r>
        <w:rPr>
          <w:b/>
          <w:bCs/>
        </w:rPr>
        <w:t>Logique</w:t>
      </w:r>
    </w:p>
    <w:p w14:paraId="0299CE41" w14:textId="77777777" w:rsidR="00065317" w:rsidRDefault="005C7BF7">
      <w:pPr>
        <w:pStyle w:val="Corpsdetexte"/>
      </w:pPr>
      <w:r>
        <w:t>P14(x,y) ⇒ E7(x)</w:t>
      </w:r>
    </w:p>
    <w:p w14:paraId="618A3FD2" w14:textId="77777777" w:rsidR="00065317" w:rsidRDefault="005C7BF7">
      <w:pPr>
        <w:pStyle w:val="Corpsdetexte"/>
      </w:pPr>
      <w:r>
        <w:t>P14(x,y)⇒ E39(y)</w:t>
      </w:r>
    </w:p>
    <w:p w14:paraId="0FBF3B94" w14:textId="77777777" w:rsidR="00065317" w:rsidRDefault="005C7BF7">
      <w:pPr>
        <w:pStyle w:val="Corpsdetexte"/>
      </w:pPr>
      <w:r>
        <w:t>P14(x,y) ⇒ P11(x,y)</w:t>
      </w:r>
    </w:p>
    <w:p w14:paraId="365D508B" w14:textId="77777777" w:rsidR="00065317" w:rsidRDefault="005C7BF7">
      <w:pPr>
        <w:pStyle w:val="Corpsdetexte"/>
      </w:pPr>
      <w:r>
        <w:t>P14(x,y,z) ⇒ [P14(x,y) ∧ E55(z)]</w:t>
      </w:r>
    </w:p>
    <w:p w14:paraId="34E7ABAE" w14:textId="77777777" w:rsidR="00065317" w:rsidRDefault="005C7BF7">
      <w:pPr>
        <w:pStyle w:val="Corpsdetexte"/>
      </w:pPr>
      <w:r>
        <w:rPr>
          <w:b/>
          <w:bCs/>
        </w:rPr>
        <w:lastRenderedPageBreak/>
        <w:t>Propriétés</w:t>
      </w:r>
    </w:p>
    <w:p w14:paraId="36B1FB1E" w14:textId="77777777" w:rsidR="00065317" w:rsidRDefault="005C7BF7">
      <w:pPr>
        <w:pStyle w:val="Corpsdetexte"/>
      </w:pPr>
      <w:r>
        <w:rPr>
          <w:rStyle w:val="VerbatimChar"/>
        </w:rPr>
        <w:t>P14.1_dans_le_rôle_de</w:t>
      </w:r>
      <w:r>
        <w:t xml:space="preserve"> : </w:t>
      </w:r>
      <w:r>
        <w:rPr>
          <w:rStyle w:val="VerbatimChar"/>
        </w:rPr>
        <w:t>E55_Type</w:t>
      </w:r>
    </w:p>
    <w:p w14:paraId="64FB7D9F" w14:textId="77777777" w:rsidR="00065317" w:rsidRDefault="005C7BF7">
      <w:pPr>
        <w:pStyle w:val="Normalcentr"/>
      </w:pPr>
      <w:r>
        <w:rPr>
          <w:b/>
          <w:bCs/>
          <w:i/>
          <w:iCs/>
        </w:rPr>
        <w:t>Note de traduction</w:t>
      </w:r>
    </w:p>
    <w:p w14:paraId="2269D208" w14:textId="28D69C22" w:rsidR="00065317" w:rsidRDefault="005C7BF7" w:rsidP="003773B9">
      <w:pPr>
        <w:pStyle w:val="Normalcentr"/>
      </w:pPr>
      <w:r>
        <w:rPr>
          <w:b/>
          <w:bCs/>
          <w:i/>
          <w:iCs/>
        </w:rPr>
        <w:t>Références</w:t>
      </w:r>
    </w:p>
    <w:p w14:paraId="50AB3EEB" w14:textId="77777777" w:rsidR="00065317" w:rsidRDefault="005C7BF7" w:rsidP="00914F34">
      <w:pPr>
        <w:pStyle w:val="Titre3"/>
      </w:pPr>
      <w:bookmarkStart w:id="296" w:name="_Toc154048833"/>
      <w:bookmarkStart w:id="297" w:name="p15-a-ete-influence-par-(a-influence)"/>
      <w:bookmarkEnd w:id="295"/>
      <w:r>
        <w:t>P15 a été influencé par (a influencé)</w:t>
      </w:r>
      <w:bookmarkEnd w:id="296"/>
    </w:p>
    <w:p w14:paraId="5499982F" w14:textId="77777777" w:rsidR="00065317" w:rsidRDefault="005C7BF7">
      <w:pPr>
        <w:pStyle w:val="FirstParagraph"/>
      </w:pPr>
      <w:r>
        <w:rPr>
          <w:b/>
          <w:bCs/>
        </w:rPr>
        <w:t>Domaine</w:t>
      </w:r>
    </w:p>
    <w:p w14:paraId="2370229C" w14:textId="77777777" w:rsidR="00065317" w:rsidRDefault="005C7BF7">
      <w:pPr>
        <w:pStyle w:val="Corpsdetexte"/>
      </w:pPr>
      <w:r>
        <w:rPr>
          <w:rStyle w:val="VerbatimChar"/>
        </w:rPr>
        <w:t>E7_Activité</w:t>
      </w:r>
    </w:p>
    <w:p w14:paraId="1FEC84DA" w14:textId="77777777" w:rsidR="00065317" w:rsidRDefault="005C7BF7">
      <w:pPr>
        <w:pStyle w:val="Corpsdetexte"/>
      </w:pPr>
      <w:r>
        <w:rPr>
          <w:b/>
          <w:bCs/>
        </w:rPr>
        <w:t>Portée</w:t>
      </w:r>
    </w:p>
    <w:p w14:paraId="4FB1724A" w14:textId="77777777" w:rsidR="00065317" w:rsidRDefault="005C7BF7">
      <w:pPr>
        <w:pStyle w:val="Corpsdetexte"/>
      </w:pPr>
      <w:r>
        <w:rPr>
          <w:rStyle w:val="VerbatimChar"/>
        </w:rPr>
        <w:t>E1_Entité_CRM</w:t>
      </w:r>
    </w:p>
    <w:p w14:paraId="657A6B94" w14:textId="77777777" w:rsidR="00065317" w:rsidRDefault="005C7BF7">
      <w:pPr>
        <w:pStyle w:val="Corpsdetexte"/>
      </w:pPr>
      <w:r>
        <w:rPr>
          <w:b/>
          <w:bCs/>
        </w:rPr>
        <w:t>Sous-propriété de</w:t>
      </w:r>
    </w:p>
    <w:p w14:paraId="247DFFC8" w14:textId="77777777" w:rsidR="00065317" w:rsidRDefault="005C7BF7">
      <w:pPr>
        <w:pStyle w:val="Corpsdetexte"/>
      </w:pPr>
      <w:r>
        <w:rPr>
          <w:b/>
          <w:bCs/>
        </w:rPr>
        <w:t>Super-propriété de</w:t>
      </w:r>
    </w:p>
    <w:p w14:paraId="10CA6E88" w14:textId="65B22E35" w:rsidR="00065317" w:rsidRDefault="005C7BF7">
      <w:pPr>
        <w:pStyle w:val="Corpsdetexte"/>
      </w:pPr>
      <w:r>
        <w:rPr>
          <w:rStyle w:val="VerbatimChar"/>
        </w:rPr>
        <w:t>E7_Activité</w:t>
      </w:r>
      <w:r>
        <w:t xml:space="preserve">. </w:t>
      </w:r>
      <w:r>
        <w:rPr>
          <w:rStyle w:val="VerbatimChar"/>
        </w:rPr>
        <w:t>P16_a_mobilisé_l</w:t>
      </w:r>
      <w:r w:rsidR="00E84B0E">
        <w:rPr>
          <w:rStyle w:val="VerbatimChar"/>
        </w:rPr>
        <w:t>’</w:t>
      </w:r>
      <w:r>
        <w:rPr>
          <w:rStyle w:val="VerbatimChar"/>
        </w:rPr>
        <w:t>objet_spécifique (a_été_mobilisé_pour)</w:t>
      </w:r>
      <w:r>
        <w:t xml:space="preserve"> : </w:t>
      </w:r>
      <w:r>
        <w:rPr>
          <w:rStyle w:val="VerbatimChar"/>
        </w:rPr>
        <w:t>E70_Chose</w:t>
      </w:r>
    </w:p>
    <w:p w14:paraId="40FF06D6" w14:textId="77777777" w:rsidR="00065317" w:rsidRDefault="005C7BF7">
      <w:pPr>
        <w:pStyle w:val="Corpsdetexte"/>
      </w:pPr>
      <w:r>
        <w:rPr>
          <w:rStyle w:val="VerbatimChar"/>
        </w:rPr>
        <w:t>E7_Activité</w:t>
      </w:r>
      <w:r>
        <w:t xml:space="preserve">. </w:t>
      </w:r>
      <w:r>
        <w:rPr>
          <w:rStyle w:val="VerbatimChar"/>
        </w:rPr>
        <w:t>P17_a_été_motivé_par (a_motivé)</w:t>
      </w:r>
      <w:r>
        <w:t xml:space="preserve"> : </w:t>
      </w:r>
      <w:r>
        <w:rPr>
          <w:rStyle w:val="VerbatimChar"/>
        </w:rPr>
        <w:t>E1_Entité_CRM</w:t>
      </w:r>
    </w:p>
    <w:p w14:paraId="12B618C3" w14:textId="77777777" w:rsidR="00065317" w:rsidRDefault="005C7BF7">
      <w:pPr>
        <w:pStyle w:val="Corpsdetexte"/>
      </w:pPr>
      <w:r>
        <w:rPr>
          <w:rStyle w:val="VerbatimChar"/>
        </w:rPr>
        <w:t>E7_Activité</w:t>
      </w:r>
      <w:r>
        <w:t xml:space="preserve">. </w:t>
      </w:r>
      <w:r>
        <w:rPr>
          <w:rStyle w:val="VerbatimChar"/>
        </w:rPr>
        <w:t>P134_a_continué (a_été_continué_par)</w:t>
      </w:r>
      <w:r>
        <w:t xml:space="preserve"> : </w:t>
      </w:r>
      <w:r>
        <w:rPr>
          <w:rStyle w:val="VerbatimChar"/>
        </w:rPr>
        <w:t>E7_Activité</w:t>
      </w:r>
    </w:p>
    <w:p w14:paraId="6EE09C39" w14:textId="77777777" w:rsidR="00065317" w:rsidRDefault="005C7BF7">
      <w:pPr>
        <w:pStyle w:val="Corpsdetexte"/>
      </w:pPr>
      <w:r>
        <w:rPr>
          <w:rStyle w:val="VerbatimChar"/>
        </w:rPr>
        <w:t>E83_Création_de_type</w:t>
      </w:r>
      <w:r>
        <w:t xml:space="preserve">. </w:t>
      </w:r>
      <w:r>
        <w:rPr>
          <w:rStyle w:val="VerbatimChar"/>
        </w:rPr>
        <w:t>P136_a_été_fondé_sur (a_fondé_la_création_du_type)</w:t>
      </w:r>
      <w:r>
        <w:t xml:space="preserve"> : </w:t>
      </w:r>
      <w:r>
        <w:rPr>
          <w:rStyle w:val="VerbatimChar"/>
        </w:rPr>
        <w:t>E1_Entité_CRM</w:t>
      </w:r>
    </w:p>
    <w:p w14:paraId="39D61711" w14:textId="77777777" w:rsidR="00065317" w:rsidRDefault="005C7BF7">
      <w:pPr>
        <w:pStyle w:val="Corpsdetexte"/>
      </w:pPr>
      <w:r>
        <w:rPr>
          <w:b/>
          <w:bCs/>
        </w:rPr>
        <w:t>Quantification</w:t>
      </w:r>
    </w:p>
    <w:p w14:paraId="653FB16E" w14:textId="77777777" w:rsidR="00065317" w:rsidRDefault="005C7BF7">
      <w:pPr>
        <w:pStyle w:val="Corpsdetexte"/>
      </w:pPr>
      <w:r>
        <w:t>plusieurs à plusieurs (0,n:0,n)</w:t>
      </w:r>
    </w:p>
    <w:p w14:paraId="5786A306" w14:textId="440B88CC" w:rsidR="00065317" w:rsidRDefault="005C7BF7">
      <w:pPr>
        <w:pStyle w:val="Corpsdetexte"/>
      </w:pPr>
      <w:r>
        <w:rPr>
          <w:b/>
          <w:bCs/>
        </w:rPr>
        <w:t>Note d</w:t>
      </w:r>
      <w:r w:rsidR="00E84B0E">
        <w:rPr>
          <w:b/>
          <w:bCs/>
        </w:rPr>
        <w:t>’</w:t>
      </w:r>
      <w:r>
        <w:rPr>
          <w:b/>
          <w:bCs/>
        </w:rPr>
        <w:t>application</w:t>
      </w:r>
    </w:p>
    <w:p w14:paraId="632903C1" w14:textId="77777777" w:rsidR="00065317" w:rsidRDefault="005C7BF7">
      <w:pPr>
        <w:pStyle w:val="Corpsdetexte"/>
      </w:pPr>
      <w:r>
        <w:t xml:space="preserve">Cette propriété de haut niveau capture la relation entre une instance de </w:t>
      </w:r>
      <w:r>
        <w:rPr>
          <w:rStyle w:val="VerbatimChar"/>
        </w:rPr>
        <w:t>E7_Activité</w:t>
      </w:r>
      <w:r>
        <w:t xml:space="preserve"> et toute instance de </w:t>
      </w:r>
      <w:r>
        <w:rPr>
          <w:rStyle w:val="VerbatimChar"/>
        </w:rPr>
        <w:t>E1_Entité_CRM</w:t>
      </w:r>
      <w:r>
        <w:t xml:space="preserve"> ayant pu avoir une incidence sur celle-ci.</w:t>
      </w:r>
    </w:p>
    <w:p w14:paraId="3781F681" w14:textId="77777777" w:rsidR="00065317" w:rsidRDefault="005C7BF7">
      <w:pPr>
        <w:pStyle w:val="Corpsdetexte"/>
      </w:pPr>
      <w:r>
        <w:t>La propriété a des sous-propriétés plus spécifiques.</w:t>
      </w:r>
    </w:p>
    <w:p w14:paraId="0FDA8237" w14:textId="77777777" w:rsidR="00065317" w:rsidRDefault="005C7BF7">
      <w:pPr>
        <w:pStyle w:val="Corpsdetexte"/>
      </w:pPr>
      <w:r>
        <w:rPr>
          <w:b/>
          <w:bCs/>
        </w:rPr>
        <w:t>Exemples</w:t>
      </w:r>
    </w:p>
    <w:p w14:paraId="4CC2392B" w14:textId="544EE2F3" w:rsidR="00065317" w:rsidRDefault="005C7BF7">
      <w:pPr>
        <w:numPr>
          <w:ilvl w:val="0"/>
          <w:numId w:val="157"/>
        </w:numPr>
      </w:pPr>
      <w:r>
        <w:t xml:space="preserve">La conception du </w:t>
      </w:r>
      <w:r>
        <w:rPr>
          <w:i/>
          <w:iCs/>
        </w:rPr>
        <w:t>Harbour Bridge</w:t>
      </w:r>
      <w:r>
        <w:t xml:space="preserve"> (</w:t>
      </w:r>
      <w:r>
        <w:rPr>
          <w:rStyle w:val="VerbatimChar"/>
        </w:rPr>
        <w:t>E7_Activité</w:t>
      </w:r>
      <w:r>
        <w:t>) a été influencée par (</w:t>
      </w:r>
      <w:r>
        <w:rPr>
          <w:rStyle w:val="VerbatimChar"/>
        </w:rPr>
        <w:t>P15_a_été_influencé_par)</w:t>
      </w:r>
      <w:r>
        <w:t xml:space="preserve"> le </w:t>
      </w:r>
      <w:r>
        <w:rPr>
          <w:i/>
          <w:iCs/>
        </w:rPr>
        <w:t>Tyne Bridge</w:t>
      </w:r>
      <w:r>
        <w:t xml:space="preserve"> (</w:t>
      </w:r>
      <w:r>
        <w:rPr>
          <w:rStyle w:val="VerbatimChar"/>
        </w:rPr>
        <w:t>E22_Objet_élaboré_par_l</w:t>
      </w:r>
      <w:r w:rsidR="00E84B0E">
        <w:rPr>
          <w:rStyle w:val="VerbatimChar"/>
        </w:rPr>
        <w:t>’</w:t>
      </w:r>
      <w:r>
        <w:rPr>
          <w:rStyle w:val="VerbatimChar"/>
        </w:rPr>
        <w:t>humain</w:t>
      </w:r>
      <w:r>
        <w:t>) (Dorman Long, 1932)</w:t>
      </w:r>
    </w:p>
    <w:p w14:paraId="52180182" w14:textId="77777777" w:rsidR="00065317" w:rsidRDefault="005C7BF7">
      <w:pPr>
        <w:pStyle w:val="FirstParagraph"/>
      </w:pPr>
      <w:r>
        <w:rPr>
          <w:b/>
          <w:bCs/>
        </w:rPr>
        <w:t>Logique</w:t>
      </w:r>
    </w:p>
    <w:p w14:paraId="7DFEBEBA" w14:textId="77777777" w:rsidR="00065317" w:rsidRDefault="005C7BF7">
      <w:pPr>
        <w:pStyle w:val="Corpsdetexte"/>
      </w:pPr>
      <w:r>
        <w:t>P15(x,y) ⇒ E7(x)</w:t>
      </w:r>
    </w:p>
    <w:p w14:paraId="30E7D1FE" w14:textId="77777777" w:rsidR="00065317" w:rsidRDefault="005C7BF7">
      <w:pPr>
        <w:pStyle w:val="Corpsdetexte"/>
      </w:pPr>
      <w:r>
        <w:t>P15(x,y) ⇒ E1(y)</w:t>
      </w:r>
    </w:p>
    <w:p w14:paraId="486FD0D1" w14:textId="77777777" w:rsidR="00065317" w:rsidRDefault="005C7BF7">
      <w:pPr>
        <w:pStyle w:val="Corpsdetexte"/>
      </w:pPr>
      <w:r>
        <w:rPr>
          <w:b/>
          <w:bCs/>
        </w:rPr>
        <w:t>Propriétés</w:t>
      </w:r>
    </w:p>
    <w:p w14:paraId="04AAD013" w14:textId="77777777" w:rsidR="00065317" w:rsidRDefault="005C7BF7">
      <w:pPr>
        <w:pStyle w:val="Normalcentr"/>
      </w:pPr>
      <w:r>
        <w:rPr>
          <w:b/>
          <w:bCs/>
          <w:i/>
          <w:iCs/>
        </w:rPr>
        <w:t>Note de traduction</w:t>
      </w:r>
    </w:p>
    <w:p w14:paraId="3447C623" w14:textId="60EB2AFF" w:rsidR="00F54917" w:rsidRDefault="005C7BF7" w:rsidP="003773B9">
      <w:pPr>
        <w:pStyle w:val="Normalcentr"/>
        <w:rPr>
          <w:b/>
          <w:bCs/>
          <w:i/>
          <w:iCs/>
        </w:rPr>
      </w:pPr>
      <w:r>
        <w:rPr>
          <w:b/>
          <w:bCs/>
          <w:i/>
          <w:iCs/>
        </w:rPr>
        <w:t>Références</w:t>
      </w:r>
    </w:p>
    <w:p w14:paraId="4CC29C18" w14:textId="273F71B3" w:rsidR="00065317" w:rsidRPr="00F54917" w:rsidRDefault="00F54917" w:rsidP="00F54917">
      <w:pPr>
        <w:spacing w:after="0"/>
        <w:rPr>
          <w:b/>
          <w:bCs/>
          <w:i/>
          <w:iCs/>
          <w:sz w:val="22"/>
        </w:rPr>
      </w:pPr>
      <w:r>
        <w:rPr>
          <w:b/>
          <w:bCs/>
          <w:i/>
          <w:iCs/>
        </w:rPr>
        <w:br w:type="page"/>
      </w:r>
    </w:p>
    <w:p w14:paraId="4088ED61" w14:textId="58C73758" w:rsidR="00065317" w:rsidRDefault="005C7BF7" w:rsidP="00914F34">
      <w:pPr>
        <w:pStyle w:val="Titre3"/>
      </w:pPr>
      <w:bookmarkStart w:id="298" w:name="_Toc154048834"/>
      <w:bookmarkStart w:id="299" w:name="X0292ac6473000f28811c7c3639588eb14f6a104"/>
      <w:bookmarkEnd w:id="297"/>
      <w:r>
        <w:lastRenderedPageBreak/>
        <w:t>P16 a mobilisé l</w:t>
      </w:r>
      <w:r w:rsidR="00E84B0E">
        <w:t>’</w:t>
      </w:r>
      <w:r>
        <w:t>objet spécifique (a été mobilisé pour)</w:t>
      </w:r>
      <w:bookmarkEnd w:id="298"/>
    </w:p>
    <w:p w14:paraId="600772B6" w14:textId="77777777" w:rsidR="00065317" w:rsidRDefault="005C7BF7">
      <w:pPr>
        <w:pStyle w:val="FirstParagraph"/>
      </w:pPr>
      <w:r>
        <w:rPr>
          <w:b/>
          <w:bCs/>
        </w:rPr>
        <w:t>Domaine</w:t>
      </w:r>
    </w:p>
    <w:p w14:paraId="18C88D1B" w14:textId="77777777" w:rsidR="00065317" w:rsidRDefault="005C7BF7">
      <w:pPr>
        <w:pStyle w:val="Corpsdetexte"/>
      </w:pPr>
      <w:r>
        <w:rPr>
          <w:rStyle w:val="VerbatimChar"/>
        </w:rPr>
        <w:t>E7_Activité</w:t>
      </w:r>
    </w:p>
    <w:p w14:paraId="60DA083E" w14:textId="77777777" w:rsidR="00065317" w:rsidRDefault="005C7BF7">
      <w:pPr>
        <w:pStyle w:val="Corpsdetexte"/>
      </w:pPr>
      <w:r>
        <w:rPr>
          <w:b/>
          <w:bCs/>
        </w:rPr>
        <w:t>Portée</w:t>
      </w:r>
    </w:p>
    <w:p w14:paraId="277B1EA6" w14:textId="77777777" w:rsidR="00065317" w:rsidRDefault="005C7BF7">
      <w:pPr>
        <w:pStyle w:val="Corpsdetexte"/>
      </w:pPr>
      <w:r>
        <w:rPr>
          <w:rStyle w:val="VerbatimChar"/>
        </w:rPr>
        <w:t>E70_Chose</w:t>
      </w:r>
    </w:p>
    <w:p w14:paraId="39537DE7" w14:textId="77777777" w:rsidR="00065317" w:rsidRDefault="005C7BF7">
      <w:pPr>
        <w:pStyle w:val="Corpsdetexte"/>
      </w:pPr>
      <w:r>
        <w:rPr>
          <w:b/>
          <w:bCs/>
        </w:rPr>
        <w:t>Sous-propriété de</w:t>
      </w:r>
    </w:p>
    <w:p w14:paraId="5311D837" w14:textId="21D9CD7E" w:rsidR="00065317" w:rsidRDefault="005C7BF7">
      <w:pPr>
        <w:pStyle w:val="Corpsdetexte"/>
      </w:pPr>
      <w:r>
        <w:rPr>
          <w:rStyle w:val="VerbatimChar"/>
        </w:rPr>
        <w:t>E5_Évènement</w:t>
      </w:r>
      <w:r>
        <w:t xml:space="preserve">. </w:t>
      </w:r>
      <w:r>
        <w:rPr>
          <w:rStyle w:val="VerbatimChar"/>
        </w:rPr>
        <w:t>P12_a_eu_lieu_en_présence_de (a_été_présent_à)</w:t>
      </w:r>
      <w:r w:rsidR="0024325A">
        <w:t xml:space="preserve"> </w:t>
      </w:r>
      <w:r>
        <w:t xml:space="preserve">: </w:t>
      </w:r>
      <w:r>
        <w:rPr>
          <w:rStyle w:val="VerbatimChar"/>
        </w:rPr>
        <w:t>E77_Entité_persistante</w:t>
      </w:r>
    </w:p>
    <w:p w14:paraId="6EA092E4" w14:textId="7BA360EA" w:rsidR="00065317" w:rsidRDefault="005C7BF7">
      <w:pPr>
        <w:pStyle w:val="Corpsdetexte"/>
      </w:pPr>
      <w:r>
        <w:rPr>
          <w:rStyle w:val="VerbatimChar"/>
        </w:rPr>
        <w:t>E7_Activité</w:t>
      </w:r>
      <w:r>
        <w:t xml:space="preserve">. </w:t>
      </w:r>
      <w:r w:rsidRPr="0024325A">
        <w:rPr>
          <w:rStyle w:val="VerbatimChar"/>
        </w:rPr>
        <w:t>P</w:t>
      </w:r>
      <w:r>
        <w:rPr>
          <w:rStyle w:val="VerbatimChar"/>
        </w:rPr>
        <w:t>15_a_été_influencé_par (a_influencé)</w:t>
      </w:r>
      <w:r w:rsidR="0024325A">
        <w:t xml:space="preserve"> </w:t>
      </w:r>
      <w:r>
        <w:t xml:space="preserve">: </w:t>
      </w:r>
      <w:r>
        <w:rPr>
          <w:rStyle w:val="VerbatimChar"/>
        </w:rPr>
        <w:t>E1 Entité CRM</w:t>
      </w:r>
    </w:p>
    <w:p w14:paraId="213017A9" w14:textId="77777777" w:rsidR="00065317" w:rsidRDefault="005C7BF7">
      <w:pPr>
        <w:pStyle w:val="Corpsdetexte"/>
      </w:pPr>
      <w:r>
        <w:rPr>
          <w:b/>
          <w:bCs/>
        </w:rPr>
        <w:t>Super-propriété de</w:t>
      </w:r>
    </w:p>
    <w:p w14:paraId="4D087859" w14:textId="77777777" w:rsidR="00065317" w:rsidRDefault="005C7BF7">
      <w:pPr>
        <w:pStyle w:val="Corpsdetexte"/>
      </w:pPr>
      <w:r>
        <w:rPr>
          <w:rStyle w:val="VerbatimChar"/>
        </w:rPr>
        <w:t>E7_Activité</w:t>
      </w:r>
      <w:r>
        <w:t xml:space="preserve">. </w:t>
      </w:r>
      <w:r>
        <w:rPr>
          <w:rStyle w:val="VerbatimChar"/>
        </w:rPr>
        <w:t>P33_a_mobilisé_comme_technique_spécifique (a_été_la_technique_spécifique_mise_en_œuvre_dans)</w:t>
      </w:r>
      <w:r>
        <w:t xml:space="preserve"> : </w:t>
      </w:r>
      <w:r>
        <w:rPr>
          <w:rStyle w:val="VerbatimChar"/>
        </w:rPr>
        <w:t>E29_Conceptualisation_ou_procédure</w:t>
      </w:r>
    </w:p>
    <w:p w14:paraId="58FDD2E2" w14:textId="259FA0F9" w:rsidR="00065317" w:rsidRDefault="005C7BF7">
      <w:pPr>
        <w:pStyle w:val="Corpsdetexte"/>
      </w:pPr>
      <w:r>
        <w:rPr>
          <w:rStyle w:val="VerbatimChar"/>
        </w:rPr>
        <w:t>E79_Ajout_d</w:t>
      </w:r>
      <w:r w:rsidR="00E84B0E">
        <w:rPr>
          <w:rStyle w:val="VerbatimChar"/>
        </w:rPr>
        <w:t>’</w:t>
      </w:r>
      <w:r>
        <w:rPr>
          <w:rStyle w:val="VerbatimChar"/>
        </w:rPr>
        <w:t>élément</w:t>
      </w:r>
      <w:r>
        <w:t xml:space="preserve">. </w:t>
      </w:r>
      <w:r>
        <w:rPr>
          <w:rStyle w:val="VerbatimChar"/>
        </w:rPr>
        <w:t>P111_a_ajouté (a_été_ajouté_par)</w:t>
      </w:r>
      <w:r>
        <w:t xml:space="preserve"> : </w:t>
      </w:r>
      <w:r>
        <w:rPr>
          <w:rStyle w:val="VerbatimChar"/>
        </w:rPr>
        <w:t>E18_Chose_matérielle</w:t>
      </w:r>
      <w:r>
        <w:t xml:space="preserve"> </w:t>
      </w:r>
    </w:p>
    <w:p w14:paraId="1C901F2A" w14:textId="2D564D15" w:rsidR="00065317" w:rsidRDefault="005C7BF7">
      <w:pPr>
        <w:pStyle w:val="Corpsdetexte"/>
      </w:pPr>
      <w:r>
        <w:rPr>
          <w:rStyle w:val="VerbatimChar"/>
        </w:rPr>
        <w:t>E15_Assignation_d</w:t>
      </w:r>
      <w:r w:rsidR="00E84B0E">
        <w:rPr>
          <w:rStyle w:val="VerbatimChar"/>
        </w:rPr>
        <w:t>’</w:t>
      </w:r>
      <w:r>
        <w:rPr>
          <w:rStyle w:val="VerbatimChar"/>
        </w:rPr>
        <w:t>identifiant</w:t>
      </w:r>
      <w:r>
        <w:t xml:space="preserve">. </w:t>
      </w:r>
      <w:r>
        <w:rPr>
          <w:rStyle w:val="VerbatimChar"/>
        </w:rPr>
        <w:t>P142_a_mobilisé_comme_élément (a_été_mobilisé_dans)</w:t>
      </w:r>
      <w:r>
        <w:t xml:space="preserve"> : </w:t>
      </w:r>
      <w:r>
        <w:rPr>
          <w:rStyle w:val="VerbatimChar"/>
        </w:rPr>
        <w:t>E90_Objet_symbolique</w:t>
      </w:r>
    </w:p>
    <w:p w14:paraId="600859C9" w14:textId="77777777" w:rsidR="00065317" w:rsidRDefault="005C7BF7">
      <w:pPr>
        <w:pStyle w:val="Corpsdetexte"/>
      </w:pPr>
      <w:r>
        <w:rPr>
          <w:b/>
          <w:bCs/>
        </w:rPr>
        <w:t>Quantification</w:t>
      </w:r>
    </w:p>
    <w:p w14:paraId="3B695175" w14:textId="77777777" w:rsidR="00065317" w:rsidRDefault="005C7BF7">
      <w:pPr>
        <w:pStyle w:val="Corpsdetexte"/>
      </w:pPr>
      <w:r>
        <w:t>plusieurs à plusieurs (0,n:0,n)</w:t>
      </w:r>
    </w:p>
    <w:p w14:paraId="5266BC63" w14:textId="108C7A7A" w:rsidR="00065317" w:rsidRDefault="005C7BF7">
      <w:pPr>
        <w:pStyle w:val="Corpsdetexte"/>
      </w:pPr>
      <w:r>
        <w:rPr>
          <w:b/>
          <w:bCs/>
        </w:rPr>
        <w:t>Note d</w:t>
      </w:r>
      <w:r w:rsidR="00E84B0E">
        <w:rPr>
          <w:b/>
          <w:bCs/>
        </w:rPr>
        <w:t>’</w:t>
      </w:r>
      <w:r>
        <w:rPr>
          <w:b/>
          <w:bCs/>
        </w:rPr>
        <w:t>application</w:t>
      </w:r>
    </w:p>
    <w:p w14:paraId="4A55F55C" w14:textId="61B95331" w:rsidR="00065317" w:rsidRDefault="005C7BF7">
      <w:pPr>
        <w:pStyle w:val="Corpsdetexte"/>
      </w:pPr>
      <w:r>
        <w:t>Cette propriété décrit l</w:t>
      </w:r>
      <w:r w:rsidR="00E84B0E">
        <w:t>’</w:t>
      </w:r>
      <w:r>
        <w:t>utilisation d</w:t>
      </w:r>
      <w:r w:rsidR="00E84B0E">
        <w:t>’</w:t>
      </w:r>
      <w:r>
        <w:t>une chose matérielle ou immatérielle d</w:t>
      </w:r>
      <w:r w:rsidR="00E84B0E">
        <w:t>’</w:t>
      </w:r>
      <w:r>
        <w:t>une manière essentielle à la réalisation ou au résultat d</w:t>
      </w:r>
      <w:r w:rsidR="00E84B0E">
        <w:t>’</w:t>
      </w:r>
      <w:r>
        <w:t xml:space="preserve">une instance de </w:t>
      </w:r>
      <w:r>
        <w:rPr>
          <w:rStyle w:val="VerbatimChar"/>
        </w:rPr>
        <w:t>E7_Activité</w:t>
      </w:r>
      <w:r>
        <w:t>.</w:t>
      </w:r>
    </w:p>
    <w:p w14:paraId="5EB2AAA1" w14:textId="08686BBE" w:rsidR="00065317" w:rsidRDefault="005C7BF7">
      <w:pPr>
        <w:pStyle w:val="Corpsdetexte"/>
      </w:pPr>
      <w:r>
        <w:t>Cette propriété s</w:t>
      </w:r>
      <w:r w:rsidR="00E84B0E">
        <w:t>’</w:t>
      </w:r>
      <w:r>
        <w:t>applique particulièrement aux outils, instruments, moules, matières premières et entités impliqués dans une production. La présence de l</w:t>
      </w:r>
      <w:r w:rsidR="00E84B0E">
        <w:t>’</w:t>
      </w:r>
      <w:r>
        <w:t>objet en question était donc une condition nécessaire à l</w:t>
      </w:r>
      <w:r w:rsidR="00E84B0E">
        <w:t>’</w:t>
      </w:r>
      <w:r>
        <w:t>action.</w:t>
      </w:r>
    </w:p>
    <w:p w14:paraId="0748C506" w14:textId="7B7A45C9" w:rsidR="00065317" w:rsidRDefault="005C7BF7">
      <w:pPr>
        <w:pStyle w:val="Corpsdetexte"/>
      </w:pPr>
      <w:r>
        <w:t>Par exemple, l</w:t>
      </w:r>
      <w:r w:rsidR="00E84B0E">
        <w:t>’</w:t>
      </w:r>
      <w:r>
        <w:t>activité de rédaction de ce texte a nécessité l</w:t>
      </w:r>
      <w:r w:rsidR="00E84B0E">
        <w:t>’</w:t>
      </w:r>
      <w:r>
        <w:t>utilisation d</w:t>
      </w:r>
      <w:r w:rsidR="00E84B0E">
        <w:t>’</w:t>
      </w:r>
      <w:r>
        <w:t>un ordinateur. Une chose immatérielle peut être mobilisée si au moins un de ses supports est présent [</w:t>
      </w:r>
      <w:r w:rsidR="00AF51A3">
        <w:t xml:space="preserve">n.d.t. </w:t>
      </w:r>
      <w:r>
        <w:t>lors de l</w:t>
      </w:r>
      <w:r w:rsidR="00E84B0E">
        <w:t>’</w:t>
      </w:r>
      <w:r>
        <w:t>activité], par exemple les programmes informatiques installés sur un ordinateur.</w:t>
      </w:r>
    </w:p>
    <w:p w14:paraId="0DBB2530" w14:textId="4C8ED8C9" w:rsidR="00065317" w:rsidRDefault="005C7BF7">
      <w:pPr>
        <w:pStyle w:val="Corpsdetexte"/>
      </w:pPr>
      <w:r>
        <w:t>Un autre exemple est l</w:t>
      </w:r>
      <w:r w:rsidR="00E84B0E">
        <w:t>’</w:t>
      </w:r>
      <w:r>
        <w:t>utilisation sur une certaine durée d</w:t>
      </w:r>
      <w:r w:rsidR="00E84B0E">
        <w:t>’</w:t>
      </w:r>
      <w:r>
        <w:t>un nom précis par un groupe précis pour identifier une chose, tel que l</w:t>
      </w:r>
      <w:r w:rsidR="00E84B0E">
        <w:t>’</w:t>
      </w:r>
      <w:r>
        <w:t>occupation d</w:t>
      </w:r>
      <w:r w:rsidR="00E84B0E">
        <w:t>’</w:t>
      </w:r>
      <w:r>
        <w:t>un lieu. Dans ce cas, les supports physiques de ce nom sont au moins les individus ayant la compréhension de son usage.</w:t>
      </w:r>
    </w:p>
    <w:p w14:paraId="5F8E6A24" w14:textId="77777777" w:rsidR="00065317" w:rsidRDefault="005C7BF7">
      <w:pPr>
        <w:pStyle w:val="Corpsdetexte"/>
      </w:pPr>
      <w:r>
        <w:rPr>
          <w:b/>
          <w:bCs/>
        </w:rPr>
        <w:t>Exemples</w:t>
      </w:r>
    </w:p>
    <w:p w14:paraId="758AE0C2" w14:textId="4C1877A4" w:rsidR="00065317" w:rsidRDefault="005C7BF7">
      <w:pPr>
        <w:numPr>
          <w:ilvl w:val="0"/>
          <w:numId w:val="158"/>
        </w:numPr>
      </w:pPr>
      <w:r>
        <w:t>L</w:t>
      </w:r>
      <w:r w:rsidR="00E84B0E">
        <w:t>’</w:t>
      </w:r>
      <w:r>
        <w:t>écriture de la note d</w:t>
      </w:r>
      <w:r w:rsidR="00E84B0E">
        <w:t>’</w:t>
      </w:r>
      <w:r>
        <w:t xml:space="preserve">application de la propriété </w:t>
      </w:r>
      <w:r w:rsidR="00C8288F">
        <w:t>CIDOC CRM</w:t>
      </w:r>
      <w:r>
        <w:t xml:space="preserve"> </w:t>
      </w:r>
      <w:r>
        <w:rPr>
          <w:rStyle w:val="VerbatimChar"/>
        </w:rPr>
        <w:t>P16_a_mobilisé_l</w:t>
      </w:r>
      <w:r w:rsidR="00E84B0E">
        <w:rPr>
          <w:rStyle w:val="VerbatimChar"/>
        </w:rPr>
        <w:t>’</w:t>
      </w:r>
      <w:r>
        <w:rPr>
          <w:rStyle w:val="VerbatimChar"/>
        </w:rPr>
        <w:t>objet_spécifique (a_été_mobilisé_pour)</w:t>
      </w:r>
      <w:r>
        <w:t xml:space="preserve"> inclu</w:t>
      </w:r>
      <w:r w:rsidR="007F43A3">
        <w:t>s</w:t>
      </w:r>
      <w:r>
        <w:t xml:space="preserve">e dans la version 4.1 du </w:t>
      </w:r>
      <w:r w:rsidR="00C8288F">
        <w:t>CIDOC CRM</w:t>
      </w:r>
      <w:r>
        <w:t xml:space="preserve"> (</w:t>
      </w:r>
      <w:r>
        <w:rPr>
          <w:rStyle w:val="VerbatimChar"/>
        </w:rPr>
        <w:t>E7_Activité</w:t>
      </w:r>
      <w:r>
        <w:t>) a mobilisé comme objet spécifique (</w:t>
      </w:r>
      <w:r>
        <w:rPr>
          <w:rStyle w:val="VerbatimChar"/>
        </w:rPr>
        <w:t>P16_a_mobilisé_l</w:t>
      </w:r>
      <w:r w:rsidR="00E84B0E">
        <w:rPr>
          <w:rStyle w:val="VerbatimChar"/>
        </w:rPr>
        <w:t>’</w:t>
      </w:r>
      <w:r>
        <w:rPr>
          <w:rStyle w:val="VerbatimChar"/>
        </w:rPr>
        <w:t>objet_spécifique</w:t>
      </w:r>
      <w:r>
        <w:t>) l</w:t>
      </w:r>
      <w:r w:rsidR="00E84B0E">
        <w:t>’</w:t>
      </w:r>
      <w:r>
        <w:t>ordinateur de Nicholas Crofts (</w:t>
      </w:r>
      <w:r>
        <w:rPr>
          <w:rStyle w:val="VerbatimChar"/>
        </w:rPr>
        <w:t>E22_Objet_élaboré_par_l</w:t>
      </w:r>
      <w:r w:rsidR="00E84B0E">
        <w:rPr>
          <w:rStyle w:val="VerbatimChar"/>
        </w:rPr>
        <w:t>’</w:t>
      </w:r>
      <w:r>
        <w:rPr>
          <w:rStyle w:val="VerbatimChar"/>
        </w:rPr>
        <w:t>humain</w:t>
      </w:r>
      <w:r>
        <w:t>) avec comme mode d</w:t>
      </w:r>
      <w:r w:rsidR="00E84B0E">
        <w:t>’</w:t>
      </w:r>
      <w:r>
        <w:t>utilisation (</w:t>
      </w:r>
      <w:r>
        <w:rPr>
          <w:rStyle w:val="VerbatimChar"/>
        </w:rPr>
        <w:t>P16.1_mode_d</w:t>
      </w:r>
      <w:r w:rsidR="00E84B0E">
        <w:rPr>
          <w:rStyle w:val="VerbatimChar"/>
        </w:rPr>
        <w:t>’</w:t>
      </w:r>
      <w:r>
        <w:rPr>
          <w:rStyle w:val="VerbatimChar"/>
        </w:rPr>
        <w:t>utilisation</w:t>
      </w:r>
      <w:r>
        <w:t>) un outil de saisie et un support de stockage (</w:t>
      </w:r>
      <w:r>
        <w:rPr>
          <w:rStyle w:val="VerbatimChar"/>
        </w:rPr>
        <w:t>E55_Type</w:t>
      </w:r>
      <w:r>
        <w:t>) [la note d</w:t>
      </w:r>
      <w:r w:rsidR="00E84B0E">
        <w:t>’</w:t>
      </w:r>
      <w:r>
        <w:t xml:space="preserve">application originelle a été augmentée dans la version 4.3 du </w:t>
      </w:r>
      <w:r w:rsidR="00C8288F">
        <w:t>CIDOC CRM</w:t>
      </w:r>
      <w:r>
        <w:t>]</w:t>
      </w:r>
    </w:p>
    <w:p w14:paraId="6BDD7214" w14:textId="5F659FBC" w:rsidR="00065317" w:rsidRDefault="005C7BF7">
      <w:pPr>
        <w:numPr>
          <w:ilvl w:val="0"/>
          <w:numId w:val="158"/>
        </w:numPr>
      </w:pPr>
      <w:r>
        <w:lastRenderedPageBreak/>
        <w:t>Le peuple irakien appelant le lieu dont l</w:t>
      </w:r>
      <w:r w:rsidR="00E84B0E">
        <w:t>’</w:t>
      </w:r>
      <w:r>
        <w:t>identifiant TGN est « 7017998 » (</w:t>
      </w:r>
      <w:r>
        <w:rPr>
          <w:rStyle w:val="VerbatimChar"/>
        </w:rPr>
        <w:t>E7_Activité</w:t>
      </w:r>
      <w:r>
        <w:t>) a mobilisé l</w:t>
      </w:r>
      <w:r w:rsidR="00E84B0E">
        <w:t>’</w:t>
      </w:r>
      <w:r>
        <w:t>objet spécifique (</w:t>
      </w:r>
      <w:r>
        <w:rPr>
          <w:rStyle w:val="VerbatimChar"/>
        </w:rPr>
        <w:t>P16_a_mobilisé_l</w:t>
      </w:r>
      <w:r w:rsidR="00E84B0E">
        <w:rPr>
          <w:rStyle w:val="VerbatimChar"/>
        </w:rPr>
        <w:t>’</w:t>
      </w:r>
      <w:r>
        <w:rPr>
          <w:rStyle w:val="VerbatimChar"/>
        </w:rPr>
        <w:t>objet_spécifique</w:t>
      </w:r>
      <w:r>
        <w:t>) « Quyunjig » (</w:t>
      </w:r>
      <w:r>
        <w:rPr>
          <w:rStyle w:val="VerbatimChar"/>
        </w:rPr>
        <w:t>E41_Appellation</w:t>
      </w:r>
      <w:r>
        <w:t>), ayant comme mode d</w:t>
      </w:r>
      <w:r w:rsidR="00E84B0E">
        <w:t>’</w:t>
      </w:r>
      <w:r>
        <w:t>utilisation (</w:t>
      </w:r>
      <w:r>
        <w:rPr>
          <w:rStyle w:val="VerbatimChar"/>
        </w:rPr>
        <w:t>P16.1_mode_d</w:t>
      </w:r>
      <w:r w:rsidR="00E84B0E">
        <w:rPr>
          <w:rStyle w:val="VerbatimChar"/>
        </w:rPr>
        <w:t>’</w:t>
      </w:r>
      <w:r>
        <w:rPr>
          <w:rStyle w:val="VerbatimChar"/>
        </w:rPr>
        <w:t>utilisation</w:t>
      </w:r>
      <w:r>
        <w:t>) actuel, vernaculaire (</w:t>
      </w:r>
      <w:r>
        <w:rPr>
          <w:rStyle w:val="VerbatimChar"/>
        </w:rPr>
        <w:t>E55_Type</w:t>
      </w:r>
      <w:r>
        <w:t>).</w:t>
      </w:r>
    </w:p>
    <w:p w14:paraId="296E4FFE" w14:textId="77777777" w:rsidR="00065317" w:rsidRDefault="005C7BF7">
      <w:pPr>
        <w:pStyle w:val="FirstParagraph"/>
      </w:pPr>
      <w:r>
        <w:rPr>
          <w:b/>
          <w:bCs/>
        </w:rPr>
        <w:t>Logique</w:t>
      </w:r>
    </w:p>
    <w:p w14:paraId="07FF9E51" w14:textId="77777777" w:rsidR="00065317" w:rsidRDefault="005C7BF7">
      <w:pPr>
        <w:pStyle w:val="Corpsdetexte"/>
      </w:pPr>
      <w:r>
        <w:t>P16(x,y) ⇒ E7(x)</w:t>
      </w:r>
    </w:p>
    <w:p w14:paraId="74693123" w14:textId="77777777" w:rsidR="00065317" w:rsidRDefault="005C7BF7">
      <w:pPr>
        <w:pStyle w:val="Corpsdetexte"/>
      </w:pPr>
      <w:r>
        <w:t>P16(x,y) ⇒ E70(y)</w:t>
      </w:r>
    </w:p>
    <w:p w14:paraId="028EEFE6" w14:textId="77777777" w:rsidR="00065317" w:rsidRDefault="005C7BF7">
      <w:pPr>
        <w:pStyle w:val="Corpsdetexte"/>
      </w:pPr>
      <w:r>
        <w:t>P16(x,y) ⇒ P12(x,y)</w:t>
      </w:r>
    </w:p>
    <w:p w14:paraId="4095F87C" w14:textId="77777777" w:rsidR="00065317" w:rsidRDefault="005C7BF7">
      <w:pPr>
        <w:pStyle w:val="Corpsdetexte"/>
      </w:pPr>
      <w:r>
        <w:t>P16(x,y) ⇒ P15(x,y)</w:t>
      </w:r>
    </w:p>
    <w:p w14:paraId="497C36EC" w14:textId="1CD43445" w:rsidR="00144B23" w:rsidRDefault="005C7BF7">
      <w:pPr>
        <w:pStyle w:val="Corpsdetexte"/>
        <w:rPr>
          <w:b/>
          <w:bCs/>
        </w:rPr>
      </w:pPr>
      <w:r>
        <w:t>P16(x,y,z) ⇒ [P16(x,y) ∧ E55(z)]</w:t>
      </w:r>
    </w:p>
    <w:p w14:paraId="17C26440" w14:textId="7A2A729F" w:rsidR="00065317" w:rsidRDefault="005C7BF7">
      <w:pPr>
        <w:pStyle w:val="Corpsdetexte"/>
      </w:pPr>
      <w:r>
        <w:rPr>
          <w:b/>
          <w:bCs/>
        </w:rPr>
        <w:t>Propriétés</w:t>
      </w:r>
    </w:p>
    <w:p w14:paraId="178CBB0D" w14:textId="21431046" w:rsidR="00065317" w:rsidRDefault="005C7BF7">
      <w:pPr>
        <w:pStyle w:val="Corpsdetexte"/>
      </w:pPr>
      <w:r>
        <w:rPr>
          <w:rStyle w:val="VerbatimChar"/>
        </w:rPr>
        <w:t>P16.1_mode_d</w:t>
      </w:r>
      <w:r w:rsidR="00E84B0E">
        <w:rPr>
          <w:rStyle w:val="VerbatimChar"/>
        </w:rPr>
        <w:t>’</w:t>
      </w:r>
      <w:r>
        <w:rPr>
          <w:rStyle w:val="VerbatimChar"/>
        </w:rPr>
        <w:t>utilisation</w:t>
      </w:r>
      <w:r>
        <w:t xml:space="preserve"> : </w:t>
      </w:r>
      <w:r>
        <w:rPr>
          <w:rStyle w:val="VerbatimChar"/>
        </w:rPr>
        <w:t>E55_Type</w:t>
      </w:r>
    </w:p>
    <w:p w14:paraId="0CF0A65C" w14:textId="77777777" w:rsidR="00065317" w:rsidRDefault="005C7BF7">
      <w:pPr>
        <w:pStyle w:val="Normalcentr"/>
      </w:pPr>
      <w:r>
        <w:rPr>
          <w:b/>
          <w:bCs/>
          <w:i/>
          <w:iCs/>
        </w:rPr>
        <w:t>Note de traduction</w:t>
      </w:r>
    </w:p>
    <w:p w14:paraId="11EA11E2" w14:textId="13E60579" w:rsidR="00065317" w:rsidRDefault="005C7BF7" w:rsidP="003773B9">
      <w:pPr>
        <w:pStyle w:val="Normalcentr"/>
      </w:pPr>
      <w:r>
        <w:rPr>
          <w:b/>
          <w:bCs/>
          <w:i/>
          <w:iCs/>
        </w:rPr>
        <w:t>Références</w:t>
      </w:r>
    </w:p>
    <w:p w14:paraId="5BBCBC07" w14:textId="77777777" w:rsidR="00065317" w:rsidRDefault="005C7BF7" w:rsidP="00914F34">
      <w:pPr>
        <w:pStyle w:val="Titre3"/>
      </w:pPr>
      <w:bookmarkStart w:id="300" w:name="_Toc154048835"/>
      <w:bookmarkStart w:id="301" w:name="p17-a-ete-motive-par-(a-motive)"/>
      <w:bookmarkEnd w:id="299"/>
      <w:r>
        <w:t>P17 a été motivé par (a motivé)</w:t>
      </w:r>
      <w:bookmarkEnd w:id="300"/>
    </w:p>
    <w:p w14:paraId="728649D5" w14:textId="77777777" w:rsidR="00065317" w:rsidRDefault="005C7BF7">
      <w:pPr>
        <w:pStyle w:val="FirstParagraph"/>
      </w:pPr>
      <w:r>
        <w:rPr>
          <w:b/>
          <w:bCs/>
        </w:rPr>
        <w:t>Domaine</w:t>
      </w:r>
    </w:p>
    <w:p w14:paraId="24CB62CC" w14:textId="77777777" w:rsidR="00065317" w:rsidRDefault="005C7BF7">
      <w:pPr>
        <w:pStyle w:val="Corpsdetexte"/>
      </w:pPr>
      <w:r>
        <w:rPr>
          <w:rStyle w:val="VerbatimChar"/>
        </w:rPr>
        <w:t>E7_Activité</w:t>
      </w:r>
    </w:p>
    <w:p w14:paraId="2999EDAC" w14:textId="77777777" w:rsidR="00065317" w:rsidRDefault="005C7BF7">
      <w:pPr>
        <w:pStyle w:val="Corpsdetexte"/>
      </w:pPr>
      <w:r>
        <w:rPr>
          <w:b/>
          <w:bCs/>
        </w:rPr>
        <w:t>Portée</w:t>
      </w:r>
    </w:p>
    <w:p w14:paraId="113FB6DB" w14:textId="77777777" w:rsidR="00065317" w:rsidRDefault="005C7BF7">
      <w:pPr>
        <w:pStyle w:val="Corpsdetexte"/>
      </w:pPr>
      <w:r>
        <w:rPr>
          <w:rStyle w:val="VerbatimChar"/>
        </w:rPr>
        <w:t>E1_Entité_CRM</w:t>
      </w:r>
    </w:p>
    <w:p w14:paraId="54569B17" w14:textId="77777777" w:rsidR="00065317" w:rsidRDefault="005C7BF7">
      <w:pPr>
        <w:pStyle w:val="Corpsdetexte"/>
      </w:pPr>
      <w:r>
        <w:rPr>
          <w:b/>
          <w:bCs/>
        </w:rPr>
        <w:t>Sous-propriété de</w:t>
      </w:r>
    </w:p>
    <w:p w14:paraId="1988AFA7" w14:textId="77777777" w:rsidR="00065317" w:rsidRDefault="005C7BF7">
      <w:pPr>
        <w:pStyle w:val="Corpsdetexte"/>
      </w:pPr>
      <w:r>
        <w:rPr>
          <w:rStyle w:val="VerbatimChar"/>
        </w:rPr>
        <w:t>E7_Activité</w:t>
      </w:r>
      <w:r>
        <w:t xml:space="preserve">. </w:t>
      </w:r>
      <w:r>
        <w:rPr>
          <w:rStyle w:val="VerbatimChar"/>
        </w:rPr>
        <w:t xml:space="preserve">P15_a_été_influencé_par (a_influencé) </w:t>
      </w:r>
      <w:r>
        <w:t xml:space="preserve">: </w:t>
      </w:r>
      <w:r>
        <w:rPr>
          <w:rStyle w:val="VerbatimChar"/>
        </w:rPr>
        <w:t>E1_Entité_CRM</w:t>
      </w:r>
    </w:p>
    <w:p w14:paraId="2BC75B88" w14:textId="77777777" w:rsidR="00065317" w:rsidRDefault="005C7BF7">
      <w:pPr>
        <w:pStyle w:val="Corpsdetexte"/>
      </w:pPr>
      <w:r>
        <w:rPr>
          <w:b/>
          <w:bCs/>
        </w:rPr>
        <w:t>Super-propriété de</w:t>
      </w:r>
    </w:p>
    <w:p w14:paraId="1A0F3D49" w14:textId="77777777" w:rsidR="00065317" w:rsidRDefault="005C7BF7">
      <w:pPr>
        <w:pStyle w:val="Corpsdetexte"/>
      </w:pPr>
      <w:r>
        <w:rPr>
          <w:b/>
          <w:bCs/>
        </w:rPr>
        <w:t>Quantification</w:t>
      </w:r>
    </w:p>
    <w:p w14:paraId="55AEDAEE" w14:textId="77777777" w:rsidR="00065317" w:rsidRDefault="005C7BF7">
      <w:pPr>
        <w:pStyle w:val="Corpsdetexte"/>
      </w:pPr>
      <w:r>
        <w:t>plusieurs à plusieurs (0,n:0,n)</w:t>
      </w:r>
    </w:p>
    <w:p w14:paraId="3011CC41" w14:textId="751C6B7A" w:rsidR="00065317" w:rsidRDefault="005C7BF7">
      <w:pPr>
        <w:pStyle w:val="Corpsdetexte"/>
      </w:pPr>
      <w:r>
        <w:rPr>
          <w:b/>
          <w:bCs/>
        </w:rPr>
        <w:t>Note d</w:t>
      </w:r>
      <w:r w:rsidR="00E84B0E">
        <w:rPr>
          <w:b/>
          <w:bCs/>
        </w:rPr>
        <w:t>’</w:t>
      </w:r>
      <w:r>
        <w:rPr>
          <w:b/>
          <w:bCs/>
        </w:rPr>
        <w:t>application</w:t>
      </w:r>
    </w:p>
    <w:p w14:paraId="35D5B3C1" w14:textId="70E32AFC" w:rsidR="00065317" w:rsidRDefault="005C7BF7">
      <w:pPr>
        <w:pStyle w:val="Corpsdetexte"/>
      </w:pPr>
      <w:r>
        <w:t>Cette propriété décrit le fait qu</w:t>
      </w:r>
      <w:r w:rsidR="00E84B0E">
        <w:t>’</w:t>
      </w:r>
      <w:r>
        <w:t>une ou des entités sont considérées comme ayant motivé la création d</w:t>
      </w:r>
      <w:r w:rsidR="00E84B0E">
        <w:t>’</w:t>
      </w:r>
      <w:r>
        <w:t xml:space="preserve">une instance de </w:t>
      </w:r>
      <w:r>
        <w:rPr>
          <w:rStyle w:val="VerbatimChar"/>
        </w:rPr>
        <w:t>E7_Activité</w:t>
      </w:r>
      <w:r>
        <w:t>.</w:t>
      </w:r>
    </w:p>
    <w:p w14:paraId="625DBA4B" w14:textId="34D33DF3" w:rsidR="00065317" w:rsidRDefault="005C7BF7">
      <w:pPr>
        <w:pStyle w:val="Corpsdetexte"/>
      </w:pPr>
      <w:r>
        <w:t>Par exemple, la découverte d</w:t>
      </w:r>
      <w:r w:rsidR="00E84B0E">
        <w:t>’</w:t>
      </w:r>
      <w:r>
        <w:t>un important trésor peut donner lieu à une célébration, un ordre émanant du quartier général peut déclencher une manœuvre militaire.</w:t>
      </w:r>
    </w:p>
    <w:p w14:paraId="40C0BE84" w14:textId="77777777" w:rsidR="00065317" w:rsidRDefault="005C7BF7">
      <w:pPr>
        <w:pStyle w:val="Corpsdetexte"/>
      </w:pPr>
      <w:r>
        <w:rPr>
          <w:b/>
          <w:bCs/>
        </w:rPr>
        <w:t>Exemples</w:t>
      </w:r>
    </w:p>
    <w:p w14:paraId="3D599DAD" w14:textId="77777777" w:rsidR="00065317" w:rsidRDefault="005C7BF7">
      <w:pPr>
        <w:numPr>
          <w:ilvl w:val="0"/>
          <w:numId w:val="159"/>
        </w:numPr>
      </w:pPr>
      <w:r>
        <w:t>La démission du chef de la direction (</w:t>
      </w:r>
      <w:r>
        <w:rPr>
          <w:rStyle w:val="VerbatimChar"/>
        </w:rPr>
        <w:t>E7_Activité</w:t>
      </w:r>
      <w:r>
        <w:t>) a été motivée par (</w:t>
      </w:r>
      <w:r>
        <w:rPr>
          <w:rStyle w:val="VerbatimChar"/>
        </w:rPr>
        <w:t>P17_a_été_motivé_par)</w:t>
      </w:r>
      <w:r>
        <w:t xml:space="preserve"> la faillite de Swissair (</w:t>
      </w:r>
      <w:r>
        <w:rPr>
          <w:rStyle w:val="VerbatimChar"/>
        </w:rPr>
        <w:t>E68_Dissolution</w:t>
      </w:r>
      <w:r>
        <w:t>)</w:t>
      </w:r>
    </w:p>
    <w:p w14:paraId="3202D9E1" w14:textId="749D96C9" w:rsidR="00F54917" w:rsidRDefault="005C7BF7">
      <w:pPr>
        <w:numPr>
          <w:ilvl w:val="0"/>
          <w:numId w:val="159"/>
        </w:numPr>
      </w:pPr>
      <w:r>
        <w:t>Le couronnement d</w:t>
      </w:r>
      <w:r w:rsidR="00E84B0E">
        <w:t>’</w:t>
      </w:r>
      <w:r>
        <w:t>Elizabeth II (</w:t>
      </w:r>
      <w:r>
        <w:rPr>
          <w:rStyle w:val="VerbatimChar"/>
        </w:rPr>
        <w:t>E7_Activité</w:t>
      </w:r>
      <w:r>
        <w:t>) a été motivé par (</w:t>
      </w:r>
      <w:r>
        <w:rPr>
          <w:rStyle w:val="VerbatimChar"/>
        </w:rPr>
        <w:t>P17_a_été_motivé_par)</w:t>
      </w:r>
      <w:r>
        <w:t xml:space="preserve"> la mort de George VI (</w:t>
      </w:r>
      <w:r>
        <w:rPr>
          <w:rStyle w:val="VerbatimChar"/>
        </w:rPr>
        <w:t>E69_Mort</w:t>
      </w:r>
      <w:r>
        <w:t>) (Strong, 2005)</w:t>
      </w:r>
    </w:p>
    <w:p w14:paraId="03F1F701" w14:textId="169332D2" w:rsidR="00065317" w:rsidRDefault="00F54917" w:rsidP="00F54917">
      <w:pPr>
        <w:spacing w:after="0"/>
      </w:pPr>
      <w:r>
        <w:br w:type="page"/>
      </w:r>
    </w:p>
    <w:p w14:paraId="326D5306" w14:textId="77777777" w:rsidR="00065317" w:rsidRDefault="005C7BF7">
      <w:pPr>
        <w:pStyle w:val="FirstParagraph"/>
      </w:pPr>
      <w:r>
        <w:rPr>
          <w:b/>
          <w:bCs/>
        </w:rPr>
        <w:lastRenderedPageBreak/>
        <w:t>Logique</w:t>
      </w:r>
    </w:p>
    <w:p w14:paraId="2716CF32" w14:textId="77777777" w:rsidR="00065317" w:rsidRDefault="005C7BF7">
      <w:pPr>
        <w:pStyle w:val="Corpsdetexte"/>
      </w:pPr>
      <w:r>
        <w:t>P17(x,y) ⇒ E7(x)</w:t>
      </w:r>
    </w:p>
    <w:p w14:paraId="3117659D" w14:textId="77777777" w:rsidR="00065317" w:rsidRDefault="005C7BF7">
      <w:pPr>
        <w:pStyle w:val="Corpsdetexte"/>
      </w:pPr>
      <w:r>
        <w:t>P17(x,y) ⇒ E1(y)</w:t>
      </w:r>
    </w:p>
    <w:p w14:paraId="69A21791" w14:textId="77777777" w:rsidR="00065317" w:rsidRDefault="005C7BF7">
      <w:pPr>
        <w:pStyle w:val="Corpsdetexte"/>
      </w:pPr>
      <w:r>
        <w:t>P17(x,y) ⇒ P15(x,y)</w:t>
      </w:r>
    </w:p>
    <w:p w14:paraId="0A6F0639" w14:textId="77777777" w:rsidR="00065317" w:rsidRDefault="005C7BF7">
      <w:pPr>
        <w:pStyle w:val="Corpsdetexte"/>
      </w:pPr>
      <w:r>
        <w:rPr>
          <w:b/>
          <w:bCs/>
        </w:rPr>
        <w:t>Propriétés</w:t>
      </w:r>
    </w:p>
    <w:p w14:paraId="604E6570" w14:textId="77777777" w:rsidR="00065317" w:rsidRDefault="005C7BF7">
      <w:pPr>
        <w:pStyle w:val="Normalcentr"/>
      </w:pPr>
      <w:r>
        <w:rPr>
          <w:b/>
          <w:bCs/>
          <w:i/>
          <w:iCs/>
        </w:rPr>
        <w:t>Note de traduction</w:t>
      </w:r>
    </w:p>
    <w:p w14:paraId="3695F69E" w14:textId="7A6CB497" w:rsidR="00065317" w:rsidRDefault="005C7BF7" w:rsidP="003773B9">
      <w:pPr>
        <w:pStyle w:val="Normalcentr"/>
      </w:pPr>
      <w:r>
        <w:rPr>
          <w:b/>
          <w:bCs/>
          <w:i/>
          <w:iCs/>
        </w:rPr>
        <w:t>Références</w:t>
      </w:r>
    </w:p>
    <w:p w14:paraId="3222DE45" w14:textId="7246732C" w:rsidR="00065317" w:rsidRDefault="005C7BF7" w:rsidP="00914F34">
      <w:pPr>
        <w:pStyle w:val="Titre3"/>
      </w:pPr>
      <w:bookmarkStart w:id="302" w:name="_Toc154048836"/>
      <w:bookmarkStart w:id="303" w:name="X6306a2b3c142f5a278e7fd663d8f5d70c075fe2"/>
      <w:bookmarkEnd w:id="301"/>
      <w:r>
        <w:t>P19 a été l</w:t>
      </w:r>
      <w:r w:rsidR="00E84B0E">
        <w:t>’</w:t>
      </w:r>
      <w:r>
        <w:t>usage prévu de (a été élaboré pour)</w:t>
      </w:r>
      <w:bookmarkEnd w:id="302"/>
    </w:p>
    <w:p w14:paraId="7EB5D2DB" w14:textId="77777777" w:rsidR="00065317" w:rsidRDefault="005C7BF7">
      <w:pPr>
        <w:pStyle w:val="FirstParagraph"/>
      </w:pPr>
      <w:r>
        <w:rPr>
          <w:b/>
          <w:bCs/>
        </w:rPr>
        <w:t>Domaine</w:t>
      </w:r>
    </w:p>
    <w:p w14:paraId="20671AF0" w14:textId="77777777" w:rsidR="00065317" w:rsidRDefault="005C7BF7">
      <w:pPr>
        <w:pStyle w:val="Corpsdetexte"/>
      </w:pPr>
      <w:r>
        <w:rPr>
          <w:rStyle w:val="VerbatimChar"/>
        </w:rPr>
        <w:t>E7_Activité</w:t>
      </w:r>
    </w:p>
    <w:p w14:paraId="2E813AF0" w14:textId="77777777" w:rsidR="00065317" w:rsidRDefault="005C7BF7">
      <w:pPr>
        <w:pStyle w:val="Corpsdetexte"/>
      </w:pPr>
      <w:r>
        <w:rPr>
          <w:b/>
          <w:bCs/>
        </w:rPr>
        <w:t>Portée</w:t>
      </w:r>
    </w:p>
    <w:p w14:paraId="2EBEC32F" w14:textId="63C59D13" w:rsidR="00065317" w:rsidRDefault="005C7BF7">
      <w:pPr>
        <w:pStyle w:val="Corpsdetexte"/>
      </w:pPr>
      <w:r>
        <w:rPr>
          <w:rStyle w:val="VerbatimChar"/>
        </w:rPr>
        <w:t>E71_Chose_élaborée_par_l</w:t>
      </w:r>
      <w:r w:rsidR="00E84B0E">
        <w:rPr>
          <w:rStyle w:val="VerbatimChar"/>
        </w:rPr>
        <w:t>’</w:t>
      </w:r>
      <w:r>
        <w:rPr>
          <w:rStyle w:val="VerbatimChar"/>
        </w:rPr>
        <w:t>humain</w:t>
      </w:r>
    </w:p>
    <w:p w14:paraId="6752AC2D" w14:textId="77777777" w:rsidR="00065317" w:rsidRDefault="005C7BF7">
      <w:pPr>
        <w:pStyle w:val="Corpsdetexte"/>
      </w:pPr>
      <w:r>
        <w:rPr>
          <w:b/>
          <w:bCs/>
        </w:rPr>
        <w:t>Sous-propriété de</w:t>
      </w:r>
    </w:p>
    <w:p w14:paraId="69A42CD6" w14:textId="77777777" w:rsidR="00065317" w:rsidRDefault="005C7BF7">
      <w:pPr>
        <w:pStyle w:val="Corpsdetexte"/>
      </w:pPr>
      <w:r>
        <w:rPr>
          <w:b/>
          <w:bCs/>
        </w:rPr>
        <w:t>Super-propriété de</w:t>
      </w:r>
    </w:p>
    <w:p w14:paraId="5A58FC8F" w14:textId="77777777" w:rsidR="00065317" w:rsidRDefault="005C7BF7">
      <w:pPr>
        <w:pStyle w:val="Corpsdetexte"/>
      </w:pPr>
      <w:r>
        <w:rPr>
          <w:b/>
          <w:bCs/>
        </w:rPr>
        <w:t>Quantification</w:t>
      </w:r>
    </w:p>
    <w:p w14:paraId="22DDEC97" w14:textId="77777777" w:rsidR="00065317" w:rsidRDefault="005C7BF7">
      <w:pPr>
        <w:pStyle w:val="Corpsdetexte"/>
      </w:pPr>
      <w:r>
        <w:t>plusieurs à plusieurs (0,n:0,n)</w:t>
      </w:r>
    </w:p>
    <w:p w14:paraId="36CA3340" w14:textId="2684A9B8" w:rsidR="00065317" w:rsidRDefault="005C7BF7">
      <w:pPr>
        <w:pStyle w:val="Corpsdetexte"/>
      </w:pPr>
      <w:r>
        <w:rPr>
          <w:b/>
          <w:bCs/>
        </w:rPr>
        <w:t>Note d</w:t>
      </w:r>
      <w:r w:rsidR="00E84B0E">
        <w:rPr>
          <w:b/>
          <w:bCs/>
        </w:rPr>
        <w:t>’</w:t>
      </w:r>
      <w:r>
        <w:rPr>
          <w:b/>
          <w:bCs/>
        </w:rPr>
        <w:t>application</w:t>
      </w:r>
    </w:p>
    <w:p w14:paraId="061CE24A" w14:textId="785B4231" w:rsidR="00065317" w:rsidRDefault="005C7BF7">
      <w:pPr>
        <w:pStyle w:val="Corpsdetexte"/>
      </w:pPr>
      <w:r>
        <w:t xml:space="preserve">Cette propriété relie une instance de </w:t>
      </w:r>
      <w:r>
        <w:rPr>
          <w:rStyle w:val="VerbatimChar"/>
        </w:rPr>
        <w:t>E7_Activité</w:t>
      </w:r>
      <w:r>
        <w:t xml:space="preserve"> à des instances de </w:t>
      </w:r>
      <w:r>
        <w:rPr>
          <w:rStyle w:val="VerbatimChar"/>
        </w:rPr>
        <w:t>E71_Chose_élaborée_par_l</w:t>
      </w:r>
      <w:r w:rsidR="00E84B0E">
        <w:rPr>
          <w:rStyle w:val="VerbatimChar"/>
        </w:rPr>
        <w:t>’</w:t>
      </w:r>
      <w:r>
        <w:rPr>
          <w:rStyle w:val="VerbatimChar"/>
        </w:rPr>
        <w:t>humain</w:t>
      </w:r>
      <w:r>
        <w:t>, créées spécifiquement pour être utilisées au cours de l</w:t>
      </w:r>
      <w:r w:rsidR="00E84B0E">
        <w:t>’</w:t>
      </w:r>
      <w:r>
        <w:t>activité en question.</w:t>
      </w:r>
    </w:p>
    <w:p w14:paraId="1D21E1AA" w14:textId="13597981" w:rsidR="00065317" w:rsidRDefault="005C7BF7">
      <w:pPr>
        <w:pStyle w:val="Corpsdetexte"/>
      </w:pPr>
      <w:r>
        <w:t>Ce cas est à distinguer de l</w:t>
      </w:r>
      <w:r w:rsidR="00E84B0E">
        <w:t>’</w:t>
      </w:r>
      <w:r>
        <w:t>utilisation prévue d</w:t>
      </w:r>
      <w:r w:rsidR="00E84B0E">
        <w:t>’</w:t>
      </w:r>
      <w:r>
        <w:t>une entité dans une activité de type général, tel que le livre de la prière commune, dont l</w:t>
      </w:r>
      <w:r w:rsidR="00E84B0E">
        <w:t>’</w:t>
      </w:r>
      <w:r>
        <w:t>utilisation prévue était d</w:t>
      </w:r>
      <w:r w:rsidR="00E84B0E">
        <w:t>’</w:t>
      </w:r>
      <w:r>
        <w:t>être lu pendant les offices de l</w:t>
      </w:r>
      <w:r w:rsidR="00E84B0E">
        <w:t>’</w:t>
      </w:r>
      <w:r>
        <w:t>Église d</w:t>
      </w:r>
      <w:r w:rsidR="00E84B0E">
        <w:t>’</w:t>
      </w:r>
      <w:r>
        <w:t xml:space="preserve">Angleterre (voir </w:t>
      </w:r>
      <w:r>
        <w:rPr>
          <w:rStyle w:val="VerbatimChar"/>
        </w:rPr>
        <w:t>P101_a_eu_pour_usage_général (a_été_l</w:t>
      </w:r>
      <w:r w:rsidR="00E84B0E">
        <w:rPr>
          <w:rStyle w:val="VerbatimChar"/>
        </w:rPr>
        <w:t>’</w:t>
      </w:r>
      <w:r>
        <w:rPr>
          <w:rStyle w:val="VerbatimChar"/>
        </w:rPr>
        <w:t>usage_général_de)</w:t>
      </w:r>
      <w:r>
        <w:t>).</w:t>
      </w:r>
    </w:p>
    <w:p w14:paraId="37DAF3C0" w14:textId="77777777" w:rsidR="00065317" w:rsidRDefault="005C7BF7">
      <w:pPr>
        <w:pStyle w:val="Corpsdetexte"/>
      </w:pPr>
      <w:r>
        <w:rPr>
          <w:b/>
          <w:bCs/>
        </w:rPr>
        <w:t>Exemples</w:t>
      </w:r>
    </w:p>
    <w:p w14:paraId="65C5E10B" w14:textId="121533D1" w:rsidR="00065317" w:rsidRDefault="005C7BF7">
      <w:pPr>
        <w:numPr>
          <w:ilvl w:val="0"/>
          <w:numId w:val="160"/>
        </w:numPr>
      </w:pPr>
      <w:r>
        <w:t>La robe de mariée de Lady Diana Spencer (</w:t>
      </w:r>
      <w:r>
        <w:rPr>
          <w:rStyle w:val="VerbatimChar"/>
        </w:rPr>
        <w:t>E71_Chose_élaborée_par_l</w:t>
      </w:r>
      <w:r w:rsidR="00E84B0E">
        <w:rPr>
          <w:rStyle w:val="VerbatimChar"/>
        </w:rPr>
        <w:t>’</w:t>
      </w:r>
      <w:r>
        <w:rPr>
          <w:rStyle w:val="VerbatimChar"/>
        </w:rPr>
        <w:t>humain</w:t>
      </w:r>
      <w:r>
        <w:t>) a été élaborée pour (</w:t>
      </w:r>
      <w:r>
        <w:rPr>
          <w:rStyle w:val="VerbatimChar"/>
        </w:rPr>
        <w:t>P19i_a_été_élaboré_pour</w:t>
      </w:r>
      <w:r>
        <w:t>) le mariage de Lady Diana Spencer avec le Prince Charles (</w:t>
      </w:r>
      <w:r>
        <w:rPr>
          <w:rStyle w:val="VerbatimChar"/>
        </w:rPr>
        <w:t>E7_Activité</w:t>
      </w:r>
      <w:r>
        <w:t>) avec pour mode d</w:t>
      </w:r>
      <w:r w:rsidR="00E84B0E">
        <w:t>’</w:t>
      </w:r>
      <w:r>
        <w:t>utilisation (</w:t>
      </w:r>
      <w:r>
        <w:rPr>
          <w:rStyle w:val="VerbatimChar"/>
        </w:rPr>
        <w:t>P19.1_mode_d</w:t>
      </w:r>
      <w:r w:rsidR="00E84B0E">
        <w:rPr>
          <w:rStyle w:val="VerbatimChar"/>
        </w:rPr>
        <w:t>’</w:t>
      </w:r>
      <w:r>
        <w:rPr>
          <w:rStyle w:val="VerbatimChar"/>
        </w:rPr>
        <w:t>utilisation</w:t>
      </w:r>
      <w:r>
        <w:t>) être portée (</w:t>
      </w:r>
      <w:r>
        <w:rPr>
          <w:rStyle w:val="VerbatimChar"/>
        </w:rPr>
        <w:t>E55_Type</w:t>
      </w:r>
      <w:r>
        <w:t>) (Daly, 1981)</w:t>
      </w:r>
    </w:p>
    <w:p w14:paraId="73574A18" w14:textId="77777777" w:rsidR="00065317" w:rsidRDefault="005C7BF7">
      <w:pPr>
        <w:pStyle w:val="FirstParagraph"/>
      </w:pPr>
      <w:r>
        <w:rPr>
          <w:b/>
          <w:bCs/>
        </w:rPr>
        <w:t>Logique</w:t>
      </w:r>
    </w:p>
    <w:p w14:paraId="76C27885" w14:textId="77777777" w:rsidR="00065317" w:rsidRDefault="005C7BF7">
      <w:pPr>
        <w:pStyle w:val="Corpsdetexte"/>
      </w:pPr>
      <w:r>
        <w:t>P19(x,y) ⇒ E7(x)</w:t>
      </w:r>
    </w:p>
    <w:p w14:paraId="1D96859F" w14:textId="77777777" w:rsidR="00065317" w:rsidRDefault="005C7BF7">
      <w:pPr>
        <w:pStyle w:val="Corpsdetexte"/>
      </w:pPr>
      <w:r>
        <w:t>P19(x,y) ⇒ E71(y)</w:t>
      </w:r>
    </w:p>
    <w:p w14:paraId="3290EF9E" w14:textId="77777777" w:rsidR="00065317" w:rsidRDefault="005C7BF7">
      <w:pPr>
        <w:pStyle w:val="Corpsdetexte"/>
      </w:pPr>
      <w:r>
        <w:t>P19(x,y,z) ⇒ [P19(x,y) ∧ E55(z)]</w:t>
      </w:r>
    </w:p>
    <w:p w14:paraId="7D45457B" w14:textId="77777777" w:rsidR="00065317" w:rsidRDefault="005C7BF7">
      <w:pPr>
        <w:pStyle w:val="Corpsdetexte"/>
      </w:pPr>
      <w:r>
        <w:rPr>
          <w:b/>
          <w:bCs/>
        </w:rPr>
        <w:t>Propriétés</w:t>
      </w:r>
    </w:p>
    <w:p w14:paraId="65876BA7" w14:textId="67697101" w:rsidR="00065317" w:rsidRDefault="005C7BF7">
      <w:pPr>
        <w:pStyle w:val="Corpsdetexte"/>
      </w:pPr>
      <w:r>
        <w:rPr>
          <w:rStyle w:val="VerbatimChar"/>
        </w:rPr>
        <w:t>P19.1_mode_d</w:t>
      </w:r>
      <w:r w:rsidR="00E84B0E">
        <w:rPr>
          <w:rStyle w:val="VerbatimChar"/>
        </w:rPr>
        <w:t>’</w:t>
      </w:r>
      <w:r>
        <w:rPr>
          <w:rStyle w:val="VerbatimChar"/>
        </w:rPr>
        <w:t>utilisation</w:t>
      </w:r>
      <w:r>
        <w:t xml:space="preserve"> : </w:t>
      </w:r>
      <w:r>
        <w:rPr>
          <w:rStyle w:val="VerbatimChar"/>
        </w:rPr>
        <w:t>E55_Type</w:t>
      </w:r>
    </w:p>
    <w:p w14:paraId="1739DC22" w14:textId="77777777" w:rsidR="00065317" w:rsidRDefault="005C7BF7">
      <w:pPr>
        <w:pStyle w:val="Normalcentr"/>
      </w:pPr>
      <w:r>
        <w:rPr>
          <w:b/>
          <w:bCs/>
          <w:i/>
          <w:iCs/>
        </w:rPr>
        <w:lastRenderedPageBreak/>
        <w:t>Note de traduction</w:t>
      </w:r>
    </w:p>
    <w:p w14:paraId="2D9EE62E" w14:textId="3759098E" w:rsidR="00065317" w:rsidRDefault="005C7BF7" w:rsidP="003773B9">
      <w:pPr>
        <w:pStyle w:val="Normalcentr"/>
      </w:pPr>
      <w:r>
        <w:rPr>
          <w:b/>
          <w:bCs/>
          <w:i/>
          <w:iCs/>
        </w:rPr>
        <w:t>Références</w:t>
      </w:r>
    </w:p>
    <w:p w14:paraId="43F13699" w14:textId="77777777" w:rsidR="00065317" w:rsidRDefault="005C7BF7" w:rsidP="00914F34">
      <w:pPr>
        <w:pStyle w:val="Titre3"/>
      </w:pPr>
      <w:bookmarkStart w:id="304" w:name="_Toc154048837"/>
      <w:bookmarkStart w:id="305" w:name="X7460264ed6283bea91a1a38d6dda3951786f533"/>
      <w:bookmarkEnd w:id="303"/>
      <w:r>
        <w:t>P20 a eu pour finalité spécifique (a été la finalité de)</w:t>
      </w:r>
      <w:bookmarkEnd w:id="304"/>
    </w:p>
    <w:p w14:paraId="17C854CA" w14:textId="77777777" w:rsidR="00065317" w:rsidRDefault="005C7BF7">
      <w:pPr>
        <w:pStyle w:val="FirstParagraph"/>
      </w:pPr>
      <w:r>
        <w:rPr>
          <w:b/>
          <w:bCs/>
        </w:rPr>
        <w:t>Domaine</w:t>
      </w:r>
    </w:p>
    <w:p w14:paraId="52918CF4" w14:textId="6DD05A6F" w:rsidR="00144B23" w:rsidRDefault="005C7BF7">
      <w:pPr>
        <w:pStyle w:val="Corpsdetexte"/>
        <w:rPr>
          <w:b/>
          <w:bCs/>
        </w:rPr>
      </w:pPr>
      <w:r>
        <w:rPr>
          <w:rStyle w:val="VerbatimChar"/>
        </w:rPr>
        <w:t>E7_Activité</w:t>
      </w:r>
    </w:p>
    <w:p w14:paraId="1B9116F2" w14:textId="3D53CAA2" w:rsidR="00065317" w:rsidRDefault="005C7BF7">
      <w:pPr>
        <w:pStyle w:val="Corpsdetexte"/>
      </w:pPr>
      <w:r>
        <w:rPr>
          <w:b/>
          <w:bCs/>
        </w:rPr>
        <w:t>Portée</w:t>
      </w:r>
    </w:p>
    <w:p w14:paraId="282A09C6" w14:textId="77777777" w:rsidR="00065317" w:rsidRDefault="005C7BF7">
      <w:pPr>
        <w:pStyle w:val="Corpsdetexte"/>
      </w:pPr>
      <w:r>
        <w:rPr>
          <w:rStyle w:val="VerbatimChar"/>
        </w:rPr>
        <w:t>E5_Évènement</w:t>
      </w:r>
    </w:p>
    <w:p w14:paraId="6FC5ABD2" w14:textId="77777777" w:rsidR="00065317" w:rsidRDefault="005C7BF7">
      <w:pPr>
        <w:pStyle w:val="Corpsdetexte"/>
      </w:pPr>
      <w:r>
        <w:rPr>
          <w:b/>
          <w:bCs/>
        </w:rPr>
        <w:t>Sous-propriété de</w:t>
      </w:r>
    </w:p>
    <w:p w14:paraId="0D5D8EA7" w14:textId="77777777" w:rsidR="00065317" w:rsidRDefault="005C7BF7">
      <w:pPr>
        <w:pStyle w:val="Corpsdetexte"/>
      </w:pPr>
      <w:r>
        <w:rPr>
          <w:b/>
          <w:bCs/>
        </w:rPr>
        <w:t>Super-propriété de</w:t>
      </w:r>
    </w:p>
    <w:p w14:paraId="59365DC8" w14:textId="77777777" w:rsidR="00065317" w:rsidRDefault="005C7BF7">
      <w:pPr>
        <w:pStyle w:val="Corpsdetexte"/>
      </w:pPr>
      <w:r>
        <w:rPr>
          <w:b/>
          <w:bCs/>
        </w:rPr>
        <w:t>Quantification</w:t>
      </w:r>
    </w:p>
    <w:p w14:paraId="15B89594" w14:textId="77777777" w:rsidR="00065317" w:rsidRDefault="005C7BF7">
      <w:pPr>
        <w:pStyle w:val="Corpsdetexte"/>
      </w:pPr>
      <w:r>
        <w:t>plusieurs à plusieurs (0,n:0,n)</w:t>
      </w:r>
    </w:p>
    <w:p w14:paraId="654F1306" w14:textId="39123263" w:rsidR="00065317" w:rsidRDefault="005C7BF7">
      <w:pPr>
        <w:pStyle w:val="Corpsdetexte"/>
      </w:pPr>
      <w:r>
        <w:rPr>
          <w:b/>
          <w:bCs/>
        </w:rPr>
        <w:t>Note d</w:t>
      </w:r>
      <w:r w:rsidR="00E84B0E">
        <w:rPr>
          <w:b/>
          <w:bCs/>
        </w:rPr>
        <w:t>’</w:t>
      </w:r>
      <w:r>
        <w:rPr>
          <w:b/>
          <w:bCs/>
        </w:rPr>
        <w:t>application</w:t>
      </w:r>
    </w:p>
    <w:p w14:paraId="2599B93A" w14:textId="1B1454C5" w:rsidR="00065317" w:rsidRDefault="005C7BF7">
      <w:pPr>
        <w:pStyle w:val="Corpsdetexte"/>
      </w:pPr>
      <w:r>
        <w:t xml:space="preserve">Cette propriété identifie la relation entre une activité préparatoire (instance de </w:t>
      </w:r>
      <w:r>
        <w:rPr>
          <w:rStyle w:val="VerbatimChar"/>
        </w:rPr>
        <w:t>E7_Activité</w:t>
      </w:r>
      <w:r>
        <w:t>) et l</w:t>
      </w:r>
      <w:r w:rsidR="00E84B0E">
        <w:t>’</w:t>
      </w:r>
      <w:r>
        <w:t xml:space="preserve">instance de </w:t>
      </w:r>
      <w:r>
        <w:rPr>
          <w:rStyle w:val="VerbatimChar"/>
        </w:rPr>
        <w:t>E5_Évènement</w:t>
      </w:r>
      <w:r>
        <w:t xml:space="preserve"> à laquelle elle se rattache.</w:t>
      </w:r>
    </w:p>
    <w:p w14:paraId="1563BD11" w14:textId="32A674B3" w:rsidR="00065317" w:rsidRDefault="005C7BF7">
      <w:pPr>
        <w:pStyle w:val="Corpsdetexte"/>
      </w:pPr>
      <w:r>
        <w:t>Cela comprend les activités, les directives et autres actions organisationnelles menées en préparation d</w:t>
      </w:r>
      <w:r w:rsidR="00E84B0E">
        <w:t>’</w:t>
      </w:r>
      <w:r>
        <w:t>autres activités ou évènements.</w:t>
      </w:r>
    </w:p>
    <w:p w14:paraId="2E58E43B" w14:textId="53AC0451" w:rsidR="00065317" w:rsidRDefault="005C7BF7">
      <w:pPr>
        <w:pStyle w:val="Corpsdetexte"/>
      </w:pPr>
      <w:r>
        <w:rPr>
          <w:rStyle w:val="VerbatimChar"/>
        </w:rPr>
        <w:t>P20_a_eu_pour_finalité_spécifique (a_été_la_finalité_de)</w:t>
      </w:r>
      <w:r>
        <w:t xml:space="preserve"> implique que l</w:t>
      </w:r>
      <w:r w:rsidR="00E84B0E">
        <w:t>’</w:t>
      </w:r>
      <w:r>
        <w:t>objectif d</w:t>
      </w:r>
      <w:r w:rsidR="00E84B0E">
        <w:t>’</w:t>
      </w:r>
      <w:r>
        <w:t>une activité a été atteint. Si cet objectif n</w:t>
      </w:r>
      <w:r w:rsidR="00E84B0E">
        <w:t>’</w:t>
      </w:r>
      <w:r>
        <w:t>a pas été atteint, comme lorsque la pose d</w:t>
      </w:r>
      <w:r w:rsidR="00E84B0E">
        <w:t>’</w:t>
      </w:r>
      <w:r>
        <w:t>un piège n</w:t>
      </w:r>
      <w:r w:rsidR="00E84B0E">
        <w:t>’</w:t>
      </w:r>
      <w:r>
        <w:t>a pas permis d</w:t>
      </w:r>
      <w:r w:rsidR="00E84B0E">
        <w:t>’</w:t>
      </w:r>
      <w:r>
        <w:t>attraper quoi que ce soit, il est possible de documenter l</w:t>
      </w:r>
      <w:r w:rsidR="00E84B0E">
        <w:t>’</w:t>
      </w:r>
      <w:r>
        <w:t>intention qui n</w:t>
      </w:r>
      <w:r w:rsidR="00E84B0E">
        <w:t>’</w:t>
      </w:r>
      <w:r>
        <w:t xml:space="preserve">a pas été réalisée en utilisant </w:t>
      </w:r>
      <w:r>
        <w:rPr>
          <w:rStyle w:val="VerbatimChar"/>
        </w:rPr>
        <w:t>P21_a_eu_pour_finalité_générale (a_été_la_finalité_de)</w:t>
      </w:r>
      <w:r>
        <w:t xml:space="preserve"> : </w:t>
      </w:r>
      <w:r>
        <w:rPr>
          <w:rStyle w:val="VerbatimChar"/>
        </w:rPr>
        <w:t>E55_Type</w:t>
      </w:r>
      <w:r>
        <w:t xml:space="preserve"> et/ou </w:t>
      </w:r>
      <w:r>
        <w:rPr>
          <w:rStyle w:val="VerbatimChar"/>
        </w:rPr>
        <w:t>P33_a_mobilisé_comme_technique_spécifique (a_été_la_technique_spécifique_mise_en_œuvre_dans)</w:t>
      </w:r>
      <w:r>
        <w:t xml:space="preserve"> : </w:t>
      </w:r>
      <w:r>
        <w:rPr>
          <w:rStyle w:val="VerbatimChar"/>
        </w:rPr>
        <w:t>E29_Conceptualisation_ou_procédure</w:t>
      </w:r>
      <w:r>
        <w:t>.</w:t>
      </w:r>
    </w:p>
    <w:p w14:paraId="233887F9" w14:textId="77777777" w:rsidR="00065317" w:rsidRDefault="005C7BF7">
      <w:pPr>
        <w:pStyle w:val="Corpsdetexte"/>
      </w:pPr>
      <w:r>
        <w:rPr>
          <w:b/>
          <w:bCs/>
        </w:rPr>
        <w:t>Exemples</w:t>
      </w:r>
    </w:p>
    <w:p w14:paraId="4AC51B72" w14:textId="77777777" w:rsidR="00065317" w:rsidRDefault="005C7BF7">
      <w:pPr>
        <w:numPr>
          <w:ilvl w:val="0"/>
          <w:numId w:val="161"/>
        </w:numPr>
      </w:pPr>
      <w:r>
        <w:t>Le broyage des pigments par Van Eyck en 1432 (</w:t>
      </w:r>
      <w:r>
        <w:rPr>
          <w:rStyle w:val="VerbatimChar"/>
        </w:rPr>
        <w:t>E7_Activité</w:t>
      </w:r>
      <w:r>
        <w:t>) a eu pour finalité spécifique (</w:t>
      </w:r>
      <w:r>
        <w:rPr>
          <w:rStyle w:val="VerbatimChar"/>
        </w:rPr>
        <w:t>P20_a_eu_pour_finalité_spécifique</w:t>
      </w:r>
      <w:r>
        <w:t>) la peinture du retable de Gand (Het Lam Gods</w:t>
      </w:r>
      <w:r>
        <w:rPr>
          <w:b/>
          <w:bCs/>
        </w:rPr>
        <w:t>)</w:t>
      </w:r>
      <w:r>
        <w:t xml:space="preserve"> (</w:t>
      </w:r>
      <w:r>
        <w:rPr>
          <w:rStyle w:val="VerbatimChar"/>
        </w:rPr>
        <w:t>E12_Production</w:t>
      </w:r>
      <w:r>
        <w:t>) (Borchert, 2008)</w:t>
      </w:r>
    </w:p>
    <w:p w14:paraId="06BAC2E7" w14:textId="77777777" w:rsidR="00065317" w:rsidRDefault="005C7BF7">
      <w:pPr>
        <w:pStyle w:val="FirstParagraph"/>
      </w:pPr>
      <w:r>
        <w:rPr>
          <w:b/>
          <w:bCs/>
        </w:rPr>
        <w:t>Logique</w:t>
      </w:r>
    </w:p>
    <w:p w14:paraId="45D3CD44" w14:textId="77777777" w:rsidR="00065317" w:rsidRDefault="005C7BF7">
      <w:pPr>
        <w:pStyle w:val="Corpsdetexte"/>
      </w:pPr>
      <w:r>
        <w:t>P20(x,y) ⇒ E7(x)</w:t>
      </w:r>
    </w:p>
    <w:p w14:paraId="69769021" w14:textId="77777777" w:rsidR="00065317" w:rsidRDefault="005C7BF7">
      <w:pPr>
        <w:pStyle w:val="Corpsdetexte"/>
      </w:pPr>
      <w:r>
        <w:t>P20(x,y) ⇒ E5(y)</w:t>
      </w:r>
    </w:p>
    <w:p w14:paraId="04842772" w14:textId="77777777" w:rsidR="00065317" w:rsidRDefault="005C7BF7">
      <w:pPr>
        <w:pStyle w:val="Corpsdetexte"/>
      </w:pPr>
      <w:r>
        <w:rPr>
          <w:b/>
          <w:bCs/>
        </w:rPr>
        <w:t>Propriétés</w:t>
      </w:r>
    </w:p>
    <w:p w14:paraId="5CE9F1A4" w14:textId="77777777" w:rsidR="00065317" w:rsidRDefault="005C7BF7">
      <w:pPr>
        <w:pStyle w:val="Normalcentr"/>
      </w:pPr>
      <w:r>
        <w:rPr>
          <w:b/>
          <w:bCs/>
          <w:i/>
          <w:iCs/>
        </w:rPr>
        <w:t>Note de traduction</w:t>
      </w:r>
    </w:p>
    <w:p w14:paraId="15E80762" w14:textId="545A7F48" w:rsidR="00065317" w:rsidRDefault="005C7BF7">
      <w:pPr>
        <w:pStyle w:val="Normalcentr"/>
      </w:pPr>
      <w:r>
        <w:t>Une erreur s</w:t>
      </w:r>
      <w:r w:rsidR="00E84B0E">
        <w:t>’</w:t>
      </w:r>
      <w:r>
        <w:t>est glissée dans la version anglophone, au premier paragraphe; on devrait lire « [...] an instance of E7 Activity and the instance of E5 Event [...] ».</w:t>
      </w:r>
    </w:p>
    <w:p w14:paraId="3F43B8F8" w14:textId="05E34C0C" w:rsidR="00F54917" w:rsidRDefault="005C7BF7" w:rsidP="003773B9">
      <w:pPr>
        <w:pStyle w:val="Normalcentr"/>
        <w:rPr>
          <w:b/>
          <w:bCs/>
          <w:i/>
          <w:iCs/>
        </w:rPr>
      </w:pPr>
      <w:r>
        <w:rPr>
          <w:b/>
          <w:bCs/>
          <w:i/>
          <w:iCs/>
        </w:rPr>
        <w:t>Références</w:t>
      </w:r>
    </w:p>
    <w:p w14:paraId="3FF3C542" w14:textId="48FE9DAC" w:rsidR="00065317" w:rsidRPr="00F54917" w:rsidRDefault="00F54917" w:rsidP="00F54917">
      <w:pPr>
        <w:spacing w:after="0"/>
        <w:rPr>
          <w:b/>
          <w:bCs/>
          <w:i/>
          <w:iCs/>
          <w:sz w:val="22"/>
        </w:rPr>
      </w:pPr>
      <w:r>
        <w:rPr>
          <w:b/>
          <w:bCs/>
          <w:i/>
          <w:iCs/>
        </w:rPr>
        <w:br w:type="page"/>
      </w:r>
    </w:p>
    <w:p w14:paraId="241BEAC6" w14:textId="77777777" w:rsidR="00065317" w:rsidRDefault="005C7BF7" w:rsidP="00914F34">
      <w:pPr>
        <w:pStyle w:val="Titre3"/>
      </w:pPr>
      <w:bookmarkStart w:id="306" w:name="_Toc154048838"/>
      <w:bookmarkStart w:id="307" w:name="X2b15468d4b2ccdbd504fdf5df90cd310f9f576b"/>
      <w:bookmarkEnd w:id="305"/>
      <w:r>
        <w:lastRenderedPageBreak/>
        <w:t>P21 a eu pour finalité générale (a été la finalité de)</w:t>
      </w:r>
      <w:bookmarkEnd w:id="306"/>
    </w:p>
    <w:p w14:paraId="5E0A635A" w14:textId="77777777" w:rsidR="00065317" w:rsidRDefault="005C7BF7">
      <w:pPr>
        <w:pStyle w:val="FirstParagraph"/>
      </w:pPr>
      <w:r>
        <w:rPr>
          <w:b/>
          <w:bCs/>
        </w:rPr>
        <w:t>Domaine</w:t>
      </w:r>
    </w:p>
    <w:p w14:paraId="4F926117" w14:textId="77777777" w:rsidR="00065317" w:rsidRDefault="005C7BF7">
      <w:pPr>
        <w:pStyle w:val="Corpsdetexte"/>
      </w:pPr>
      <w:r>
        <w:rPr>
          <w:rStyle w:val="VerbatimChar"/>
        </w:rPr>
        <w:t>E7_Activité</w:t>
      </w:r>
    </w:p>
    <w:p w14:paraId="3DA390B0" w14:textId="77777777" w:rsidR="00065317" w:rsidRDefault="005C7BF7">
      <w:pPr>
        <w:pStyle w:val="Corpsdetexte"/>
      </w:pPr>
      <w:r>
        <w:rPr>
          <w:b/>
          <w:bCs/>
        </w:rPr>
        <w:t>Portée</w:t>
      </w:r>
    </w:p>
    <w:p w14:paraId="46F287E7" w14:textId="77777777" w:rsidR="00065317" w:rsidRDefault="005C7BF7">
      <w:pPr>
        <w:pStyle w:val="Corpsdetexte"/>
      </w:pPr>
      <w:r>
        <w:rPr>
          <w:rStyle w:val="VerbatimChar"/>
        </w:rPr>
        <w:t>E55_Type</w:t>
      </w:r>
    </w:p>
    <w:p w14:paraId="61548C32" w14:textId="77777777" w:rsidR="00065317" w:rsidRDefault="005C7BF7">
      <w:pPr>
        <w:pStyle w:val="Corpsdetexte"/>
      </w:pPr>
      <w:r>
        <w:rPr>
          <w:b/>
          <w:bCs/>
        </w:rPr>
        <w:t>Sous-propriété de</w:t>
      </w:r>
    </w:p>
    <w:p w14:paraId="03934DDB" w14:textId="77777777" w:rsidR="00065317" w:rsidRDefault="005C7BF7">
      <w:pPr>
        <w:pStyle w:val="Corpsdetexte"/>
      </w:pPr>
      <w:r>
        <w:rPr>
          <w:b/>
          <w:bCs/>
        </w:rPr>
        <w:t>Super-propriété de</w:t>
      </w:r>
    </w:p>
    <w:p w14:paraId="451E8F6B" w14:textId="77777777" w:rsidR="00065317" w:rsidRDefault="005C7BF7">
      <w:pPr>
        <w:pStyle w:val="Corpsdetexte"/>
      </w:pPr>
      <w:r>
        <w:rPr>
          <w:b/>
          <w:bCs/>
        </w:rPr>
        <w:t>Quantification</w:t>
      </w:r>
    </w:p>
    <w:p w14:paraId="4070D2F0" w14:textId="77777777" w:rsidR="00065317" w:rsidRDefault="005C7BF7">
      <w:pPr>
        <w:pStyle w:val="Corpsdetexte"/>
      </w:pPr>
      <w:r>
        <w:t>plusieurs à plusieurs (0,n:0,n)</w:t>
      </w:r>
    </w:p>
    <w:p w14:paraId="43591D93" w14:textId="41F408FD" w:rsidR="00065317" w:rsidRDefault="005C7BF7">
      <w:pPr>
        <w:pStyle w:val="Corpsdetexte"/>
      </w:pPr>
      <w:r>
        <w:rPr>
          <w:b/>
          <w:bCs/>
        </w:rPr>
        <w:t>Note d</w:t>
      </w:r>
      <w:r w:rsidR="00E84B0E">
        <w:rPr>
          <w:b/>
          <w:bCs/>
        </w:rPr>
        <w:t>’</w:t>
      </w:r>
      <w:r>
        <w:rPr>
          <w:b/>
          <w:bCs/>
        </w:rPr>
        <w:t>application</w:t>
      </w:r>
    </w:p>
    <w:p w14:paraId="4CD068D1" w14:textId="0A64431A" w:rsidR="00065317" w:rsidRDefault="005C7BF7">
      <w:pPr>
        <w:pStyle w:val="Corpsdetexte"/>
      </w:pPr>
      <w:r>
        <w:t>Cette propriété décrit la relation intentionnelle [</w:t>
      </w:r>
      <w:r w:rsidR="00AF51A3">
        <w:t xml:space="preserve">n.d.t. </w:t>
      </w:r>
      <w:r>
        <w:t>qu</w:t>
      </w:r>
      <w:r w:rsidR="00E84B0E">
        <w:t>’</w:t>
      </w:r>
      <w:r>
        <w:t xml:space="preserve">établit un actant] entre une instance de </w:t>
      </w:r>
      <w:r>
        <w:rPr>
          <w:rStyle w:val="VerbatimChar"/>
        </w:rPr>
        <w:t>E7_Activité</w:t>
      </w:r>
      <w:r>
        <w:t xml:space="preserve"> et sa finalité ou son but généraux, décrits par une instance de </w:t>
      </w:r>
      <w:r>
        <w:rPr>
          <w:rStyle w:val="VerbatimChar"/>
        </w:rPr>
        <w:t>E55_Type</w:t>
      </w:r>
      <w:r>
        <w:t>.</w:t>
      </w:r>
    </w:p>
    <w:p w14:paraId="725200A6" w14:textId="436F031A" w:rsidR="00065317" w:rsidRDefault="00714434">
      <w:pPr>
        <w:pStyle w:val="Corpsdetexte"/>
      </w:pPr>
      <w:r>
        <w:t>Cela</w:t>
      </w:r>
      <w:r w:rsidR="005C7BF7">
        <w:t xml:space="preserve"> peut inclure des activités qui ont pour objectif la préparation d</w:t>
      </w:r>
      <w:r w:rsidR="00E84B0E">
        <w:t>’</w:t>
      </w:r>
      <w:r w:rsidR="005C7BF7">
        <w:t>une activité ou d</w:t>
      </w:r>
      <w:r w:rsidR="00E84B0E">
        <w:t>’</w:t>
      </w:r>
      <w:r w:rsidR="005C7BF7">
        <w:t xml:space="preserve">un évènement quelconque. </w:t>
      </w:r>
      <w:r w:rsidR="005C7BF7">
        <w:rPr>
          <w:rStyle w:val="VerbatimChar"/>
        </w:rPr>
        <w:t>P21_a_eu_pour_finalité_générale (a_été_la_finalité_de)</w:t>
      </w:r>
      <w:r w:rsidR="005C7BF7">
        <w:t xml:space="preserve"> se distingue de </w:t>
      </w:r>
      <w:r w:rsidR="005C7BF7">
        <w:rPr>
          <w:rStyle w:val="VerbatimChar"/>
        </w:rPr>
        <w:t>P20_a_eu_pour_finalité_spécifique (a_été_la_finalité_de)</w:t>
      </w:r>
      <w:r w:rsidR="005C7BF7">
        <w:t xml:space="preserve"> du fait que sa finalité n</w:t>
      </w:r>
      <w:r w:rsidR="00E84B0E">
        <w:t>’</w:t>
      </w:r>
      <w:r w:rsidR="005C7BF7">
        <w:t>est pas par défaut l</w:t>
      </w:r>
      <w:r w:rsidR="00E84B0E">
        <w:t>’</w:t>
      </w:r>
      <w:r w:rsidR="005C7BF7">
        <w:t>occurrence d</w:t>
      </w:r>
      <w:r w:rsidR="00E84B0E">
        <w:t>’</w:t>
      </w:r>
      <w:r w:rsidR="005C7BF7">
        <w:t>un évènement.</w:t>
      </w:r>
    </w:p>
    <w:p w14:paraId="4EEFE1A1" w14:textId="77777777" w:rsidR="00065317" w:rsidRDefault="005C7BF7">
      <w:pPr>
        <w:pStyle w:val="Corpsdetexte"/>
      </w:pPr>
      <w:r>
        <w:rPr>
          <w:b/>
          <w:bCs/>
        </w:rPr>
        <w:t>Exemples</w:t>
      </w:r>
    </w:p>
    <w:p w14:paraId="63AFCB1B" w14:textId="77777777" w:rsidR="00065317" w:rsidRDefault="005C7BF7">
      <w:pPr>
        <w:numPr>
          <w:ilvl w:val="0"/>
          <w:numId w:val="162"/>
        </w:numPr>
      </w:pPr>
      <w:r>
        <w:t>Le broyage de pigments par Van Eyck (</w:t>
      </w:r>
      <w:r>
        <w:rPr>
          <w:rStyle w:val="VerbatimChar"/>
        </w:rPr>
        <w:t>E7_Activité</w:t>
      </w:r>
      <w:r>
        <w:t>) a eu pour finalité générale (</w:t>
      </w:r>
      <w:r>
        <w:rPr>
          <w:rStyle w:val="VerbatimChar"/>
        </w:rPr>
        <w:t>P21_a_eu_pour_finalité_générale</w:t>
      </w:r>
      <w:r>
        <w:t>) le fait de peindre (</w:t>
      </w:r>
      <w:r>
        <w:rPr>
          <w:rStyle w:val="VerbatimChar"/>
        </w:rPr>
        <w:t>E55_Type</w:t>
      </w:r>
      <w:r>
        <w:t>) (Brochert, 2008)</w:t>
      </w:r>
    </w:p>
    <w:p w14:paraId="6A0FC10B" w14:textId="36EE3B21" w:rsidR="00065317" w:rsidRDefault="005C7BF7">
      <w:pPr>
        <w:numPr>
          <w:ilvl w:val="0"/>
          <w:numId w:val="162"/>
        </w:numPr>
      </w:pPr>
      <w:r>
        <w:t>La mise en place de la trappe « 2742 » le 17</w:t>
      </w:r>
      <w:r w:rsidR="00056DCD">
        <w:t> mai </w:t>
      </w:r>
      <w:r>
        <w:t>1874 (</w:t>
      </w:r>
      <w:r>
        <w:rPr>
          <w:rStyle w:val="VerbatimChar"/>
        </w:rPr>
        <w:t>E7_Activité</w:t>
      </w:r>
      <w:r>
        <w:t>) a eu pour finalité générale (</w:t>
      </w:r>
      <w:r>
        <w:rPr>
          <w:rStyle w:val="VerbatimChar"/>
        </w:rPr>
        <w:t>P21_a_eu_pour_finalité_générale</w:t>
      </w:r>
      <w:r>
        <w:t>) d</w:t>
      </w:r>
      <w:r w:rsidR="00E84B0E">
        <w:t>’</w:t>
      </w:r>
      <w:r>
        <w:t>attraper un orignal (</w:t>
      </w:r>
      <w:r>
        <w:rPr>
          <w:rStyle w:val="VerbatimChar"/>
        </w:rPr>
        <w:t>E55_Type</w:t>
      </w:r>
      <w:r>
        <w:t>) [type d</w:t>
      </w:r>
      <w:r w:rsidR="00E84B0E">
        <w:t>’</w:t>
      </w:r>
      <w:r>
        <w:t>activité] (fictif)</w:t>
      </w:r>
    </w:p>
    <w:p w14:paraId="796DB4F5" w14:textId="29E7E0C3" w:rsidR="00065317" w:rsidRDefault="005C7BF7">
      <w:pPr>
        <w:numPr>
          <w:ilvl w:val="0"/>
          <w:numId w:val="162"/>
        </w:numPr>
      </w:pPr>
      <w:r>
        <w:t>La construction du mur de Berlin, commencée le 13</w:t>
      </w:r>
      <w:r w:rsidR="00056DCD">
        <w:t> août </w:t>
      </w:r>
      <w:r>
        <w:t>1961 (</w:t>
      </w:r>
      <w:r>
        <w:rPr>
          <w:rStyle w:val="VerbatimChar"/>
        </w:rPr>
        <w:t>E12_Production</w:t>
      </w:r>
      <w:r>
        <w:t>), a eu pour finalité générale (</w:t>
      </w:r>
      <w:r>
        <w:rPr>
          <w:rStyle w:val="VerbatimChar"/>
        </w:rPr>
        <w:t>P21_a_eu_pour_finalité_générale</w:t>
      </w:r>
      <w:r>
        <w:t>) d</w:t>
      </w:r>
      <w:r w:rsidR="00E84B0E">
        <w:t>’</w:t>
      </w:r>
      <w:r>
        <w:t>empêcher l</w:t>
      </w:r>
      <w:r w:rsidR="00E84B0E">
        <w:t>’</w:t>
      </w:r>
      <w:r>
        <w:t>émigration (</w:t>
      </w:r>
      <w:r>
        <w:rPr>
          <w:rStyle w:val="VerbatimChar"/>
        </w:rPr>
        <w:t>E55_Type</w:t>
      </w:r>
      <w:r>
        <w:t>) (History.com Editors, 2020)</w:t>
      </w:r>
    </w:p>
    <w:p w14:paraId="00C425C6" w14:textId="14D6E14D" w:rsidR="00065317" w:rsidRDefault="005C7BF7">
      <w:pPr>
        <w:numPr>
          <w:ilvl w:val="0"/>
          <w:numId w:val="162"/>
        </w:numPr>
      </w:pPr>
      <w:r>
        <w:t>Le renforcement de la barrière frontalière entre les États-Unis et le Mexique à l</w:t>
      </w:r>
      <w:r w:rsidR="00E84B0E">
        <w:t>’</w:t>
      </w:r>
      <w:r>
        <w:t>automne</w:t>
      </w:r>
      <w:r w:rsidR="00A84B19">
        <w:t> </w:t>
      </w:r>
      <w:r>
        <w:t>2019 (</w:t>
      </w:r>
      <w:r>
        <w:rPr>
          <w:rStyle w:val="VerbatimChar"/>
        </w:rPr>
        <w:t>E11_Modification</w:t>
      </w:r>
      <w:r>
        <w:t>) a eu pour finalité générale (</w:t>
      </w:r>
      <w:r>
        <w:rPr>
          <w:rStyle w:val="VerbatimChar"/>
        </w:rPr>
        <w:t>P21_a_eu_pour_finalité_générale</w:t>
      </w:r>
      <w:r>
        <w:t>) de prévenir l</w:t>
      </w:r>
      <w:r w:rsidR="00E84B0E">
        <w:t>’</w:t>
      </w:r>
      <w:r>
        <w:t>immigration (</w:t>
      </w:r>
      <w:r>
        <w:rPr>
          <w:rStyle w:val="VerbatimChar"/>
        </w:rPr>
        <w:t>E55_Type</w:t>
      </w:r>
      <w:r>
        <w:t>)</w:t>
      </w:r>
    </w:p>
    <w:p w14:paraId="7FE9DFB0" w14:textId="3939D47C" w:rsidR="00065317" w:rsidRDefault="005C7BF7">
      <w:pPr>
        <w:numPr>
          <w:ilvl w:val="0"/>
          <w:numId w:val="162"/>
        </w:numPr>
      </w:pPr>
      <w:r>
        <w:t>La reconstruction des murs de la ville d</w:t>
      </w:r>
      <w:r w:rsidR="00E84B0E">
        <w:t>’</w:t>
      </w:r>
      <w:r>
        <w:t>Héraklion par les dirigeants vénitiens en 1492 (</w:t>
      </w:r>
      <w:r>
        <w:rPr>
          <w:rStyle w:val="VerbatimChar"/>
        </w:rPr>
        <w:t>E12_Production</w:t>
      </w:r>
      <w:r>
        <w:t>) a eu pour finalité générale (</w:t>
      </w:r>
      <w:r>
        <w:rPr>
          <w:rStyle w:val="VerbatimChar"/>
        </w:rPr>
        <w:t>P21_a_eu_pour_finalité_générale</w:t>
      </w:r>
      <w:r>
        <w:t>) de prévenir une conquête par des en</w:t>
      </w:r>
      <w:r w:rsidR="0024325A">
        <w:t>n</w:t>
      </w:r>
      <w:r>
        <w:t>emis (</w:t>
      </w:r>
      <w:r>
        <w:rPr>
          <w:rStyle w:val="VerbatimChar"/>
        </w:rPr>
        <w:t>E55_Type</w:t>
      </w:r>
      <w:r>
        <w:t>) (YouIngGreece.com, 2020)</w:t>
      </w:r>
    </w:p>
    <w:p w14:paraId="4A375D12" w14:textId="1649F6BB" w:rsidR="00065317" w:rsidRDefault="005C7BF7">
      <w:pPr>
        <w:numPr>
          <w:ilvl w:val="0"/>
          <w:numId w:val="162"/>
        </w:numPr>
      </w:pPr>
      <w:r>
        <w:t>La construction d</w:t>
      </w:r>
      <w:r w:rsidR="00E84B0E">
        <w:t>’</w:t>
      </w:r>
      <w:r>
        <w:t>une digue à Hamamatsu, dans la préfecture de Shizuoka au Japon, entre 2014 et 2020 (</w:t>
      </w:r>
      <w:r>
        <w:rPr>
          <w:rStyle w:val="VerbatimChar"/>
        </w:rPr>
        <w:t>E12_Production</w:t>
      </w:r>
      <w:r>
        <w:t>) a eu pour finalité générale (</w:t>
      </w:r>
      <w:r>
        <w:rPr>
          <w:rStyle w:val="VerbatimChar"/>
        </w:rPr>
        <w:t>P21_a_eu_pour_finalité_générale</w:t>
      </w:r>
      <w:r>
        <w:t>) de prévenir des inondations à l</w:t>
      </w:r>
      <w:r w:rsidR="00E84B0E">
        <w:t>’</w:t>
      </w:r>
      <w:r>
        <w:t>intérieur des terres en cas de tsunami (</w:t>
      </w:r>
      <w:r>
        <w:rPr>
          <w:rStyle w:val="VerbatimChar"/>
        </w:rPr>
        <w:t>E55_Type</w:t>
      </w:r>
      <w:r>
        <w:t>)</w:t>
      </w:r>
    </w:p>
    <w:p w14:paraId="48FA63C4" w14:textId="77777777" w:rsidR="00065317" w:rsidRDefault="005C7BF7">
      <w:pPr>
        <w:pStyle w:val="FirstParagraph"/>
      </w:pPr>
      <w:r>
        <w:rPr>
          <w:b/>
          <w:bCs/>
        </w:rPr>
        <w:t>Logique</w:t>
      </w:r>
    </w:p>
    <w:p w14:paraId="48D22314" w14:textId="77777777" w:rsidR="00065317" w:rsidRDefault="005C7BF7">
      <w:pPr>
        <w:pStyle w:val="Corpsdetexte"/>
      </w:pPr>
      <w:r>
        <w:t>P21(x,y) ⇒ E7(x)</w:t>
      </w:r>
    </w:p>
    <w:p w14:paraId="40989E0B" w14:textId="77777777" w:rsidR="00065317" w:rsidRDefault="005C7BF7">
      <w:pPr>
        <w:pStyle w:val="Corpsdetexte"/>
      </w:pPr>
      <w:r>
        <w:t>P21(x,y) ⇒ E55(y)</w:t>
      </w:r>
    </w:p>
    <w:p w14:paraId="39F3D56D" w14:textId="77777777" w:rsidR="00065317" w:rsidRDefault="005C7BF7">
      <w:pPr>
        <w:pStyle w:val="Corpsdetexte"/>
      </w:pPr>
      <w:r>
        <w:rPr>
          <w:b/>
          <w:bCs/>
        </w:rPr>
        <w:lastRenderedPageBreak/>
        <w:t>Propriétés</w:t>
      </w:r>
    </w:p>
    <w:p w14:paraId="5A4F90BC" w14:textId="77777777" w:rsidR="00065317" w:rsidRDefault="005C7BF7">
      <w:pPr>
        <w:pStyle w:val="Normalcentr"/>
      </w:pPr>
      <w:r>
        <w:rPr>
          <w:b/>
          <w:bCs/>
          <w:i/>
          <w:iCs/>
        </w:rPr>
        <w:t>Note de traduction</w:t>
      </w:r>
    </w:p>
    <w:p w14:paraId="28994C60" w14:textId="128E0D2F" w:rsidR="00065317" w:rsidRDefault="005C7BF7" w:rsidP="003773B9">
      <w:pPr>
        <w:pStyle w:val="Normalcentr"/>
      </w:pPr>
      <w:r>
        <w:rPr>
          <w:b/>
          <w:bCs/>
          <w:i/>
          <w:iCs/>
        </w:rPr>
        <w:t>Références</w:t>
      </w:r>
    </w:p>
    <w:p w14:paraId="1C13CE9A" w14:textId="77777777" w:rsidR="00065317" w:rsidRDefault="005C7BF7" w:rsidP="00914F34">
      <w:pPr>
        <w:pStyle w:val="Titre3"/>
      </w:pPr>
      <w:bookmarkStart w:id="308" w:name="_Toc154048839"/>
      <w:bookmarkStart w:id="309" w:name="X5cff46df4a85cc9ad269bdfc9f00bd333ddb60a"/>
      <w:bookmarkEnd w:id="307"/>
      <w:r>
        <w:t>P22 a transféré le titre de propriété à (a acquis le titre de propriété par)</w:t>
      </w:r>
      <w:bookmarkEnd w:id="308"/>
    </w:p>
    <w:p w14:paraId="3EE9A79D" w14:textId="77777777" w:rsidR="00065317" w:rsidRDefault="005C7BF7">
      <w:pPr>
        <w:pStyle w:val="FirstParagraph"/>
      </w:pPr>
      <w:r>
        <w:rPr>
          <w:b/>
          <w:bCs/>
        </w:rPr>
        <w:t>Domaine</w:t>
      </w:r>
    </w:p>
    <w:p w14:paraId="24CFF852" w14:textId="77777777" w:rsidR="00065317" w:rsidRDefault="005C7BF7">
      <w:pPr>
        <w:pStyle w:val="Corpsdetexte"/>
      </w:pPr>
      <w:r>
        <w:rPr>
          <w:rStyle w:val="VerbatimChar"/>
        </w:rPr>
        <w:t>E8_Acquisition</w:t>
      </w:r>
    </w:p>
    <w:p w14:paraId="597623CD" w14:textId="77777777" w:rsidR="00065317" w:rsidRDefault="005C7BF7">
      <w:pPr>
        <w:pStyle w:val="Corpsdetexte"/>
      </w:pPr>
      <w:r>
        <w:rPr>
          <w:b/>
          <w:bCs/>
        </w:rPr>
        <w:t>Portée</w:t>
      </w:r>
    </w:p>
    <w:p w14:paraId="24484A4A" w14:textId="77777777" w:rsidR="00065317" w:rsidRDefault="005C7BF7">
      <w:pPr>
        <w:pStyle w:val="Corpsdetexte"/>
      </w:pPr>
      <w:r>
        <w:rPr>
          <w:rStyle w:val="VerbatimChar"/>
        </w:rPr>
        <w:t>E39_Actant</w:t>
      </w:r>
    </w:p>
    <w:p w14:paraId="0456B20F" w14:textId="77777777" w:rsidR="00065317" w:rsidRDefault="005C7BF7">
      <w:pPr>
        <w:pStyle w:val="Corpsdetexte"/>
      </w:pPr>
      <w:r>
        <w:rPr>
          <w:b/>
          <w:bCs/>
        </w:rPr>
        <w:t>Sous-propriété de</w:t>
      </w:r>
    </w:p>
    <w:p w14:paraId="0CF98D45" w14:textId="77777777" w:rsidR="00065317" w:rsidRDefault="005C7BF7">
      <w:pPr>
        <w:pStyle w:val="Corpsdetexte"/>
      </w:pPr>
      <w:r>
        <w:rPr>
          <w:rStyle w:val="VerbatimChar"/>
        </w:rPr>
        <w:t>E7_Activité</w:t>
      </w:r>
      <w:r>
        <w:t xml:space="preserve">. </w:t>
      </w:r>
      <w:r>
        <w:rPr>
          <w:rStyle w:val="VerbatimChar"/>
        </w:rPr>
        <w:t>P14_a_été_effectué_par (a_effectué)</w:t>
      </w:r>
      <w:r>
        <w:t xml:space="preserve"> : </w:t>
      </w:r>
      <w:r>
        <w:rPr>
          <w:rStyle w:val="VerbatimChar"/>
        </w:rPr>
        <w:t>E39_Actant</w:t>
      </w:r>
    </w:p>
    <w:p w14:paraId="5CAD3CCC" w14:textId="77777777" w:rsidR="00065317" w:rsidRDefault="005C7BF7">
      <w:pPr>
        <w:pStyle w:val="Corpsdetexte"/>
      </w:pPr>
      <w:r>
        <w:rPr>
          <w:b/>
          <w:bCs/>
        </w:rPr>
        <w:t>Super-propriété de</w:t>
      </w:r>
    </w:p>
    <w:p w14:paraId="7D0248CE" w14:textId="77777777" w:rsidR="00065317" w:rsidRDefault="005C7BF7">
      <w:pPr>
        <w:pStyle w:val="Corpsdetexte"/>
      </w:pPr>
      <w:r>
        <w:rPr>
          <w:b/>
          <w:bCs/>
        </w:rPr>
        <w:t>Quantification</w:t>
      </w:r>
    </w:p>
    <w:p w14:paraId="5BAFF9D9" w14:textId="77777777" w:rsidR="00065317" w:rsidRDefault="005C7BF7">
      <w:pPr>
        <w:pStyle w:val="Corpsdetexte"/>
      </w:pPr>
      <w:r>
        <w:t>plusieurs à plusieurs (0,n:0,n)</w:t>
      </w:r>
    </w:p>
    <w:p w14:paraId="0910F325" w14:textId="2CF07C12" w:rsidR="00065317" w:rsidRDefault="005C7BF7">
      <w:pPr>
        <w:pStyle w:val="Corpsdetexte"/>
      </w:pPr>
      <w:r>
        <w:rPr>
          <w:b/>
          <w:bCs/>
        </w:rPr>
        <w:t>Note d</w:t>
      </w:r>
      <w:r w:rsidR="00E84B0E">
        <w:rPr>
          <w:b/>
          <w:bCs/>
        </w:rPr>
        <w:t>’</w:t>
      </w:r>
      <w:r>
        <w:rPr>
          <w:b/>
          <w:bCs/>
        </w:rPr>
        <w:t>application</w:t>
      </w:r>
    </w:p>
    <w:p w14:paraId="6A4C88D6" w14:textId="1042376B" w:rsidR="00065317" w:rsidRDefault="005C7BF7">
      <w:pPr>
        <w:pStyle w:val="Corpsdetexte"/>
      </w:pPr>
      <w:r>
        <w:t xml:space="preserve">Cette propriété identifie une instance de </w:t>
      </w:r>
      <w:r>
        <w:rPr>
          <w:rStyle w:val="VerbatimChar"/>
        </w:rPr>
        <w:t>E39_Actant</w:t>
      </w:r>
      <w:r>
        <w:t xml:space="preserve"> qui acquiert le droit de propriété légale d</w:t>
      </w:r>
      <w:r w:rsidR="00E84B0E">
        <w:t>’</w:t>
      </w:r>
      <w:r>
        <w:t>un objet à l</w:t>
      </w:r>
      <w:r w:rsidR="00E84B0E">
        <w:t>’</w:t>
      </w:r>
      <w:r>
        <w:t>issue d</w:t>
      </w:r>
      <w:r w:rsidR="00E84B0E">
        <w:t>’</w:t>
      </w:r>
      <w:r>
        <w:t xml:space="preserve">une instance de </w:t>
      </w:r>
      <w:r>
        <w:rPr>
          <w:rStyle w:val="VerbatimChar"/>
        </w:rPr>
        <w:t>E8_Acquisition</w:t>
      </w:r>
      <w:r>
        <w:t>.</w:t>
      </w:r>
    </w:p>
    <w:p w14:paraId="152A7501" w14:textId="75D582FF" w:rsidR="00065317" w:rsidRDefault="005C7BF7">
      <w:pPr>
        <w:pStyle w:val="Corpsdetexte"/>
      </w:pPr>
      <w:r>
        <w:t>La propriété décrit typiquement un actant achetant ou acquérant un objet auprès d</w:t>
      </w:r>
      <w:r w:rsidR="00E84B0E">
        <w:t>’</w:t>
      </w:r>
      <w:r>
        <w:t>un autre actant. Cependant, le titre de propriété peut aussi être acquis sans qu</w:t>
      </w:r>
      <w:r w:rsidR="00E84B0E">
        <w:t>’</w:t>
      </w:r>
      <w:r>
        <w:t>il en résulte une perte correspondante de propriété chez un autre actant, dans le cas d</w:t>
      </w:r>
      <w:r w:rsidR="00E84B0E">
        <w:t>’</w:t>
      </w:r>
      <w:r>
        <w:t>un prélèvement légal sur le terrain tel que la chasse, le tir ou la pêche.</w:t>
      </w:r>
    </w:p>
    <w:p w14:paraId="18D75320" w14:textId="3729FF4E" w:rsidR="00065317" w:rsidRDefault="005C7BF7">
      <w:pPr>
        <w:pStyle w:val="Corpsdetexte"/>
      </w:pPr>
      <w:r>
        <w:t>Concrètement, le titre de propriété est soit transféré d</w:t>
      </w:r>
      <w:r w:rsidR="00E84B0E">
        <w:t>’</w:t>
      </w:r>
      <w:r>
        <w:t>un actant ou à un actant, soit les deux.</w:t>
      </w:r>
    </w:p>
    <w:p w14:paraId="179CA91A" w14:textId="77777777" w:rsidR="00065317" w:rsidRDefault="005C7BF7">
      <w:pPr>
        <w:pStyle w:val="Corpsdetexte"/>
      </w:pPr>
      <w:r>
        <w:rPr>
          <w:b/>
          <w:bCs/>
        </w:rPr>
        <w:t>Exemples</w:t>
      </w:r>
    </w:p>
    <w:p w14:paraId="700FFFF1" w14:textId="69FE1193" w:rsidR="00065317" w:rsidRDefault="005C7BF7">
      <w:pPr>
        <w:numPr>
          <w:ilvl w:val="0"/>
          <w:numId w:val="163"/>
        </w:numPr>
      </w:pPr>
      <w:r>
        <w:t>L</w:t>
      </w:r>
      <w:r w:rsidR="00E84B0E">
        <w:t>’</w:t>
      </w:r>
      <w:r>
        <w:t>acquisition de la collection Amoudruz par le Musée d</w:t>
      </w:r>
      <w:r w:rsidR="00E84B0E">
        <w:t>’</w:t>
      </w:r>
      <w:r>
        <w:t>ethnographie de Genève (</w:t>
      </w:r>
      <w:r>
        <w:rPr>
          <w:rStyle w:val="VerbatimChar"/>
        </w:rPr>
        <w:t>E8_Acquisition</w:t>
      </w:r>
      <w:r>
        <w:t>) a transféré le titre de propriété au (</w:t>
      </w:r>
      <w:r>
        <w:rPr>
          <w:rStyle w:val="VerbatimChar"/>
        </w:rPr>
        <w:t>P22_a_transféré_le_titre_de_propriété_à</w:t>
      </w:r>
      <w:r>
        <w:t>) Musée d</w:t>
      </w:r>
      <w:r w:rsidR="00E84B0E">
        <w:t>’</w:t>
      </w:r>
      <w:r>
        <w:t>ethnographie de Genève (</w:t>
      </w:r>
      <w:r>
        <w:rPr>
          <w:rStyle w:val="VerbatimChar"/>
        </w:rPr>
        <w:t>E74_Groupe</w:t>
      </w:r>
      <w:r>
        <w:t>)</w:t>
      </w:r>
    </w:p>
    <w:p w14:paraId="30DAB4EA" w14:textId="77777777" w:rsidR="00065317" w:rsidRDefault="005C7BF7">
      <w:pPr>
        <w:pStyle w:val="FirstParagraph"/>
      </w:pPr>
      <w:r>
        <w:rPr>
          <w:b/>
          <w:bCs/>
        </w:rPr>
        <w:t>Logique</w:t>
      </w:r>
    </w:p>
    <w:p w14:paraId="515B524B" w14:textId="77777777" w:rsidR="00065317" w:rsidRDefault="005C7BF7">
      <w:pPr>
        <w:pStyle w:val="Corpsdetexte"/>
      </w:pPr>
      <w:r>
        <w:t>P22(x,y) ⇒ E8(x)</w:t>
      </w:r>
    </w:p>
    <w:p w14:paraId="3770E68E" w14:textId="77777777" w:rsidR="00065317" w:rsidRDefault="005C7BF7">
      <w:pPr>
        <w:pStyle w:val="Corpsdetexte"/>
      </w:pPr>
      <w:r>
        <w:t>P22(x,y) ⇒ E39(y)</w:t>
      </w:r>
    </w:p>
    <w:p w14:paraId="0149B13A" w14:textId="77777777" w:rsidR="00065317" w:rsidRDefault="005C7BF7">
      <w:pPr>
        <w:pStyle w:val="Corpsdetexte"/>
      </w:pPr>
      <w:r>
        <w:t>P22(x,y) ⇒ P14(x,y)</w:t>
      </w:r>
    </w:p>
    <w:p w14:paraId="0320B72B" w14:textId="77777777" w:rsidR="00065317" w:rsidRDefault="005C7BF7">
      <w:pPr>
        <w:pStyle w:val="Corpsdetexte"/>
      </w:pPr>
      <w:r>
        <w:rPr>
          <w:b/>
          <w:bCs/>
        </w:rPr>
        <w:t>Propriétés</w:t>
      </w:r>
    </w:p>
    <w:p w14:paraId="191FAFD6" w14:textId="77777777" w:rsidR="00065317" w:rsidRDefault="005C7BF7">
      <w:pPr>
        <w:pStyle w:val="Normalcentr"/>
      </w:pPr>
      <w:r>
        <w:rPr>
          <w:b/>
          <w:bCs/>
          <w:i/>
          <w:iCs/>
        </w:rPr>
        <w:t>Note de traduction</w:t>
      </w:r>
    </w:p>
    <w:p w14:paraId="6FA96118" w14:textId="77777777" w:rsidR="00065317" w:rsidRDefault="005C7BF7">
      <w:pPr>
        <w:pStyle w:val="Normalcentr"/>
      </w:pPr>
      <w:r>
        <w:rPr>
          <w:b/>
          <w:bCs/>
          <w:i/>
          <w:iCs/>
        </w:rPr>
        <w:t>Références</w:t>
      </w:r>
    </w:p>
    <w:p w14:paraId="4FFEB7B0" w14:textId="4458CAB7" w:rsidR="00065317" w:rsidRDefault="005C7BF7">
      <w:pPr>
        <w:pStyle w:val="Normalcentr"/>
      </w:pPr>
      <w:r w:rsidRPr="00C37040">
        <w:rPr>
          <w:lang w:val="fr-CA"/>
        </w:rPr>
        <w:t xml:space="preserve">Wikipédia. </w:t>
      </w:r>
      <w:r w:rsidRPr="00EC2D6E">
        <w:rPr>
          <w:lang w:val="en-CA"/>
        </w:rPr>
        <w:t xml:space="preserve">« Georges Amoudruz ». Dans </w:t>
      </w:r>
      <w:r w:rsidRPr="00EC2D6E">
        <w:rPr>
          <w:i/>
          <w:iCs/>
          <w:lang w:val="en-CA"/>
        </w:rPr>
        <w:t>Wikipédia</w:t>
      </w:r>
      <w:r w:rsidRPr="00EC2D6E">
        <w:rPr>
          <w:lang w:val="en-CA"/>
        </w:rPr>
        <w:t>. San Francisco, US-CA: Wikipédia, 10</w:t>
      </w:r>
      <w:r w:rsidR="00056DCD">
        <w:rPr>
          <w:lang w:val="en-CA"/>
        </w:rPr>
        <w:t> mars </w:t>
      </w:r>
      <w:r w:rsidRPr="00EC2D6E">
        <w:rPr>
          <w:lang w:val="en-CA"/>
        </w:rPr>
        <w:t>2023.</w:t>
      </w:r>
      <w:hyperlink r:id="rId222">
        <w:r w:rsidRPr="00EC2D6E">
          <w:rPr>
            <w:rStyle w:val="Lienhypertexte"/>
            <w:lang w:val="en-CA"/>
          </w:rPr>
          <w:t xml:space="preserve"> </w:t>
        </w:r>
      </w:hyperlink>
      <w:hyperlink r:id="rId223">
        <w:r>
          <w:rPr>
            <w:rStyle w:val="Lienhypertexte"/>
          </w:rPr>
          <w:t>https://fr.wikipedia.org/w/index.php?title=Georges_Amoudruz&amp;oldid=202151566</w:t>
        </w:r>
      </w:hyperlink>
      <w:r>
        <w:t>.</w:t>
      </w:r>
    </w:p>
    <w:p w14:paraId="79D9B4A0" w14:textId="77777777" w:rsidR="00065317" w:rsidRDefault="005C7BF7" w:rsidP="00914F34">
      <w:pPr>
        <w:pStyle w:val="Titre3"/>
      </w:pPr>
      <w:bookmarkStart w:id="310" w:name="_Toc154048840"/>
      <w:bookmarkStart w:id="311" w:name="Xf499d02bf2048d0c64b9701cb5b1e162701fa19"/>
      <w:bookmarkEnd w:id="309"/>
      <w:r>
        <w:lastRenderedPageBreak/>
        <w:t>P23 a transféré le titre de propriété de (a cédé le titre de propriété à)</w:t>
      </w:r>
      <w:bookmarkEnd w:id="310"/>
    </w:p>
    <w:p w14:paraId="2FF3483A" w14:textId="77777777" w:rsidR="00065317" w:rsidRDefault="005C7BF7">
      <w:pPr>
        <w:pStyle w:val="FirstParagraph"/>
      </w:pPr>
      <w:r>
        <w:rPr>
          <w:b/>
          <w:bCs/>
        </w:rPr>
        <w:t>Domaine</w:t>
      </w:r>
    </w:p>
    <w:p w14:paraId="23269457" w14:textId="77777777" w:rsidR="00065317" w:rsidRDefault="005C7BF7">
      <w:pPr>
        <w:pStyle w:val="Corpsdetexte"/>
      </w:pPr>
      <w:r>
        <w:rPr>
          <w:rStyle w:val="VerbatimChar"/>
        </w:rPr>
        <w:t>E8_Acquisition</w:t>
      </w:r>
    </w:p>
    <w:p w14:paraId="1A159B15" w14:textId="77777777" w:rsidR="00065317" w:rsidRDefault="005C7BF7">
      <w:pPr>
        <w:pStyle w:val="Corpsdetexte"/>
      </w:pPr>
      <w:r>
        <w:rPr>
          <w:b/>
          <w:bCs/>
        </w:rPr>
        <w:t>Portée</w:t>
      </w:r>
    </w:p>
    <w:p w14:paraId="124E81DF" w14:textId="6E9C7F1D" w:rsidR="00144B23" w:rsidRDefault="005C7BF7">
      <w:pPr>
        <w:pStyle w:val="Corpsdetexte"/>
        <w:rPr>
          <w:b/>
          <w:bCs/>
        </w:rPr>
      </w:pPr>
      <w:r>
        <w:rPr>
          <w:rStyle w:val="VerbatimChar"/>
        </w:rPr>
        <w:t>E39_Actant</w:t>
      </w:r>
    </w:p>
    <w:p w14:paraId="621FEF6C" w14:textId="34D96042" w:rsidR="00065317" w:rsidRDefault="005C7BF7">
      <w:pPr>
        <w:pStyle w:val="Corpsdetexte"/>
      </w:pPr>
      <w:r>
        <w:rPr>
          <w:b/>
          <w:bCs/>
        </w:rPr>
        <w:t>Sous-propriété de</w:t>
      </w:r>
    </w:p>
    <w:p w14:paraId="7E30DF5E" w14:textId="77777777" w:rsidR="00065317" w:rsidRDefault="005C7BF7">
      <w:pPr>
        <w:pStyle w:val="Corpsdetexte"/>
      </w:pPr>
      <w:r>
        <w:rPr>
          <w:rStyle w:val="VerbatimChar"/>
        </w:rPr>
        <w:t>E7_Activité</w:t>
      </w:r>
      <w:r>
        <w:t xml:space="preserve">. </w:t>
      </w:r>
      <w:r>
        <w:rPr>
          <w:rStyle w:val="VerbatimChar"/>
        </w:rPr>
        <w:t>P14_a_été_effectué_par (a_effectué)</w:t>
      </w:r>
      <w:r>
        <w:t xml:space="preserve"> : </w:t>
      </w:r>
      <w:r>
        <w:rPr>
          <w:rStyle w:val="VerbatimChar"/>
        </w:rPr>
        <w:t>E39_Actant</w:t>
      </w:r>
    </w:p>
    <w:p w14:paraId="33F610E3" w14:textId="77777777" w:rsidR="00065317" w:rsidRDefault="005C7BF7">
      <w:pPr>
        <w:pStyle w:val="Corpsdetexte"/>
      </w:pPr>
      <w:r>
        <w:rPr>
          <w:b/>
          <w:bCs/>
        </w:rPr>
        <w:t>Super-propriété de</w:t>
      </w:r>
    </w:p>
    <w:p w14:paraId="01F29223" w14:textId="77777777" w:rsidR="00065317" w:rsidRDefault="005C7BF7">
      <w:pPr>
        <w:pStyle w:val="Corpsdetexte"/>
      </w:pPr>
      <w:r>
        <w:rPr>
          <w:b/>
          <w:bCs/>
        </w:rPr>
        <w:t>Quantification</w:t>
      </w:r>
    </w:p>
    <w:p w14:paraId="51DCE8A2" w14:textId="77777777" w:rsidR="00065317" w:rsidRDefault="005C7BF7">
      <w:pPr>
        <w:pStyle w:val="Corpsdetexte"/>
      </w:pPr>
      <w:r>
        <w:t>plusieurs à plusieurs (0,n:0,n)</w:t>
      </w:r>
    </w:p>
    <w:p w14:paraId="22D5773B" w14:textId="1EBFEBBB" w:rsidR="00065317" w:rsidRDefault="005C7BF7">
      <w:pPr>
        <w:pStyle w:val="Corpsdetexte"/>
      </w:pPr>
      <w:r>
        <w:rPr>
          <w:b/>
          <w:bCs/>
        </w:rPr>
        <w:t>Note d</w:t>
      </w:r>
      <w:r w:rsidR="00E84B0E">
        <w:rPr>
          <w:b/>
          <w:bCs/>
        </w:rPr>
        <w:t>’</w:t>
      </w:r>
      <w:r>
        <w:rPr>
          <w:b/>
          <w:bCs/>
        </w:rPr>
        <w:t>application</w:t>
      </w:r>
    </w:p>
    <w:p w14:paraId="724BDDE2" w14:textId="30CCBDBA" w:rsidR="00065317" w:rsidRDefault="005C7BF7">
      <w:pPr>
        <w:pStyle w:val="Corpsdetexte"/>
      </w:pPr>
      <w:r>
        <w:t xml:space="preserve">Cette propriété identifie la ou les instances de </w:t>
      </w:r>
      <w:r>
        <w:rPr>
          <w:rStyle w:val="VerbatimChar"/>
        </w:rPr>
        <w:t>E39_Actant</w:t>
      </w:r>
      <w:r>
        <w:t xml:space="preserve"> qui cèdent une propriété légale à l</w:t>
      </w:r>
      <w:r w:rsidR="00E84B0E">
        <w:t>’</w:t>
      </w:r>
      <w:r>
        <w:t>issue d</w:t>
      </w:r>
      <w:r w:rsidR="00E84B0E">
        <w:t>’</w:t>
      </w:r>
      <w:r>
        <w:t xml:space="preserve">une instance de </w:t>
      </w:r>
      <w:r>
        <w:rPr>
          <w:rStyle w:val="VerbatimChar"/>
        </w:rPr>
        <w:t>E8_Acquisition</w:t>
      </w:r>
      <w:r>
        <w:t>.</w:t>
      </w:r>
    </w:p>
    <w:p w14:paraId="638C23EE" w14:textId="7D7F40A5" w:rsidR="00065317" w:rsidRDefault="005C7BF7">
      <w:pPr>
        <w:pStyle w:val="Corpsdetexte"/>
      </w:pPr>
      <w:r>
        <w:t>La propriété est utilisée typiquement pour décrire un actant donnant ou vendant un objet à un musée. Concrètement, le titre de propriété est soit transféré à un actant ou d</w:t>
      </w:r>
      <w:r w:rsidR="00E84B0E">
        <w:t>’</w:t>
      </w:r>
      <w:r>
        <w:t>un actant, soit les deux.</w:t>
      </w:r>
    </w:p>
    <w:p w14:paraId="124B52FB" w14:textId="77777777" w:rsidR="00065317" w:rsidRDefault="005C7BF7">
      <w:pPr>
        <w:pStyle w:val="Corpsdetexte"/>
      </w:pPr>
      <w:r>
        <w:rPr>
          <w:b/>
          <w:bCs/>
        </w:rPr>
        <w:t>Exemples</w:t>
      </w:r>
    </w:p>
    <w:p w14:paraId="6EBB21C6" w14:textId="08B96812" w:rsidR="00065317" w:rsidRDefault="005C7BF7">
      <w:pPr>
        <w:numPr>
          <w:ilvl w:val="0"/>
          <w:numId w:val="164"/>
        </w:numPr>
      </w:pPr>
      <w:r>
        <w:t>L</w:t>
      </w:r>
      <w:r w:rsidR="00E84B0E">
        <w:t>’</w:t>
      </w:r>
      <w:r>
        <w:t>acquisition de la collection Amoudruz par le Musée d</w:t>
      </w:r>
      <w:r w:rsidR="00E84B0E">
        <w:t>’</w:t>
      </w:r>
      <w:r>
        <w:t>ethnographie de Genève (</w:t>
      </w:r>
      <w:r>
        <w:rPr>
          <w:rStyle w:val="VerbatimChar"/>
        </w:rPr>
        <w:t>E8_Acquisition</w:t>
      </w:r>
      <w:r>
        <w:t>) a transféré le titre de propriété des (</w:t>
      </w:r>
      <w:r>
        <w:rPr>
          <w:rStyle w:val="VerbatimChar"/>
        </w:rPr>
        <w:t>P23_a_transféré_le_titre_de_propriété_de</w:t>
      </w:r>
      <w:r>
        <w:t>) héritiers de Georges Amoudruz (</w:t>
      </w:r>
      <w:r>
        <w:rPr>
          <w:rStyle w:val="VerbatimChar"/>
        </w:rPr>
        <w:t>E74_Groupe</w:t>
      </w:r>
      <w:r>
        <w:t>).</w:t>
      </w:r>
    </w:p>
    <w:p w14:paraId="1C0BAAC8" w14:textId="77777777" w:rsidR="00065317" w:rsidRDefault="005C7BF7">
      <w:pPr>
        <w:pStyle w:val="FirstParagraph"/>
      </w:pPr>
      <w:r>
        <w:rPr>
          <w:b/>
          <w:bCs/>
        </w:rPr>
        <w:t>Logique</w:t>
      </w:r>
    </w:p>
    <w:p w14:paraId="06A38C42" w14:textId="77777777" w:rsidR="00065317" w:rsidRDefault="005C7BF7">
      <w:pPr>
        <w:pStyle w:val="Corpsdetexte"/>
      </w:pPr>
      <w:r>
        <w:t>P23(x,y) ⇒ E8(x)</w:t>
      </w:r>
    </w:p>
    <w:p w14:paraId="4B486C09" w14:textId="77777777" w:rsidR="00065317" w:rsidRDefault="005C7BF7">
      <w:pPr>
        <w:pStyle w:val="Corpsdetexte"/>
      </w:pPr>
      <w:r>
        <w:t>P23(x,y) ⇒ E39(y)</w:t>
      </w:r>
    </w:p>
    <w:p w14:paraId="3465679E" w14:textId="77777777" w:rsidR="00065317" w:rsidRDefault="005C7BF7">
      <w:pPr>
        <w:pStyle w:val="Corpsdetexte"/>
      </w:pPr>
      <w:r>
        <w:t>P23(x,y) ⇒ P14(x,y)</w:t>
      </w:r>
    </w:p>
    <w:p w14:paraId="3144E3C7" w14:textId="77777777" w:rsidR="00065317" w:rsidRDefault="005C7BF7">
      <w:pPr>
        <w:pStyle w:val="Corpsdetexte"/>
      </w:pPr>
      <w:r>
        <w:rPr>
          <w:b/>
          <w:bCs/>
        </w:rPr>
        <w:t>Propriétés</w:t>
      </w:r>
    </w:p>
    <w:p w14:paraId="3AE318CB" w14:textId="77777777" w:rsidR="00065317" w:rsidRDefault="005C7BF7">
      <w:pPr>
        <w:pStyle w:val="Normalcentr"/>
      </w:pPr>
      <w:r>
        <w:rPr>
          <w:b/>
          <w:bCs/>
          <w:i/>
          <w:iCs/>
        </w:rPr>
        <w:t>Note de traduction</w:t>
      </w:r>
    </w:p>
    <w:p w14:paraId="318427A9" w14:textId="04C580D6" w:rsidR="00065317" w:rsidRDefault="005C7BF7" w:rsidP="003773B9">
      <w:pPr>
        <w:pStyle w:val="Normalcentr"/>
      </w:pPr>
      <w:r>
        <w:rPr>
          <w:b/>
          <w:bCs/>
          <w:i/>
          <w:iCs/>
        </w:rPr>
        <w:t>Références</w:t>
      </w:r>
    </w:p>
    <w:p w14:paraId="35F23F49" w14:textId="77777777" w:rsidR="00065317" w:rsidRDefault="005C7BF7" w:rsidP="00914F34">
      <w:pPr>
        <w:pStyle w:val="Titre3"/>
      </w:pPr>
      <w:bookmarkStart w:id="312" w:name="_Toc154048841"/>
      <w:bookmarkStart w:id="313" w:name="Xe43b2e0a8dfab646587356ada40c70671988800"/>
      <w:bookmarkEnd w:id="311"/>
      <w:r>
        <w:t>P24 a transféré le titre de propriété de (a changé de propriétaire par)</w:t>
      </w:r>
      <w:bookmarkEnd w:id="312"/>
    </w:p>
    <w:p w14:paraId="29729289" w14:textId="77777777" w:rsidR="00065317" w:rsidRDefault="005C7BF7">
      <w:pPr>
        <w:pStyle w:val="FirstParagraph"/>
      </w:pPr>
      <w:r>
        <w:rPr>
          <w:b/>
          <w:bCs/>
        </w:rPr>
        <w:t>Domaine</w:t>
      </w:r>
    </w:p>
    <w:p w14:paraId="2B6C6265" w14:textId="77777777" w:rsidR="00065317" w:rsidRDefault="005C7BF7">
      <w:pPr>
        <w:pStyle w:val="Corpsdetexte"/>
      </w:pPr>
      <w:r>
        <w:rPr>
          <w:rStyle w:val="VerbatimChar"/>
        </w:rPr>
        <w:t>E8_Acquisition</w:t>
      </w:r>
    </w:p>
    <w:p w14:paraId="7807813F" w14:textId="77777777" w:rsidR="00065317" w:rsidRDefault="005C7BF7">
      <w:pPr>
        <w:pStyle w:val="Corpsdetexte"/>
      </w:pPr>
      <w:r>
        <w:rPr>
          <w:b/>
          <w:bCs/>
        </w:rPr>
        <w:t>Portée</w:t>
      </w:r>
    </w:p>
    <w:p w14:paraId="52F655CE" w14:textId="77777777" w:rsidR="00065317" w:rsidRDefault="005C7BF7">
      <w:pPr>
        <w:pStyle w:val="Corpsdetexte"/>
      </w:pPr>
      <w:r>
        <w:rPr>
          <w:rStyle w:val="VerbatimChar"/>
        </w:rPr>
        <w:t>E18_Chose_matérielle</w:t>
      </w:r>
    </w:p>
    <w:p w14:paraId="4F46ACDB" w14:textId="77777777" w:rsidR="00065317" w:rsidRDefault="005C7BF7">
      <w:pPr>
        <w:pStyle w:val="Corpsdetexte"/>
      </w:pPr>
      <w:r>
        <w:rPr>
          <w:b/>
          <w:bCs/>
        </w:rPr>
        <w:t>Sous-propriété de</w:t>
      </w:r>
    </w:p>
    <w:p w14:paraId="65623269" w14:textId="77777777" w:rsidR="00065317" w:rsidRDefault="005C7BF7">
      <w:pPr>
        <w:pStyle w:val="Corpsdetexte"/>
      </w:pPr>
      <w:r>
        <w:rPr>
          <w:b/>
          <w:bCs/>
        </w:rPr>
        <w:t>Super-propriété de</w:t>
      </w:r>
    </w:p>
    <w:p w14:paraId="0334D2B8" w14:textId="77777777" w:rsidR="00065317" w:rsidRDefault="005C7BF7">
      <w:pPr>
        <w:pStyle w:val="Corpsdetexte"/>
      </w:pPr>
      <w:r>
        <w:rPr>
          <w:b/>
          <w:bCs/>
        </w:rPr>
        <w:lastRenderedPageBreak/>
        <w:t>Quantification</w:t>
      </w:r>
    </w:p>
    <w:p w14:paraId="464870B1" w14:textId="2EF73DB5" w:rsidR="00144B23" w:rsidRDefault="005C7BF7">
      <w:pPr>
        <w:pStyle w:val="Corpsdetexte"/>
        <w:rPr>
          <w:b/>
          <w:bCs/>
        </w:rPr>
      </w:pPr>
      <w:r>
        <w:t>plusieurs à plusieurs, nécessaire (1,n:0,n)</w:t>
      </w:r>
    </w:p>
    <w:p w14:paraId="25C3BE67" w14:textId="0B1BAD07" w:rsidR="00065317" w:rsidRDefault="005C7BF7">
      <w:pPr>
        <w:pStyle w:val="Corpsdetexte"/>
      </w:pPr>
      <w:r>
        <w:rPr>
          <w:b/>
          <w:bCs/>
        </w:rPr>
        <w:t>Note d</w:t>
      </w:r>
      <w:r w:rsidR="00E84B0E">
        <w:rPr>
          <w:b/>
          <w:bCs/>
        </w:rPr>
        <w:t>’</w:t>
      </w:r>
      <w:r>
        <w:rPr>
          <w:b/>
          <w:bCs/>
        </w:rPr>
        <w:t>application</w:t>
      </w:r>
    </w:p>
    <w:p w14:paraId="616C4537" w14:textId="77777777" w:rsidR="00065317" w:rsidRDefault="005C7BF7">
      <w:pPr>
        <w:pStyle w:val="Corpsdetexte"/>
      </w:pPr>
      <w:r>
        <w:t xml:space="preserve">Cette propriété identifie la ou les instances de </w:t>
      </w:r>
      <w:r>
        <w:rPr>
          <w:rStyle w:val="VerbatimChar"/>
        </w:rPr>
        <w:t>E18_Chose_matérielle</w:t>
      </w:r>
      <w:r>
        <w:t xml:space="preserve"> impliquées dans une instance de </w:t>
      </w:r>
      <w:r>
        <w:rPr>
          <w:rStyle w:val="VerbatimChar"/>
        </w:rPr>
        <w:t>E8_Acquisition</w:t>
      </w:r>
      <w:r>
        <w:t>.</w:t>
      </w:r>
    </w:p>
    <w:p w14:paraId="11A839FB" w14:textId="77777777" w:rsidR="00065317" w:rsidRDefault="005C7BF7">
      <w:pPr>
        <w:pStyle w:val="Corpsdetexte"/>
      </w:pPr>
      <w:r>
        <w:t>Concrètement, une acquisition doit se rapporter à au moins une chose matérielle transférée.</w:t>
      </w:r>
    </w:p>
    <w:p w14:paraId="7DC51458" w14:textId="77777777" w:rsidR="00065317" w:rsidRDefault="005C7BF7">
      <w:pPr>
        <w:pStyle w:val="Corpsdetexte"/>
      </w:pPr>
      <w:r>
        <w:rPr>
          <w:b/>
          <w:bCs/>
        </w:rPr>
        <w:t>Exemples</w:t>
      </w:r>
    </w:p>
    <w:p w14:paraId="0CAA5CB9" w14:textId="161B7351" w:rsidR="00065317" w:rsidRDefault="005C7BF7">
      <w:pPr>
        <w:numPr>
          <w:ilvl w:val="0"/>
          <w:numId w:val="165"/>
        </w:numPr>
      </w:pPr>
      <w:r>
        <w:t>L</w:t>
      </w:r>
      <w:r w:rsidR="00E84B0E">
        <w:t>’</w:t>
      </w:r>
      <w:r>
        <w:t>acquisition de la collection Amoudruz par le Musée d</w:t>
      </w:r>
      <w:r w:rsidR="00E84B0E">
        <w:t>’</w:t>
      </w:r>
      <w:r>
        <w:t>ethnographie de Genève (</w:t>
      </w:r>
      <w:r>
        <w:rPr>
          <w:rStyle w:val="VerbatimChar"/>
        </w:rPr>
        <w:t>E8_Acquisition</w:t>
      </w:r>
      <w:r>
        <w:t>) a transféré le titre de propriété de (</w:t>
      </w:r>
      <w:r>
        <w:rPr>
          <w:rStyle w:val="VerbatimChar"/>
        </w:rPr>
        <w:t>P24_a_transféré_le_titre_de_propriété_de</w:t>
      </w:r>
      <w:r>
        <w:t>) la collection Amoudruz (</w:t>
      </w:r>
      <w:r>
        <w:rPr>
          <w:rStyle w:val="VerbatimChar"/>
        </w:rPr>
        <w:t>E78_Collection</w:t>
      </w:r>
      <w:r>
        <w:t>)</w:t>
      </w:r>
    </w:p>
    <w:p w14:paraId="7EB3D648" w14:textId="77777777" w:rsidR="00065317" w:rsidRDefault="005C7BF7">
      <w:pPr>
        <w:pStyle w:val="FirstParagraph"/>
      </w:pPr>
      <w:r>
        <w:rPr>
          <w:b/>
          <w:bCs/>
        </w:rPr>
        <w:t>Logique</w:t>
      </w:r>
    </w:p>
    <w:p w14:paraId="54308762" w14:textId="77777777" w:rsidR="00065317" w:rsidRDefault="005C7BF7">
      <w:pPr>
        <w:pStyle w:val="Corpsdetexte"/>
      </w:pPr>
      <w:r>
        <w:t>P24(x,y) ⇒ E8(x)</w:t>
      </w:r>
    </w:p>
    <w:p w14:paraId="64C6A4EC" w14:textId="77777777" w:rsidR="00065317" w:rsidRDefault="005C7BF7">
      <w:pPr>
        <w:pStyle w:val="Corpsdetexte"/>
      </w:pPr>
      <w:r>
        <w:t>P24(x,y) ⇒ E18(y)</w:t>
      </w:r>
    </w:p>
    <w:p w14:paraId="33B1E846" w14:textId="77777777" w:rsidR="00065317" w:rsidRDefault="005C7BF7">
      <w:pPr>
        <w:pStyle w:val="Corpsdetexte"/>
      </w:pPr>
      <w:r>
        <w:rPr>
          <w:b/>
          <w:bCs/>
        </w:rPr>
        <w:t>Propriétés</w:t>
      </w:r>
    </w:p>
    <w:p w14:paraId="4B28868B" w14:textId="77777777" w:rsidR="00065317" w:rsidRDefault="005C7BF7">
      <w:pPr>
        <w:pStyle w:val="Normalcentr"/>
      </w:pPr>
      <w:r>
        <w:rPr>
          <w:b/>
          <w:bCs/>
          <w:i/>
          <w:iCs/>
        </w:rPr>
        <w:t>Note de traduction</w:t>
      </w:r>
    </w:p>
    <w:p w14:paraId="5D060B21" w14:textId="5E0705F8" w:rsidR="00065317" w:rsidRDefault="005C7BF7" w:rsidP="003773B9">
      <w:pPr>
        <w:pStyle w:val="Normalcentr"/>
      </w:pPr>
      <w:r>
        <w:rPr>
          <w:b/>
          <w:bCs/>
          <w:i/>
          <w:iCs/>
        </w:rPr>
        <w:t>Références</w:t>
      </w:r>
    </w:p>
    <w:p w14:paraId="4BE5DD1C" w14:textId="77777777" w:rsidR="00065317" w:rsidRDefault="005C7BF7" w:rsidP="00914F34">
      <w:pPr>
        <w:pStyle w:val="Titre3"/>
      </w:pPr>
      <w:bookmarkStart w:id="314" w:name="_Toc154048842"/>
      <w:bookmarkStart w:id="315" w:name="p25-a-deplace-(a-ete-deplace-par)"/>
      <w:bookmarkEnd w:id="313"/>
      <w:r>
        <w:t>P25 a déplacé (a été déplacé par)</w:t>
      </w:r>
      <w:bookmarkEnd w:id="314"/>
    </w:p>
    <w:p w14:paraId="4C605922" w14:textId="77777777" w:rsidR="00065317" w:rsidRDefault="005C7BF7">
      <w:pPr>
        <w:pStyle w:val="FirstParagraph"/>
      </w:pPr>
      <w:r>
        <w:rPr>
          <w:b/>
          <w:bCs/>
        </w:rPr>
        <w:t>Domaine</w:t>
      </w:r>
    </w:p>
    <w:p w14:paraId="27483EA7" w14:textId="77777777" w:rsidR="00065317" w:rsidRDefault="005C7BF7">
      <w:pPr>
        <w:pStyle w:val="Corpsdetexte"/>
      </w:pPr>
      <w:r>
        <w:rPr>
          <w:rStyle w:val="VerbatimChar"/>
        </w:rPr>
        <w:t>E9_Déplacement</w:t>
      </w:r>
    </w:p>
    <w:p w14:paraId="19984338" w14:textId="77777777" w:rsidR="00065317" w:rsidRDefault="005C7BF7">
      <w:pPr>
        <w:pStyle w:val="Corpsdetexte"/>
      </w:pPr>
      <w:r>
        <w:rPr>
          <w:b/>
          <w:bCs/>
        </w:rPr>
        <w:t>Portée</w:t>
      </w:r>
    </w:p>
    <w:p w14:paraId="015777D1" w14:textId="77777777" w:rsidR="00065317" w:rsidRDefault="005C7BF7">
      <w:pPr>
        <w:pStyle w:val="Corpsdetexte"/>
      </w:pPr>
      <w:r>
        <w:rPr>
          <w:rStyle w:val="VerbatimChar"/>
        </w:rPr>
        <w:t>E19_Objet_matériel</w:t>
      </w:r>
    </w:p>
    <w:p w14:paraId="139C3072" w14:textId="77777777" w:rsidR="00065317" w:rsidRDefault="005C7BF7">
      <w:pPr>
        <w:pStyle w:val="Corpsdetexte"/>
      </w:pPr>
      <w:r>
        <w:rPr>
          <w:b/>
          <w:bCs/>
        </w:rPr>
        <w:t>Sous-propriété de</w:t>
      </w:r>
    </w:p>
    <w:p w14:paraId="69FB3CA3" w14:textId="77777777" w:rsidR="00065317" w:rsidRDefault="005C7BF7">
      <w:pPr>
        <w:pStyle w:val="Corpsdetexte"/>
      </w:pPr>
      <w:r>
        <w:rPr>
          <w:rStyle w:val="VerbatimChar"/>
        </w:rPr>
        <w:t>E5_Évènement</w:t>
      </w:r>
      <w:r>
        <w:t xml:space="preserve">. </w:t>
      </w:r>
      <w:r>
        <w:rPr>
          <w:rStyle w:val="VerbatimChar"/>
        </w:rPr>
        <w:t>P12_a_eu_lieu_en_présence_de (a_été_présent_à)</w:t>
      </w:r>
      <w:r>
        <w:t xml:space="preserve"> : </w:t>
      </w:r>
      <w:r>
        <w:rPr>
          <w:rStyle w:val="VerbatimChar"/>
        </w:rPr>
        <w:t>E77_Entité_persistante</w:t>
      </w:r>
    </w:p>
    <w:p w14:paraId="66521988" w14:textId="77777777" w:rsidR="00065317" w:rsidRDefault="005C7BF7">
      <w:pPr>
        <w:pStyle w:val="Corpsdetexte"/>
      </w:pPr>
      <w:r>
        <w:rPr>
          <w:b/>
          <w:bCs/>
        </w:rPr>
        <w:t>Super-propriété de</w:t>
      </w:r>
    </w:p>
    <w:p w14:paraId="76AA7688" w14:textId="77777777" w:rsidR="00065317" w:rsidRDefault="005C7BF7">
      <w:pPr>
        <w:pStyle w:val="Corpsdetexte"/>
      </w:pPr>
      <w:r>
        <w:rPr>
          <w:b/>
          <w:bCs/>
        </w:rPr>
        <w:t>Quantification</w:t>
      </w:r>
    </w:p>
    <w:p w14:paraId="0492307A" w14:textId="77777777" w:rsidR="00065317" w:rsidRDefault="005C7BF7">
      <w:pPr>
        <w:pStyle w:val="Corpsdetexte"/>
      </w:pPr>
      <w:r>
        <w:t>plusieurs à plusieurs, nécessaire (1,n:0,n)</w:t>
      </w:r>
    </w:p>
    <w:p w14:paraId="775A6F8A" w14:textId="13670AD0" w:rsidR="00065317" w:rsidRDefault="005C7BF7">
      <w:pPr>
        <w:pStyle w:val="Corpsdetexte"/>
      </w:pPr>
      <w:r>
        <w:rPr>
          <w:b/>
          <w:bCs/>
        </w:rPr>
        <w:t>Note d</w:t>
      </w:r>
      <w:r w:rsidR="00E84B0E">
        <w:rPr>
          <w:b/>
          <w:bCs/>
        </w:rPr>
        <w:t>’</w:t>
      </w:r>
      <w:r>
        <w:rPr>
          <w:b/>
          <w:bCs/>
        </w:rPr>
        <w:t>application</w:t>
      </w:r>
    </w:p>
    <w:p w14:paraId="6375FC50" w14:textId="77777777" w:rsidR="00065317" w:rsidRDefault="005C7BF7">
      <w:pPr>
        <w:pStyle w:val="Corpsdetexte"/>
      </w:pPr>
      <w:r>
        <w:t xml:space="preserve">Cette propriété identifie une instance de </w:t>
      </w:r>
      <w:r>
        <w:rPr>
          <w:rStyle w:val="VerbatimChar"/>
        </w:rPr>
        <w:t>E19_Objet_matériel</w:t>
      </w:r>
      <w:r>
        <w:t xml:space="preserve"> qui a été déplacée par une instance de </w:t>
      </w:r>
      <w:r>
        <w:rPr>
          <w:rStyle w:val="VerbatimChar"/>
        </w:rPr>
        <w:t>E9_Déplacement</w:t>
      </w:r>
      <w:r>
        <w:t>. Un déplacement doit concerner au moins un objet.</w:t>
      </w:r>
    </w:p>
    <w:p w14:paraId="405D7A94" w14:textId="5EDE5B23" w:rsidR="00F54917" w:rsidRDefault="005C7BF7">
      <w:pPr>
        <w:pStyle w:val="Corpsdetexte"/>
      </w:pPr>
      <w:r>
        <w:t>La propriété implique la participation passive de l</w:t>
      </w:r>
      <w:r w:rsidR="00E84B0E">
        <w:t>’</w:t>
      </w:r>
      <w:r>
        <w:t xml:space="preserve">objet. Par exemple, le tableau de Monet </w:t>
      </w:r>
      <w:r>
        <w:rPr>
          <w:i/>
          <w:iCs/>
        </w:rPr>
        <w:t>Impression, soleil levant</w:t>
      </w:r>
      <w:r>
        <w:t xml:space="preserve"> a été déplacé en vue de la première exposition impressionniste en 1874.</w:t>
      </w:r>
    </w:p>
    <w:p w14:paraId="1CBB7759" w14:textId="1698A6E8" w:rsidR="00065317" w:rsidRDefault="00F54917" w:rsidP="00F54917">
      <w:pPr>
        <w:spacing w:after="0"/>
      </w:pPr>
      <w:r>
        <w:br w:type="page"/>
      </w:r>
    </w:p>
    <w:p w14:paraId="5D3460B9" w14:textId="77777777" w:rsidR="00065317" w:rsidRDefault="005C7BF7">
      <w:pPr>
        <w:pStyle w:val="Corpsdetexte"/>
      </w:pPr>
      <w:r>
        <w:rPr>
          <w:b/>
          <w:bCs/>
        </w:rPr>
        <w:lastRenderedPageBreak/>
        <w:t>Exemples</w:t>
      </w:r>
    </w:p>
    <w:p w14:paraId="3D6F74B2" w14:textId="3BBB0C7B" w:rsidR="00065317" w:rsidRDefault="005C7BF7">
      <w:pPr>
        <w:numPr>
          <w:ilvl w:val="0"/>
          <w:numId w:val="166"/>
        </w:numPr>
      </w:pPr>
      <w:r>
        <w:rPr>
          <w:i/>
          <w:iCs/>
        </w:rPr>
        <w:t>Impression, soleil levant</w:t>
      </w:r>
      <w:r>
        <w:t xml:space="preserve"> de Monet (</w:t>
      </w:r>
      <w:r>
        <w:rPr>
          <w:rStyle w:val="VerbatimChar"/>
        </w:rPr>
        <w:t>E22_Objet_élaboré_par_l</w:t>
      </w:r>
      <w:r w:rsidR="00E84B0E">
        <w:rPr>
          <w:rStyle w:val="VerbatimChar"/>
        </w:rPr>
        <w:t>’</w:t>
      </w:r>
      <w:r>
        <w:rPr>
          <w:rStyle w:val="VerbatimChar"/>
        </w:rPr>
        <w:t>humain</w:t>
      </w:r>
      <w:r>
        <w:t>) a été déplacé par (</w:t>
      </w:r>
      <w:r>
        <w:rPr>
          <w:rStyle w:val="VerbatimChar"/>
        </w:rPr>
        <w:t>P25i_a_été_déplacé_par)</w:t>
      </w:r>
      <w:r>
        <w:t xml:space="preserve"> les préparatifs de la première exposition impressionniste (</w:t>
      </w:r>
      <w:r>
        <w:rPr>
          <w:rStyle w:val="VerbatimChar"/>
        </w:rPr>
        <w:t>E9_Déplacement</w:t>
      </w:r>
      <w:r>
        <w:t>)</w:t>
      </w:r>
    </w:p>
    <w:p w14:paraId="77DCA22F" w14:textId="77777777" w:rsidR="00065317" w:rsidRDefault="005C7BF7">
      <w:pPr>
        <w:pStyle w:val="FirstParagraph"/>
      </w:pPr>
      <w:r>
        <w:rPr>
          <w:b/>
          <w:bCs/>
        </w:rPr>
        <w:t>Logique</w:t>
      </w:r>
    </w:p>
    <w:p w14:paraId="6646D6E3" w14:textId="77777777" w:rsidR="00065317" w:rsidRDefault="005C7BF7">
      <w:pPr>
        <w:pStyle w:val="Corpsdetexte"/>
      </w:pPr>
      <w:r>
        <w:t>P25(x,y) ⇒ E9(x)</w:t>
      </w:r>
    </w:p>
    <w:p w14:paraId="46AEBF5F" w14:textId="77777777" w:rsidR="00065317" w:rsidRDefault="005C7BF7">
      <w:pPr>
        <w:pStyle w:val="Corpsdetexte"/>
      </w:pPr>
      <w:r>
        <w:t>P25(x,y) ⇒ E19(y)</w:t>
      </w:r>
    </w:p>
    <w:p w14:paraId="38F0717C" w14:textId="77777777" w:rsidR="00065317" w:rsidRDefault="005C7BF7">
      <w:pPr>
        <w:pStyle w:val="Corpsdetexte"/>
      </w:pPr>
      <w:r>
        <w:t>P25(x,y) ⇒ P12(x,y)</w:t>
      </w:r>
    </w:p>
    <w:p w14:paraId="7B3E70F1" w14:textId="77777777" w:rsidR="00065317" w:rsidRDefault="005C7BF7">
      <w:pPr>
        <w:pStyle w:val="Corpsdetexte"/>
      </w:pPr>
      <w:r>
        <w:rPr>
          <w:b/>
          <w:bCs/>
        </w:rPr>
        <w:t>Propriétés</w:t>
      </w:r>
    </w:p>
    <w:p w14:paraId="257FD805" w14:textId="77777777" w:rsidR="00065317" w:rsidRDefault="005C7BF7">
      <w:pPr>
        <w:pStyle w:val="Normalcentr"/>
      </w:pPr>
      <w:r>
        <w:rPr>
          <w:b/>
          <w:bCs/>
          <w:i/>
          <w:iCs/>
        </w:rPr>
        <w:t>Note de traduction</w:t>
      </w:r>
    </w:p>
    <w:p w14:paraId="6DC2416D" w14:textId="4E7CE44B" w:rsidR="00065317" w:rsidRDefault="005C7BF7" w:rsidP="003773B9">
      <w:pPr>
        <w:pStyle w:val="Normalcentr"/>
      </w:pPr>
      <w:r>
        <w:rPr>
          <w:b/>
          <w:bCs/>
          <w:i/>
          <w:iCs/>
        </w:rPr>
        <w:t>Références</w:t>
      </w:r>
    </w:p>
    <w:p w14:paraId="5054F426" w14:textId="77777777" w:rsidR="00065317" w:rsidRDefault="005C7BF7" w:rsidP="00914F34">
      <w:pPr>
        <w:pStyle w:val="Titre3"/>
      </w:pPr>
      <w:bookmarkStart w:id="316" w:name="_Toc154048843"/>
      <w:bookmarkStart w:id="317" w:name="X39c7193061710ada146f44a9f58cb6a5cbb76db"/>
      <w:bookmarkEnd w:id="315"/>
      <w:r>
        <w:t>P26 a déplacé vers (a été la destination de)</w:t>
      </w:r>
      <w:bookmarkEnd w:id="316"/>
    </w:p>
    <w:p w14:paraId="662731E4" w14:textId="77777777" w:rsidR="00065317" w:rsidRDefault="005C7BF7">
      <w:pPr>
        <w:pStyle w:val="FirstParagraph"/>
      </w:pPr>
      <w:r>
        <w:rPr>
          <w:b/>
          <w:bCs/>
        </w:rPr>
        <w:t>Domaine</w:t>
      </w:r>
    </w:p>
    <w:p w14:paraId="08B1DABD" w14:textId="77777777" w:rsidR="00065317" w:rsidRDefault="005C7BF7">
      <w:pPr>
        <w:pStyle w:val="Corpsdetexte"/>
      </w:pPr>
      <w:r>
        <w:rPr>
          <w:rStyle w:val="VerbatimChar"/>
        </w:rPr>
        <w:t>E9_Déplacement</w:t>
      </w:r>
    </w:p>
    <w:p w14:paraId="2A212F25" w14:textId="77777777" w:rsidR="00065317" w:rsidRDefault="005C7BF7">
      <w:pPr>
        <w:pStyle w:val="Corpsdetexte"/>
      </w:pPr>
      <w:r>
        <w:rPr>
          <w:b/>
          <w:bCs/>
        </w:rPr>
        <w:t>Portée</w:t>
      </w:r>
    </w:p>
    <w:p w14:paraId="561A77E8" w14:textId="77777777" w:rsidR="00065317" w:rsidRDefault="005C7BF7">
      <w:pPr>
        <w:pStyle w:val="Corpsdetexte"/>
      </w:pPr>
      <w:r>
        <w:rPr>
          <w:rStyle w:val="VerbatimChar"/>
        </w:rPr>
        <w:t>E53_Lieu</w:t>
      </w:r>
    </w:p>
    <w:p w14:paraId="5076D479" w14:textId="77777777" w:rsidR="00065317" w:rsidRDefault="005C7BF7">
      <w:pPr>
        <w:pStyle w:val="Corpsdetexte"/>
      </w:pPr>
      <w:r>
        <w:rPr>
          <w:b/>
          <w:bCs/>
        </w:rPr>
        <w:t>Sous-propriété de</w:t>
      </w:r>
    </w:p>
    <w:p w14:paraId="79C213F3" w14:textId="77777777" w:rsidR="00065317" w:rsidRDefault="005C7BF7">
      <w:pPr>
        <w:pStyle w:val="Corpsdetexte"/>
      </w:pPr>
      <w:r>
        <w:rPr>
          <w:b/>
          <w:bCs/>
        </w:rPr>
        <w:t>Super-propriété de</w:t>
      </w:r>
    </w:p>
    <w:p w14:paraId="258443FF" w14:textId="77777777" w:rsidR="00065317" w:rsidRDefault="005C7BF7">
      <w:pPr>
        <w:pStyle w:val="Corpsdetexte"/>
      </w:pPr>
      <w:r>
        <w:rPr>
          <w:b/>
          <w:bCs/>
        </w:rPr>
        <w:t>Quantification</w:t>
      </w:r>
    </w:p>
    <w:p w14:paraId="5E3144B5" w14:textId="77777777" w:rsidR="00065317" w:rsidRDefault="005C7BF7">
      <w:pPr>
        <w:pStyle w:val="Corpsdetexte"/>
      </w:pPr>
      <w:r>
        <w:t>plusieurs à plusieurs, nécessaire (1,n:0,n)</w:t>
      </w:r>
    </w:p>
    <w:p w14:paraId="2325C100" w14:textId="0D5C298B" w:rsidR="00065317" w:rsidRDefault="005C7BF7">
      <w:pPr>
        <w:pStyle w:val="Corpsdetexte"/>
      </w:pPr>
      <w:r>
        <w:rPr>
          <w:b/>
          <w:bCs/>
        </w:rPr>
        <w:t>Note d</w:t>
      </w:r>
      <w:r w:rsidR="00E84B0E">
        <w:rPr>
          <w:b/>
          <w:bCs/>
        </w:rPr>
        <w:t>’</w:t>
      </w:r>
      <w:r>
        <w:rPr>
          <w:b/>
          <w:bCs/>
        </w:rPr>
        <w:t>application</w:t>
      </w:r>
    </w:p>
    <w:p w14:paraId="7A69F064" w14:textId="0F2DDC95" w:rsidR="00065317" w:rsidRDefault="005C7BF7">
      <w:pPr>
        <w:pStyle w:val="Corpsdetexte"/>
      </w:pPr>
      <w:r>
        <w:t xml:space="preserve">Cette propriété identifie une destination, instance de </w:t>
      </w:r>
      <w:r>
        <w:rPr>
          <w:rStyle w:val="VerbatimChar"/>
        </w:rPr>
        <w:t>E53_Lieu</w:t>
      </w:r>
      <w:r>
        <w:t>, d</w:t>
      </w:r>
      <w:r w:rsidR="00E84B0E">
        <w:t>’</w:t>
      </w:r>
      <w:r>
        <w:t xml:space="preserve">une instance de </w:t>
      </w:r>
      <w:r>
        <w:rPr>
          <w:rStyle w:val="VerbatimChar"/>
        </w:rPr>
        <w:t>E9_Déplacement</w:t>
      </w:r>
      <w:r>
        <w:t>.</w:t>
      </w:r>
    </w:p>
    <w:p w14:paraId="4D3832E6" w14:textId="6116CFE1" w:rsidR="00065317" w:rsidRDefault="005C7BF7">
      <w:pPr>
        <w:pStyle w:val="Corpsdetexte"/>
      </w:pPr>
      <w:r>
        <w:t>Un déplacement est lié à une destination, par exemple le déplacement d</w:t>
      </w:r>
      <w:r w:rsidR="00E84B0E">
        <w:t>’</w:t>
      </w:r>
      <w:r>
        <w:t>un artefact depuis son lieu d</w:t>
      </w:r>
      <w:r w:rsidR="00E84B0E">
        <w:t>’</w:t>
      </w:r>
      <w:r>
        <w:t>entreposage vers son lieu d</w:t>
      </w:r>
      <w:r w:rsidR="00E84B0E">
        <w:t>’</w:t>
      </w:r>
      <w:r>
        <w:t xml:space="preserve">exposition. Un déplacement peut être lié à de nombreuses destinations, instances de </w:t>
      </w:r>
      <w:r>
        <w:rPr>
          <w:rStyle w:val="VerbatimChar"/>
        </w:rPr>
        <w:t>E53_Lieu</w:t>
      </w:r>
      <w:r>
        <w:t>, par de multiples instances de cette propriété. Dans ce cas, le déplacement décrit la distribution d</w:t>
      </w:r>
      <w:r w:rsidR="00E84B0E">
        <w:t>’</w:t>
      </w:r>
      <w:r>
        <w:t>un ensemble d</w:t>
      </w:r>
      <w:r w:rsidR="00E84B0E">
        <w:t>’</w:t>
      </w:r>
      <w:r>
        <w:t>objets. L</w:t>
      </w:r>
      <w:r w:rsidR="00E84B0E">
        <w:t>’</w:t>
      </w:r>
      <w:r>
        <w:t>étendue du déplacement inclut l</w:t>
      </w:r>
      <w:r w:rsidR="00E84B0E">
        <w:t>’</w:t>
      </w:r>
      <w:r>
        <w:t>origine ou les origines, le trajet et la ou les destinations.</w:t>
      </w:r>
    </w:p>
    <w:p w14:paraId="00058417" w14:textId="5497CDAD" w:rsidR="00065317" w:rsidRDefault="005C7BF7">
      <w:pPr>
        <w:pStyle w:val="Corpsdetexte"/>
      </w:pPr>
      <w:r>
        <w:t xml:space="preserve">Par conséquent, la destination décrite est une instance de </w:t>
      </w:r>
      <w:r>
        <w:rPr>
          <w:rStyle w:val="VerbatimChar"/>
        </w:rPr>
        <w:t>E53_Lieu</w:t>
      </w:r>
      <w:r>
        <w:t xml:space="preserve"> qui s</w:t>
      </w:r>
      <w:r w:rsidR="00E84B0E">
        <w:t>’</w:t>
      </w:r>
      <w:r>
        <w:t>insère dans (</w:t>
      </w:r>
      <w:r>
        <w:rPr>
          <w:rStyle w:val="VerbatimChar"/>
        </w:rPr>
        <w:t>P89_s</w:t>
      </w:r>
      <w:r w:rsidR="00E84B0E">
        <w:rPr>
          <w:rStyle w:val="VerbatimChar"/>
        </w:rPr>
        <w:t>’</w:t>
      </w:r>
      <w:r>
        <w:rPr>
          <w:rStyle w:val="VerbatimChar"/>
        </w:rPr>
        <w:t>insère_dans</w:t>
      </w:r>
      <w:r>
        <w:t>) l</w:t>
      </w:r>
      <w:r w:rsidR="00E84B0E">
        <w:t>’</w:t>
      </w:r>
      <w:r>
        <w:t xml:space="preserve">instance de </w:t>
      </w:r>
      <w:r>
        <w:rPr>
          <w:rStyle w:val="VerbatimChar"/>
        </w:rPr>
        <w:t>E53_Lieu</w:t>
      </w:r>
      <w:r>
        <w:t xml:space="preserve"> dans laquelle le déplacement a eu lieu (</w:t>
      </w:r>
      <w:r>
        <w:rPr>
          <w:rStyle w:val="VerbatimChar"/>
        </w:rPr>
        <w:t>P7_a_eu_lieu_dans</w:t>
      </w:r>
      <w:r>
        <w:t>).</w:t>
      </w:r>
    </w:p>
    <w:p w14:paraId="6EA9145C" w14:textId="77777777" w:rsidR="00065317" w:rsidRDefault="005C7BF7">
      <w:pPr>
        <w:pStyle w:val="Corpsdetexte"/>
      </w:pPr>
      <w:r>
        <w:rPr>
          <w:b/>
          <w:bCs/>
        </w:rPr>
        <w:t>Exemples</w:t>
      </w:r>
    </w:p>
    <w:p w14:paraId="677EFB7E" w14:textId="42096E0A" w:rsidR="00F54917" w:rsidRDefault="005C7BF7">
      <w:pPr>
        <w:numPr>
          <w:ilvl w:val="0"/>
          <w:numId w:val="167"/>
        </w:numPr>
      </w:pPr>
      <w:r>
        <w:t>Le déplacement de l</w:t>
      </w:r>
      <w:r w:rsidR="00E84B0E">
        <w:t>’</w:t>
      </w:r>
      <w:r>
        <w:t>exposition « Toutânkhamon, le trésor du Pharaon » entre le 15</w:t>
      </w:r>
      <w:r w:rsidR="00056DCD">
        <w:t> septembre </w:t>
      </w:r>
      <w:r>
        <w:t>et le 2</w:t>
      </w:r>
      <w:r w:rsidR="00056DCD">
        <w:t> novembre </w:t>
      </w:r>
      <w:r>
        <w:t>2019 (</w:t>
      </w:r>
      <w:r>
        <w:rPr>
          <w:rStyle w:val="VerbatimChar"/>
        </w:rPr>
        <w:t>E9_Déplacement</w:t>
      </w:r>
      <w:r>
        <w:t>) a déplacé vers (</w:t>
      </w:r>
      <w:r>
        <w:rPr>
          <w:rStyle w:val="VerbatimChar"/>
        </w:rPr>
        <w:t>P26_a_déplacé_vers</w:t>
      </w:r>
      <w:r>
        <w:t>) la galerie Saatchi à Londres (</w:t>
      </w:r>
      <w:r>
        <w:rPr>
          <w:rStyle w:val="VerbatimChar"/>
        </w:rPr>
        <w:t>E53_Lieu</w:t>
      </w:r>
      <w:r>
        <w:t>) les objets concernés.</w:t>
      </w:r>
    </w:p>
    <w:p w14:paraId="53C4DAC4" w14:textId="72764322" w:rsidR="00065317" w:rsidRDefault="00F54917" w:rsidP="00F54917">
      <w:pPr>
        <w:spacing w:after="0"/>
      </w:pPr>
      <w:r>
        <w:br w:type="page"/>
      </w:r>
    </w:p>
    <w:p w14:paraId="0D82F1F5" w14:textId="77777777" w:rsidR="00065317" w:rsidRDefault="005C7BF7">
      <w:pPr>
        <w:pStyle w:val="FirstParagraph"/>
      </w:pPr>
      <w:r>
        <w:rPr>
          <w:b/>
          <w:bCs/>
        </w:rPr>
        <w:lastRenderedPageBreak/>
        <w:t>Logique</w:t>
      </w:r>
    </w:p>
    <w:p w14:paraId="73890E08" w14:textId="77777777" w:rsidR="00065317" w:rsidRDefault="005C7BF7">
      <w:pPr>
        <w:pStyle w:val="Corpsdetexte"/>
      </w:pPr>
      <w:r>
        <w:t>P26(x,y) ⇒ E9(x)</w:t>
      </w:r>
    </w:p>
    <w:p w14:paraId="6BEC346D" w14:textId="77777777" w:rsidR="00065317" w:rsidRDefault="005C7BF7">
      <w:pPr>
        <w:pStyle w:val="Corpsdetexte"/>
      </w:pPr>
      <w:r>
        <w:t>P26(x,y) ⇒ E53(y)</w:t>
      </w:r>
    </w:p>
    <w:p w14:paraId="5FA42C9C" w14:textId="77777777" w:rsidR="00065317" w:rsidRDefault="005C7BF7">
      <w:pPr>
        <w:pStyle w:val="Corpsdetexte"/>
      </w:pPr>
      <w:r>
        <w:t>P26(x,y) ⇒ (∃z) [E53(z) ∧ P7(x,z) ∧ P89(y,z)]</w:t>
      </w:r>
    </w:p>
    <w:p w14:paraId="385055FB" w14:textId="77777777" w:rsidR="00065317" w:rsidRDefault="005C7BF7">
      <w:pPr>
        <w:pStyle w:val="Corpsdetexte"/>
      </w:pPr>
      <w:r>
        <w:rPr>
          <w:b/>
          <w:bCs/>
        </w:rPr>
        <w:t>Propriétés</w:t>
      </w:r>
    </w:p>
    <w:p w14:paraId="7CFF5AF1" w14:textId="77777777" w:rsidR="00065317" w:rsidRDefault="005C7BF7">
      <w:pPr>
        <w:pStyle w:val="Normalcentr"/>
      </w:pPr>
      <w:r>
        <w:rPr>
          <w:b/>
          <w:bCs/>
          <w:i/>
          <w:iCs/>
        </w:rPr>
        <w:t>Note de traduction</w:t>
      </w:r>
    </w:p>
    <w:p w14:paraId="6B50CACE" w14:textId="77777777" w:rsidR="00065317" w:rsidRDefault="005C7BF7">
      <w:pPr>
        <w:pStyle w:val="Normalcentr"/>
      </w:pPr>
      <w:r>
        <w:rPr>
          <w:b/>
          <w:bCs/>
          <w:i/>
          <w:iCs/>
        </w:rPr>
        <w:t>Références</w:t>
      </w:r>
    </w:p>
    <w:p w14:paraId="15813966" w14:textId="72953615" w:rsidR="00065317" w:rsidRDefault="005C7BF7">
      <w:pPr>
        <w:pStyle w:val="Normalcentr"/>
      </w:pPr>
      <w:r>
        <w:t xml:space="preserve">Wikipédia. « Expositions des vestiges archéologiques provenant de la tombe de Toutânkhamon ». Dans </w:t>
      </w:r>
      <w:r>
        <w:rPr>
          <w:i/>
          <w:iCs/>
        </w:rPr>
        <w:t>Wikipédia</w:t>
      </w:r>
      <w:r>
        <w:t>. San Francisco, US-CA: Wikipédia, 30</w:t>
      </w:r>
      <w:r w:rsidR="00056DCD">
        <w:t> janvier </w:t>
      </w:r>
      <w:r>
        <w:t>2021.</w:t>
      </w:r>
      <w:hyperlink r:id="rId224">
        <w:r>
          <w:rPr>
            <w:rStyle w:val="Lienhypertexte"/>
          </w:rPr>
          <w:t xml:space="preserve"> </w:t>
        </w:r>
      </w:hyperlink>
      <w:hyperlink r:id="rId225">
        <w:r>
          <w:rPr>
            <w:rStyle w:val="Lienhypertexte"/>
          </w:rPr>
          <w:t>https://fr.wikipedia.org/w/index.php?title=Expositions_des_vestiges_arch%C3%A9ologiques_provenant_de_la_tombe_de_Tout%C3%A2nkhamon&amp;oldid=179392035</w:t>
        </w:r>
      </w:hyperlink>
      <w:r>
        <w:t>.</w:t>
      </w:r>
    </w:p>
    <w:p w14:paraId="1983BB93" w14:textId="77777777" w:rsidR="00065317" w:rsidRDefault="005C7BF7" w:rsidP="00914F34">
      <w:pPr>
        <w:pStyle w:val="Titre3"/>
      </w:pPr>
      <w:bookmarkStart w:id="318" w:name="_Toc154048844"/>
      <w:bookmarkStart w:id="319" w:name="X3860eb6f626757cf8f8deddcde920375015932f"/>
      <w:bookmarkEnd w:id="317"/>
      <w:r>
        <w:t>P27 a déplacé depuis (a été le point de départ de)</w:t>
      </w:r>
      <w:bookmarkEnd w:id="318"/>
    </w:p>
    <w:p w14:paraId="6DBFAEBF" w14:textId="77777777" w:rsidR="00065317" w:rsidRDefault="005C7BF7">
      <w:pPr>
        <w:pStyle w:val="FirstParagraph"/>
      </w:pPr>
      <w:r>
        <w:rPr>
          <w:b/>
          <w:bCs/>
        </w:rPr>
        <w:t>Domaine</w:t>
      </w:r>
    </w:p>
    <w:p w14:paraId="6D9FC600" w14:textId="77777777" w:rsidR="00065317" w:rsidRDefault="005C7BF7">
      <w:pPr>
        <w:pStyle w:val="Corpsdetexte"/>
      </w:pPr>
      <w:r>
        <w:rPr>
          <w:rStyle w:val="VerbatimChar"/>
        </w:rPr>
        <w:t>E9_Déplacement</w:t>
      </w:r>
    </w:p>
    <w:p w14:paraId="257BEE81" w14:textId="77777777" w:rsidR="00065317" w:rsidRDefault="005C7BF7">
      <w:pPr>
        <w:pStyle w:val="Corpsdetexte"/>
      </w:pPr>
      <w:r>
        <w:rPr>
          <w:b/>
          <w:bCs/>
        </w:rPr>
        <w:t>Portée</w:t>
      </w:r>
    </w:p>
    <w:p w14:paraId="1E79921F" w14:textId="77777777" w:rsidR="00065317" w:rsidRDefault="005C7BF7">
      <w:pPr>
        <w:pStyle w:val="Corpsdetexte"/>
      </w:pPr>
      <w:r>
        <w:rPr>
          <w:rStyle w:val="VerbatimChar"/>
        </w:rPr>
        <w:t>E53_Lieu</w:t>
      </w:r>
    </w:p>
    <w:p w14:paraId="38E77F23" w14:textId="77777777" w:rsidR="00065317" w:rsidRDefault="005C7BF7">
      <w:pPr>
        <w:pStyle w:val="Corpsdetexte"/>
      </w:pPr>
      <w:r>
        <w:rPr>
          <w:b/>
          <w:bCs/>
        </w:rPr>
        <w:t>Sous-propriété de</w:t>
      </w:r>
    </w:p>
    <w:p w14:paraId="24052D52" w14:textId="77777777" w:rsidR="00065317" w:rsidRDefault="005C7BF7">
      <w:pPr>
        <w:pStyle w:val="Corpsdetexte"/>
      </w:pPr>
      <w:r>
        <w:rPr>
          <w:b/>
          <w:bCs/>
        </w:rPr>
        <w:t>Super-propriété de</w:t>
      </w:r>
    </w:p>
    <w:p w14:paraId="75A860D4" w14:textId="77777777" w:rsidR="00065317" w:rsidRDefault="005C7BF7">
      <w:pPr>
        <w:pStyle w:val="Corpsdetexte"/>
      </w:pPr>
      <w:r>
        <w:rPr>
          <w:b/>
          <w:bCs/>
        </w:rPr>
        <w:t>Quantification</w:t>
      </w:r>
    </w:p>
    <w:p w14:paraId="57978E24" w14:textId="77777777" w:rsidR="00065317" w:rsidRDefault="005C7BF7">
      <w:pPr>
        <w:pStyle w:val="Corpsdetexte"/>
      </w:pPr>
      <w:r>
        <w:t>plusieurs à plusieurs, nécessaire (1,n:0,n)</w:t>
      </w:r>
    </w:p>
    <w:p w14:paraId="6C34CEEC" w14:textId="647C999D" w:rsidR="00065317" w:rsidRDefault="005C7BF7">
      <w:pPr>
        <w:pStyle w:val="Corpsdetexte"/>
      </w:pPr>
      <w:r>
        <w:rPr>
          <w:b/>
          <w:bCs/>
        </w:rPr>
        <w:t>Note d</w:t>
      </w:r>
      <w:r w:rsidR="00E84B0E">
        <w:rPr>
          <w:b/>
          <w:bCs/>
        </w:rPr>
        <w:t>’</w:t>
      </w:r>
      <w:r>
        <w:rPr>
          <w:b/>
          <w:bCs/>
        </w:rPr>
        <w:t>application</w:t>
      </w:r>
    </w:p>
    <w:p w14:paraId="40F31764" w14:textId="67D2FF85" w:rsidR="00065317" w:rsidRDefault="005C7BF7">
      <w:pPr>
        <w:pStyle w:val="Corpsdetexte"/>
      </w:pPr>
      <w:r>
        <w:t xml:space="preserve">Cette propriété identifie une origine, qui est une instance de </w:t>
      </w:r>
      <w:r>
        <w:rPr>
          <w:rStyle w:val="VerbatimChar"/>
        </w:rPr>
        <w:t>E53_Lieu</w:t>
      </w:r>
      <w:r>
        <w:t>, d</w:t>
      </w:r>
      <w:r w:rsidR="00E84B0E">
        <w:t>’</w:t>
      </w:r>
      <w:r>
        <w:t xml:space="preserve">une instance de </w:t>
      </w:r>
      <w:r>
        <w:rPr>
          <w:rStyle w:val="VerbatimChar"/>
        </w:rPr>
        <w:t>E9_Déplacement</w:t>
      </w:r>
      <w:r>
        <w:t>.</w:t>
      </w:r>
    </w:p>
    <w:p w14:paraId="48D52148" w14:textId="0FBF4B96" w:rsidR="00065317" w:rsidRDefault="005C7BF7">
      <w:pPr>
        <w:pStyle w:val="Corpsdetexte"/>
      </w:pPr>
      <w:r>
        <w:t>Un déplacement est lié à une origine, par exemple le déplacement d</w:t>
      </w:r>
      <w:r w:rsidR="00E84B0E">
        <w:t>’</w:t>
      </w:r>
      <w:r>
        <w:t>un artefact depuis son espace d</w:t>
      </w:r>
      <w:r w:rsidR="00E84B0E">
        <w:t>’</w:t>
      </w:r>
      <w:r>
        <w:t>entreposage vers son lieu d</w:t>
      </w:r>
      <w:r w:rsidR="00E84B0E">
        <w:t>’</w:t>
      </w:r>
      <w:r>
        <w:t xml:space="preserve">exposition. Un déplacement peut être lié à de nombreuses instances de </w:t>
      </w:r>
      <w:r>
        <w:rPr>
          <w:rStyle w:val="VerbatimChar"/>
        </w:rPr>
        <w:t>E53_Lieu</w:t>
      </w:r>
      <w:r>
        <w:t xml:space="preserve"> de départ par de multiples occurrences de cette propriété. Dans ce cas, le déplacement décrit le ramassage d</w:t>
      </w:r>
      <w:r w:rsidR="00E84B0E">
        <w:t>’</w:t>
      </w:r>
      <w:r>
        <w:t>un ensemble d</w:t>
      </w:r>
      <w:r w:rsidR="00E84B0E">
        <w:t>’</w:t>
      </w:r>
      <w:r>
        <w:t>objets. L</w:t>
      </w:r>
      <w:r w:rsidR="00E84B0E">
        <w:t>’</w:t>
      </w:r>
      <w:r>
        <w:t>étendue du déplacement inclut l</w:t>
      </w:r>
      <w:r w:rsidR="00E84B0E">
        <w:t>’</w:t>
      </w:r>
      <w:r>
        <w:t>origine ou les origines, le trajet et la ou les destinations.</w:t>
      </w:r>
    </w:p>
    <w:p w14:paraId="336AABB6" w14:textId="3CA633DA" w:rsidR="00065317" w:rsidRDefault="005C7BF7">
      <w:pPr>
        <w:pStyle w:val="Corpsdetexte"/>
      </w:pPr>
      <w:r>
        <w:t>Par conséquent, l</w:t>
      </w:r>
      <w:r w:rsidR="00E84B0E">
        <w:t>’</w:t>
      </w:r>
      <w:r>
        <w:t xml:space="preserve">origine décrite est une instance de </w:t>
      </w:r>
      <w:r>
        <w:rPr>
          <w:rStyle w:val="VerbatimChar"/>
        </w:rPr>
        <w:t>E53_Lieu</w:t>
      </w:r>
      <w:r>
        <w:t xml:space="preserve"> qui s</w:t>
      </w:r>
      <w:r w:rsidR="00E84B0E">
        <w:t>’</w:t>
      </w:r>
      <w:r>
        <w:t>insère dans (</w:t>
      </w:r>
      <w:r>
        <w:rPr>
          <w:rStyle w:val="VerbatimChar"/>
        </w:rPr>
        <w:t>P89_s</w:t>
      </w:r>
      <w:r w:rsidR="00E84B0E">
        <w:rPr>
          <w:rStyle w:val="VerbatimChar"/>
        </w:rPr>
        <w:t>’</w:t>
      </w:r>
      <w:r>
        <w:rPr>
          <w:rStyle w:val="VerbatimChar"/>
        </w:rPr>
        <w:t>insère_dans</w:t>
      </w:r>
      <w:r>
        <w:t>) l</w:t>
      </w:r>
      <w:r w:rsidR="00E84B0E">
        <w:t>’</w:t>
      </w:r>
      <w:r>
        <w:t xml:space="preserve">instance de </w:t>
      </w:r>
      <w:r>
        <w:rPr>
          <w:rStyle w:val="VerbatimChar"/>
        </w:rPr>
        <w:t>E53_Lieu</w:t>
      </w:r>
      <w:r>
        <w:t xml:space="preserve"> dans laquelle le déplacement a eu lieu (</w:t>
      </w:r>
      <w:r>
        <w:rPr>
          <w:rStyle w:val="VerbatimChar"/>
        </w:rPr>
        <w:t>P7_a_eu_lieu_dans</w:t>
      </w:r>
      <w:r>
        <w:t>).</w:t>
      </w:r>
    </w:p>
    <w:p w14:paraId="1E4A35D1" w14:textId="77777777" w:rsidR="00065317" w:rsidRDefault="005C7BF7">
      <w:pPr>
        <w:pStyle w:val="Corpsdetexte"/>
      </w:pPr>
      <w:r>
        <w:rPr>
          <w:b/>
          <w:bCs/>
        </w:rPr>
        <w:t>Exemples</w:t>
      </w:r>
    </w:p>
    <w:p w14:paraId="1FFF5E75" w14:textId="356DE035" w:rsidR="00F54917" w:rsidRDefault="005C7BF7">
      <w:pPr>
        <w:numPr>
          <w:ilvl w:val="0"/>
          <w:numId w:val="168"/>
        </w:numPr>
      </w:pPr>
      <w:r>
        <w:t>Le déplacement de l</w:t>
      </w:r>
      <w:r w:rsidR="00E84B0E">
        <w:t>’</w:t>
      </w:r>
      <w:r>
        <w:t>exposition « Toutânkhamon, le trésor du Pharaon » entre le 15</w:t>
      </w:r>
      <w:r w:rsidR="00056DCD">
        <w:t> septembre </w:t>
      </w:r>
      <w:r>
        <w:t>et le 2</w:t>
      </w:r>
      <w:r w:rsidR="00056DCD">
        <w:t> novembre </w:t>
      </w:r>
      <w:r>
        <w:t>2019 (</w:t>
      </w:r>
      <w:r>
        <w:rPr>
          <w:rStyle w:val="VerbatimChar"/>
        </w:rPr>
        <w:t>E9_Déplacement</w:t>
      </w:r>
      <w:r>
        <w:t>) a déplacé depuis (</w:t>
      </w:r>
      <w:r>
        <w:rPr>
          <w:rStyle w:val="VerbatimChar"/>
        </w:rPr>
        <w:t>P27_a_déplacé_depuis</w:t>
      </w:r>
      <w:r>
        <w:t>) la Grande Halle de la Villette à Paris (</w:t>
      </w:r>
      <w:r>
        <w:rPr>
          <w:rStyle w:val="VerbatimChar"/>
        </w:rPr>
        <w:t>E53_Lieu</w:t>
      </w:r>
      <w:r>
        <w:t>) les objets concernés.</w:t>
      </w:r>
    </w:p>
    <w:p w14:paraId="4C1AA662" w14:textId="399E86CE" w:rsidR="00065317" w:rsidRDefault="00F54917" w:rsidP="00F54917">
      <w:pPr>
        <w:spacing w:after="0"/>
      </w:pPr>
      <w:r>
        <w:br w:type="page"/>
      </w:r>
    </w:p>
    <w:p w14:paraId="22D76594" w14:textId="77777777" w:rsidR="00065317" w:rsidRDefault="005C7BF7">
      <w:pPr>
        <w:pStyle w:val="FirstParagraph"/>
      </w:pPr>
      <w:r>
        <w:rPr>
          <w:b/>
          <w:bCs/>
        </w:rPr>
        <w:lastRenderedPageBreak/>
        <w:t>Logique</w:t>
      </w:r>
    </w:p>
    <w:p w14:paraId="3C60A5A6" w14:textId="77777777" w:rsidR="00065317" w:rsidRDefault="005C7BF7">
      <w:pPr>
        <w:pStyle w:val="Corpsdetexte"/>
      </w:pPr>
      <w:r>
        <w:t>P27(x,y) ⇒ E9(x)</w:t>
      </w:r>
    </w:p>
    <w:p w14:paraId="62BFA4B3" w14:textId="77777777" w:rsidR="00065317" w:rsidRDefault="005C7BF7">
      <w:pPr>
        <w:pStyle w:val="Corpsdetexte"/>
      </w:pPr>
      <w:r>
        <w:t>P27(x,y) ⇒ E53(y)</w:t>
      </w:r>
    </w:p>
    <w:p w14:paraId="6D1E473C" w14:textId="77777777" w:rsidR="00065317" w:rsidRDefault="005C7BF7">
      <w:pPr>
        <w:pStyle w:val="Corpsdetexte"/>
      </w:pPr>
      <w:r>
        <w:t>P27(x,y) ⇒ (∃z) [E53(z) ∧ P7(x,z) ∧ P89(y,z)]</w:t>
      </w:r>
    </w:p>
    <w:p w14:paraId="0A13480C" w14:textId="284EEBFC" w:rsidR="00144B23" w:rsidRDefault="005C7BF7" w:rsidP="00914F34">
      <w:pPr>
        <w:pStyle w:val="Corpsdetexte"/>
      </w:pPr>
      <w:r>
        <w:rPr>
          <w:b/>
          <w:bCs/>
        </w:rPr>
        <w:t>Propriétés</w:t>
      </w:r>
    </w:p>
    <w:p w14:paraId="317C89F6" w14:textId="64180F63" w:rsidR="00065317" w:rsidRDefault="005C7BF7">
      <w:pPr>
        <w:pStyle w:val="Normalcentr"/>
      </w:pPr>
      <w:r>
        <w:rPr>
          <w:b/>
          <w:bCs/>
          <w:i/>
          <w:iCs/>
        </w:rPr>
        <w:t>Note de traduction</w:t>
      </w:r>
    </w:p>
    <w:p w14:paraId="11C5710C" w14:textId="7FF2B240" w:rsidR="00065317" w:rsidRDefault="005C7BF7">
      <w:pPr>
        <w:pStyle w:val="Normalcentr"/>
      </w:pPr>
      <w:r>
        <w:t>Dans Wikipédia, l</w:t>
      </w:r>
      <w:r w:rsidR="00E84B0E">
        <w:t>’</w:t>
      </w:r>
      <w:r>
        <w:t>exposition « Tutankhamun: Treasures of the Golden Pharaoh » a été traduite en français par « Trésors du pharaon d</w:t>
      </w:r>
      <w:r w:rsidR="00E84B0E">
        <w:t>’</w:t>
      </w:r>
      <w:r>
        <w:t>or ».</w:t>
      </w:r>
    </w:p>
    <w:p w14:paraId="5E8E8232" w14:textId="77777777" w:rsidR="00065317" w:rsidRDefault="005C7BF7">
      <w:pPr>
        <w:pStyle w:val="Normalcentr"/>
      </w:pPr>
      <w:r>
        <w:rPr>
          <w:b/>
          <w:bCs/>
          <w:i/>
          <w:iCs/>
        </w:rPr>
        <w:t>Références</w:t>
      </w:r>
    </w:p>
    <w:p w14:paraId="1C2591C8" w14:textId="3EB03E29" w:rsidR="00065317" w:rsidRDefault="005C7BF7">
      <w:pPr>
        <w:pStyle w:val="Normalcentr"/>
      </w:pPr>
      <w:r>
        <w:t xml:space="preserve">Wikipédia. « Expositions des vestiges archéologiques provenant de la tombe de Toutânkhamon ». Dans </w:t>
      </w:r>
      <w:r>
        <w:rPr>
          <w:i/>
          <w:iCs/>
        </w:rPr>
        <w:t>Wikipédia</w:t>
      </w:r>
      <w:r>
        <w:t>. San Francisco, US-CA: Wikipédia, 30</w:t>
      </w:r>
      <w:r w:rsidR="00056DCD">
        <w:t> janvier </w:t>
      </w:r>
      <w:r>
        <w:t>2021.</w:t>
      </w:r>
      <w:hyperlink r:id="rId226">
        <w:r>
          <w:rPr>
            <w:rStyle w:val="Lienhypertexte"/>
          </w:rPr>
          <w:t xml:space="preserve"> </w:t>
        </w:r>
      </w:hyperlink>
      <w:hyperlink r:id="rId227">
        <w:r>
          <w:rPr>
            <w:rStyle w:val="Lienhypertexte"/>
          </w:rPr>
          <w:t>https://fr.wikipedia.org/w/index.php?title=Expositions_des_vestiges_arch%C3%A9ologiques_provenant_de_la_tombe_de_Tout%C3%A2nkhamon&amp;oldid=179392035</w:t>
        </w:r>
      </w:hyperlink>
      <w:r>
        <w:t>.</w:t>
      </w:r>
    </w:p>
    <w:p w14:paraId="6856626C" w14:textId="77777777" w:rsidR="00065317" w:rsidRDefault="005C7BF7" w:rsidP="00914F34">
      <w:pPr>
        <w:pStyle w:val="Titre3"/>
      </w:pPr>
      <w:bookmarkStart w:id="320" w:name="_Toc154048845"/>
      <w:bookmarkStart w:id="321" w:name="X86b7c21618d3fe37cda426441d237e5d7fad2d3"/>
      <w:bookmarkEnd w:id="319"/>
      <w:r>
        <w:t>P28 a mis fin à la garde par (a cédé la garde par)</w:t>
      </w:r>
      <w:bookmarkEnd w:id="320"/>
    </w:p>
    <w:p w14:paraId="550AAEFC" w14:textId="77777777" w:rsidR="00065317" w:rsidRDefault="005C7BF7">
      <w:pPr>
        <w:pStyle w:val="FirstParagraph"/>
      </w:pPr>
      <w:r>
        <w:rPr>
          <w:b/>
          <w:bCs/>
        </w:rPr>
        <w:t>Domaine</w:t>
      </w:r>
    </w:p>
    <w:p w14:paraId="15E7ED04" w14:textId="77777777" w:rsidR="00065317" w:rsidRDefault="005C7BF7">
      <w:pPr>
        <w:pStyle w:val="Corpsdetexte"/>
      </w:pPr>
      <w:r>
        <w:rPr>
          <w:rStyle w:val="VerbatimChar"/>
        </w:rPr>
        <w:t>E10_Transfert_de_la_garde</w:t>
      </w:r>
    </w:p>
    <w:p w14:paraId="7D7C6267" w14:textId="77777777" w:rsidR="00065317" w:rsidRDefault="005C7BF7">
      <w:pPr>
        <w:pStyle w:val="Corpsdetexte"/>
      </w:pPr>
      <w:r>
        <w:rPr>
          <w:b/>
          <w:bCs/>
        </w:rPr>
        <w:t>Portée</w:t>
      </w:r>
    </w:p>
    <w:p w14:paraId="27D81337" w14:textId="77777777" w:rsidR="00065317" w:rsidRDefault="005C7BF7">
      <w:pPr>
        <w:pStyle w:val="Corpsdetexte"/>
      </w:pPr>
      <w:r>
        <w:rPr>
          <w:rStyle w:val="VerbatimChar"/>
        </w:rPr>
        <w:t>E39_Actant</w:t>
      </w:r>
    </w:p>
    <w:p w14:paraId="2765D9F5" w14:textId="77777777" w:rsidR="00065317" w:rsidRDefault="005C7BF7">
      <w:pPr>
        <w:pStyle w:val="Corpsdetexte"/>
      </w:pPr>
      <w:r>
        <w:rPr>
          <w:b/>
          <w:bCs/>
        </w:rPr>
        <w:t>Sous-propriété de</w:t>
      </w:r>
    </w:p>
    <w:p w14:paraId="09674F98" w14:textId="77777777" w:rsidR="00065317" w:rsidRDefault="005C7BF7">
      <w:pPr>
        <w:pStyle w:val="Corpsdetexte"/>
      </w:pPr>
      <w:r>
        <w:rPr>
          <w:rStyle w:val="VerbatimChar"/>
        </w:rPr>
        <w:t>E7_Activité</w:t>
      </w:r>
      <w:r>
        <w:t xml:space="preserve">. </w:t>
      </w:r>
      <w:r>
        <w:rPr>
          <w:rStyle w:val="VerbatimChar"/>
        </w:rPr>
        <w:t>P14_a_été_effectué_par (a_effectué)</w:t>
      </w:r>
      <w:r>
        <w:t xml:space="preserve"> : </w:t>
      </w:r>
      <w:r>
        <w:rPr>
          <w:rStyle w:val="VerbatimChar"/>
        </w:rPr>
        <w:t>E39_Actant</w:t>
      </w:r>
    </w:p>
    <w:p w14:paraId="5B65278D" w14:textId="77777777" w:rsidR="00065317" w:rsidRDefault="005C7BF7">
      <w:pPr>
        <w:pStyle w:val="Corpsdetexte"/>
      </w:pPr>
      <w:r>
        <w:rPr>
          <w:b/>
          <w:bCs/>
        </w:rPr>
        <w:t>Super-propriété de</w:t>
      </w:r>
    </w:p>
    <w:p w14:paraId="52AB21F1" w14:textId="77777777" w:rsidR="00065317" w:rsidRDefault="005C7BF7">
      <w:pPr>
        <w:pStyle w:val="Corpsdetexte"/>
      </w:pPr>
      <w:r>
        <w:rPr>
          <w:b/>
          <w:bCs/>
        </w:rPr>
        <w:t>Quantification</w:t>
      </w:r>
    </w:p>
    <w:p w14:paraId="0A41EC9A" w14:textId="77777777" w:rsidR="00065317" w:rsidRDefault="005C7BF7">
      <w:pPr>
        <w:pStyle w:val="Corpsdetexte"/>
      </w:pPr>
      <w:r>
        <w:t>plusieurs à plusieurs (0,n:0,n)</w:t>
      </w:r>
    </w:p>
    <w:p w14:paraId="1E1E7F74" w14:textId="3FC2D94C" w:rsidR="00065317" w:rsidRDefault="005C7BF7">
      <w:pPr>
        <w:pStyle w:val="Corpsdetexte"/>
      </w:pPr>
      <w:r>
        <w:rPr>
          <w:b/>
          <w:bCs/>
        </w:rPr>
        <w:t>Note d</w:t>
      </w:r>
      <w:r w:rsidR="00E84B0E">
        <w:rPr>
          <w:b/>
          <w:bCs/>
        </w:rPr>
        <w:t>’</w:t>
      </w:r>
      <w:r>
        <w:rPr>
          <w:b/>
          <w:bCs/>
        </w:rPr>
        <w:t>application</w:t>
      </w:r>
    </w:p>
    <w:p w14:paraId="130C3EC3" w14:textId="65064003" w:rsidR="00065317" w:rsidRDefault="005C7BF7">
      <w:pPr>
        <w:pStyle w:val="Corpsdetexte"/>
      </w:pPr>
      <w:r>
        <w:t xml:space="preserve">Cette propriété identifie la ou les instances de </w:t>
      </w:r>
      <w:r>
        <w:rPr>
          <w:rStyle w:val="VerbatimChar"/>
        </w:rPr>
        <w:t>E39_Actant</w:t>
      </w:r>
      <w:r>
        <w:t xml:space="preserve"> qui cèdent la garde d</w:t>
      </w:r>
      <w:r w:rsidR="00E84B0E">
        <w:t>’</w:t>
      </w:r>
      <w:r>
        <w:t xml:space="preserve">une instance de </w:t>
      </w:r>
      <w:r>
        <w:rPr>
          <w:rStyle w:val="VerbatimChar"/>
        </w:rPr>
        <w:t>E18_Chose_matérielle</w:t>
      </w:r>
      <w:r>
        <w:t xml:space="preserve"> lors d</w:t>
      </w:r>
      <w:r w:rsidR="00E84B0E">
        <w:t>’</w:t>
      </w:r>
      <w:r>
        <w:t xml:space="preserve">une instance de </w:t>
      </w:r>
      <w:r>
        <w:rPr>
          <w:rStyle w:val="VerbatimChar"/>
        </w:rPr>
        <w:t>E10_Transfert_de_la_garde</w:t>
      </w:r>
      <w:r>
        <w:t>.</w:t>
      </w:r>
    </w:p>
    <w:p w14:paraId="57D08C77" w14:textId="277A16BB" w:rsidR="00065317" w:rsidRDefault="005C7BF7">
      <w:pPr>
        <w:pStyle w:val="Corpsdetexte"/>
      </w:pPr>
      <w:r>
        <w:t xml:space="preserve">Généralement, la propriété </w:t>
      </w:r>
      <w:r>
        <w:rPr>
          <w:rStyle w:val="VerbatimChar"/>
        </w:rPr>
        <w:t>P28_a_mis_fin_à_la_garde_par (a_cédé_la_garde_par)</w:t>
      </w:r>
      <w:r>
        <w:t xml:space="preserve"> décrit un actant cédant la garde d</w:t>
      </w:r>
      <w:r w:rsidR="00E84B0E">
        <w:t>’</w:t>
      </w:r>
      <w:r>
        <w:t>un objet en le remettant aux soins d</w:t>
      </w:r>
      <w:r w:rsidR="00E84B0E">
        <w:t>’</w:t>
      </w:r>
      <w:r>
        <w:t>un autre actant. Parfois, la garde physique peut être cédée de manière involontaire par le biais d</w:t>
      </w:r>
      <w:r w:rsidR="00E84B0E">
        <w:t>’</w:t>
      </w:r>
      <w:r>
        <w:t>un accident, d</w:t>
      </w:r>
      <w:r w:rsidR="00E84B0E">
        <w:t>’</w:t>
      </w:r>
      <w:r>
        <w:t>une perte ou d</w:t>
      </w:r>
      <w:r w:rsidR="00E84B0E">
        <w:t>’</w:t>
      </w:r>
      <w:r>
        <w:t>un vol.</w:t>
      </w:r>
    </w:p>
    <w:p w14:paraId="76A991F6" w14:textId="1103B6F9" w:rsidR="00065317" w:rsidRDefault="005C7BF7">
      <w:pPr>
        <w:pStyle w:val="Corpsdetexte"/>
      </w:pPr>
      <w:r>
        <w:t>Concrètement, la garde est soit transférée à un actant ou d</w:t>
      </w:r>
      <w:r w:rsidR="00E84B0E">
        <w:t>’</w:t>
      </w:r>
      <w:r>
        <w:t>un actant, soit les deux.</w:t>
      </w:r>
    </w:p>
    <w:p w14:paraId="62517750" w14:textId="77777777" w:rsidR="00065317" w:rsidRDefault="005C7BF7">
      <w:pPr>
        <w:pStyle w:val="Corpsdetexte"/>
      </w:pPr>
      <w:r>
        <w:rPr>
          <w:b/>
          <w:bCs/>
        </w:rPr>
        <w:t>Exemples</w:t>
      </w:r>
    </w:p>
    <w:p w14:paraId="6A5B1618" w14:textId="34CDF8AC" w:rsidR="00F54917" w:rsidRDefault="005C7BF7">
      <w:pPr>
        <w:numPr>
          <w:ilvl w:val="0"/>
          <w:numId w:val="169"/>
        </w:numPr>
      </w:pPr>
      <w:r>
        <w:t>L</w:t>
      </w:r>
      <w:r w:rsidR="00E84B0E">
        <w:t>’</w:t>
      </w:r>
      <w:r>
        <w:t>équipe de Secure Deliveries Inc. (</w:t>
      </w:r>
      <w:r>
        <w:rPr>
          <w:rStyle w:val="VerbatimChar"/>
        </w:rPr>
        <w:t>E74_Groupe</w:t>
      </w:r>
      <w:r>
        <w:t>) a cédé la garde par (</w:t>
      </w:r>
      <w:r>
        <w:rPr>
          <w:rStyle w:val="VerbatimChar"/>
        </w:rPr>
        <w:t>P28i_a_cédé_la_garde_par</w:t>
      </w:r>
      <w:r>
        <w:t>) la livraison des œuvres peintes par Secure Deliveries Inc. à la National Gallery (</w:t>
      </w:r>
      <w:r>
        <w:rPr>
          <w:rStyle w:val="VerbatimChar"/>
        </w:rPr>
        <w:t>E10_Transfert_de_la_garde</w:t>
      </w:r>
      <w:r>
        <w:t>)</w:t>
      </w:r>
    </w:p>
    <w:p w14:paraId="36D21720" w14:textId="4118C0AE" w:rsidR="00065317" w:rsidRDefault="00F54917" w:rsidP="00F54917">
      <w:pPr>
        <w:spacing w:after="0"/>
      </w:pPr>
      <w:r>
        <w:br w:type="page"/>
      </w:r>
    </w:p>
    <w:p w14:paraId="436B9559" w14:textId="77777777" w:rsidR="00065317" w:rsidRDefault="005C7BF7">
      <w:pPr>
        <w:pStyle w:val="FirstParagraph"/>
      </w:pPr>
      <w:r>
        <w:rPr>
          <w:b/>
          <w:bCs/>
        </w:rPr>
        <w:lastRenderedPageBreak/>
        <w:t>Logique</w:t>
      </w:r>
    </w:p>
    <w:p w14:paraId="114D5020" w14:textId="77777777" w:rsidR="00065317" w:rsidRDefault="005C7BF7">
      <w:pPr>
        <w:pStyle w:val="Corpsdetexte"/>
      </w:pPr>
      <w:r>
        <w:t>P28(x,y) ⇒ E10(x)</w:t>
      </w:r>
    </w:p>
    <w:p w14:paraId="5E079877" w14:textId="77777777" w:rsidR="00065317" w:rsidRDefault="005C7BF7">
      <w:pPr>
        <w:pStyle w:val="Corpsdetexte"/>
      </w:pPr>
      <w:r>
        <w:t>P28(x,y) ⇒ E39(y)</w:t>
      </w:r>
    </w:p>
    <w:p w14:paraId="6470F9F3" w14:textId="77777777" w:rsidR="00065317" w:rsidRDefault="005C7BF7">
      <w:pPr>
        <w:pStyle w:val="Corpsdetexte"/>
      </w:pPr>
      <w:r>
        <w:t>P28(x,y) ⇒ P14(x,y)</w:t>
      </w:r>
    </w:p>
    <w:p w14:paraId="5D31CE9F" w14:textId="77777777" w:rsidR="00065317" w:rsidRDefault="005C7BF7">
      <w:pPr>
        <w:pStyle w:val="Corpsdetexte"/>
      </w:pPr>
      <w:r>
        <w:rPr>
          <w:b/>
          <w:bCs/>
        </w:rPr>
        <w:t>Propriétés</w:t>
      </w:r>
    </w:p>
    <w:p w14:paraId="5AD08074" w14:textId="77777777" w:rsidR="00065317" w:rsidRDefault="005C7BF7">
      <w:pPr>
        <w:pStyle w:val="Normalcentr"/>
      </w:pPr>
      <w:r>
        <w:rPr>
          <w:b/>
          <w:bCs/>
          <w:i/>
          <w:iCs/>
        </w:rPr>
        <w:t>Note de traduction</w:t>
      </w:r>
    </w:p>
    <w:p w14:paraId="2F0D3362" w14:textId="76BFFB1C" w:rsidR="00065317" w:rsidRDefault="005C7BF7" w:rsidP="003773B9">
      <w:pPr>
        <w:pStyle w:val="Normalcentr"/>
      </w:pPr>
      <w:r>
        <w:rPr>
          <w:b/>
          <w:bCs/>
          <w:i/>
          <w:iCs/>
        </w:rPr>
        <w:t>Références</w:t>
      </w:r>
    </w:p>
    <w:p w14:paraId="2878F518" w14:textId="77777777" w:rsidR="00065317" w:rsidRDefault="005C7BF7" w:rsidP="00914F34">
      <w:pPr>
        <w:pStyle w:val="Titre3"/>
      </w:pPr>
      <w:bookmarkStart w:id="322" w:name="_Toc154048846"/>
      <w:bookmarkStart w:id="323" w:name="X4b892d875e70a33ae1dfc732387db8731db2012"/>
      <w:bookmarkEnd w:id="321"/>
      <w:r>
        <w:t>P29 a confié la garde par (a reçu la garde par)</w:t>
      </w:r>
      <w:bookmarkEnd w:id="322"/>
    </w:p>
    <w:p w14:paraId="435F5FED" w14:textId="77777777" w:rsidR="00065317" w:rsidRDefault="005C7BF7">
      <w:pPr>
        <w:pStyle w:val="FirstParagraph"/>
      </w:pPr>
      <w:r>
        <w:rPr>
          <w:b/>
          <w:bCs/>
        </w:rPr>
        <w:t>Domaine</w:t>
      </w:r>
    </w:p>
    <w:p w14:paraId="3CEFE881" w14:textId="77777777" w:rsidR="00065317" w:rsidRDefault="005C7BF7">
      <w:pPr>
        <w:pStyle w:val="Corpsdetexte"/>
      </w:pPr>
      <w:r>
        <w:rPr>
          <w:rStyle w:val="VerbatimChar"/>
        </w:rPr>
        <w:t>E10_Transfert_de_la_garde</w:t>
      </w:r>
    </w:p>
    <w:p w14:paraId="5AB77BCC" w14:textId="77777777" w:rsidR="00065317" w:rsidRDefault="005C7BF7">
      <w:pPr>
        <w:pStyle w:val="Corpsdetexte"/>
      </w:pPr>
      <w:r>
        <w:rPr>
          <w:b/>
          <w:bCs/>
        </w:rPr>
        <w:t>Portée</w:t>
      </w:r>
    </w:p>
    <w:p w14:paraId="4C152045" w14:textId="77777777" w:rsidR="00065317" w:rsidRDefault="005C7BF7">
      <w:pPr>
        <w:pStyle w:val="Corpsdetexte"/>
      </w:pPr>
      <w:r>
        <w:rPr>
          <w:rStyle w:val="VerbatimChar"/>
        </w:rPr>
        <w:t>E39_Actant</w:t>
      </w:r>
    </w:p>
    <w:p w14:paraId="6183C4C4" w14:textId="77777777" w:rsidR="00065317" w:rsidRDefault="005C7BF7">
      <w:pPr>
        <w:pStyle w:val="Corpsdetexte"/>
      </w:pPr>
      <w:r>
        <w:rPr>
          <w:b/>
          <w:bCs/>
        </w:rPr>
        <w:t>Sous-propriété de</w:t>
      </w:r>
    </w:p>
    <w:p w14:paraId="17207AE8" w14:textId="77777777" w:rsidR="00065317" w:rsidRDefault="005C7BF7">
      <w:pPr>
        <w:pStyle w:val="Corpsdetexte"/>
      </w:pPr>
      <w:r>
        <w:rPr>
          <w:rStyle w:val="VerbatimChar"/>
        </w:rPr>
        <w:t>E7_Activité</w:t>
      </w:r>
      <w:r>
        <w:t xml:space="preserve">. </w:t>
      </w:r>
      <w:r>
        <w:rPr>
          <w:rStyle w:val="VerbatimChar"/>
        </w:rPr>
        <w:t>P14_a_été_effectué_par (a_effectué)</w:t>
      </w:r>
      <w:r>
        <w:t xml:space="preserve"> : </w:t>
      </w:r>
      <w:r>
        <w:rPr>
          <w:rStyle w:val="VerbatimChar"/>
        </w:rPr>
        <w:t>E39_Actant</w:t>
      </w:r>
    </w:p>
    <w:p w14:paraId="31E2CF49" w14:textId="20BFAA3C" w:rsidR="00065317" w:rsidRDefault="005C7BF7">
      <w:pPr>
        <w:pStyle w:val="Corpsdetexte"/>
      </w:pPr>
      <w:r>
        <w:rPr>
          <w:b/>
          <w:bCs/>
        </w:rPr>
        <w:t>Super-propriété de</w:t>
      </w:r>
    </w:p>
    <w:p w14:paraId="6536EA53" w14:textId="77777777" w:rsidR="00065317" w:rsidRDefault="005C7BF7">
      <w:pPr>
        <w:pStyle w:val="Corpsdetexte"/>
      </w:pPr>
      <w:r>
        <w:rPr>
          <w:b/>
          <w:bCs/>
        </w:rPr>
        <w:t>Quantification</w:t>
      </w:r>
    </w:p>
    <w:p w14:paraId="06C864F2" w14:textId="77777777" w:rsidR="00065317" w:rsidRDefault="005C7BF7">
      <w:pPr>
        <w:pStyle w:val="Corpsdetexte"/>
      </w:pPr>
      <w:r>
        <w:t>plusieurs à plusieurs (0,n:0,n)</w:t>
      </w:r>
    </w:p>
    <w:p w14:paraId="50D555E1" w14:textId="1A82EE4E" w:rsidR="00065317" w:rsidRDefault="005C7BF7">
      <w:pPr>
        <w:pStyle w:val="Corpsdetexte"/>
      </w:pPr>
      <w:r>
        <w:rPr>
          <w:b/>
          <w:bCs/>
        </w:rPr>
        <w:t>Note d</w:t>
      </w:r>
      <w:r w:rsidR="00E84B0E">
        <w:rPr>
          <w:b/>
          <w:bCs/>
        </w:rPr>
        <w:t>’</w:t>
      </w:r>
      <w:r>
        <w:rPr>
          <w:b/>
          <w:bCs/>
        </w:rPr>
        <w:t>application</w:t>
      </w:r>
    </w:p>
    <w:p w14:paraId="234C7AE5" w14:textId="7ECB748C" w:rsidR="00065317" w:rsidRDefault="005C7BF7">
      <w:pPr>
        <w:pStyle w:val="Corpsdetexte"/>
      </w:pPr>
      <w:r>
        <w:t xml:space="preserve">Cette propriété identifie la ou les instances de </w:t>
      </w:r>
      <w:r>
        <w:rPr>
          <w:rStyle w:val="VerbatimChar"/>
        </w:rPr>
        <w:t>E39_Actant</w:t>
      </w:r>
      <w:r>
        <w:t xml:space="preserve"> qui reçoivent la garde d</w:t>
      </w:r>
      <w:r w:rsidR="00E84B0E">
        <w:t>’</w:t>
      </w:r>
      <w:r>
        <w:t xml:space="preserve">une instance de </w:t>
      </w:r>
      <w:r>
        <w:rPr>
          <w:rStyle w:val="VerbatimChar"/>
        </w:rPr>
        <w:t>E18_Chose_matérielle</w:t>
      </w:r>
      <w:r>
        <w:t xml:space="preserve"> lors d</w:t>
      </w:r>
      <w:r w:rsidR="00E84B0E">
        <w:t>’</w:t>
      </w:r>
      <w:r>
        <w:t xml:space="preserve">une instance de </w:t>
      </w:r>
      <w:r>
        <w:rPr>
          <w:rStyle w:val="VerbatimChar"/>
        </w:rPr>
        <w:t>E10_Transfert_de_la_garde</w:t>
      </w:r>
      <w:r>
        <w:t>.</w:t>
      </w:r>
    </w:p>
    <w:p w14:paraId="48137B15" w14:textId="33537F74" w:rsidR="00065317" w:rsidRDefault="005C7BF7">
      <w:pPr>
        <w:pStyle w:val="Corpsdetexte"/>
      </w:pPr>
      <w:r>
        <w:t>Cette propriété décrit typiquement des actants recevant la garde d</w:t>
      </w:r>
      <w:r w:rsidR="00E84B0E">
        <w:t>’</w:t>
      </w:r>
      <w:r>
        <w:t>un objet confié par les soins d</w:t>
      </w:r>
      <w:r w:rsidR="00E84B0E">
        <w:t>’</w:t>
      </w:r>
      <w:r>
        <w:t>un autre actant qui en avait la garde. Occasionnellement, une garde physique peut être reçue involontairement ou illégalement – à la suite d</w:t>
      </w:r>
      <w:r w:rsidR="00E84B0E">
        <w:t>’</w:t>
      </w:r>
      <w:r>
        <w:t>un accident, d</w:t>
      </w:r>
      <w:r w:rsidR="00E84B0E">
        <w:t>’</w:t>
      </w:r>
      <w:r>
        <w:t>un don non sollicité ou d</w:t>
      </w:r>
      <w:r w:rsidR="00E84B0E">
        <w:t>’</w:t>
      </w:r>
      <w:r>
        <w:t>un vol.</w:t>
      </w:r>
    </w:p>
    <w:p w14:paraId="2E65B0F1" w14:textId="1FE3672A" w:rsidR="00065317" w:rsidRDefault="005C7BF7">
      <w:pPr>
        <w:pStyle w:val="Corpsdetexte"/>
      </w:pPr>
      <w:r>
        <w:t>Concrètement, la garde est soit transférée à un actant ou d</w:t>
      </w:r>
      <w:r w:rsidR="00E84B0E">
        <w:t>’</w:t>
      </w:r>
      <w:r>
        <w:t>un actant, soit les deux.</w:t>
      </w:r>
    </w:p>
    <w:p w14:paraId="0E41DF00" w14:textId="77777777" w:rsidR="00065317" w:rsidRDefault="005C7BF7">
      <w:pPr>
        <w:pStyle w:val="Corpsdetexte"/>
      </w:pPr>
      <w:r>
        <w:rPr>
          <w:b/>
          <w:bCs/>
        </w:rPr>
        <w:t>Exemples</w:t>
      </w:r>
    </w:p>
    <w:p w14:paraId="1014C77D" w14:textId="77777777" w:rsidR="00065317" w:rsidRDefault="005C7BF7">
      <w:pPr>
        <w:numPr>
          <w:ilvl w:val="0"/>
          <w:numId w:val="170"/>
        </w:numPr>
      </w:pPr>
      <w:r>
        <w:t>Les représentants de la National Gallery (</w:t>
      </w:r>
      <w:r>
        <w:rPr>
          <w:rStyle w:val="VerbatimChar"/>
        </w:rPr>
        <w:t>E74_Groupe</w:t>
      </w:r>
      <w:r>
        <w:t>) ont reçu la garde par (</w:t>
      </w:r>
      <w:r>
        <w:rPr>
          <w:rStyle w:val="VerbatimChar"/>
        </w:rPr>
        <w:t>P29i_a_reçu_la_garde_par</w:t>
      </w:r>
      <w:r>
        <w:t>) la remise des œuvres peintes par Secure Deliveries Inc. à la National Gallery (</w:t>
      </w:r>
      <w:r>
        <w:rPr>
          <w:rStyle w:val="VerbatimChar"/>
        </w:rPr>
        <w:t>E10_Transfert_de_la_garde</w:t>
      </w:r>
      <w:r>
        <w:t>)</w:t>
      </w:r>
    </w:p>
    <w:p w14:paraId="0835BAA4" w14:textId="77777777" w:rsidR="00065317" w:rsidRDefault="005C7BF7">
      <w:pPr>
        <w:pStyle w:val="FirstParagraph"/>
      </w:pPr>
      <w:r>
        <w:rPr>
          <w:b/>
          <w:bCs/>
        </w:rPr>
        <w:t>Logique</w:t>
      </w:r>
    </w:p>
    <w:p w14:paraId="1045C9D9" w14:textId="77777777" w:rsidR="00065317" w:rsidRDefault="005C7BF7">
      <w:pPr>
        <w:pStyle w:val="Corpsdetexte"/>
      </w:pPr>
      <w:r>
        <w:t>P29(x,y) ⇒ E10(x)</w:t>
      </w:r>
    </w:p>
    <w:p w14:paraId="605D3A02" w14:textId="77777777" w:rsidR="00065317" w:rsidRDefault="005C7BF7">
      <w:pPr>
        <w:pStyle w:val="Corpsdetexte"/>
      </w:pPr>
      <w:r>
        <w:t>P29(x,y) ⇒ E39(y)</w:t>
      </w:r>
    </w:p>
    <w:p w14:paraId="7387570F" w14:textId="26C098FB" w:rsidR="00F54917" w:rsidRDefault="005C7BF7">
      <w:pPr>
        <w:pStyle w:val="Corpsdetexte"/>
      </w:pPr>
      <w:r>
        <w:t>P29(x,y) ⇒ P14(x,y)</w:t>
      </w:r>
    </w:p>
    <w:p w14:paraId="5FBB1279" w14:textId="7B631A0D" w:rsidR="00065317" w:rsidRDefault="00F54917" w:rsidP="00F54917">
      <w:pPr>
        <w:spacing w:after="0"/>
      </w:pPr>
      <w:r>
        <w:br w:type="page"/>
      </w:r>
    </w:p>
    <w:p w14:paraId="2A23CFB7" w14:textId="77777777" w:rsidR="00065317" w:rsidRDefault="005C7BF7">
      <w:pPr>
        <w:pStyle w:val="Corpsdetexte"/>
      </w:pPr>
      <w:r>
        <w:rPr>
          <w:b/>
          <w:bCs/>
        </w:rPr>
        <w:lastRenderedPageBreak/>
        <w:t>Propriétés</w:t>
      </w:r>
    </w:p>
    <w:p w14:paraId="3AE45D4C" w14:textId="77777777" w:rsidR="00065317" w:rsidRDefault="005C7BF7">
      <w:pPr>
        <w:pStyle w:val="Normalcentr"/>
      </w:pPr>
      <w:r>
        <w:rPr>
          <w:b/>
          <w:bCs/>
          <w:i/>
          <w:iCs/>
        </w:rPr>
        <w:t>Note de traduction</w:t>
      </w:r>
    </w:p>
    <w:p w14:paraId="4418A526" w14:textId="3E1155D6" w:rsidR="00065317" w:rsidRDefault="005C7BF7" w:rsidP="003773B9">
      <w:pPr>
        <w:pStyle w:val="Normalcentr"/>
      </w:pPr>
      <w:r>
        <w:rPr>
          <w:b/>
          <w:bCs/>
          <w:i/>
          <w:iCs/>
        </w:rPr>
        <w:t>Références</w:t>
      </w:r>
    </w:p>
    <w:p w14:paraId="00847E5F" w14:textId="7DF66CA3" w:rsidR="00065317" w:rsidRDefault="005C7BF7" w:rsidP="00914F34">
      <w:pPr>
        <w:pStyle w:val="Titre3"/>
      </w:pPr>
      <w:bookmarkStart w:id="324" w:name="_Toc154048847"/>
      <w:bookmarkStart w:id="325" w:name="Xef34bbfc969a7be9f3299135b4959a9cd2c851c"/>
      <w:bookmarkEnd w:id="323"/>
      <w:r>
        <w:t>P30 a transféré la garde de (a été l</w:t>
      </w:r>
      <w:r w:rsidR="00E84B0E">
        <w:t>’</w:t>
      </w:r>
      <w:r>
        <w:t>objet d</w:t>
      </w:r>
      <w:r w:rsidR="00E84B0E">
        <w:t>’</w:t>
      </w:r>
      <w:r>
        <w:t>un transfert de garde par)</w:t>
      </w:r>
      <w:bookmarkEnd w:id="324"/>
    </w:p>
    <w:p w14:paraId="75F0B4A3" w14:textId="77777777" w:rsidR="00065317" w:rsidRDefault="005C7BF7">
      <w:pPr>
        <w:pStyle w:val="FirstParagraph"/>
      </w:pPr>
      <w:r>
        <w:rPr>
          <w:b/>
          <w:bCs/>
        </w:rPr>
        <w:t>Domaine</w:t>
      </w:r>
    </w:p>
    <w:p w14:paraId="2E4EBEEA" w14:textId="77777777" w:rsidR="00065317" w:rsidRDefault="005C7BF7">
      <w:pPr>
        <w:pStyle w:val="Corpsdetexte"/>
      </w:pPr>
      <w:r>
        <w:rPr>
          <w:rStyle w:val="VerbatimChar"/>
        </w:rPr>
        <w:t>E10_Transfert_de_la_garde</w:t>
      </w:r>
    </w:p>
    <w:p w14:paraId="1DFED307" w14:textId="77777777" w:rsidR="00065317" w:rsidRDefault="005C7BF7">
      <w:pPr>
        <w:pStyle w:val="Corpsdetexte"/>
      </w:pPr>
      <w:r>
        <w:rPr>
          <w:b/>
          <w:bCs/>
        </w:rPr>
        <w:t>Portée</w:t>
      </w:r>
    </w:p>
    <w:p w14:paraId="53F279FA" w14:textId="77777777" w:rsidR="00065317" w:rsidRDefault="005C7BF7">
      <w:pPr>
        <w:pStyle w:val="Corpsdetexte"/>
      </w:pPr>
      <w:r>
        <w:rPr>
          <w:rStyle w:val="VerbatimChar"/>
        </w:rPr>
        <w:t>E18_Chose_matérielle</w:t>
      </w:r>
    </w:p>
    <w:p w14:paraId="183E3BC6" w14:textId="77777777" w:rsidR="00065317" w:rsidRDefault="005C7BF7">
      <w:pPr>
        <w:pStyle w:val="Corpsdetexte"/>
      </w:pPr>
      <w:r>
        <w:rPr>
          <w:b/>
          <w:bCs/>
        </w:rPr>
        <w:t>Sous-propriété de</w:t>
      </w:r>
    </w:p>
    <w:p w14:paraId="41EF69FF" w14:textId="73F28A46" w:rsidR="00065317" w:rsidRDefault="005C7BF7">
      <w:pPr>
        <w:pStyle w:val="Corpsdetexte"/>
      </w:pPr>
      <w:r>
        <w:rPr>
          <w:b/>
          <w:bCs/>
        </w:rPr>
        <w:t>Super-propriété de</w:t>
      </w:r>
    </w:p>
    <w:p w14:paraId="18C24523" w14:textId="77777777" w:rsidR="00065317" w:rsidRDefault="005C7BF7">
      <w:pPr>
        <w:pStyle w:val="Corpsdetexte"/>
      </w:pPr>
      <w:r>
        <w:rPr>
          <w:b/>
          <w:bCs/>
        </w:rPr>
        <w:t>Quantification</w:t>
      </w:r>
    </w:p>
    <w:p w14:paraId="6FE31FF6" w14:textId="77777777" w:rsidR="00065317" w:rsidRDefault="005C7BF7">
      <w:pPr>
        <w:pStyle w:val="Corpsdetexte"/>
      </w:pPr>
      <w:r>
        <w:t>plusieurs à plusieurs, nécessaire (1,n:0,n)</w:t>
      </w:r>
    </w:p>
    <w:p w14:paraId="774E0ECF" w14:textId="6E92FA2F" w:rsidR="00065317" w:rsidRDefault="005C7BF7">
      <w:pPr>
        <w:pStyle w:val="Corpsdetexte"/>
      </w:pPr>
      <w:r>
        <w:rPr>
          <w:b/>
          <w:bCs/>
        </w:rPr>
        <w:t>Note d</w:t>
      </w:r>
      <w:r w:rsidR="00E84B0E">
        <w:rPr>
          <w:b/>
          <w:bCs/>
        </w:rPr>
        <w:t>’</w:t>
      </w:r>
      <w:r>
        <w:rPr>
          <w:b/>
          <w:bCs/>
        </w:rPr>
        <w:t>application</w:t>
      </w:r>
    </w:p>
    <w:p w14:paraId="089B1184" w14:textId="77777777" w:rsidR="00065317" w:rsidRDefault="005C7BF7">
      <w:pPr>
        <w:pStyle w:val="Corpsdetexte"/>
      </w:pPr>
      <w:r>
        <w:t xml:space="preserve">Cette propriété identifie la ou les instances de </w:t>
      </w:r>
      <w:r>
        <w:rPr>
          <w:rStyle w:val="VerbatimChar"/>
        </w:rPr>
        <w:t>E18_Chose_matérielle</w:t>
      </w:r>
      <w:r>
        <w:t xml:space="preserve"> concernées par une instance de </w:t>
      </w:r>
      <w:r>
        <w:rPr>
          <w:rStyle w:val="VerbatimChar"/>
        </w:rPr>
        <w:t>E10_Transfert_de_la_garde</w:t>
      </w:r>
      <w:r>
        <w:t>.</w:t>
      </w:r>
    </w:p>
    <w:p w14:paraId="3FFBA13C" w14:textId="4AB8B7B9" w:rsidR="00065317" w:rsidRDefault="005C7BF7">
      <w:pPr>
        <w:pStyle w:val="Corpsdetexte"/>
      </w:pPr>
      <w:r>
        <w:t>La propriété décrit typiquement l</w:t>
      </w:r>
      <w:r w:rsidR="00E84B0E">
        <w:t>’</w:t>
      </w:r>
      <w:r>
        <w:t>objet qu</w:t>
      </w:r>
      <w:r w:rsidR="00E84B0E">
        <w:t>’</w:t>
      </w:r>
      <w:r>
        <w:t xml:space="preserve">une instance de </w:t>
      </w:r>
      <w:r>
        <w:rPr>
          <w:rStyle w:val="VerbatimChar"/>
        </w:rPr>
        <w:t>E39_Actant</w:t>
      </w:r>
      <w:r>
        <w:t xml:space="preserve"> confie à la garde d</w:t>
      </w:r>
      <w:r w:rsidR="00E84B0E">
        <w:t>’</w:t>
      </w:r>
      <w:r>
        <w:t xml:space="preserve">une autre instance de </w:t>
      </w:r>
      <w:r>
        <w:rPr>
          <w:rStyle w:val="VerbatimChar"/>
        </w:rPr>
        <w:t>E39_Actant</w:t>
      </w:r>
      <w:r>
        <w:t>. Occasionnellement, une garde physique peut être reçue involontairement ou illégalement – à la suite d</w:t>
      </w:r>
      <w:r w:rsidR="00E84B0E">
        <w:t>’</w:t>
      </w:r>
      <w:r>
        <w:t>un accident, d</w:t>
      </w:r>
      <w:r w:rsidR="00E84B0E">
        <w:t>’</w:t>
      </w:r>
      <w:r>
        <w:t>un don non sollicité ou d</w:t>
      </w:r>
      <w:r w:rsidR="00E84B0E">
        <w:t>’</w:t>
      </w:r>
      <w:r>
        <w:t>un vol.</w:t>
      </w:r>
    </w:p>
    <w:p w14:paraId="3365620D" w14:textId="77777777" w:rsidR="00065317" w:rsidRDefault="005C7BF7">
      <w:pPr>
        <w:pStyle w:val="Corpsdetexte"/>
      </w:pPr>
      <w:r>
        <w:rPr>
          <w:b/>
          <w:bCs/>
        </w:rPr>
        <w:t>Exemples</w:t>
      </w:r>
    </w:p>
    <w:p w14:paraId="536F4BBD" w14:textId="77777777" w:rsidR="00065317" w:rsidRDefault="005C7BF7">
      <w:pPr>
        <w:numPr>
          <w:ilvl w:val="0"/>
          <w:numId w:val="171"/>
        </w:numPr>
      </w:pPr>
      <w:r>
        <w:t>La livraison des œuvres peintes par Secure Deliveries Inc. à la National Gallery (</w:t>
      </w:r>
      <w:r>
        <w:rPr>
          <w:rStyle w:val="VerbatimChar"/>
        </w:rPr>
        <w:t>E10_Transfert_de_la_garde</w:t>
      </w:r>
      <w:r>
        <w:t>) a transféré la garde des (</w:t>
      </w:r>
      <w:r>
        <w:rPr>
          <w:rStyle w:val="VerbatimChar"/>
        </w:rPr>
        <w:t>P30_a_transféré_la_garde_de</w:t>
      </w:r>
      <w:r>
        <w:t>) œuvres peintes de la collection Iveagh Bequest (</w:t>
      </w:r>
      <w:r>
        <w:rPr>
          <w:rStyle w:val="VerbatimChar"/>
        </w:rPr>
        <w:t>E19_Objet_matériel</w:t>
      </w:r>
      <w:r>
        <w:t>)</w:t>
      </w:r>
    </w:p>
    <w:p w14:paraId="6FB96248" w14:textId="77777777" w:rsidR="00065317" w:rsidRDefault="005C7BF7">
      <w:pPr>
        <w:pStyle w:val="FirstParagraph"/>
      </w:pPr>
      <w:r>
        <w:rPr>
          <w:b/>
          <w:bCs/>
        </w:rPr>
        <w:t>Logique</w:t>
      </w:r>
    </w:p>
    <w:p w14:paraId="35FC4F14" w14:textId="77777777" w:rsidR="00065317" w:rsidRDefault="005C7BF7">
      <w:pPr>
        <w:pStyle w:val="Corpsdetexte"/>
      </w:pPr>
      <w:r>
        <w:t>P30(x,y) ⇒ E10(x)</w:t>
      </w:r>
    </w:p>
    <w:p w14:paraId="2B7293E6" w14:textId="77777777" w:rsidR="00065317" w:rsidRDefault="005C7BF7">
      <w:pPr>
        <w:pStyle w:val="Corpsdetexte"/>
      </w:pPr>
      <w:r>
        <w:t>P30(x,y) ⇒ E18(y)</w:t>
      </w:r>
    </w:p>
    <w:p w14:paraId="65A0AC07" w14:textId="77777777" w:rsidR="00065317" w:rsidRDefault="005C7BF7">
      <w:pPr>
        <w:pStyle w:val="Corpsdetexte"/>
      </w:pPr>
      <w:r>
        <w:rPr>
          <w:b/>
          <w:bCs/>
        </w:rPr>
        <w:t>Propriétés</w:t>
      </w:r>
    </w:p>
    <w:p w14:paraId="5FF481B3" w14:textId="77777777" w:rsidR="00065317" w:rsidRDefault="005C7BF7">
      <w:pPr>
        <w:pStyle w:val="Normalcentr"/>
      </w:pPr>
      <w:r>
        <w:rPr>
          <w:b/>
          <w:bCs/>
          <w:i/>
          <w:iCs/>
        </w:rPr>
        <w:t>Note de traduction</w:t>
      </w:r>
    </w:p>
    <w:p w14:paraId="4220A537" w14:textId="77777777" w:rsidR="00065317" w:rsidRDefault="005C7BF7">
      <w:pPr>
        <w:pStyle w:val="Normalcentr"/>
      </w:pPr>
      <w:r>
        <w:rPr>
          <w:b/>
          <w:bCs/>
          <w:i/>
          <w:iCs/>
        </w:rPr>
        <w:t>Références</w:t>
      </w:r>
    </w:p>
    <w:p w14:paraId="796F0C1D" w14:textId="77777777" w:rsidR="00065317" w:rsidRDefault="005C7BF7" w:rsidP="00914F34">
      <w:pPr>
        <w:pStyle w:val="Titre3"/>
      </w:pPr>
      <w:bookmarkStart w:id="326" w:name="_Toc154048848"/>
      <w:bookmarkStart w:id="327" w:name="p31-a-modifie-(a-ete-modifie-par)"/>
      <w:bookmarkEnd w:id="325"/>
      <w:r>
        <w:t>P31 a modifié (a été modifié par)</w:t>
      </w:r>
      <w:bookmarkEnd w:id="326"/>
    </w:p>
    <w:p w14:paraId="3430AC46" w14:textId="77777777" w:rsidR="00065317" w:rsidRDefault="005C7BF7">
      <w:pPr>
        <w:pStyle w:val="FirstParagraph"/>
      </w:pPr>
      <w:r>
        <w:rPr>
          <w:b/>
          <w:bCs/>
        </w:rPr>
        <w:t>Domaine</w:t>
      </w:r>
    </w:p>
    <w:p w14:paraId="4A4DB718" w14:textId="77777777" w:rsidR="00065317" w:rsidRDefault="005C7BF7">
      <w:pPr>
        <w:pStyle w:val="Corpsdetexte"/>
      </w:pPr>
      <w:r>
        <w:rPr>
          <w:rStyle w:val="VerbatimChar"/>
        </w:rPr>
        <w:t>E11_Modification</w:t>
      </w:r>
    </w:p>
    <w:p w14:paraId="2276005E" w14:textId="77777777" w:rsidR="00065317" w:rsidRDefault="005C7BF7">
      <w:pPr>
        <w:pStyle w:val="Corpsdetexte"/>
      </w:pPr>
      <w:r>
        <w:rPr>
          <w:b/>
          <w:bCs/>
        </w:rPr>
        <w:t>Portée</w:t>
      </w:r>
    </w:p>
    <w:p w14:paraId="23F8D82A" w14:textId="77777777" w:rsidR="00065317" w:rsidRDefault="005C7BF7">
      <w:pPr>
        <w:pStyle w:val="Corpsdetexte"/>
      </w:pPr>
      <w:r>
        <w:rPr>
          <w:rStyle w:val="VerbatimChar"/>
        </w:rPr>
        <w:t>E18_Chose_matérielle</w:t>
      </w:r>
    </w:p>
    <w:p w14:paraId="1C8977B6" w14:textId="77777777" w:rsidR="00065317" w:rsidRDefault="005C7BF7">
      <w:pPr>
        <w:pStyle w:val="Corpsdetexte"/>
      </w:pPr>
      <w:r>
        <w:rPr>
          <w:b/>
          <w:bCs/>
        </w:rPr>
        <w:lastRenderedPageBreak/>
        <w:t>Sous-propriété de</w:t>
      </w:r>
    </w:p>
    <w:p w14:paraId="60C23A49" w14:textId="77777777" w:rsidR="00065317" w:rsidRDefault="005C7BF7">
      <w:pPr>
        <w:pStyle w:val="Corpsdetexte"/>
      </w:pPr>
      <w:r>
        <w:rPr>
          <w:rStyle w:val="VerbatimChar"/>
        </w:rPr>
        <w:t>E5_Évènement</w:t>
      </w:r>
      <w:r>
        <w:t xml:space="preserve">. </w:t>
      </w:r>
      <w:r>
        <w:rPr>
          <w:rStyle w:val="VerbatimChar"/>
        </w:rPr>
        <w:t>P12_a_eu_lieu_en_présence_de (a_été_présent_à)</w:t>
      </w:r>
      <w:r>
        <w:t xml:space="preserve"> : </w:t>
      </w:r>
      <w:r>
        <w:rPr>
          <w:rStyle w:val="VerbatimChar"/>
        </w:rPr>
        <w:t>E77_Entité_persistante</w:t>
      </w:r>
    </w:p>
    <w:p w14:paraId="1642F311" w14:textId="77777777" w:rsidR="00065317" w:rsidRDefault="005C7BF7">
      <w:pPr>
        <w:pStyle w:val="Corpsdetexte"/>
      </w:pPr>
      <w:r>
        <w:rPr>
          <w:b/>
          <w:bCs/>
        </w:rPr>
        <w:t>Super-propriété de</w:t>
      </w:r>
    </w:p>
    <w:p w14:paraId="21737FE9" w14:textId="11E6125A" w:rsidR="00065317" w:rsidRDefault="005C7BF7">
      <w:pPr>
        <w:pStyle w:val="Corpsdetexte"/>
      </w:pPr>
      <w:r>
        <w:rPr>
          <w:rStyle w:val="VerbatimChar"/>
        </w:rPr>
        <w:t>E12_Production</w:t>
      </w:r>
      <w:r>
        <w:t xml:space="preserve">. </w:t>
      </w:r>
      <w:r>
        <w:rPr>
          <w:rStyle w:val="VerbatimChar"/>
        </w:rPr>
        <w:t>P108_a_produit (a_été_produit_par)</w:t>
      </w:r>
      <w:r>
        <w:t xml:space="preserve"> : </w:t>
      </w:r>
      <w:r>
        <w:rPr>
          <w:rStyle w:val="VerbatimChar"/>
        </w:rPr>
        <w:t>E24_Chose_matérielle_élaborée_par_l</w:t>
      </w:r>
      <w:r w:rsidR="00E84B0E">
        <w:rPr>
          <w:rStyle w:val="VerbatimChar"/>
        </w:rPr>
        <w:t>’</w:t>
      </w:r>
      <w:r>
        <w:rPr>
          <w:rStyle w:val="VerbatimChar"/>
        </w:rPr>
        <w:t>humain</w:t>
      </w:r>
    </w:p>
    <w:p w14:paraId="66FED1FA" w14:textId="310BF479" w:rsidR="00065317" w:rsidRDefault="005C7BF7">
      <w:pPr>
        <w:pStyle w:val="Corpsdetexte"/>
      </w:pPr>
      <w:r>
        <w:rPr>
          <w:rStyle w:val="VerbatimChar"/>
        </w:rPr>
        <w:t>E79_Ajout_d</w:t>
      </w:r>
      <w:r w:rsidR="00E84B0E">
        <w:rPr>
          <w:rStyle w:val="VerbatimChar"/>
        </w:rPr>
        <w:t>’</w:t>
      </w:r>
      <w:r>
        <w:rPr>
          <w:rStyle w:val="VerbatimChar"/>
        </w:rPr>
        <w:t>élément</w:t>
      </w:r>
      <w:r>
        <w:t xml:space="preserve">. </w:t>
      </w:r>
      <w:r>
        <w:rPr>
          <w:rStyle w:val="VerbatimChar"/>
        </w:rPr>
        <w:t>P110_a_augmenté (a_été_augmenté_par)</w:t>
      </w:r>
      <w:r>
        <w:t xml:space="preserve"> : </w:t>
      </w:r>
      <w:r>
        <w:rPr>
          <w:rStyle w:val="VerbatimChar"/>
        </w:rPr>
        <w:t>E18_Chose_matérielle</w:t>
      </w:r>
    </w:p>
    <w:p w14:paraId="58CA56D6" w14:textId="6CFC2BE5" w:rsidR="00065317" w:rsidRDefault="005C7BF7">
      <w:pPr>
        <w:pStyle w:val="Corpsdetexte"/>
      </w:pPr>
      <w:r>
        <w:rPr>
          <w:rStyle w:val="VerbatimChar"/>
        </w:rPr>
        <w:t>E80_Retrait_d</w:t>
      </w:r>
      <w:r w:rsidR="00E84B0E">
        <w:rPr>
          <w:rStyle w:val="VerbatimChar"/>
        </w:rPr>
        <w:t>’</w:t>
      </w:r>
      <w:r>
        <w:rPr>
          <w:rStyle w:val="VerbatimChar"/>
        </w:rPr>
        <w:t>élément</w:t>
      </w:r>
      <w:r>
        <w:t xml:space="preserve">. </w:t>
      </w:r>
      <w:r>
        <w:rPr>
          <w:rStyle w:val="VerbatimChar"/>
        </w:rPr>
        <w:t>P112_a_diminué (a_été_diminué_par)</w:t>
      </w:r>
      <w:r>
        <w:t xml:space="preserve"> : </w:t>
      </w:r>
      <w:r>
        <w:rPr>
          <w:rStyle w:val="VerbatimChar"/>
        </w:rPr>
        <w:t>E18_Chose_matérielle</w:t>
      </w:r>
    </w:p>
    <w:p w14:paraId="6572229C" w14:textId="77777777" w:rsidR="00065317" w:rsidRDefault="005C7BF7">
      <w:pPr>
        <w:pStyle w:val="Corpsdetexte"/>
      </w:pPr>
      <w:r>
        <w:rPr>
          <w:b/>
          <w:bCs/>
        </w:rPr>
        <w:t>Quantification</w:t>
      </w:r>
    </w:p>
    <w:p w14:paraId="66A6B6D3" w14:textId="77777777" w:rsidR="00065317" w:rsidRDefault="005C7BF7">
      <w:pPr>
        <w:pStyle w:val="Corpsdetexte"/>
      </w:pPr>
      <w:r>
        <w:t>plusieurs à plusieurs, nécessaire (1,n:0,n)</w:t>
      </w:r>
    </w:p>
    <w:p w14:paraId="24C0BC08" w14:textId="5303D08A" w:rsidR="00065317" w:rsidRDefault="005C7BF7">
      <w:pPr>
        <w:pStyle w:val="Corpsdetexte"/>
      </w:pPr>
      <w:r>
        <w:rPr>
          <w:b/>
          <w:bCs/>
        </w:rPr>
        <w:t>Note d</w:t>
      </w:r>
      <w:r w:rsidR="00E84B0E">
        <w:rPr>
          <w:b/>
          <w:bCs/>
        </w:rPr>
        <w:t>’</w:t>
      </w:r>
      <w:r>
        <w:rPr>
          <w:b/>
          <w:bCs/>
        </w:rPr>
        <w:t>application</w:t>
      </w:r>
    </w:p>
    <w:p w14:paraId="10FA50A8" w14:textId="5E420EF2" w:rsidR="00065317" w:rsidRDefault="005C7BF7">
      <w:pPr>
        <w:pStyle w:val="Corpsdetexte"/>
      </w:pPr>
      <w:r>
        <w:t>Cette propriété identifie l</w:t>
      </w:r>
      <w:r w:rsidR="00E84B0E">
        <w:t>’</w:t>
      </w:r>
      <w:r>
        <w:t xml:space="preserve">instance de </w:t>
      </w:r>
      <w:r>
        <w:rPr>
          <w:rStyle w:val="VerbatimChar"/>
        </w:rPr>
        <w:t>E18_Chose_matérielle</w:t>
      </w:r>
      <w:r>
        <w:t xml:space="preserve"> modifiée dans le cadre d</w:t>
      </w:r>
      <w:r w:rsidR="00E84B0E">
        <w:t>’</w:t>
      </w:r>
      <w:r>
        <w:t xml:space="preserve">une instance de </w:t>
      </w:r>
      <w:r>
        <w:rPr>
          <w:rStyle w:val="VerbatimChar"/>
        </w:rPr>
        <w:t>E11_Modification</w:t>
      </w:r>
      <w:r>
        <w:t>.</w:t>
      </w:r>
    </w:p>
    <w:p w14:paraId="6DF4F706" w14:textId="77777777" w:rsidR="00065317" w:rsidRDefault="005C7BF7">
      <w:pPr>
        <w:pStyle w:val="Corpsdetexte"/>
      </w:pPr>
      <w:r>
        <w:rPr>
          <w:b/>
          <w:bCs/>
        </w:rPr>
        <w:t>Exemples</w:t>
      </w:r>
    </w:p>
    <w:p w14:paraId="69B591A5" w14:textId="01C6BF28" w:rsidR="00065317" w:rsidRDefault="005C7BF7">
      <w:pPr>
        <w:numPr>
          <w:ilvl w:val="0"/>
          <w:numId w:val="172"/>
        </w:numPr>
      </w:pPr>
      <w:r>
        <w:t>La reconstruction du Reichstag (</w:t>
      </w:r>
      <w:r>
        <w:rPr>
          <w:rStyle w:val="VerbatimChar"/>
        </w:rPr>
        <w:t>E11_Modification</w:t>
      </w:r>
      <w:r>
        <w:t>) a modifié (</w:t>
      </w:r>
      <w:r>
        <w:rPr>
          <w:rStyle w:val="VerbatimChar"/>
        </w:rPr>
        <w:t>P31_a_modifié</w:t>
      </w:r>
      <w:r>
        <w:t>) le Reichstag, situé à Berlin (</w:t>
      </w:r>
      <w:r>
        <w:rPr>
          <w:rStyle w:val="VerbatimChar"/>
        </w:rPr>
        <w:t>E24_Chose_matérielle_élaborée_par_l</w:t>
      </w:r>
      <w:r w:rsidR="00E84B0E">
        <w:rPr>
          <w:rStyle w:val="VerbatimChar"/>
        </w:rPr>
        <w:t>’</w:t>
      </w:r>
      <w:r>
        <w:rPr>
          <w:rStyle w:val="VerbatimChar"/>
        </w:rPr>
        <w:t>humain</w:t>
      </w:r>
      <w:r>
        <w:t>) (Foster, 2000)</w:t>
      </w:r>
    </w:p>
    <w:p w14:paraId="75A15981" w14:textId="77777777" w:rsidR="00065317" w:rsidRDefault="005C7BF7">
      <w:pPr>
        <w:pStyle w:val="FirstParagraph"/>
      </w:pPr>
      <w:r>
        <w:rPr>
          <w:b/>
          <w:bCs/>
        </w:rPr>
        <w:t>Logique</w:t>
      </w:r>
    </w:p>
    <w:p w14:paraId="49F39FA6" w14:textId="77777777" w:rsidR="00065317" w:rsidRDefault="005C7BF7">
      <w:pPr>
        <w:pStyle w:val="Corpsdetexte"/>
      </w:pPr>
      <w:r>
        <w:t>P31(x,y) ⇒ E11(x)</w:t>
      </w:r>
    </w:p>
    <w:p w14:paraId="224091D3" w14:textId="77777777" w:rsidR="00065317" w:rsidRDefault="005C7BF7">
      <w:pPr>
        <w:pStyle w:val="Corpsdetexte"/>
      </w:pPr>
      <w:r>
        <w:t>P31(x,y) ⇒ E18(y)</w:t>
      </w:r>
    </w:p>
    <w:p w14:paraId="2227226C" w14:textId="77777777" w:rsidR="00065317" w:rsidRDefault="005C7BF7">
      <w:pPr>
        <w:pStyle w:val="Corpsdetexte"/>
      </w:pPr>
      <w:r>
        <w:t>P31(x,y) ⇒ P12(x,y)</w:t>
      </w:r>
    </w:p>
    <w:p w14:paraId="526049BF" w14:textId="77777777" w:rsidR="00065317" w:rsidRDefault="005C7BF7">
      <w:pPr>
        <w:pStyle w:val="Corpsdetexte"/>
      </w:pPr>
      <w:r>
        <w:rPr>
          <w:b/>
          <w:bCs/>
        </w:rPr>
        <w:t>Propriétés</w:t>
      </w:r>
    </w:p>
    <w:p w14:paraId="52FA0D49" w14:textId="77777777" w:rsidR="00065317" w:rsidRDefault="005C7BF7">
      <w:pPr>
        <w:pStyle w:val="Normalcentr"/>
      </w:pPr>
      <w:r>
        <w:rPr>
          <w:b/>
          <w:bCs/>
          <w:i/>
          <w:iCs/>
        </w:rPr>
        <w:t>Note de traduction</w:t>
      </w:r>
    </w:p>
    <w:p w14:paraId="715D1E6F" w14:textId="3A16C58A" w:rsidR="00065317" w:rsidRDefault="005C7BF7" w:rsidP="003773B9">
      <w:pPr>
        <w:pStyle w:val="Normalcentr"/>
      </w:pPr>
      <w:r>
        <w:rPr>
          <w:b/>
          <w:bCs/>
          <w:i/>
          <w:iCs/>
        </w:rPr>
        <w:t>Références</w:t>
      </w:r>
    </w:p>
    <w:p w14:paraId="1C657B7E" w14:textId="77777777" w:rsidR="00065317" w:rsidRDefault="005C7BF7" w:rsidP="00914F34">
      <w:pPr>
        <w:pStyle w:val="Titre3"/>
      </w:pPr>
      <w:bookmarkStart w:id="328" w:name="_Toc154048849"/>
      <w:bookmarkStart w:id="329" w:name="X3acda5997f8a32d96201f007501c9690b30d321"/>
      <w:bookmarkEnd w:id="327"/>
      <w:r>
        <w:t>P32 a mobilisé comme technique générale (a été la technique générale mise en œuvre dans)</w:t>
      </w:r>
      <w:bookmarkEnd w:id="328"/>
    </w:p>
    <w:p w14:paraId="7C3F4B4A" w14:textId="77777777" w:rsidR="00065317" w:rsidRDefault="005C7BF7">
      <w:pPr>
        <w:pStyle w:val="FirstParagraph"/>
      </w:pPr>
      <w:r>
        <w:rPr>
          <w:b/>
          <w:bCs/>
        </w:rPr>
        <w:t>Domaine</w:t>
      </w:r>
    </w:p>
    <w:p w14:paraId="233850C4" w14:textId="77777777" w:rsidR="00065317" w:rsidRDefault="005C7BF7">
      <w:pPr>
        <w:pStyle w:val="Corpsdetexte"/>
      </w:pPr>
      <w:r>
        <w:rPr>
          <w:rStyle w:val="VerbatimChar"/>
        </w:rPr>
        <w:t>E7_Activité</w:t>
      </w:r>
    </w:p>
    <w:p w14:paraId="427F44D9" w14:textId="77777777" w:rsidR="00065317" w:rsidRDefault="005C7BF7">
      <w:pPr>
        <w:pStyle w:val="Corpsdetexte"/>
      </w:pPr>
      <w:r>
        <w:rPr>
          <w:b/>
          <w:bCs/>
        </w:rPr>
        <w:t>Portée</w:t>
      </w:r>
    </w:p>
    <w:p w14:paraId="278103E9" w14:textId="77777777" w:rsidR="00065317" w:rsidRDefault="005C7BF7">
      <w:pPr>
        <w:pStyle w:val="Corpsdetexte"/>
      </w:pPr>
      <w:r>
        <w:rPr>
          <w:rStyle w:val="VerbatimChar"/>
        </w:rPr>
        <w:t>E55_Type</w:t>
      </w:r>
    </w:p>
    <w:p w14:paraId="1B7FDBA3" w14:textId="77777777" w:rsidR="00065317" w:rsidRDefault="005C7BF7">
      <w:pPr>
        <w:pStyle w:val="Corpsdetexte"/>
      </w:pPr>
      <w:r>
        <w:rPr>
          <w:b/>
          <w:bCs/>
        </w:rPr>
        <w:t>Sous-propriété de</w:t>
      </w:r>
    </w:p>
    <w:p w14:paraId="1319B577" w14:textId="4B6020C0" w:rsidR="00065317" w:rsidRDefault="005C7BF7">
      <w:pPr>
        <w:pStyle w:val="Corpsdetexte"/>
      </w:pPr>
      <w:r>
        <w:rPr>
          <w:rStyle w:val="VerbatimChar"/>
        </w:rPr>
        <w:t>E7_Activité</w:t>
      </w:r>
      <w:r>
        <w:t xml:space="preserve">. </w:t>
      </w:r>
      <w:r>
        <w:rPr>
          <w:rStyle w:val="VerbatimChar"/>
        </w:rPr>
        <w:t>P125_a_mobilisé_l</w:t>
      </w:r>
      <w:r w:rsidR="00E84B0E">
        <w:rPr>
          <w:rStyle w:val="VerbatimChar"/>
        </w:rPr>
        <w:t>’</w:t>
      </w:r>
      <w:r>
        <w:rPr>
          <w:rStyle w:val="VerbatimChar"/>
        </w:rPr>
        <w:t>objet_du_type (a_été_le_type_d</w:t>
      </w:r>
      <w:r w:rsidR="00E84B0E">
        <w:rPr>
          <w:rStyle w:val="VerbatimChar"/>
        </w:rPr>
        <w:t>’</w:t>
      </w:r>
      <w:r>
        <w:rPr>
          <w:rStyle w:val="VerbatimChar"/>
        </w:rPr>
        <w:t>objet_employé_pour)</w:t>
      </w:r>
      <w:r>
        <w:t xml:space="preserve"> : </w:t>
      </w:r>
      <w:r>
        <w:rPr>
          <w:rStyle w:val="VerbatimChar"/>
        </w:rPr>
        <w:t>E55_Type</w:t>
      </w:r>
    </w:p>
    <w:p w14:paraId="5C534103" w14:textId="77777777" w:rsidR="00065317" w:rsidRDefault="005C7BF7">
      <w:pPr>
        <w:pStyle w:val="Corpsdetexte"/>
      </w:pPr>
      <w:r>
        <w:rPr>
          <w:b/>
          <w:bCs/>
        </w:rPr>
        <w:t>Super-propriété de</w:t>
      </w:r>
    </w:p>
    <w:p w14:paraId="00F2056F" w14:textId="77777777" w:rsidR="00065317" w:rsidRDefault="005C7BF7">
      <w:pPr>
        <w:pStyle w:val="Corpsdetexte"/>
      </w:pPr>
      <w:r>
        <w:rPr>
          <w:b/>
          <w:bCs/>
        </w:rPr>
        <w:t>Quantification</w:t>
      </w:r>
    </w:p>
    <w:p w14:paraId="5FC711AB" w14:textId="77777777" w:rsidR="00065317" w:rsidRDefault="005C7BF7">
      <w:pPr>
        <w:pStyle w:val="Corpsdetexte"/>
      </w:pPr>
      <w:r>
        <w:t>plusieurs à plusieurs (0,n:0,n)</w:t>
      </w:r>
    </w:p>
    <w:p w14:paraId="72FDBC9D" w14:textId="2F56BA1D" w:rsidR="00065317" w:rsidRDefault="005C7BF7">
      <w:pPr>
        <w:pStyle w:val="Corpsdetexte"/>
      </w:pPr>
      <w:r>
        <w:rPr>
          <w:b/>
          <w:bCs/>
        </w:rPr>
        <w:lastRenderedPageBreak/>
        <w:t>Note d</w:t>
      </w:r>
      <w:r w:rsidR="00E84B0E">
        <w:rPr>
          <w:b/>
          <w:bCs/>
        </w:rPr>
        <w:t>’</w:t>
      </w:r>
      <w:r>
        <w:rPr>
          <w:b/>
          <w:bCs/>
        </w:rPr>
        <w:t>application</w:t>
      </w:r>
    </w:p>
    <w:p w14:paraId="0B39C322" w14:textId="77777777" w:rsidR="00065317" w:rsidRDefault="005C7BF7">
      <w:pPr>
        <w:pStyle w:val="Corpsdetexte"/>
      </w:pPr>
      <w:r>
        <w:t xml:space="preserve">Cette propriété identifie la technique ou la méthode qui, modélisée comme instance de </w:t>
      </w:r>
      <w:r>
        <w:rPr>
          <w:rStyle w:val="VerbatimChar"/>
        </w:rPr>
        <w:t>E55_Type</w:t>
      </w:r>
      <w:r>
        <w:t xml:space="preserve">, a été mise en œuvre dans une instance de </w:t>
      </w:r>
      <w:r>
        <w:rPr>
          <w:rStyle w:val="VerbatimChar"/>
        </w:rPr>
        <w:t>E7_Activité</w:t>
      </w:r>
      <w:r>
        <w:t>.</w:t>
      </w:r>
    </w:p>
    <w:p w14:paraId="41FF98A3" w14:textId="6ECC2009" w:rsidR="00065317" w:rsidRDefault="005C7BF7">
      <w:pPr>
        <w:pStyle w:val="Corpsdetexte"/>
      </w:pPr>
      <w:r>
        <w:t>Ces techniques doivent être tirées d</w:t>
      </w:r>
      <w:r w:rsidR="00E84B0E">
        <w:t>’</w:t>
      </w:r>
      <w:r>
        <w:t xml:space="preserve">une hiérarchie de </w:t>
      </w:r>
      <w:r>
        <w:rPr>
          <w:rStyle w:val="VerbatimChar"/>
        </w:rPr>
        <w:t>E55_Type</w:t>
      </w:r>
      <w:r>
        <w:t xml:space="preserve"> externe, laquelle consiste en une terminologie cohérente de techniques ou de méthodes générales telles que la broderie, la peinture à l</w:t>
      </w:r>
      <w:r w:rsidR="00E84B0E">
        <w:t>’</w:t>
      </w:r>
      <w:r>
        <w:t xml:space="preserve">huile, la datation au carbone, etc. Les techniques spécifiques et documentées doivent être décrites comme des instances de </w:t>
      </w:r>
      <w:r>
        <w:rPr>
          <w:rStyle w:val="VerbatimChar"/>
        </w:rPr>
        <w:t>E29_Conceptualisation_ou_procédure</w:t>
      </w:r>
      <w:r>
        <w:t>.</w:t>
      </w:r>
    </w:p>
    <w:p w14:paraId="058F8248" w14:textId="77777777" w:rsidR="00065317" w:rsidRDefault="005C7BF7">
      <w:pPr>
        <w:pStyle w:val="Corpsdetexte"/>
      </w:pPr>
      <w:r>
        <w:rPr>
          <w:b/>
          <w:bCs/>
        </w:rPr>
        <w:t>Exemples</w:t>
      </w:r>
    </w:p>
    <w:p w14:paraId="6D85A832" w14:textId="20CF9B89" w:rsidR="00065317" w:rsidRDefault="005C7BF7">
      <w:pPr>
        <w:numPr>
          <w:ilvl w:val="0"/>
          <w:numId w:val="173"/>
        </w:numPr>
      </w:pPr>
      <w:r>
        <w:t>L</w:t>
      </w:r>
      <w:r w:rsidR="00E84B0E">
        <w:t>’</w:t>
      </w:r>
      <w:r>
        <w:t>ornementation de la coupe en argent « 113 » (</w:t>
      </w:r>
      <w:r>
        <w:rPr>
          <w:rStyle w:val="VerbatimChar"/>
        </w:rPr>
        <w:t>E11_Modification</w:t>
      </w:r>
      <w:r>
        <w:t>) a mobilisé comme technique générale (</w:t>
      </w:r>
      <w:r>
        <w:rPr>
          <w:rStyle w:val="VerbatimChar"/>
        </w:rPr>
        <w:t>P32_a_mobilisé_comme_technique_générale)</w:t>
      </w:r>
      <w:r>
        <w:t xml:space="preserve"> la dorure (</w:t>
      </w:r>
      <w:r>
        <w:rPr>
          <w:rStyle w:val="VerbatimChar"/>
        </w:rPr>
        <w:t>E55_Type</w:t>
      </w:r>
      <w:r>
        <w:t>) [un type de conceptualisation ou procédure] (fictif)</w:t>
      </w:r>
    </w:p>
    <w:p w14:paraId="3B926E2A" w14:textId="77777777" w:rsidR="00065317" w:rsidRDefault="005C7BF7">
      <w:pPr>
        <w:pStyle w:val="FirstParagraph"/>
      </w:pPr>
      <w:r>
        <w:rPr>
          <w:b/>
          <w:bCs/>
        </w:rPr>
        <w:t>Logique</w:t>
      </w:r>
    </w:p>
    <w:p w14:paraId="7B991F97" w14:textId="77777777" w:rsidR="00065317" w:rsidRDefault="005C7BF7">
      <w:pPr>
        <w:pStyle w:val="Corpsdetexte"/>
      </w:pPr>
      <w:r>
        <w:t>P32(x,y) ⇒ E7(x)</w:t>
      </w:r>
    </w:p>
    <w:p w14:paraId="3C5DD7FF" w14:textId="77777777" w:rsidR="00065317" w:rsidRDefault="005C7BF7">
      <w:pPr>
        <w:pStyle w:val="Corpsdetexte"/>
      </w:pPr>
      <w:r>
        <w:t>P32(x,y) ⇒ E55(y)</w:t>
      </w:r>
    </w:p>
    <w:p w14:paraId="77341A17" w14:textId="77777777" w:rsidR="00065317" w:rsidRDefault="005C7BF7">
      <w:pPr>
        <w:pStyle w:val="Corpsdetexte"/>
      </w:pPr>
      <w:r>
        <w:t>P32(x,y) ⇒ P125(x,y)</w:t>
      </w:r>
    </w:p>
    <w:p w14:paraId="24D9D6FF" w14:textId="77777777" w:rsidR="00065317" w:rsidRDefault="005C7BF7">
      <w:pPr>
        <w:pStyle w:val="Corpsdetexte"/>
      </w:pPr>
      <w:r>
        <w:rPr>
          <w:b/>
          <w:bCs/>
        </w:rPr>
        <w:t>Propriétés</w:t>
      </w:r>
    </w:p>
    <w:p w14:paraId="5419CB2E" w14:textId="77777777" w:rsidR="00065317" w:rsidRDefault="005C7BF7">
      <w:pPr>
        <w:pStyle w:val="Normalcentr"/>
      </w:pPr>
      <w:r>
        <w:rPr>
          <w:b/>
          <w:bCs/>
          <w:i/>
          <w:iCs/>
        </w:rPr>
        <w:t>Note de traduction</w:t>
      </w:r>
    </w:p>
    <w:p w14:paraId="66738979" w14:textId="16A50DF6" w:rsidR="00065317" w:rsidRDefault="005C7BF7" w:rsidP="003773B9">
      <w:pPr>
        <w:pStyle w:val="Normalcentr"/>
      </w:pPr>
      <w:r>
        <w:rPr>
          <w:b/>
          <w:bCs/>
          <w:i/>
          <w:iCs/>
        </w:rPr>
        <w:t>Références</w:t>
      </w:r>
    </w:p>
    <w:p w14:paraId="796DCB22" w14:textId="77777777" w:rsidR="00065317" w:rsidRDefault="005C7BF7" w:rsidP="00914F34">
      <w:pPr>
        <w:pStyle w:val="Titre3"/>
      </w:pPr>
      <w:bookmarkStart w:id="330" w:name="_Toc154048850"/>
      <w:bookmarkStart w:id="331" w:name="X37b1de6e44d0d2a3d156af00f9b3fca212eace7"/>
      <w:bookmarkEnd w:id="329"/>
      <w:r>
        <w:t>P33 a mobilisé comme technique spécifique (a été la technique spécifique mise en œuvre dans)</w:t>
      </w:r>
      <w:bookmarkEnd w:id="330"/>
    </w:p>
    <w:p w14:paraId="0416D1F0" w14:textId="77777777" w:rsidR="00065317" w:rsidRDefault="005C7BF7">
      <w:pPr>
        <w:pStyle w:val="FirstParagraph"/>
      </w:pPr>
      <w:r>
        <w:rPr>
          <w:b/>
          <w:bCs/>
        </w:rPr>
        <w:t>Domaine</w:t>
      </w:r>
    </w:p>
    <w:p w14:paraId="7A809DF4" w14:textId="77777777" w:rsidR="00065317" w:rsidRDefault="005C7BF7">
      <w:pPr>
        <w:pStyle w:val="Corpsdetexte"/>
      </w:pPr>
      <w:r>
        <w:rPr>
          <w:rStyle w:val="VerbatimChar"/>
        </w:rPr>
        <w:t>E7_Activité</w:t>
      </w:r>
    </w:p>
    <w:p w14:paraId="33389B91" w14:textId="77777777" w:rsidR="00065317" w:rsidRDefault="005C7BF7">
      <w:pPr>
        <w:pStyle w:val="Corpsdetexte"/>
      </w:pPr>
      <w:r>
        <w:rPr>
          <w:b/>
          <w:bCs/>
        </w:rPr>
        <w:t>Portée</w:t>
      </w:r>
    </w:p>
    <w:p w14:paraId="1DB4E252" w14:textId="77777777" w:rsidR="00065317" w:rsidRDefault="005C7BF7">
      <w:pPr>
        <w:pStyle w:val="Corpsdetexte"/>
      </w:pPr>
      <w:r>
        <w:rPr>
          <w:rStyle w:val="VerbatimChar"/>
        </w:rPr>
        <w:t>E29_Conceptualisation_ou_procédure</w:t>
      </w:r>
    </w:p>
    <w:p w14:paraId="3F5B12B2" w14:textId="77777777" w:rsidR="00065317" w:rsidRDefault="005C7BF7">
      <w:pPr>
        <w:pStyle w:val="Corpsdetexte"/>
      </w:pPr>
      <w:r>
        <w:rPr>
          <w:b/>
          <w:bCs/>
        </w:rPr>
        <w:t>Sous-propriété de</w:t>
      </w:r>
    </w:p>
    <w:p w14:paraId="23E90544" w14:textId="2C759D02" w:rsidR="00065317" w:rsidRDefault="005C7BF7">
      <w:pPr>
        <w:pStyle w:val="Corpsdetexte"/>
      </w:pPr>
      <w:r>
        <w:rPr>
          <w:rStyle w:val="VerbatimChar"/>
        </w:rPr>
        <w:t>E7_Activité</w:t>
      </w:r>
      <w:r>
        <w:t xml:space="preserve">. </w:t>
      </w:r>
      <w:r>
        <w:rPr>
          <w:rStyle w:val="VerbatimChar"/>
        </w:rPr>
        <w:t>P16_a_mobilisé_l</w:t>
      </w:r>
      <w:r w:rsidR="00E84B0E">
        <w:rPr>
          <w:rStyle w:val="VerbatimChar"/>
        </w:rPr>
        <w:t>’</w:t>
      </w:r>
      <w:r>
        <w:rPr>
          <w:rStyle w:val="VerbatimChar"/>
        </w:rPr>
        <w:t>objet_spécifique (a_été_mobilisé_pour)</w:t>
      </w:r>
      <w:r w:rsidR="0024325A">
        <w:t xml:space="preserve"> </w:t>
      </w:r>
      <w:r>
        <w:t xml:space="preserve">: </w:t>
      </w:r>
      <w:r>
        <w:rPr>
          <w:rStyle w:val="VerbatimChar"/>
        </w:rPr>
        <w:t>E70_Chose</w:t>
      </w:r>
    </w:p>
    <w:p w14:paraId="3D7BC9EF" w14:textId="77777777" w:rsidR="00065317" w:rsidRDefault="005C7BF7">
      <w:pPr>
        <w:pStyle w:val="Corpsdetexte"/>
      </w:pPr>
      <w:r>
        <w:rPr>
          <w:b/>
          <w:bCs/>
        </w:rPr>
        <w:t>Super-propriété de</w:t>
      </w:r>
    </w:p>
    <w:p w14:paraId="50FEB38F" w14:textId="77777777" w:rsidR="00065317" w:rsidRDefault="005C7BF7">
      <w:pPr>
        <w:pStyle w:val="Corpsdetexte"/>
      </w:pPr>
      <w:r>
        <w:rPr>
          <w:b/>
          <w:bCs/>
        </w:rPr>
        <w:t>Quantification</w:t>
      </w:r>
    </w:p>
    <w:p w14:paraId="563B57B4" w14:textId="77777777" w:rsidR="00065317" w:rsidRDefault="005C7BF7">
      <w:pPr>
        <w:pStyle w:val="Corpsdetexte"/>
      </w:pPr>
      <w:r>
        <w:t>plusieurs à plusieurs (0,n:0,n)</w:t>
      </w:r>
    </w:p>
    <w:p w14:paraId="3DA07DAA" w14:textId="53DC8F54" w:rsidR="00065317" w:rsidRDefault="005C7BF7">
      <w:pPr>
        <w:pStyle w:val="Corpsdetexte"/>
      </w:pPr>
      <w:r>
        <w:rPr>
          <w:b/>
          <w:bCs/>
        </w:rPr>
        <w:t>Note d</w:t>
      </w:r>
      <w:r w:rsidR="00E84B0E">
        <w:rPr>
          <w:b/>
          <w:bCs/>
        </w:rPr>
        <w:t>’</w:t>
      </w:r>
      <w:r>
        <w:rPr>
          <w:b/>
          <w:bCs/>
        </w:rPr>
        <w:t>application</w:t>
      </w:r>
    </w:p>
    <w:p w14:paraId="5101C477" w14:textId="42C48AEA" w:rsidR="00F54917" w:rsidRDefault="005C7BF7">
      <w:pPr>
        <w:pStyle w:val="Corpsdetexte"/>
      </w:pPr>
      <w:r>
        <w:t xml:space="preserve">Cette propriété identifie une instance spécifique de </w:t>
      </w:r>
      <w:r>
        <w:rPr>
          <w:rStyle w:val="VerbatimChar"/>
        </w:rPr>
        <w:t>E29_Conceptualisation_ou_procédure</w:t>
      </w:r>
      <w:r>
        <w:t xml:space="preserve"> afin de mener à bien une instance de </w:t>
      </w:r>
      <w:r>
        <w:rPr>
          <w:rStyle w:val="VerbatimChar"/>
        </w:rPr>
        <w:t>E7_Activité</w:t>
      </w:r>
      <w:r>
        <w:t xml:space="preserve"> ou des parties de cette instance.</w:t>
      </w:r>
    </w:p>
    <w:p w14:paraId="19ADFCB6" w14:textId="12B20775" w:rsidR="00065317" w:rsidRDefault="00F54917" w:rsidP="00F54917">
      <w:pPr>
        <w:spacing w:after="0"/>
      </w:pPr>
      <w:r>
        <w:br w:type="page"/>
      </w:r>
    </w:p>
    <w:p w14:paraId="480A70DE" w14:textId="2F6E35BE" w:rsidR="00144B23" w:rsidRDefault="005C7BF7">
      <w:pPr>
        <w:pStyle w:val="Corpsdetexte"/>
        <w:rPr>
          <w:b/>
          <w:bCs/>
        </w:rPr>
      </w:pPr>
      <w:r>
        <w:lastRenderedPageBreak/>
        <w:t xml:space="preserve">Cette propriété se distingue de </w:t>
      </w:r>
      <w:r>
        <w:rPr>
          <w:rStyle w:val="VerbatimChar"/>
        </w:rPr>
        <w:t>P32_a_mobilisé_comme_technique_générale (a_été_la_technique_générale_mise_en_œuvre_dans)</w:t>
      </w:r>
      <w:r>
        <w:t xml:space="preserve"> par le fait qu</w:t>
      </w:r>
      <w:r w:rsidR="00E84B0E">
        <w:t>’</w:t>
      </w:r>
      <w:r>
        <w:t xml:space="preserve">elle se réfère à une instance de </w:t>
      </w:r>
      <w:r>
        <w:rPr>
          <w:rStyle w:val="VerbatimChar"/>
        </w:rPr>
        <w:t>E29_Conceptualisation_ou_procédure</w:t>
      </w:r>
      <w:r>
        <w:t>. Cette dernière est un objet informationnel concret plutôt qu</w:t>
      </w:r>
      <w:r w:rsidR="00E84B0E">
        <w:t>’</w:t>
      </w:r>
      <w:r>
        <w:t>un simple terme ou qu</w:t>
      </w:r>
      <w:r w:rsidR="00E84B0E">
        <w:t>’</w:t>
      </w:r>
      <w:r>
        <w:t>une méthode rapportée par la tradition. Des exemples typiques d</w:t>
      </w:r>
      <w:r w:rsidR="00E84B0E">
        <w:t>’</w:t>
      </w:r>
      <w:r>
        <w:t xml:space="preserve">instances de </w:t>
      </w:r>
      <w:r>
        <w:rPr>
          <w:rStyle w:val="VerbatimChar"/>
        </w:rPr>
        <w:t>E29_Conceptualisation_ou_procédure</w:t>
      </w:r>
      <w:r>
        <w:t xml:space="preserve"> sont des plans d</w:t>
      </w:r>
      <w:r w:rsidR="00E84B0E">
        <w:t>’</w:t>
      </w:r>
      <w:r>
        <w:t xml:space="preserve">intervention </w:t>
      </w:r>
      <w:r w:rsidR="00806228">
        <w:t>aux</w:t>
      </w:r>
      <w:r>
        <w:t xml:space="preserve"> fins de conservation ou des plans de construction d</w:t>
      </w:r>
      <w:r w:rsidR="00E84B0E">
        <w:t>’</w:t>
      </w:r>
      <w:r>
        <w:t>un bâtiment.</w:t>
      </w:r>
    </w:p>
    <w:p w14:paraId="26770486" w14:textId="36FAA14A" w:rsidR="00065317" w:rsidRDefault="005C7BF7">
      <w:pPr>
        <w:pStyle w:val="Corpsdetexte"/>
      </w:pPr>
      <w:r>
        <w:rPr>
          <w:b/>
          <w:bCs/>
        </w:rPr>
        <w:t>Exemples</w:t>
      </w:r>
    </w:p>
    <w:p w14:paraId="3EF557E1" w14:textId="3080B5BF" w:rsidR="00065317" w:rsidRDefault="005C7BF7">
      <w:pPr>
        <w:numPr>
          <w:ilvl w:val="0"/>
          <w:numId w:val="174"/>
        </w:numPr>
      </w:pPr>
      <w:r>
        <w:t>L</w:t>
      </w:r>
      <w:r w:rsidR="00E84B0E">
        <w:t>’</w:t>
      </w:r>
      <w:r>
        <w:t>ornementation de la coupe en argent « 232 » (</w:t>
      </w:r>
      <w:r>
        <w:rPr>
          <w:rStyle w:val="VerbatimChar"/>
        </w:rPr>
        <w:t>E11_Modification</w:t>
      </w:r>
      <w:r>
        <w:t>) a mobilisé comme technique spécifique (</w:t>
      </w:r>
      <w:r>
        <w:rPr>
          <w:rStyle w:val="VerbatimChar"/>
        </w:rPr>
        <w:t>P33_a_mobilisé_comme_technique_spécifique</w:t>
      </w:r>
      <w:r>
        <w:t xml:space="preserve">) </w:t>
      </w:r>
      <w:r>
        <w:rPr>
          <w:i/>
          <w:iCs/>
        </w:rPr>
        <w:t>Instructions for golden chase work by A. N. Other</w:t>
      </w:r>
      <w:r>
        <w:t xml:space="preserve"> (</w:t>
      </w:r>
      <w:r>
        <w:rPr>
          <w:rStyle w:val="VerbatimChar"/>
        </w:rPr>
        <w:t>E29_Conceptualisation_ou_procédure</w:t>
      </w:r>
      <w:r>
        <w:t>) (fictif)</w:t>
      </w:r>
    </w:p>
    <w:p w14:paraId="65392C5A" w14:textId="77777777" w:rsidR="00065317" w:rsidRDefault="005C7BF7">
      <w:pPr>
        <w:numPr>
          <w:ilvl w:val="0"/>
          <w:numId w:val="174"/>
        </w:numPr>
      </w:pPr>
      <w:r>
        <w:t>La reconstruction du palais du Reichstag (</w:t>
      </w:r>
      <w:r>
        <w:rPr>
          <w:rStyle w:val="VerbatimChar"/>
        </w:rPr>
        <w:t>E11_Modification</w:t>
      </w:r>
      <w:r>
        <w:t>) a mobilisé comme technique spécifique (</w:t>
      </w:r>
      <w:r>
        <w:rPr>
          <w:rStyle w:val="VerbatimChar"/>
        </w:rPr>
        <w:t>P33_a_mobilisé_comme_technique_spécifique</w:t>
      </w:r>
      <w:r>
        <w:t>) les plans architecturaux de Foster et Partners (</w:t>
      </w:r>
      <w:r>
        <w:rPr>
          <w:rStyle w:val="VerbatimChar"/>
        </w:rPr>
        <w:t>E29_Conceptualisation_ou_procédure</w:t>
      </w:r>
      <w:r>
        <w:t>) (Foster, 2000)</w:t>
      </w:r>
    </w:p>
    <w:p w14:paraId="5D675BD3" w14:textId="77777777" w:rsidR="00065317" w:rsidRDefault="005C7BF7">
      <w:pPr>
        <w:pStyle w:val="FirstParagraph"/>
      </w:pPr>
      <w:r>
        <w:rPr>
          <w:b/>
          <w:bCs/>
        </w:rPr>
        <w:t>Logique</w:t>
      </w:r>
    </w:p>
    <w:p w14:paraId="613A9367" w14:textId="77777777" w:rsidR="00065317" w:rsidRDefault="005C7BF7">
      <w:pPr>
        <w:pStyle w:val="Corpsdetexte"/>
      </w:pPr>
      <w:r>
        <w:t>P33(x,y) ⇒ E7(x)</w:t>
      </w:r>
    </w:p>
    <w:p w14:paraId="1F35C9E3" w14:textId="77777777" w:rsidR="00065317" w:rsidRDefault="005C7BF7">
      <w:pPr>
        <w:pStyle w:val="Corpsdetexte"/>
      </w:pPr>
      <w:r>
        <w:t>P33(x,y) ⇒ E29(y)</w:t>
      </w:r>
    </w:p>
    <w:p w14:paraId="6D8EB96B" w14:textId="77777777" w:rsidR="00065317" w:rsidRDefault="005C7BF7">
      <w:pPr>
        <w:pStyle w:val="Corpsdetexte"/>
      </w:pPr>
      <w:r>
        <w:t>P33(x,y) ⇒ P16(x,y)</w:t>
      </w:r>
    </w:p>
    <w:p w14:paraId="176C214E" w14:textId="77777777" w:rsidR="00065317" w:rsidRDefault="005C7BF7">
      <w:pPr>
        <w:pStyle w:val="Corpsdetexte"/>
      </w:pPr>
      <w:r>
        <w:rPr>
          <w:b/>
          <w:bCs/>
        </w:rPr>
        <w:t>Propriétés</w:t>
      </w:r>
    </w:p>
    <w:p w14:paraId="2A466250" w14:textId="77777777" w:rsidR="00065317" w:rsidRDefault="005C7BF7">
      <w:pPr>
        <w:pStyle w:val="Normalcentr"/>
      </w:pPr>
      <w:r>
        <w:rPr>
          <w:b/>
          <w:bCs/>
          <w:i/>
          <w:iCs/>
        </w:rPr>
        <w:t>Note de traduction</w:t>
      </w:r>
    </w:p>
    <w:p w14:paraId="654065FF" w14:textId="32108447" w:rsidR="00065317" w:rsidRDefault="005C7BF7" w:rsidP="003773B9">
      <w:pPr>
        <w:pStyle w:val="Normalcentr"/>
      </w:pPr>
      <w:r>
        <w:rPr>
          <w:b/>
          <w:bCs/>
          <w:i/>
          <w:iCs/>
        </w:rPr>
        <w:t>Références</w:t>
      </w:r>
    </w:p>
    <w:p w14:paraId="7295E3B7" w14:textId="77777777" w:rsidR="00065317" w:rsidRDefault="005C7BF7" w:rsidP="00914F34">
      <w:pPr>
        <w:pStyle w:val="Titre3"/>
      </w:pPr>
      <w:bookmarkStart w:id="332" w:name="_Toc154048851"/>
      <w:bookmarkStart w:id="333" w:name="p34-a-porte-sur-(a-ete-evalue-par)"/>
      <w:bookmarkEnd w:id="331"/>
      <w:r>
        <w:t>P34 a porté sur (a été évalué par)</w:t>
      </w:r>
      <w:bookmarkEnd w:id="332"/>
    </w:p>
    <w:p w14:paraId="7B4DDBE3" w14:textId="77777777" w:rsidR="00065317" w:rsidRDefault="005C7BF7">
      <w:pPr>
        <w:pStyle w:val="FirstParagraph"/>
      </w:pPr>
      <w:r>
        <w:rPr>
          <w:b/>
          <w:bCs/>
        </w:rPr>
        <w:t>Domaine</w:t>
      </w:r>
    </w:p>
    <w:p w14:paraId="74F98FC5" w14:textId="44F9E9B1" w:rsidR="00065317" w:rsidRDefault="005C7BF7">
      <w:pPr>
        <w:pStyle w:val="Corpsdetexte"/>
      </w:pPr>
      <w:r>
        <w:rPr>
          <w:rStyle w:val="VerbatimChar"/>
        </w:rPr>
        <w:t>E14_Évaluation_d</w:t>
      </w:r>
      <w:r w:rsidR="00E84B0E">
        <w:rPr>
          <w:rStyle w:val="VerbatimChar"/>
        </w:rPr>
        <w:t>’</w:t>
      </w:r>
      <w:r>
        <w:rPr>
          <w:rStyle w:val="VerbatimChar"/>
        </w:rPr>
        <w:t>état_matériel</w:t>
      </w:r>
    </w:p>
    <w:p w14:paraId="250D5F98" w14:textId="77777777" w:rsidR="00065317" w:rsidRDefault="005C7BF7">
      <w:pPr>
        <w:pStyle w:val="Corpsdetexte"/>
      </w:pPr>
      <w:r>
        <w:rPr>
          <w:b/>
          <w:bCs/>
        </w:rPr>
        <w:t>Portée</w:t>
      </w:r>
    </w:p>
    <w:p w14:paraId="0D191AC5" w14:textId="77777777" w:rsidR="00065317" w:rsidRDefault="005C7BF7">
      <w:pPr>
        <w:pStyle w:val="Corpsdetexte"/>
      </w:pPr>
      <w:r>
        <w:rPr>
          <w:rStyle w:val="VerbatimChar"/>
        </w:rPr>
        <w:t>E18_Chose_matérielle</w:t>
      </w:r>
    </w:p>
    <w:p w14:paraId="1724B529" w14:textId="77777777" w:rsidR="00065317" w:rsidRDefault="005C7BF7">
      <w:pPr>
        <w:pStyle w:val="Corpsdetexte"/>
      </w:pPr>
      <w:r>
        <w:rPr>
          <w:b/>
          <w:bCs/>
        </w:rPr>
        <w:t>Sous-propriété de</w:t>
      </w:r>
    </w:p>
    <w:p w14:paraId="7646A535" w14:textId="4E7E6C9F" w:rsidR="00065317" w:rsidRDefault="005C7BF7">
      <w:pPr>
        <w:pStyle w:val="Corpsdetexte"/>
      </w:pPr>
      <w:r>
        <w:rPr>
          <w:rStyle w:val="VerbatimChar"/>
        </w:rPr>
        <w:t>E13_Assignation_d</w:t>
      </w:r>
      <w:r w:rsidR="00E84B0E">
        <w:rPr>
          <w:rStyle w:val="VerbatimChar"/>
        </w:rPr>
        <w:t>’</w:t>
      </w:r>
      <w:r>
        <w:rPr>
          <w:rStyle w:val="VerbatimChar"/>
        </w:rPr>
        <w:t>attribut</w:t>
      </w:r>
      <w:r>
        <w:t xml:space="preserve">. </w:t>
      </w: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r>
        <w:t xml:space="preserve"> : </w:t>
      </w:r>
      <w:r>
        <w:rPr>
          <w:rStyle w:val="VerbatimChar"/>
        </w:rPr>
        <w:t>E1_Entité_CRM</w:t>
      </w:r>
    </w:p>
    <w:p w14:paraId="0F3CCEC1" w14:textId="77777777" w:rsidR="00065317" w:rsidRDefault="005C7BF7">
      <w:pPr>
        <w:pStyle w:val="Corpsdetexte"/>
      </w:pPr>
      <w:r>
        <w:rPr>
          <w:b/>
          <w:bCs/>
        </w:rPr>
        <w:t>Super-propriété de</w:t>
      </w:r>
    </w:p>
    <w:p w14:paraId="2AD47631" w14:textId="77777777" w:rsidR="00065317" w:rsidRDefault="005C7BF7">
      <w:pPr>
        <w:pStyle w:val="Corpsdetexte"/>
      </w:pPr>
      <w:r>
        <w:rPr>
          <w:b/>
          <w:bCs/>
        </w:rPr>
        <w:t>Quantification</w:t>
      </w:r>
    </w:p>
    <w:p w14:paraId="33C6F27E" w14:textId="77777777" w:rsidR="00065317" w:rsidRDefault="005C7BF7">
      <w:pPr>
        <w:pStyle w:val="Corpsdetexte"/>
      </w:pPr>
      <w:r>
        <w:t>plusieurs à plusieurs, nécessaire (1,n:0,n)</w:t>
      </w:r>
    </w:p>
    <w:p w14:paraId="7251AA8E" w14:textId="73D8CDFA" w:rsidR="00065317" w:rsidRDefault="005C7BF7">
      <w:pPr>
        <w:pStyle w:val="Corpsdetexte"/>
      </w:pPr>
      <w:r>
        <w:rPr>
          <w:b/>
          <w:bCs/>
        </w:rPr>
        <w:t>Note d</w:t>
      </w:r>
      <w:r w:rsidR="00E84B0E">
        <w:rPr>
          <w:b/>
          <w:bCs/>
        </w:rPr>
        <w:t>’</w:t>
      </w:r>
      <w:r>
        <w:rPr>
          <w:b/>
          <w:bCs/>
        </w:rPr>
        <w:t>application</w:t>
      </w:r>
    </w:p>
    <w:p w14:paraId="4209012C" w14:textId="1875EF0D" w:rsidR="00065317" w:rsidRDefault="005C7BF7">
      <w:pPr>
        <w:pStyle w:val="Corpsdetexte"/>
      </w:pPr>
      <w:r>
        <w:t xml:space="preserve">Cette propriété identifie une instance de </w:t>
      </w:r>
      <w:r>
        <w:rPr>
          <w:rStyle w:val="VerbatimChar"/>
        </w:rPr>
        <w:t>E18_Chose_matérielle</w:t>
      </w:r>
      <w:r>
        <w:t xml:space="preserve"> qui a été évaluée lors d</w:t>
      </w:r>
      <w:r w:rsidR="00E84B0E">
        <w:t>’</w:t>
      </w:r>
      <w:r>
        <w:t xml:space="preserve">une instance de </w:t>
      </w:r>
      <w:r>
        <w:rPr>
          <w:rStyle w:val="VerbatimChar"/>
        </w:rPr>
        <w:t>E14_Évaluation_d</w:t>
      </w:r>
      <w:r w:rsidR="00E84B0E">
        <w:rPr>
          <w:rStyle w:val="VerbatimChar"/>
        </w:rPr>
        <w:t>’</w:t>
      </w:r>
      <w:r>
        <w:rPr>
          <w:rStyle w:val="VerbatimChar"/>
        </w:rPr>
        <w:t>état_matériel</w:t>
      </w:r>
      <w:r>
        <w:t>.</w:t>
      </w:r>
    </w:p>
    <w:p w14:paraId="4C8295CC" w14:textId="512A9CBE" w:rsidR="00144B23" w:rsidRDefault="005C7BF7">
      <w:pPr>
        <w:pStyle w:val="Corpsdetexte"/>
        <w:rPr>
          <w:b/>
          <w:bCs/>
        </w:rPr>
      </w:pPr>
      <w:r>
        <w:lastRenderedPageBreak/>
        <w:t>L</w:t>
      </w:r>
      <w:r w:rsidR="00E84B0E">
        <w:t>’</w:t>
      </w:r>
      <w:r>
        <w:t>état matériel peut être évalué soit par observation directe, soit à l</w:t>
      </w:r>
      <w:r w:rsidR="00E84B0E">
        <w:t>’</w:t>
      </w:r>
      <w:r>
        <w:t>aide de preuves enregistrées. Dans ce dernier cas, l</w:t>
      </w:r>
      <w:r w:rsidR="00E84B0E">
        <w:t>’</w:t>
      </w:r>
      <w:r>
        <w:t xml:space="preserve">instance de </w:t>
      </w:r>
      <w:r>
        <w:rPr>
          <w:rStyle w:val="VerbatimChar"/>
        </w:rPr>
        <w:t>E18_Chose_matérielle</w:t>
      </w:r>
      <w:r>
        <w:t xml:space="preserve"> n</w:t>
      </w:r>
      <w:r w:rsidR="00E84B0E">
        <w:t>’</w:t>
      </w:r>
      <w:r>
        <w:t>a pas à être présente ou même à exister au moment de l</w:t>
      </w:r>
      <w:r w:rsidR="00E84B0E">
        <w:t>’</w:t>
      </w:r>
      <w:r>
        <w:t>évaluation.</w:t>
      </w:r>
    </w:p>
    <w:p w14:paraId="113BCD0D" w14:textId="251C5F59" w:rsidR="00065317" w:rsidRDefault="005C7BF7">
      <w:pPr>
        <w:pStyle w:val="Corpsdetexte"/>
      </w:pPr>
      <w:r>
        <w:rPr>
          <w:b/>
          <w:bCs/>
        </w:rPr>
        <w:t>Exemples</w:t>
      </w:r>
    </w:p>
    <w:p w14:paraId="3E363561" w14:textId="57E37319" w:rsidR="00065317" w:rsidRDefault="005C7BF7">
      <w:pPr>
        <w:numPr>
          <w:ilvl w:val="0"/>
          <w:numId w:val="175"/>
        </w:numPr>
      </w:pPr>
      <w:r>
        <w:t>L</w:t>
      </w:r>
      <w:r w:rsidR="00E84B0E">
        <w:t>’</w:t>
      </w:r>
      <w:r>
        <w:t>évaluation de l</w:t>
      </w:r>
      <w:r w:rsidR="00E84B0E">
        <w:t>’</w:t>
      </w:r>
      <w:r>
        <w:t>état matériel de la collection d</w:t>
      </w:r>
      <w:r w:rsidR="00E84B0E">
        <w:t>’</w:t>
      </w:r>
      <w:r>
        <w:t>argenterie en 1997 (</w:t>
      </w:r>
      <w:r>
        <w:rPr>
          <w:rStyle w:val="VerbatimChar"/>
        </w:rPr>
        <w:t>E14_Évaluation_d</w:t>
      </w:r>
      <w:r w:rsidR="00E84B0E">
        <w:rPr>
          <w:rStyle w:val="VerbatimChar"/>
        </w:rPr>
        <w:t>’</w:t>
      </w:r>
      <w:r>
        <w:rPr>
          <w:rStyle w:val="VerbatimChar"/>
        </w:rPr>
        <w:t>état_matériel</w:t>
      </w:r>
      <w:r>
        <w:t>) a porté sur (</w:t>
      </w:r>
      <w:r>
        <w:rPr>
          <w:rStyle w:val="VerbatimChar"/>
        </w:rPr>
        <w:t>P34_a_porté_sur</w:t>
      </w:r>
      <w:r>
        <w:t>) la coupe en argent « 232 » (</w:t>
      </w:r>
      <w:r>
        <w:rPr>
          <w:rStyle w:val="VerbatimChar"/>
        </w:rPr>
        <w:t>E22_Objet_élaboré_par_l</w:t>
      </w:r>
      <w:r w:rsidR="00E84B0E">
        <w:rPr>
          <w:rStyle w:val="VerbatimChar"/>
        </w:rPr>
        <w:t>’</w:t>
      </w:r>
      <w:r>
        <w:rPr>
          <w:rStyle w:val="VerbatimChar"/>
        </w:rPr>
        <w:t>humain</w:t>
      </w:r>
      <w:r>
        <w:t>) (fictif)</w:t>
      </w:r>
    </w:p>
    <w:p w14:paraId="40AA92EB" w14:textId="2764EB1F" w:rsidR="00065317" w:rsidRDefault="005C7BF7">
      <w:pPr>
        <w:numPr>
          <w:ilvl w:val="0"/>
          <w:numId w:val="175"/>
        </w:numPr>
      </w:pPr>
      <w:r>
        <w:t>L</w:t>
      </w:r>
      <w:r w:rsidR="00E84B0E">
        <w:t>’</w:t>
      </w:r>
      <w:r>
        <w:t>évaluation de l</w:t>
      </w:r>
      <w:r w:rsidR="00E84B0E">
        <w:t>’</w:t>
      </w:r>
      <w:r>
        <w:t xml:space="preserve">état matériel de la couverture du manuscrit </w:t>
      </w:r>
      <w:r>
        <w:rPr>
          <w:i/>
          <w:iCs/>
        </w:rPr>
        <w:t>Mont Sinaï, MS gr. 418</w:t>
      </w:r>
      <w:r>
        <w:t xml:space="preserve"> (</w:t>
      </w:r>
      <w:r>
        <w:rPr>
          <w:rStyle w:val="VerbatimChar"/>
        </w:rPr>
        <w:t>E14_Évaluation_d</w:t>
      </w:r>
      <w:r w:rsidR="00E84B0E">
        <w:rPr>
          <w:rStyle w:val="VerbatimChar"/>
        </w:rPr>
        <w:t>’</w:t>
      </w:r>
      <w:r>
        <w:rPr>
          <w:rStyle w:val="VerbatimChar"/>
        </w:rPr>
        <w:t>état_matériel</w:t>
      </w:r>
      <w:r>
        <w:t>) a porté sur (</w:t>
      </w:r>
      <w:r>
        <w:rPr>
          <w:rStyle w:val="VerbatimChar"/>
        </w:rPr>
        <w:t>P34_a_porté_sur</w:t>
      </w:r>
      <w:r>
        <w:t xml:space="preserve">) la couverture du manuscrit </w:t>
      </w:r>
      <w:r>
        <w:rPr>
          <w:i/>
          <w:iCs/>
        </w:rPr>
        <w:t>Mont Sinaï, MS gr. 418</w:t>
      </w:r>
      <w:r>
        <w:t xml:space="preserve"> (</w:t>
      </w:r>
      <w:r>
        <w:rPr>
          <w:rStyle w:val="VerbatimChar"/>
        </w:rPr>
        <w:t>E22_Objet_élaboré_par_l</w:t>
      </w:r>
      <w:r w:rsidR="00E84B0E">
        <w:rPr>
          <w:rStyle w:val="VerbatimChar"/>
        </w:rPr>
        <w:t>’</w:t>
      </w:r>
      <w:r>
        <w:rPr>
          <w:rStyle w:val="VerbatimChar"/>
        </w:rPr>
        <w:t>humain</w:t>
      </w:r>
      <w:r>
        <w:t>) (Honey &amp; Pickwoad, 2010)</w:t>
      </w:r>
    </w:p>
    <w:p w14:paraId="6AD3228D" w14:textId="7D2F8136" w:rsidR="00065317" w:rsidRDefault="005C7BF7">
      <w:pPr>
        <w:numPr>
          <w:ilvl w:val="0"/>
          <w:numId w:val="175"/>
        </w:numPr>
      </w:pPr>
      <w:r>
        <w:t>L</w:t>
      </w:r>
      <w:r w:rsidR="00E84B0E">
        <w:t>’</w:t>
      </w:r>
      <w:r>
        <w:t>évaluation de l</w:t>
      </w:r>
      <w:r w:rsidR="00E84B0E">
        <w:t>’</w:t>
      </w:r>
      <w:r>
        <w:t xml:space="preserve">état matériel des bâtonnets de la tranchefile du manuscrit </w:t>
      </w:r>
      <w:r>
        <w:rPr>
          <w:i/>
          <w:iCs/>
        </w:rPr>
        <w:t>Mont Sinaï, MS gr. 418</w:t>
      </w:r>
      <w:r>
        <w:t xml:space="preserve"> (</w:t>
      </w:r>
      <w:r>
        <w:rPr>
          <w:rStyle w:val="VerbatimChar"/>
        </w:rPr>
        <w:t>E14_Évaluation_d</w:t>
      </w:r>
      <w:r w:rsidR="00E84B0E">
        <w:rPr>
          <w:rStyle w:val="VerbatimChar"/>
        </w:rPr>
        <w:t>’</w:t>
      </w:r>
      <w:r>
        <w:rPr>
          <w:rStyle w:val="VerbatimChar"/>
        </w:rPr>
        <w:t>état_matériel</w:t>
      </w:r>
      <w:r>
        <w:t>) a porté sur (</w:t>
      </w:r>
      <w:r>
        <w:rPr>
          <w:rStyle w:val="VerbatimChar"/>
        </w:rPr>
        <w:t>P34_a_porté_sur</w:t>
      </w:r>
      <w:r>
        <w:t xml:space="preserve">) les bâtonnets de la tranchefile du manuscrit </w:t>
      </w:r>
      <w:r>
        <w:rPr>
          <w:i/>
          <w:iCs/>
        </w:rPr>
        <w:t>Mont Sinaï, MS gr. 418</w:t>
      </w:r>
      <w:r>
        <w:t xml:space="preserve"> (</w:t>
      </w:r>
      <w:r>
        <w:rPr>
          <w:rStyle w:val="VerbatimChar"/>
        </w:rPr>
        <w:t>E22_Objet_élaboré_par_l</w:t>
      </w:r>
      <w:r w:rsidR="00E84B0E">
        <w:rPr>
          <w:rStyle w:val="VerbatimChar"/>
        </w:rPr>
        <w:t>’</w:t>
      </w:r>
      <w:r>
        <w:rPr>
          <w:rStyle w:val="VerbatimChar"/>
        </w:rPr>
        <w:t>humain</w:t>
      </w:r>
      <w:r>
        <w:t>) (Honey &amp; Pickwoad, 2010)</w:t>
      </w:r>
    </w:p>
    <w:p w14:paraId="40E16B9E" w14:textId="77777777" w:rsidR="00065317" w:rsidRDefault="005C7BF7">
      <w:pPr>
        <w:pStyle w:val="FirstParagraph"/>
      </w:pPr>
      <w:r>
        <w:rPr>
          <w:b/>
          <w:bCs/>
        </w:rPr>
        <w:t>Logique</w:t>
      </w:r>
    </w:p>
    <w:p w14:paraId="22EA518F" w14:textId="77777777" w:rsidR="00065317" w:rsidRDefault="005C7BF7">
      <w:pPr>
        <w:pStyle w:val="Corpsdetexte"/>
      </w:pPr>
      <w:r>
        <w:t>P34(x,y) ⇒ E14(x)</w:t>
      </w:r>
    </w:p>
    <w:p w14:paraId="1247A787" w14:textId="77777777" w:rsidR="00065317" w:rsidRDefault="005C7BF7">
      <w:pPr>
        <w:pStyle w:val="Corpsdetexte"/>
      </w:pPr>
      <w:r>
        <w:t>P34(x,y) ⇒ E18(y)</w:t>
      </w:r>
    </w:p>
    <w:p w14:paraId="61F2B1F2" w14:textId="77777777" w:rsidR="00065317" w:rsidRDefault="005C7BF7">
      <w:pPr>
        <w:pStyle w:val="Corpsdetexte"/>
      </w:pPr>
      <w:r>
        <w:t>P34(x,y) ⇒ P140(x,y)</w:t>
      </w:r>
    </w:p>
    <w:p w14:paraId="36A16AD4" w14:textId="77777777" w:rsidR="00065317" w:rsidRDefault="005C7BF7">
      <w:pPr>
        <w:pStyle w:val="Corpsdetexte"/>
      </w:pPr>
      <w:r>
        <w:rPr>
          <w:b/>
          <w:bCs/>
        </w:rPr>
        <w:t>Propriétés</w:t>
      </w:r>
    </w:p>
    <w:p w14:paraId="698C1FA7" w14:textId="77777777" w:rsidR="00065317" w:rsidRDefault="005C7BF7">
      <w:pPr>
        <w:pStyle w:val="Normalcentr"/>
      </w:pPr>
      <w:r>
        <w:rPr>
          <w:b/>
          <w:bCs/>
          <w:i/>
          <w:iCs/>
        </w:rPr>
        <w:t>Note de traduction</w:t>
      </w:r>
    </w:p>
    <w:p w14:paraId="3FA7454D" w14:textId="6ACBF45F" w:rsidR="00065317" w:rsidRDefault="005C7BF7">
      <w:pPr>
        <w:pStyle w:val="Normalcentr"/>
      </w:pPr>
      <w:r>
        <w:t>« Endband cores » a été traduit par « bâtonnets de la tranchefile ». Il aurait aussi été possible de traduire par « noyaux de la tranchefile », mais cette traduction est moins fréquente dans la littérature scientifique. « Endband cores » peut aussi se traduire uniquement par «</w:t>
      </w:r>
      <w:r w:rsidR="003773B9">
        <w:t> </w:t>
      </w:r>
      <w:r>
        <w:t>bâtonnets », mais afin d</w:t>
      </w:r>
      <w:r w:rsidR="00E84B0E">
        <w:t>’</w:t>
      </w:r>
      <w:r>
        <w:t>éviter toute ambiguïté, l</w:t>
      </w:r>
      <w:r w:rsidR="00E84B0E">
        <w:t>’</w:t>
      </w:r>
      <w:r>
        <w:t>équipe de traduction a décidé d</w:t>
      </w:r>
      <w:r w:rsidR="00E84B0E">
        <w:t>’</w:t>
      </w:r>
      <w:r>
        <w:t>ajouter « de la tranchefile ».</w:t>
      </w:r>
    </w:p>
    <w:p w14:paraId="0F1A6993" w14:textId="77777777" w:rsidR="00065317" w:rsidRDefault="005C7BF7">
      <w:pPr>
        <w:pStyle w:val="Normalcentr"/>
      </w:pPr>
      <w:r>
        <w:rPr>
          <w:b/>
          <w:bCs/>
          <w:i/>
          <w:iCs/>
        </w:rPr>
        <w:t>Références</w:t>
      </w:r>
    </w:p>
    <w:p w14:paraId="0350F4A3" w14:textId="0B6B5EEB" w:rsidR="00065317" w:rsidRDefault="005C7BF7">
      <w:pPr>
        <w:pStyle w:val="Normalcentr"/>
      </w:pPr>
      <w:r>
        <w:t xml:space="preserve">Lenormand, Louis Sébastien, et W. Maigne. « Tranchefile ». Dans </w:t>
      </w:r>
      <w:r>
        <w:rPr>
          <w:i/>
          <w:iCs/>
        </w:rPr>
        <w:t>Nouveau manuel complet du relieur en tous genres contenant les arts de l</w:t>
      </w:r>
      <w:r w:rsidR="00E84B0E">
        <w:rPr>
          <w:i/>
          <w:iCs/>
        </w:rPr>
        <w:t>’</w:t>
      </w:r>
      <w:r>
        <w:rPr>
          <w:i/>
          <w:iCs/>
        </w:rPr>
        <w:t>assembleur, du satineur, du cartonneur, du marbreur sur tranches et du doreur sur tranches et sur cuir</w:t>
      </w:r>
      <w:r>
        <w:t>, édité par L. Mulo, 171‑75. Manuels Roret. 1900. Reprint, Paris, FR-IDF: Encyclopédie-Roret, 2006.</w:t>
      </w:r>
      <w:hyperlink r:id="rId228">
        <w:r>
          <w:rPr>
            <w:rStyle w:val="Lienhypertexte"/>
          </w:rPr>
          <w:t xml:space="preserve"> </w:t>
        </w:r>
      </w:hyperlink>
      <w:hyperlink r:id="rId229">
        <w:r>
          <w:rPr>
            <w:rStyle w:val="Lienhypertexte"/>
          </w:rPr>
          <w:t>https://www.moulinduverger.com/reliure-manuelle/roret-69.php</w:t>
        </w:r>
      </w:hyperlink>
      <w:r>
        <w:t>.</w:t>
      </w:r>
    </w:p>
    <w:p w14:paraId="53C5C896" w14:textId="532A280A" w:rsidR="00065317" w:rsidRDefault="005C7BF7">
      <w:pPr>
        <w:pStyle w:val="Normalcentr"/>
      </w:pPr>
      <w:r>
        <w:t xml:space="preserve">Louis, Olivier. « Bâtonnets de tranchefile, fabrication, matériel utilisé et dimensions. » Blogue. </w:t>
      </w:r>
      <w:r>
        <w:rPr>
          <w:i/>
          <w:iCs/>
        </w:rPr>
        <w:t>Reliure d</w:t>
      </w:r>
      <w:r w:rsidR="00E84B0E">
        <w:rPr>
          <w:i/>
          <w:iCs/>
        </w:rPr>
        <w:t>’</w:t>
      </w:r>
      <w:r>
        <w:rPr>
          <w:i/>
          <w:iCs/>
        </w:rPr>
        <w:t>art dare</w:t>
      </w:r>
      <w:r>
        <w:t xml:space="preserve"> (blog), 28</w:t>
      </w:r>
      <w:r w:rsidR="00056DCD">
        <w:t> septembre </w:t>
      </w:r>
      <w:r>
        <w:t>2021.</w:t>
      </w:r>
      <w:hyperlink r:id="rId230">
        <w:r>
          <w:rPr>
            <w:rStyle w:val="Lienhypertexte"/>
          </w:rPr>
          <w:t xml:space="preserve"> </w:t>
        </w:r>
      </w:hyperlink>
      <w:hyperlink r:id="rId231">
        <w:r>
          <w:rPr>
            <w:rStyle w:val="Lienhypertexte"/>
          </w:rPr>
          <w:t>https://reliuredartdare.com/2021/09/batonnets-tranchefile-fabrication/</w:t>
        </w:r>
      </w:hyperlink>
      <w:r>
        <w:t>.</w:t>
      </w:r>
    </w:p>
    <w:p w14:paraId="65AD053F" w14:textId="7CFC54F3" w:rsidR="00065317" w:rsidRPr="00EC2D6E" w:rsidRDefault="005C7BF7">
      <w:pPr>
        <w:pStyle w:val="Normalcentr"/>
        <w:rPr>
          <w:lang w:val="en-CA"/>
        </w:rPr>
      </w:pPr>
      <w:r>
        <w:t>Smith, Shelagh, et Hélène Franc</w:t>
      </w:r>
      <w:r w:rsidR="00F52177">
        <w:t>oe</w:t>
      </w:r>
      <w:r>
        <w:t xml:space="preserve">ur. </w:t>
      </w:r>
      <w:r w:rsidRPr="00EC2D6E">
        <w:rPr>
          <w:i/>
          <w:iCs/>
          <w:lang w:val="en-CA"/>
        </w:rPr>
        <w:t>English to French Book Arts Terms</w:t>
      </w:r>
      <w:r w:rsidRPr="00EC2D6E">
        <w:rPr>
          <w:lang w:val="en-CA"/>
        </w:rPr>
        <w:t>. Toronto, CA-ON: Canadian Bookbinders and Book Artists Guild, 2021.</w:t>
      </w:r>
      <w:hyperlink r:id="rId232">
        <w:r w:rsidRPr="00EC2D6E">
          <w:rPr>
            <w:rStyle w:val="Lienhypertexte"/>
            <w:lang w:val="en-CA"/>
          </w:rPr>
          <w:t xml:space="preserve"> </w:t>
        </w:r>
      </w:hyperlink>
      <w:hyperlink r:id="rId233">
        <w:r w:rsidRPr="00EC2D6E">
          <w:rPr>
            <w:rStyle w:val="Lienhypertexte"/>
            <w:lang w:val="en-CA"/>
          </w:rPr>
          <w:t>https://www.cbbag.ca/resources/Public/Book%20Arts%20ENG%20FRE%20Translation.pdf</w:t>
        </w:r>
      </w:hyperlink>
      <w:r w:rsidRPr="00EC2D6E">
        <w:rPr>
          <w:lang w:val="en-CA"/>
        </w:rPr>
        <w:t>.</w:t>
      </w:r>
    </w:p>
    <w:p w14:paraId="39AF422A" w14:textId="77777777" w:rsidR="00065317" w:rsidRDefault="005C7BF7" w:rsidP="00914F34">
      <w:pPr>
        <w:pStyle w:val="Titre3"/>
      </w:pPr>
      <w:bookmarkStart w:id="334" w:name="_Toc154048852"/>
      <w:bookmarkStart w:id="335" w:name="p35-a-identifie-(a-ete-identifie-par)"/>
      <w:bookmarkEnd w:id="333"/>
      <w:r>
        <w:t>P35 a identifié (a été identifié par)</w:t>
      </w:r>
      <w:bookmarkEnd w:id="334"/>
    </w:p>
    <w:p w14:paraId="138A1DE7" w14:textId="77777777" w:rsidR="00065317" w:rsidRDefault="005C7BF7">
      <w:pPr>
        <w:pStyle w:val="FirstParagraph"/>
      </w:pPr>
      <w:r>
        <w:rPr>
          <w:b/>
          <w:bCs/>
        </w:rPr>
        <w:t>Domaine</w:t>
      </w:r>
    </w:p>
    <w:p w14:paraId="34A9D5D3" w14:textId="3A00D160" w:rsidR="00065317" w:rsidRDefault="005C7BF7">
      <w:pPr>
        <w:pStyle w:val="Corpsdetexte"/>
      </w:pPr>
      <w:r>
        <w:rPr>
          <w:rStyle w:val="VerbatimChar"/>
        </w:rPr>
        <w:t>E14_Évaluation_d</w:t>
      </w:r>
      <w:r w:rsidR="00E84B0E">
        <w:rPr>
          <w:rStyle w:val="VerbatimChar"/>
        </w:rPr>
        <w:t>’</w:t>
      </w:r>
      <w:r>
        <w:rPr>
          <w:rStyle w:val="VerbatimChar"/>
        </w:rPr>
        <w:t>état_matériel</w:t>
      </w:r>
    </w:p>
    <w:p w14:paraId="727CCE40" w14:textId="77777777" w:rsidR="00065317" w:rsidRDefault="005C7BF7">
      <w:pPr>
        <w:pStyle w:val="Corpsdetexte"/>
      </w:pPr>
      <w:r>
        <w:rPr>
          <w:b/>
          <w:bCs/>
        </w:rPr>
        <w:t>Portée</w:t>
      </w:r>
    </w:p>
    <w:p w14:paraId="39015BD8" w14:textId="77777777" w:rsidR="00065317" w:rsidRDefault="005C7BF7">
      <w:pPr>
        <w:pStyle w:val="Corpsdetexte"/>
      </w:pPr>
      <w:r>
        <w:rPr>
          <w:rStyle w:val="VerbatimChar"/>
        </w:rPr>
        <w:t>E3_État_matériel</w:t>
      </w:r>
    </w:p>
    <w:p w14:paraId="042D4B35" w14:textId="77777777" w:rsidR="00065317" w:rsidRDefault="005C7BF7">
      <w:pPr>
        <w:pStyle w:val="Corpsdetexte"/>
      </w:pPr>
      <w:r>
        <w:rPr>
          <w:b/>
          <w:bCs/>
        </w:rPr>
        <w:lastRenderedPageBreak/>
        <w:t>Sous-propriété de</w:t>
      </w:r>
    </w:p>
    <w:p w14:paraId="58AAECA5" w14:textId="12002D80" w:rsidR="00065317" w:rsidRDefault="005C7BF7">
      <w:pPr>
        <w:pStyle w:val="Corpsdetexte"/>
      </w:pPr>
      <w:r>
        <w:rPr>
          <w:rStyle w:val="VerbatimChar"/>
        </w:rPr>
        <w:t>E13_Assignation_d</w:t>
      </w:r>
      <w:r w:rsidR="00E84B0E">
        <w:rPr>
          <w:rStyle w:val="VerbatimChar"/>
        </w:rPr>
        <w:t>’</w:t>
      </w:r>
      <w:r>
        <w:rPr>
          <w:rStyle w:val="VerbatimChar"/>
        </w:rPr>
        <w:t>attribut</w:t>
      </w:r>
      <w:r>
        <w:t xml:space="preserve">. </w:t>
      </w:r>
      <w:r>
        <w:rPr>
          <w:rStyle w:val="VerbatimChar"/>
        </w:rPr>
        <w:t>P141_a_assigné (a_été_assigné_par)</w:t>
      </w:r>
      <w:r w:rsidR="007F43A3">
        <w:rPr>
          <w:rStyle w:val="VerbatimChar"/>
        </w:rPr>
        <w:t> </w:t>
      </w:r>
      <w:r>
        <w:t xml:space="preserve">: </w:t>
      </w:r>
      <w:r>
        <w:rPr>
          <w:rStyle w:val="VerbatimChar"/>
        </w:rPr>
        <w:t>E1_Entité_CRM</w:t>
      </w:r>
    </w:p>
    <w:p w14:paraId="30455F38" w14:textId="77777777" w:rsidR="00065317" w:rsidRDefault="005C7BF7">
      <w:pPr>
        <w:pStyle w:val="Corpsdetexte"/>
      </w:pPr>
      <w:r>
        <w:rPr>
          <w:b/>
          <w:bCs/>
        </w:rPr>
        <w:t>Super-propriété de</w:t>
      </w:r>
    </w:p>
    <w:p w14:paraId="7062A2AF" w14:textId="77777777" w:rsidR="00065317" w:rsidRDefault="005C7BF7">
      <w:pPr>
        <w:pStyle w:val="Corpsdetexte"/>
      </w:pPr>
      <w:r>
        <w:rPr>
          <w:b/>
          <w:bCs/>
        </w:rPr>
        <w:t>Quantification</w:t>
      </w:r>
    </w:p>
    <w:p w14:paraId="13080E62" w14:textId="77777777" w:rsidR="00065317" w:rsidRDefault="005C7BF7">
      <w:pPr>
        <w:pStyle w:val="Corpsdetexte"/>
      </w:pPr>
      <w:r>
        <w:t>plusieurs à plusieurs, nécessaire (1,n:0,n)</w:t>
      </w:r>
    </w:p>
    <w:p w14:paraId="371C945A" w14:textId="0AE1F3F5" w:rsidR="00065317" w:rsidRDefault="005C7BF7">
      <w:pPr>
        <w:pStyle w:val="Corpsdetexte"/>
      </w:pPr>
      <w:r>
        <w:rPr>
          <w:b/>
          <w:bCs/>
        </w:rPr>
        <w:t>Note d</w:t>
      </w:r>
      <w:r w:rsidR="00E84B0E">
        <w:rPr>
          <w:b/>
          <w:bCs/>
        </w:rPr>
        <w:t>’</w:t>
      </w:r>
      <w:r>
        <w:rPr>
          <w:b/>
          <w:bCs/>
        </w:rPr>
        <w:t>application</w:t>
      </w:r>
    </w:p>
    <w:p w14:paraId="5E7416DC" w14:textId="045E08A6" w:rsidR="00065317" w:rsidRDefault="005C7BF7">
      <w:pPr>
        <w:pStyle w:val="Corpsdetexte"/>
      </w:pPr>
      <w:r>
        <w:t xml:space="preserve">Cette propriété identifie une instance de </w:t>
      </w:r>
      <w:r>
        <w:rPr>
          <w:rStyle w:val="VerbatimChar"/>
        </w:rPr>
        <w:t>E3_État_matériel</w:t>
      </w:r>
      <w:r>
        <w:t xml:space="preserve"> observée dans le cadre d</w:t>
      </w:r>
      <w:r w:rsidR="00E84B0E">
        <w:t>’</w:t>
      </w:r>
      <w:r>
        <w:t xml:space="preserve">une instance de </w:t>
      </w:r>
      <w:r>
        <w:rPr>
          <w:rStyle w:val="VerbatimChar"/>
        </w:rPr>
        <w:t>E14_Évaluation_d</w:t>
      </w:r>
      <w:r w:rsidR="00E84B0E">
        <w:rPr>
          <w:rStyle w:val="VerbatimChar"/>
        </w:rPr>
        <w:t>’</w:t>
      </w:r>
      <w:r>
        <w:rPr>
          <w:rStyle w:val="VerbatimChar"/>
        </w:rPr>
        <w:t>état_matériel</w:t>
      </w:r>
      <w:r>
        <w:t>.</w:t>
      </w:r>
    </w:p>
    <w:p w14:paraId="269DF1C8" w14:textId="77777777" w:rsidR="00065317" w:rsidRDefault="005C7BF7">
      <w:pPr>
        <w:pStyle w:val="Corpsdetexte"/>
      </w:pPr>
      <w:r>
        <w:rPr>
          <w:b/>
          <w:bCs/>
        </w:rPr>
        <w:t>Exemples</w:t>
      </w:r>
    </w:p>
    <w:p w14:paraId="145142CD" w14:textId="40587D18" w:rsidR="00065317" w:rsidRDefault="005C7BF7">
      <w:pPr>
        <w:numPr>
          <w:ilvl w:val="0"/>
          <w:numId w:val="176"/>
        </w:numPr>
      </w:pPr>
      <w:r>
        <w:t>L</w:t>
      </w:r>
      <w:r w:rsidR="00E84B0E">
        <w:t>’</w:t>
      </w:r>
      <w:r>
        <w:t>évaluation en 1997 de l</w:t>
      </w:r>
      <w:r w:rsidR="00E84B0E">
        <w:t>’</w:t>
      </w:r>
      <w:r>
        <w:t>état matériel de la coupe en argent « 232 » en 1997 (</w:t>
      </w:r>
      <w:r>
        <w:rPr>
          <w:rStyle w:val="VerbatimChar"/>
        </w:rPr>
        <w:t>E14_Évaluation_d</w:t>
      </w:r>
      <w:r w:rsidR="00E84B0E">
        <w:rPr>
          <w:rStyle w:val="VerbatimChar"/>
        </w:rPr>
        <w:t>’</w:t>
      </w:r>
      <w:r>
        <w:rPr>
          <w:rStyle w:val="VerbatimChar"/>
        </w:rPr>
        <w:t>état_matériel</w:t>
      </w:r>
      <w:r>
        <w:t>) a identifié (</w:t>
      </w:r>
      <w:r>
        <w:rPr>
          <w:rStyle w:val="VerbatimChar"/>
        </w:rPr>
        <w:t>P35_a_identifié</w:t>
      </w:r>
      <w:r>
        <w:t>) des traces d</w:t>
      </w:r>
      <w:r w:rsidR="00E84B0E">
        <w:t>’</w:t>
      </w:r>
      <w:r>
        <w:t>oxydation (</w:t>
      </w:r>
      <w:r>
        <w:rPr>
          <w:rStyle w:val="VerbatimChar"/>
        </w:rPr>
        <w:t>E3_État_matériel</w:t>
      </w:r>
      <w:r>
        <w:t>) [lesquelles ont pour type (</w:t>
      </w:r>
      <w:r>
        <w:rPr>
          <w:rStyle w:val="VerbatimChar"/>
        </w:rPr>
        <w:t>P2_a_pour_type</w:t>
      </w:r>
      <w:r>
        <w:t>) « traces d</w:t>
      </w:r>
      <w:r w:rsidR="00E84B0E">
        <w:t>’</w:t>
      </w:r>
      <w:r>
        <w:t>oxydation » (</w:t>
      </w:r>
      <w:r>
        <w:rPr>
          <w:rStyle w:val="VerbatimChar"/>
        </w:rPr>
        <w:t>E55_Type</w:t>
      </w:r>
      <w:r>
        <w:t>)] (fictif)</w:t>
      </w:r>
    </w:p>
    <w:p w14:paraId="0C7C6E58" w14:textId="30B4ED47" w:rsidR="00065317" w:rsidRDefault="005C7BF7">
      <w:pPr>
        <w:numPr>
          <w:ilvl w:val="0"/>
          <w:numId w:val="176"/>
        </w:numPr>
      </w:pPr>
      <w:r>
        <w:t>L</w:t>
      </w:r>
      <w:r w:rsidR="00E84B0E">
        <w:t>’</w:t>
      </w:r>
      <w:r>
        <w:t>évaluation de l</w:t>
      </w:r>
      <w:r w:rsidR="00E84B0E">
        <w:t>’</w:t>
      </w:r>
      <w:r>
        <w:t xml:space="preserve">état matériel de la couverture du manuscrit </w:t>
      </w:r>
      <w:r>
        <w:rPr>
          <w:i/>
          <w:iCs/>
        </w:rPr>
        <w:t>Mont Sinaï, MS gr.</w:t>
      </w:r>
      <w:r w:rsidR="00A84B19">
        <w:rPr>
          <w:i/>
          <w:iCs/>
        </w:rPr>
        <w:t> </w:t>
      </w:r>
      <w:r>
        <w:rPr>
          <w:i/>
          <w:iCs/>
        </w:rPr>
        <w:t>418</w:t>
      </w:r>
      <w:r>
        <w:t xml:space="preserve"> (</w:t>
      </w:r>
      <w:r>
        <w:rPr>
          <w:rStyle w:val="VerbatimChar"/>
        </w:rPr>
        <w:t>E14_Évaluation_d</w:t>
      </w:r>
      <w:r w:rsidR="00E84B0E">
        <w:rPr>
          <w:rStyle w:val="VerbatimChar"/>
        </w:rPr>
        <w:t>’</w:t>
      </w:r>
      <w:r>
        <w:rPr>
          <w:rStyle w:val="VerbatimChar"/>
        </w:rPr>
        <w:t>état_matériel</w:t>
      </w:r>
      <w:r>
        <w:t>) a identifié (</w:t>
      </w:r>
      <w:r>
        <w:rPr>
          <w:rStyle w:val="VerbatimChar"/>
        </w:rPr>
        <w:t>P35_a_identifié</w:t>
      </w:r>
      <w:r>
        <w:t>) un état matériel en</w:t>
      </w:r>
      <w:r w:rsidR="00056DCD">
        <w:t> novembre </w:t>
      </w:r>
      <w:r>
        <w:t>2003 (</w:t>
      </w:r>
      <w:r>
        <w:rPr>
          <w:rStyle w:val="VerbatimChar"/>
        </w:rPr>
        <w:t>E3_État_matériel</w:t>
      </w:r>
      <w:r>
        <w:t>) de type « fin » (</w:t>
      </w:r>
      <w:r>
        <w:rPr>
          <w:rStyle w:val="VerbatimChar"/>
        </w:rPr>
        <w:t>E55_Type</w:t>
      </w:r>
      <w:r>
        <w:t>) (Honey &amp; Pickwoad, 2010)</w:t>
      </w:r>
    </w:p>
    <w:p w14:paraId="1CA1DE78" w14:textId="125F80BE" w:rsidR="00065317" w:rsidRDefault="005C7BF7">
      <w:pPr>
        <w:numPr>
          <w:ilvl w:val="0"/>
          <w:numId w:val="176"/>
        </w:numPr>
      </w:pPr>
      <w:r>
        <w:t>L</w:t>
      </w:r>
      <w:r w:rsidR="00E84B0E">
        <w:t>’</w:t>
      </w:r>
      <w:r>
        <w:t>évaluation de l</w:t>
      </w:r>
      <w:r w:rsidR="00E84B0E">
        <w:t>’</w:t>
      </w:r>
      <w:r>
        <w:t xml:space="preserve">état matériel des bâtonnets de la tranchefile du manuscrit </w:t>
      </w:r>
      <w:r>
        <w:rPr>
          <w:i/>
          <w:iCs/>
        </w:rPr>
        <w:t>Mont Sinaï, MS gr.</w:t>
      </w:r>
      <w:r w:rsidR="00A84B19">
        <w:rPr>
          <w:i/>
          <w:iCs/>
        </w:rPr>
        <w:t> </w:t>
      </w:r>
      <w:r>
        <w:rPr>
          <w:i/>
          <w:iCs/>
        </w:rPr>
        <w:t>418</w:t>
      </w:r>
      <w:r>
        <w:t xml:space="preserve"> (</w:t>
      </w:r>
      <w:r>
        <w:rPr>
          <w:rStyle w:val="VerbatimChar"/>
        </w:rPr>
        <w:t>E14_Évaluation_d</w:t>
      </w:r>
      <w:r w:rsidR="00E84B0E">
        <w:rPr>
          <w:rStyle w:val="VerbatimChar"/>
        </w:rPr>
        <w:t>’</w:t>
      </w:r>
      <w:r>
        <w:rPr>
          <w:rStyle w:val="VerbatimChar"/>
        </w:rPr>
        <w:t>état_matériel</w:t>
      </w:r>
      <w:r>
        <w:t>) a identifié (</w:t>
      </w:r>
      <w:r>
        <w:rPr>
          <w:rStyle w:val="VerbatimChar"/>
        </w:rPr>
        <w:t>P35_a_identifié</w:t>
      </w:r>
      <w:r>
        <w:t>) un état matériel en</w:t>
      </w:r>
      <w:r w:rsidR="00056DCD">
        <w:t> novembre </w:t>
      </w:r>
      <w:r>
        <w:t>2003 (</w:t>
      </w:r>
      <w:r>
        <w:rPr>
          <w:rStyle w:val="VerbatimChar"/>
        </w:rPr>
        <w:t>E3_État_matériel</w:t>
      </w:r>
      <w:r>
        <w:t>) de type « endommagé » (</w:t>
      </w:r>
      <w:r>
        <w:rPr>
          <w:rStyle w:val="VerbatimChar"/>
        </w:rPr>
        <w:t>E55_Type</w:t>
      </w:r>
      <w:r>
        <w:t>) (Honey &amp; Pickwoad, 2010)</w:t>
      </w:r>
    </w:p>
    <w:p w14:paraId="08E0536D" w14:textId="77777777" w:rsidR="00065317" w:rsidRDefault="005C7BF7">
      <w:pPr>
        <w:pStyle w:val="FirstParagraph"/>
      </w:pPr>
      <w:r>
        <w:rPr>
          <w:b/>
          <w:bCs/>
        </w:rPr>
        <w:t>Logique</w:t>
      </w:r>
    </w:p>
    <w:p w14:paraId="20ED280F" w14:textId="77777777" w:rsidR="00065317" w:rsidRDefault="005C7BF7">
      <w:pPr>
        <w:pStyle w:val="Corpsdetexte"/>
      </w:pPr>
      <w:r>
        <w:t>P35(x,y) ⇒E14(x)</w:t>
      </w:r>
    </w:p>
    <w:p w14:paraId="45268869" w14:textId="77777777" w:rsidR="00065317" w:rsidRDefault="005C7BF7">
      <w:pPr>
        <w:pStyle w:val="Corpsdetexte"/>
      </w:pPr>
      <w:r>
        <w:t>P35(x,y) ⇒ E3(y)</w:t>
      </w:r>
    </w:p>
    <w:p w14:paraId="724C107D" w14:textId="77777777" w:rsidR="00065317" w:rsidRDefault="005C7BF7">
      <w:pPr>
        <w:pStyle w:val="Corpsdetexte"/>
      </w:pPr>
      <w:r>
        <w:t>P35(x,y) ⇒ P141(x,y)</w:t>
      </w:r>
    </w:p>
    <w:p w14:paraId="6B217E46" w14:textId="77777777" w:rsidR="00065317" w:rsidRDefault="005C7BF7">
      <w:pPr>
        <w:pStyle w:val="Corpsdetexte"/>
      </w:pPr>
      <w:r>
        <w:rPr>
          <w:b/>
          <w:bCs/>
        </w:rPr>
        <w:t>Propriétés</w:t>
      </w:r>
    </w:p>
    <w:p w14:paraId="7EF62ECC" w14:textId="77777777" w:rsidR="00065317" w:rsidRDefault="005C7BF7">
      <w:pPr>
        <w:pStyle w:val="Normalcentr"/>
      </w:pPr>
      <w:r>
        <w:rPr>
          <w:b/>
          <w:bCs/>
          <w:i/>
          <w:iCs/>
        </w:rPr>
        <w:t>Note de traduction</w:t>
      </w:r>
    </w:p>
    <w:p w14:paraId="456E538D" w14:textId="69B6C145" w:rsidR="00065317" w:rsidRDefault="005C7BF7">
      <w:pPr>
        <w:pStyle w:val="Normalcentr"/>
      </w:pPr>
      <w:r>
        <w:t>« Endband cores » a été traduit par « bâtonnets de la tranchefile ». Il aurait aussi été possible de traduire par « noyaux de la tranchefile », mais cette traduction est moins fréquente dans la littérature scientifique. « Endband cores » peut aussi se traduire uniquement par «</w:t>
      </w:r>
      <w:r w:rsidR="003773B9">
        <w:t> </w:t>
      </w:r>
      <w:r>
        <w:t>bâtonnets », mais afin d</w:t>
      </w:r>
      <w:r w:rsidR="00E84B0E">
        <w:t>’</w:t>
      </w:r>
      <w:r>
        <w:t>éviter toute ambiguïté, l</w:t>
      </w:r>
      <w:r w:rsidR="00E84B0E">
        <w:t>’</w:t>
      </w:r>
      <w:r>
        <w:t>équipe de traduction a décidé d</w:t>
      </w:r>
      <w:r w:rsidR="00E84B0E">
        <w:t>’</w:t>
      </w:r>
      <w:r>
        <w:t>ajouter « de la tranchefile ».</w:t>
      </w:r>
    </w:p>
    <w:p w14:paraId="34882369" w14:textId="23215866" w:rsidR="00065317" w:rsidRDefault="005C7BF7">
      <w:pPr>
        <w:pStyle w:val="Normalcentr"/>
      </w:pPr>
      <w:r>
        <w:t>Dans l</w:t>
      </w:r>
      <w:r w:rsidR="00E84B0E">
        <w:t>’</w:t>
      </w:r>
      <w:r>
        <w:t xml:space="preserve">exemple « the condition assessment of the cover of MS Sinai Greek 418 (E13) has identified the condition state in November 2003 (E3) [which has type fine (E55)] (Honey and Pickwoad, 2010) », </w:t>
      </w:r>
      <w:r>
        <w:rPr>
          <w:rStyle w:val="VerbatimChar"/>
        </w:rPr>
        <w:t>E13_Assignation_d</w:t>
      </w:r>
      <w:r w:rsidR="00E84B0E">
        <w:rPr>
          <w:rStyle w:val="VerbatimChar"/>
        </w:rPr>
        <w:t>’</w:t>
      </w:r>
      <w:r>
        <w:rPr>
          <w:rStyle w:val="VerbatimChar"/>
        </w:rPr>
        <w:t>attribut</w:t>
      </w:r>
      <w:r>
        <w:t xml:space="preserve"> est utilisé en lieu et place de </w:t>
      </w:r>
      <w:r>
        <w:rPr>
          <w:rStyle w:val="VerbatimChar"/>
        </w:rPr>
        <w:t>E14_Évaluation_d</w:t>
      </w:r>
      <w:r w:rsidR="00E84B0E">
        <w:rPr>
          <w:rStyle w:val="VerbatimChar"/>
        </w:rPr>
        <w:t>’</w:t>
      </w:r>
      <w:r>
        <w:rPr>
          <w:rStyle w:val="VerbatimChar"/>
        </w:rPr>
        <w:t>état_matériel</w:t>
      </w:r>
      <w:r>
        <w:t xml:space="preserve">. </w:t>
      </w:r>
      <w:r w:rsidR="00714434">
        <w:t>Cela</w:t>
      </w:r>
      <w:r>
        <w:t xml:space="preserve"> est une erreur qui n</w:t>
      </w:r>
      <w:r w:rsidR="00E84B0E">
        <w:t>’</w:t>
      </w:r>
      <w:r>
        <w:t>a pas été reproduite dans la version traduite.</w:t>
      </w:r>
    </w:p>
    <w:p w14:paraId="65C34F28" w14:textId="77777777" w:rsidR="00065317" w:rsidRDefault="005C7BF7">
      <w:pPr>
        <w:pStyle w:val="Normalcentr"/>
      </w:pPr>
      <w:r>
        <w:rPr>
          <w:b/>
          <w:bCs/>
          <w:i/>
          <w:iCs/>
        </w:rPr>
        <w:t>Références</w:t>
      </w:r>
    </w:p>
    <w:p w14:paraId="10C08D79" w14:textId="3D5F9C4D" w:rsidR="00065317" w:rsidRDefault="005C7BF7" w:rsidP="00021E92">
      <w:pPr>
        <w:pStyle w:val="Normalcentr"/>
      </w:pPr>
      <w:r>
        <w:t xml:space="preserve">Lenormand, Louis Sébastien, et W. Maigne. « Tranchefile ». Dans </w:t>
      </w:r>
      <w:r>
        <w:rPr>
          <w:i/>
          <w:iCs/>
        </w:rPr>
        <w:t>Nouveau manuel complet du relieur en tous genres contenant les arts de l</w:t>
      </w:r>
      <w:r w:rsidR="00E84B0E">
        <w:rPr>
          <w:i/>
          <w:iCs/>
        </w:rPr>
        <w:t>’</w:t>
      </w:r>
      <w:r>
        <w:rPr>
          <w:i/>
          <w:iCs/>
        </w:rPr>
        <w:t>assembleur, du satineur, du cartonneur, du marbreur sur tranches et du doreur sur tranches et sur cuir</w:t>
      </w:r>
      <w:r>
        <w:t>, édité par L. Mulo, 171‑75. Manuels Roret. 1900. Reprint, Paris, FR-IDF: Encyclopédie-Roret, 2006.</w:t>
      </w:r>
      <w:hyperlink r:id="rId234">
        <w:r>
          <w:rPr>
            <w:rStyle w:val="Lienhypertexte"/>
          </w:rPr>
          <w:t xml:space="preserve"> </w:t>
        </w:r>
      </w:hyperlink>
      <w:hyperlink r:id="rId235">
        <w:r>
          <w:rPr>
            <w:rStyle w:val="Lienhypertexte"/>
          </w:rPr>
          <w:t>https://www.moulinduverger.com/reliure-manuelle/roret-69.php</w:t>
        </w:r>
      </w:hyperlink>
      <w:r>
        <w:t>.</w:t>
      </w:r>
    </w:p>
    <w:p w14:paraId="46000990" w14:textId="565A578A" w:rsidR="00065317" w:rsidRDefault="005C7BF7">
      <w:pPr>
        <w:pStyle w:val="Normalcentr"/>
      </w:pPr>
      <w:r>
        <w:lastRenderedPageBreak/>
        <w:t xml:space="preserve">Louis, Olivier. « Bâtonnets de tranchefile, fabrication, matériel utilisé et dimensions. » Blogue. </w:t>
      </w:r>
      <w:r>
        <w:rPr>
          <w:i/>
          <w:iCs/>
        </w:rPr>
        <w:t>Reliure d</w:t>
      </w:r>
      <w:r w:rsidR="00E84B0E">
        <w:rPr>
          <w:i/>
          <w:iCs/>
        </w:rPr>
        <w:t>’</w:t>
      </w:r>
      <w:r>
        <w:rPr>
          <w:i/>
          <w:iCs/>
        </w:rPr>
        <w:t>art dare</w:t>
      </w:r>
      <w:r>
        <w:t xml:space="preserve"> (blog), 28</w:t>
      </w:r>
      <w:r w:rsidR="00056DCD">
        <w:t> septembre </w:t>
      </w:r>
      <w:r>
        <w:t>2021.</w:t>
      </w:r>
      <w:hyperlink r:id="rId236">
        <w:r>
          <w:rPr>
            <w:rStyle w:val="Lienhypertexte"/>
          </w:rPr>
          <w:t xml:space="preserve"> </w:t>
        </w:r>
      </w:hyperlink>
      <w:hyperlink r:id="rId237">
        <w:r>
          <w:rPr>
            <w:rStyle w:val="Lienhypertexte"/>
          </w:rPr>
          <w:t>https://reliuredartdare.com/2021/09/batonnets-tranchefile-fabrication/</w:t>
        </w:r>
      </w:hyperlink>
      <w:r>
        <w:t>.</w:t>
      </w:r>
    </w:p>
    <w:p w14:paraId="0A7BB268" w14:textId="01AE3937" w:rsidR="00065317" w:rsidRPr="00EC2D6E" w:rsidRDefault="005C7BF7">
      <w:pPr>
        <w:pStyle w:val="Normalcentr"/>
        <w:rPr>
          <w:lang w:val="en-CA"/>
        </w:rPr>
      </w:pPr>
      <w:r>
        <w:t>Smith, Shelagh, et Hélène Franc</w:t>
      </w:r>
      <w:r w:rsidR="00F52177">
        <w:t>oe</w:t>
      </w:r>
      <w:r>
        <w:t xml:space="preserve">ur. </w:t>
      </w:r>
      <w:r w:rsidRPr="00EC2D6E">
        <w:rPr>
          <w:i/>
          <w:iCs/>
          <w:lang w:val="en-CA"/>
        </w:rPr>
        <w:t>English to French Book Arts Terms</w:t>
      </w:r>
      <w:r w:rsidRPr="00EC2D6E">
        <w:rPr>
          <w:lang w:val="en-CA"/>
        </w:rPr>
        <w:t>. Toronto, CA-ON: Canadian Bookbinders and Book Artists Guild, 2021.</w:t>
      </w:r>
      <w:hyperlink r:id="rId238">
        <w:r w:rsidRPr="00EC2D6E">
          <w:rPr>
            <w:rStyle w:val="Lienhypertexte"/>
            <w:lang w:val="en-CA"/>
          </w:rPr>
          <w:t xml:space="preserve"> </w:t>
        </w:r>
      </w:hyperlink>
      <w:hyperlink r:id="rId239">
        <w:r w:rsidRPr="00EC2D6E">
          <w:rPr>
            <w:rStyle w:val="Lienhypertexte"/>
            <w:lang w:val="en-CA"/>
          </w:rPr>
          <w:t>https://www.cbbag.ca/resources/Public/Book%20Arts%20ENG%20FRE%20Translation.pdf</w:t>
        </w:r>
      </w:hyperlink>
      <w:r w:rsidRPr="00EC2D6E">
        <w:rPr>
          <w:lang w:val="en-CA"/>
        </w:rPr>
        <w:t>.</w:t>
      </w:r>
    </w:p>
    <w:p w14:paraId="4677F222" w14:textId="77777777" w:rsidR="00065317" w:rsidRDefault="005C7BF7" w:rsidP="00914F34">
      <w:pPr>
        <w:pStyle w:val="Titre3"/>
      </w:pPr>
      <w:bookmarkStart w:id="336" w:name="_Toc154048853"/>
      <w:bookmarkStart w:id="337" w:name="p37-a-assigne-(a-ete-assigne-par)"/>
      <w:bookmarkEnd w:id="335"/>
      <w:r>
        <w:t>P37 a assigné (a été assigné par)</w:t>
      </w:r>
      <w:bookmarkEnd w:id="336"/>
    </w:p>
    <w:p w14:paraId="0290DE98" w14:textId="77777777" w:rsidR="00065317" w:rsidRDefault="005C7BF7">
      <w:pPr>
        <w:pStyle w:val="FirstParagraph"/>
      </w:pPr>
      <w:r>
        <w:rPr>
          <w:b/>
          <w:bCs/>
        </w:rPr>
        <w:t>Domaine</w:t>
      </w:r>
    </w:p>
    <w:p w14:paraId="0AB81156" w14:textId="197A653B" w:rsidR="00065317" w:rsidRDefault="005C7BF7">
      <w:pPr>
        <w:pStyle w:val="Corpsdetexte"/>
      </w:pPr>
      <w:r>
        <w:rPr>
          <w:rStyle w:val="VerbatimChar"/>
        </w:rPr>
        <w:t>E15_Assignation_d</w:t>
      </w:r>
      <w:r w:rsidR="00E84B0E">
        <w:rPr>
          <w:rStyle w:val="VerbatimChar"/>
        </w:rPr>
        <w:t>’</w:t>
      </w:r>
      <w:r>
        <w:rPr>
          <w:rStyle w:val="VerbatimChar"/>
        </w:rPr>
        <w:t>identifiant</w:t>
      </w:r>
    </w:p>
    <w:p w14:paraId="527DD8D9" w14:textId="77777777" w:rsidR="00065317" w:rsidRDefault="005C7BF7">
      <w:pPr>
        <w:pStyle w:val="Corpsdetexte"/>
      </w:pPr>
      <w:r>
        <w:rPr>
          <w:b/>
          <w:bCs/>
        </w:rPr>
        <w:t>Portée</w:t>
      </w:r>
    </w:p>
    <w:p w14:paraId="40F4EE0A" w14:textId="77777777" w:rsidR="00065317" w:rsidRDefault="005C7BF7">
      <w:pPr>
        <w:pStyle w:val="Corpsdetexte"/>
      </w:pPr>
      <w:r>
        <w:rPr>
          <w:rStyle w:val="VerbatimChar"/>
        </w:rPr>
        <w:t>E42_Identifiant</w:t>
      </w:r>
    </w:p>
    <w:p w14:paraId="0F5CD1CC" w14:textId="77777777" w:rsidR="00065317" w:rsidRDefault="005C7BF7">
      <w:pPr>
        <w:pStyle w:val="Corpsdetexte"/>
      </w:pPr>
      <w:r>
        <w:rPr>
          <w:b/>
          <w:bCs/>
        </w:rPr>
        <w:t>Sous-propriété de</w:t>
      </w:r>
    </w:p>
    <w:p w14:paraId="76E9429E" w14:textId="5EB8B957" w:rsidR="00065317" w:rsidRDefault="005C7BF7">
      <w:pPr>
        <w:pStyle w:val="Corpsdetexte"/>
      </w:pPr>
      <w:r>
        <w:rPr>
          <w:rStyle w:val="VerbatimChar"/>
        </w:rPr>
        <w:t>E13_Assignation_d</w:t>
      </w:r>
      <w:r w:rsidR="00E84B0E">
        <w:rPr>
          <w:rStyle w:val="VerbatimChar"/>
        </w:rPr>
        <w:t>’</w:t>
      </w:r>
      <w:r>
        <w:rPr>
          <w:rStyle w:val="VerbatimChar"/>
        </w:rPr>
        <w:t>attribut</w:t>
      </w:r>
      <w:r>
        <w:t xml:space="preserve">. </w:t>
      </w:r>
      <w:r>
        <w:rPr>
          <w:rStyle w:val="VerbatimChar"/>
        </w:rPr>
        <w:t>P141_a_assigné (a_été_assigné_par)</w:t>
      </w:r>
      <w:r w:rsidR="008E4E37">
        <w:rPr>
          <w:rStyle w:val="VerbatimChar"/>
        </w:rPr>
        <w:t> </w:t>
      </w:r>
      <w:r>
        <w:t xml:space="preserve">: </w:t>
      </w:r>
      <w:r>
        <w:rPr>
          <w:rStyle w:val="VerbatimChar"/>
        </w:rPr>
        <w:t>E1_Entité_CRM</w:t>
      </w:r>
    </w:p>
    <w:p w14:paraId="6DAD9A7C" w14:textId="77777777" w:rsidR="00065317" w:rsidRDefault="005C7BF7">
      <w:pPr>
        <w:pStyle w:val="Corpsdetexte"/>
      </w:pPr>
      <w:r>
        <w:rPr>
          <w:b/>
          <w:bCs/>
        </w:rPr>
        <w:t>Super-propriété de</w:t>
      </w:r>
    </w:p>
    <w:p w14:paraId="380C8740" w14:textId="77777777" w:rsidR="00065317" w:rsidRDefault="005C7BF7">
      <w:pPr>
        <w:pStyle w:val="Corpsdetexte"/>
      </w:pPr>
      <w:r>
        <w:rPr>
          <w:b/>
          <w:bCs/>
        </w:rPr>
        <w:t>Quantification</w:t>
      </w:r>
    </w:p>
    <w:p w14:paraId="53AD73FF" w14:textId="77777777" w:rsidR="00065317" w:rsidRDefault="005C7BF7">
      <w:pPr>
        <w:pStyle w:val="Corpsdetexte"/>
      </w:pPr>
      <w:r>
        <w:t>plusieurs à plusieurs (0,n:0,n)</w:t>
      </w:r>
    </w:p>
    <w:p w14:paraId="4047DDFF" w14:textId="1228FB57" w:rsidR="00065317" w:rsidRDefault="005C7BF7">
      <w:pPr>
        <w:pStyle w:val="Corpsdetexte"/>
      </w:pPr>
      <w:r>
        <w:rPr>
          <w:b/>
          <w:bCs/>
        </w:rPr>
        <w:t>Note d</w:t>
      </w:r>
      <w:r w:rsidR="00E84B0E">
        <w:rPr>
          <w:b/>
          <w:bCs/>
        </w:rPr>
        <w:t>’</w:t>
      </w:r>
      <w:r>
        <w:rPr>
          <w:b/>
          <w:bCs/>
        </w:rPr>
        <w:t>application</w:t>
      </w:r>
    </w:p>
    <w:p w14:paraId="201C49BE" w14:textId="13B13670" w:rsidR="00065317" w:rsidRDefault="005C7BF7">
      <w:pPr>
        <w:pStyle w:val="Corpsdetexte"/>
      </w:pPr>
      <w:r>
        <w:t>Cette propriété enregistre l</w:t>
      </w:r>
      <w:r w:rsidR="00E84B0E">
        <w:t>’</w:t>
      </w:r>
      <w:r>
        <w:t>identifiant qui a été assigné à une entité dans le cadre d</w:t>
      </w:r>
      <w:r w:rsidR="00E84B0E">
        <w:t>’</w:t>
      </w:r>
      <w:r>
        <w:t xml:space="preserve">une instance de </w:t>
      </w:r>
      <w:r>
        <w:rPr>
          <w:rStyle w:val="VerbatimChar"/>
        </w:rPr>
        <w:t>E15_Assignation_d</w:t>
      </w:r>
      <w:r w:rsidR="00E84B0E">
        <w:rPr>
          <w:rStyle w:val="VerbatimChar"/>
        </w:rPr>
        <w:t>’</w:t>
      </w:r>
      <w:r>
        <w:rPr>
          <w:rStyle w:val="VerbatimChar"/>
        </w:rPr>
        <w:t>identifiant</w:t>
      </w:r>
      <w:r>
        <w:t>.</w:t>
      </w:r>
    </w:p>
    <w:p w14:paraId="7845CA26" w14:textId="77777777" w:rsidR="00065317" w:rsidRDefault="005C7BF7">
      <w:pPr>
        <w:pStyle w:val="Corpsdetexte"/>
      </w:pPr>
      <w:r>
        <w:t>Le même identifiant peut être assigné à plusieurs reprises.</w:t>
      </w:r>
    </w:p>
    <w:p w14:paraId="286902A0" w14:textId="77777777" w:rsidR="00065317" w:rsidRDefault="005C7BF7">
      <w:pPr>
        <w:pStyle w:val="Corpsdetexte"/>
      </w:pPr>
      <w:r>
        <w:t>Un identifiant peut être créé avant une assignation.</w:t>
      </w:r>
    </w:p>
    <w:p w14:paraId="5F96807A" w14:textId="77777777" w:rsidR="00065317" w:rsidRDefault="005C7BF7">
      <w:pPr>
        <w:pStyle w:val="Corpsdetexte"/>
      </w:pPr>
      <w:r>
        <w:rPr>
          <w:b/>
          <w:bCs/>
        </w:rPr>
        <w:t>Exemples</w:t>
      </w:r>
    </w:p>
    <w:p w14:paraId="2BCBA5AF" w14:textId="23665BF0" w:rsidR="00065317" w:rsidRDefault="005C7BF7">
      <w:pPr>
        <w:numPr>
          <w:ilvl w:val="0"/>
          <w:numId w:val="177"/>
        </w:numPr>
      </w:pPr>
      <w:r>
        <w:t>L</w:t>
      </w:r>
      <w:r w:rsidR="00E84B0E">
        <w:t>’</w:t>
      </w:r>
      <w:r>
        <w:t>assignation d</w:t>
      </w:r>
      <w:r w:rsidR="00E84B0E">
        <w:t>’</w:t>
      </w:r>
      <w:r>
        <w:t>un identifiant le 1</w:t>
      </w:r>
      <w:r>
        <w:rPr>
          <w:vertAlign w:val="superscript"/>
        </w:rPr>
        <w:t>er</w:t>
      </w:r>
      <w:r w:rsidR="00056DCD">
        <w:t> juin </w:t>
      </w:r>
      <w:r>
        <w:t>1997 à la coupe en argent donnée par Martin D</w:t>
      </w:r>
      <w:r w:rsidR="003C7A4A">
        <w:t>oe</w:t>
      </w:r>
      <w:r>
        <w:t>rr (</w:t>
      </w:r>
      <w:r>
        <w:rPr>
          <w:rStyle w:val="VerbatimChar"/>
        </w:rPr>
        <w:t>E15_Assignation_d</w:t>
      </w:r>
      <w:r w:rsidR="00E84B0E">
        <w:rPr>
          <w:rStyle w:val="VerbatimChar"/>
        </w:rPr>
        <w:t>’</w:t>
      </w:r>
      <w:r>
        <w:rPr>
          <w:rStyle w:val="VerbatimChar"/>
        </w:rPr>
        <w:t>identifiant</w:t>
      </w:r>
      <w:r>
        <w:t>) a assigné (</w:t>
      </w:r>
      <w:r>
        <w:rPr>
          <w:rStyle w:val="VerbatimChar"/>
        </w:rPr>
        <w:t>P37_a_assigné</w:t>
      </w:r>
      <w:r>
        <w:t>) « 232 » (</w:t>
      </w:r>
      <w:r>
        <w:rPr>
          <w:rStyle w:val="VerbatimChar"/>
        </w:rPr>
        <w:t>E42_Identifiant</w:t>
      </w:r>
      <w:r>
        <w:t>) (fictif)</w:t>
      </w:r>
    </w:p>
    <w:p w14:paraId="3E9FEA7D" w14:textId="77777777" w:rsidR="00065317" w:rsidRDefault="005C7BF7">
      <w:pPr>
        <w:pStyle w:val="FirstParagraph"/>
      </w:pPr>
      <w:r>
        <w:rPr>
          <w:b/>
          <w:bCs/>
        </w:rPr>
        <w:t>Logique</w:t>
      </w:r>
    </w:p>
    <w:p w14:paraId="17F394EE" w14:textId="77777777" w:rsidR="00065317" w:rsidRDefault="005C7BF7">
      <w:pPr>
        <w:pStyle w:val="Corpsdetexte"/>
      </w:pPr>
      <w:r>
        <w:t>P37(x,y) ⇒ E15(x)</w:t>
      </w:r>
    </w:p>
    <w:p w14:paraId="76A527EE" w14:textId="77777777" w:rsidR="00065317" w:rsidRDefault="005C7BF7">
      <w:pPr>
        <w:pStyle w:val="Corpsdetexte"/>
      </w:pPr>
      <w:r>
        <w:t>P37(x,y) ⇒ E42(y)</w:t>
      </w:r>
    </w:p>
    <w:p w14:paraId="38F9BB84" w14:textId="77777777" w:rsidR="00065317" w:rsidRDefault="005C7BF7">
      <w:pPr>
        <w:pStyle w:val="Corpsdetexte"/>
      </w:pPr>
      <w:r>
        <w:t>P37(x,y) ⇒ P141(x,y)</w:t>
      </w:r>
    </w:p>
    <w:p w14:paraId="5F9B79B6" w14:textId="77777777" w:rsidR="00065317" w:rsidRDefault="005C7BF7">
      <w:pPr>
        <w:pStyle w:val="Corpsdetexte"/>
      </w:pPr>
      <w:r>
        <w:rPr>
          <w:b/>
          <w:bCs/>
        </w:rPr>
        <w:t>Propriétés</w:t>
      </w:r>
    </w:p>
    <w:p w14:paraId="6A99353F" w14:textId="77777777" w:rsidR="00065317" w:rsidRDefault="005C7BF7">
      <w:pPr>
        <w:pStyle w:val="Normalcentr"/>
      </w:pPr>
      <w:r>
        <w:rPr>
          <w:b/>
          <w:bCs/>
          <w:i/>
          <w:iCs/>
        </w:rPr>
        <w:t>Note de traduction</w:t>
      </w:r>
    </w:p>
    <w:p w14:paraId="129CB4F0" w14:textId="7913D114" w:rsidR="00F54917" w:rsidRDefault="005C7BF7">
      <w:pPr>
        <w:pStyle w:val="Normalcentr"/>
      </w:pPr>
      <w:r>
        <w:t xml:space="preserve">Dans la phrase « This property records the identifier that was assigned to an item in an instance of P37 Identifier Assignment », le code de </w:t>
      </w:r>
      <w:r>
        <w:rPr>
          <w:rStyle w:val="VerbatimChar"/>
        </w:rPr>
        <w:t>E15_Assignation_d</w:t>
      </w:r>
      <w:r w:rsidR="00E84B0E">
        <w:rPr>
          <w:rStyle w:val="VerbatimChar"/>
        </w:rPr>
        <w:t>’</w:t>
      </w:r>
      <w:r>
        <w:rPr>
          <w:rStyle w:val="VerbatimChar"/>
        </w:rPr>
        <w:t>identifiant</w:t>
      </w:r>
      <w:r>
        <w:t xml:space="preserve"> est indiqué comme « P37 ». Ce</w:t>
      </w:r>
      <w:r w:rsidR="00A84B19">
        <w:t>la</w:t>
      </w:r>
      <w:r>
        <w:t xml:space="preserve"> est une erreur qui n</w:t>
      </w:r>
      <w:r w:rsidR="00E84B0E">
        <w:t>’</w:t>
      </w:r>
      <w:r>
        <w:t>a pas été reproduite dans la version traduite.</w:t>
      </w:r>
    </w:p>
    <w:p w14:paraId="4A2142FD" w14:textId="6EA2006A" w:rsidR="00065317" w:rsidRPr="00F54917" w:rsidRDefault="00F54917" w:rsidP="00F54917">
      <w:pPr>
        <w:spacing w:after="0"/>
        <w:rPr>
          <w:sz w:val="22"/>
        </w:rPr>
      </w:pPr>
      <w:r>
        <w:br w:type="page"/>
      </w:r>
    </w:p>
    <w:p w14:paraId="52F413C7" w14:textId="6EA4DD84" w:rsidR="00065317" w:rsidRDefault="005C7BF7" w:rsidP="003773B9">
      <w:pPr>
        <w:pStyle w:val="Normalcentr"/>
      </w:pPr>
      <w:r>
        <w:rPr>
          <w:b/>
          <w:bCs/>
          <w:i/>
          <w:iCs/>
        </w:rPr>
        <w:lastRenderedPageBreak/>
        <w:t>Références</w:t>
      </w:r>
    </w:p>
    <w:p w14:paraId="78A795C0" w14:textId="2CA12B3D" w:rsidR="00065317" w:rsidRDefault="005C7BF7" w:rsidP="00914F34">
      <w:pPr>
        <w:pStyle w:val="Titre3"/>
      </w:pPr>
      <w:bookmarkStart w:id="338" w:name="_Toc154048854"/>
      <w:bookmarkStart w:id="339" w:name="X737faa6bb0a253d3a546f4ca5cec63e8855fac9"/>
      <w:bookmarkEnd w:id="337"/>
      <w:r>
        <w:t>P38 a retiré l</w:t>
      </w:r>
      <w:r w:rsidR="00E84B0E">
        <w:t>’</w:t>
      </w:r>
      <w:r>
        <w:t>assignation (a été retiré par)</w:t>
      </w:r>
      <w:bookmarkEnd w:id="338"/>
    </w:p>
    <w:p w14:paraId="5028EC7F" w14:textId="77777777" w:rsidR="00065317" w:rsidRDefault="005C7BF7">
      <w:pPr>
        <w:pStyle w:val="FirstParagraph"/>
      </w:pPr>
      <w:r>
        <w:rPr>
          <w:b/>
          <w:bCs/>
        </w:rPr>
        <w:t>Domaine</w:t>
      </w:r>
    </w:p>
    <w:p w14:paraId="4D05A6D1" w14:textId="4D8CEE46" w:rsidR="00065317" w:rsidRDefault="005C7BF7">
      <w:pPr>
        <w:pStyle w:val="Corpsdetexte"/>
      </w:pPr>
      <w:r>
        <w:rPr>
          <w:rStyle w:val="VerbatimChar"/>
        </w:rPr>
        <w:t>E15_Assignation_d</w:t>
      </w:r>
      <w:r w:rsidR="00E84B0E">
        <w:rPr>
          <w:rStyle w:val="VerbatimChar"/>
        </w:rPr>
        <w:t>’</w:t>
      </w:r>
      <w:r>
        <w:rPr>
          <w:rStyle w:val="VerbatimChar"/>
        </w:rPr>
        <w:t>identifiant</w:t>
      </w:r>
    </w:p>
    <w:p w14:paraId="6CDD823B" w14:textId="77777777" w:rsidR="00065317" w:rsidRDefault="005C7BF7">
      <w:pPr>
        <w:pStyle w:val="Corpsdetexte"/>
      </w:pPr>
      <w:r>
        <w:rPr>
          <w:b/>
          <w:bCs/>
        </w:rPr>
        <w:t>Portée</w:t>
      </w:r>
    </w:p>
    <w:p w14:paraId="08D9F744" w14:textId="77777777" w:rsidR="00065317" w:rsidRDefault="005C7BF7">
      <w:pPr>
        <w:pStyle w:val="Corpsdetexte"/>
      </w:pPr>
      <w:r>
        <w:rPr>
          <w:rStyle w:val="VerbatimChar"/>
        </w:rPr>
        <w:t>E42_Identifiant</w:t>
      </w:r>
    </w:p>
    <w:p w14:paraId="2CEF997C" w14:textId="77777777" w:rsidR="00065317" w:rsidRDefault="005C7BF7">
      <w:pPr>
        <w:pStyle w:val="Corpsdetexte"/>
      </w:pPr>
      <w:r>
        <w:rPr>
          <w:b/>
          <w:bCs/>
        </w:rPr>
        <w:t>Sous-propriété de</w:t>
      </w:r>
    </w:p>
    <w:p w14:paraId="7EE00335" w14:textId="69FB4BB2" w:rsidR="00065317" w:rsidRDefault="005C7BF7">
      <w:pPr>
        <w:pStyle w:val="Corpsdetexte"/>
      </w:pPr>
      <w:r>
        <w:rPr>
          <w:rStyle w:val="VerbatimChar"/>
        </w:rPr>
        <w:t>E13_Assignation_d</w:t>
      </w:r>
      <w:r w:rsidR="00E84B0E">
        <w:rPr>
          <w:rStyle w:val="VerbatimChar"/>
        </w:rPr>
        <w:t>’</w:t>
      </w:r>
      <w:r>
        <w:rPr>
          <w:rStyle w:val="VerbatimChar"/>
        </w:rPr>
        <w:t>attribut</w:t>
      </w:r>
      <w:r>
        <w:t xml:space="preserve">. </w:t>
      </w:r>
      <w:r>
        <w:rPr>
          <w:rStyle w:val="VerbatimChar"/>
        </w:rPr>
        <w:t>P141_a_assigné (a_été_assigné_par)</w:t>
      </w:r>
      <w:r>
        <w:t xml:space="preserve"> : </w:t>
      </w:r>
      <w:r>
        <w:rPr>
          <w:rStyle w:val="VerbatimChar"/>
        </w:rPr>
        <w:t>E1_Entité_CRM</w:t>
      </w:r>
    </w:p>
    <w:p w14:paraId="72E80E4C" w14:textId="77777777" w:rsidR="00065317" w:rsidRDefault="005C7BF7">
      <w:pPr>
        <w:pStyle w:val="Corpsdetexte"/>
      </w:pPr>
      <w:r>
        <w:rPr>
          <w:b/>
          <w:bCs/>
        </w:rPr>
        <w:t>Super-propriété de</w:t>
      </w:r>
    </w:p>
    <w:p w14:paraId="4B79782A" w14:textId="77777777" w:rsidR="00065317" w:rsidRDefault="005C7BF7">
      <w:pPr>
        <w:pStyle w:val="Corpsdetexte"/>
      </w:pPr>
      <w:r>
        <w:rPr>
          <w:b/>
          <w:bCs/>
        </w:rPr>
        <w:t>Quantification</w:t>
      </w:r>
    </w:p>
    <w:p w14:paraId="0E03B528" w14:textId="77777777" w:rsidR="00065317" w:rsidRDefault="005C7BF7">
      <w:pPr>
        <w:pStyle w:val="Corpsdetexte"/>
      </w:pPr>
      <w:r>
        <w:t>plusieurs à plusieurs (0,n:0,n)</w:t>
      </w:r>
    </w:p>
    <w:p w14:paraId="3F498776" w14:textId="098B0657" w:rsidR="00065317" w:rsidRDefault="005C7BF7">
      <w:pPr>
        <w:pStyle w:val="Corpsdetexte"/>
      </w:pPr>
      <w:r>
        <w:rPr>
          <w:b/>
          <w:bCs/>
        </w:rPr>
        <w:t>Note d</w:t>
      </w:r>
      <w:r w:rsidR="00E84B0E">
        <w:rPr>
          <w:b/>
          <w:bCs/>
        </w:rPr>
        <w:t>’</w:t>
      </w:r>
      <w:r>
        <w:rPr>
          <w:b/>
          <w:bCs/>
        </w:rPr>
        <w:t>application</w:t>
      </w:r>
    </w:p>
    <w:p w14:paraId="02DEA219" w14:textId="4F034BFD" w:rsidR="00065317" w:rsidRDefault="005C7BF7">
      <w:pPr>
        <w:pStyle w:val="Corpsdetexte"/>
      </w:pPr>
      <w:r>
        <w:t>Cette propriété enregistre l</w:t>
      </w:r>
      <w:r w:rsidR="00E84B0E">
        <w:t>’</w:t>
      </w:r>
      <w:r>
        <w:t>identifiant d</w:t>
      </w:r>
      <w:r w:rsidR="00E84B0E">
        <w:t>’</w:t>
      </w:r>
      <w:r>
        <w:t xml:space="preserve">une instance de </w:t>
      </w:r>
      <w:r>
        <w:rPr>
          <w:rStyle w:val="VerbatimChar"/>
        </w:rPr>
        <w:t>E1_Entité_CRM</w:t>
      </w:r>
      <w:r>
        <w:t xml:space="preserve"> pour lequel une assignation a été retirée.</w:t>
      </w:r>
    </w:p>
    <w:p w14:paraId="31FD3F99" w14:textId="26354E7C" w:rsidR="00065317" w:rsidRDefault="005C7BF7">
      <w:pPr>
        <w:pStyle w:val="Corpsdetexte"/>
      </w:pPr>
      <w:r>
        <w:t>Le retrait de l</w:t>
      </w:r>
      <w:r w:rsidR="00E84B0E">
        <w:t>’</w:t>
      </w:r>
      <w:r>
        <w:t>assignation d</w:t>
      </w:r>
      <w:r w:rsidR="00E84B0E">
        <w:t>’</w:t>
      </w:r>
      <w:r>
        <w:t>un identifiant peut être nécessaire lorsqu</w:t>
      </w:r>
      <w:r w:rsidR="00E84B0E">
        <w:t>’</w:t>
      </w:r>
      <w:r>
        <w:t>un élément est retiré d</w:t>
      </w:r>
      <w:r w:rsidR="00E84B0E">
        <w:t>’</w:t>
      </w:r>
      <w:r>
        <w:t>un inventaire, qu</w:t>
      </w:r>
      <w:r w:rsidR="00E84B0E">
        <w:t>’</w:t>
      </w:r>
      <w:r>
        <w:t>un nouveau système de numérotation est introduit ou que les éléments sont fusionnés ou divisés.</w:t>
      </w:r>
    </w:p>
    <w:p w14:paraId="5B7D91FF" w14:textId="77777777" w:rsidR="00065317" w:rsidRDefault="005C7BF7">
      <w:pPr>
        <w:pStyle w:val="Corpsdetexte"/>
      </w:pPr>
      <w:r>
        <w:t>Le même identifiant peut être retiré à plusieurs reprises.</w:t>
      </w:r>
    </w:p>
    <w:p w14:paraId="7B56C411" w14:textId="77777777" w:rsidR="00065317" w:rsidRDefault="005C7BF7">
      <w:pPr>
        <w:pStyle w:val="Corpsdetexte"/>
      </w:pPr>
      <w:r>
        <w:rPr>
          <w:b/>
          <w:bCs/>
        </w:rPr>
        <w:t>Exemples</w:t>
      </w:r>
    </w:p>
    <w:p w14:paraId="4AACB79C" w14:textId="0FE09713" w:rsidR="00065317" w:rsidRDefault="005C7BF7">
      <w:pPr>
        <w:numPr>
          <w:ilvl w:val="0"/>
          <w:numId w:val="178"/>
        </w:numPr>
      </w:pPr>
      <w:r>
        <w:t>L</w:t>
      </w:r>
      <w:r w:rsidR="00E84B0E">
        <w:t>’</w:t>
      </w:r>
      <w:r>
        <w:t>assignation d</w:t>
      </w:r>
      <w:r w:rsidR="00E84B0E">
        <w:t>’</w:t>
      </w:r>
      <w:r>
        <w:t>un identifiant le 31</w:t>
      </w:r>
      <w:r w:rsidR="00056DCD">
        <w:t> juillet </w:t>
      </w:r>
      <w:r>
        <w:t>2001 à la coupe en argent (</w:t>
      </w:r>
      <w:r>
        <w:rPr>
          <w:rStyle w:val="VerbatimChar"/>
        </w:rPr>
        <w:t>E15_Assignation_d</w:t>
      </w:r>
      <w:r w:rsidR="00E84B0E">
        <w:rPr>
          <w:rStyle w:val="VerbatimChar"/>
        </w:rPr>
        <w:t>’</w:t>
      </w:r>
      <w:r>
        <w:rPr>
          <w:rStyle w:val="VerbatimChar"/>
        </w:rPr>
        <w:t>identifiant</w:t>
      </w:r>
      <w:r>
        <w:t>) soit le « OXCMS:2001.1.32 » a retiré l</w:t>
      </w:r>
      <w:r w:rsidR="00E84B0E">
        <w:t>’</w:t>
      </w:r>
      <w:r>
        <w:t>assignation de (</w:t>
      </w:r>
      <w:r>
        <w:rPr>
          <w:rStyle w:val="VerbatimChar"/>
        </w:rPr>
        <w:t>P38_a_retiré_l</w:t>
      </w:r>
      <w:r w:rsidR="00E84B0E">
        <w:rPr>
          <w:rStyle w:val="VerbatimChar"/>
        </w:rPr>
        <w:t>’</w:t>
      </w:r>
      <w:r>
        <w:rPr>
          <w:rStyle w:val="VerbatimChar"/>
        </w:rPr>
        <w:t>assignation</w:t>
      </w:r>
      <w:r>
        <w:t>) son identifiant précédent « 232 » (</w:t>
      </w:r>
      <w:r>
        <w:rPr>
          <w:rStyle w:val="VerbatimChar"/>
        </w:rPr>
        <w:t>E42_Identifiant</w:t>
      </w:r>
      <w:r>
        <w:t>) (fictif)</w:t>
      </w:r>
    </w:p>
    <w:p w14:paraId="5F0CCA31" w14:textId="77777777" w:rsidR="00065317" w:rsidRDefault="005C7BF7">
      <w:pPr>
        <w:pStyle w:val="FirstParagraph"/>
      </w:pPr>
      <w:r>
        <w:rPr>
          <w:b/>
          <w:bCs/>
        </w:rPr>
        <w:t>Logique</w:t>
      </w:r>
    </w:p>
    <w:p w14:paraId="08B59092" w14:textId="77777777" w:rsidR="00065317" w:rsidRDefault="005C7BF7">
      <w:pPr>
        <w:pStyle w:val="Corpsdetexte"/>
      </w:pPr>
      <w:r>
        <w:t>P38(x,y) ⇒ E15(x)</w:t>
      </w:r>
    </w:p>
    <w:p w14:paraId="3877F18E" w14:textId="77777777" w:rsidR="00065317" w:rsidRDefault="005C7BF7">
      <w:pPr>
        <w:pStyle w:val="Corpsdetexte"/>
      </w:pPr>
      <w:r>
        <w:t>P38(x,y) ⇒ E42(y)</w:t>
      </w:r>
    </w:p>
    <w:p w14:paraId="6C7A971F" w14:textId="77777777" w:rsidR="00065317" w:rsidRDefault="005C7BF7">
      <w:pPr>
        <w:pStyle w:val="Corpsdetexte"/>
      </w:pPr>
      <w:r>
        <w:t>P38(x,y) ⇒ P141(x,y)</w:t>
      </w:r>
    </w:p>
    <w:p w14:paraId="3604657E" w14:textId="77777777" w:rsidR="00065317" w:rsidRDefault="005C7BF7">
      <w:pPr>
        <w:pStyle w:val="Corpsdetexte"/>
      </w:pPr>
      <w:r>
        <w:rPr>
          <w:b/>
          <w:bCs/>
        </w:rPr>
        <w:t>Propriétés</w:t>
      </w:r>
    </w:p>
    <w:p w14:paraId="61B65588" w14:textId="77777777" w:rsidR="00065317" w:rsidRDefault="005C7BF7">
      <w:pPr>
        <w:pStyle w:val="Normalcentr"/>
      </w:pPr>
      <w:r>
        <w:rPr>
          <w:b/>
          <w:bCs/>
          <w:i/>
          <w:iCs/>
        </w:rPr>
        <w:t>Note de traduction</w:t>
      </w:r>
    </w:p>
    <w:p w14:paraId="29AB56D2" w14:textId="45D308C3" w:rsidR="00065317" w:rsidRDefault="005C7BF7" w:rsidP="003773B9">
      <w:pPr>
        <w:pStyle w:val="Normalcentr"/>
      </w:pPr>
      <w:r>
        <w:rPr>
          <w:b/>
          <w:bCs/>
          <w:i/>
          <w:iCs/>
        </w:rPr>
        <w:t>Références</w:t>
      </w:r>
    </w:p>
    <w:p w14:paraId="2D2E8437" w14:textId="77777777" w:rsidR="00065317" w:rsidRDefault="005C7BF7" w:rsidP="00914F34">
      <w:pPr>
        <w:pStyle w:val="Titre3"/>
      </w:pPr>
      <w:bookmarkStart w:id="340" w:name="_Toc154048855"/>
      <w:bookmarkStart w:id="341" w:name="p39-a-mesure-(a-ete-mesure-par)-(fb)"/>
      <w:bookmarkEnd w:id="339"/>
      <w:r>
        <w:t>P39 a mesuré (a été mesuré par) (FB)</w:t>
      </w:r>
      <w:bookmarkEnd w:id="340"/>
    </w:p>
    <w:p w14:paraId="6C930838" w14:textId="77777777" w:rsidR="00065317" w:rsidRDefault="005C7BF7">
      <w:pPr>
        <w:pStyle w:val="FirstParagraph"/>
      </w:pPr>
      <w:r>
        <w:rPr>
          <w:b/>
          <w:bCs/>
        </w:rPr>
        <w:t>Domaine</w:t>
      </w:r>
    </w:p>
    <w:p w14:paraId="225580FA" w14:textId="2390CD5C" w:rsidR="00F54917" w:rsidRDefault="005C7BF7">
      <w:pPr>
        <w:pStyle w:val="Corpsdetexte"/>
        <w:rPr>
          <w:rStyle w:val="VerbatimChar"/>
        </w:rPr>
      </w:pPr>
      <w:r>
        <w:rPr>
          <w:rStyle w:val="VerbatimChar"/>
        </w:rPr>
        <w:t>E16_Mesurage</w:t>
      </w:r>
    </w:p>
    <w:p w14:paraId="30E385CD" w14:textId="2C81E4B9" w:rsidR="00144B23" w:rsidRPr="00F54917" w:rsidRDefault="00F54917" w:rsidP="00F54917">
      <w:pPr>
        <w:spacing w:after="0"/>
        <w:rPr>
          <w:rFonts w:ascii="Consolas" w:hAnsi="Consolas"/>
          <w:sz w:val="22"/>
          <w:shd w:val="clear" w:color="auto" w:fill="EAEEF3"/>
        </w:rPr>
      </w:pPr>
      <w:r>
        <w:rPr>
          <w:rStyle w:val="VerbatimChar"/>
        </w:rPr>
        <w:br w:type="page"/>
      </w:r>
    </w:p>
    <w:p w14:paraId="637D0427" w14:textId="211E4BFA" w:rsidR="00065317" w:rsidRDefault="005C7BF7">
      <w:pPr>
        <w:pStyle w:val="Corpsdetexte"/>
      </w:pPr>
      <w:r>
        <w:rPr>
          <w:b/>
          <w:bCs/>
        </w:rPr>
        <w:lastRenderedPageBreak/>
        <w:t>Portée</w:t>
      </w:r>
    </w:p>
    <w:p w14:paraId="4E153CB6" w14:textId="77777777" w:rsidR="00065317" w:rsidRDefault="005C7BF7">
      <w:pPr>
        <w:pStyle w:val="Corpsdetexte"/>
      </w:pPr>
      <w:r>
        <w:rPr>
          <w:rStyle w:val="VerbatimChar"/>
        </w:rPr>
        <w:t>E18_Chose_matérielle</w:t>
      </w:r>
    </w:p>
    <w:p w14:paraId="1FC6E537" w14:textId="77777777" w:rsidR="00065317" w:rsidRDefault="005C7BF7">
      <w:pPr>
        <w:pStyle w:val="Corpsdetexte"/>
      </w:pPr>
      <w:r>
        <w:rPr>
          <w:b/>
          <w:bCs/>
        </w:rPr>
        <w:t>Sous-propriété de</w:t>
      </w:r>
    </w:p>
    <w:p w14:paraId="2C543351" w14:textId="2DB62F8D" w:rsidR="00065317" w:rsidRDefault="005C7BF7">
      <w:pPr>
        <w:pStyle w:val="Corpsdetexte"/>
      </w:pPr>
      <w:r>
        <w:rPr>
          <w:rStyle w:val="VerbatimChar"/>
        </w:rPr>
        <w:t>E13_Assignation_d</w:t>
      </w:r>
      <w:r w:rsidR="00E84B0E">
        <w:rPr>
          <w:rStyle w:val="VerbatimChar"/>
        </w:rPr>
        <w:t>’</w:t>
      </w:r>
      <w:r>
        <w:rPr>
          <w:rStyle w:val="VerbatimChar"/>
        </w:rPr>
        <w:t>attribut</w:t>
      </w:r>
      <w:r>
        <w:t xml:space="preserve">. </w:t>
      </w: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r>
        <w:t xml:space="preserve"> : </w:t>
      </w:r>
      <w:r>
        <w:rPr>
          <w:rStyle w:val="VerbatimChar"/>
        </w:rPr>
        <w:t>E1_Entité_CRM</w:t>
      </w:r>
    </w:p>
    <w:p w14:paraId="35417714" w14:textId="77777777" w:rsidR="00065317" w:rsidRDefault="005C7BF7">
      <w:pPr>
        <w:pStyle w:val="Corpsdetexte"/>
      </w:pPr>
      <w:r>
        <w:rPr>
          <w:b/>
          <w:bCs/>
        </w:rPr>
        <w:t>Super-propriété de</w:t>
      </w:r>
    </w:p>
    <w:p w14:paraId="2B820D23" w14:textId="77777777" w:rsidR="00065317" w:rsidRDefault="005C7BF7">
      <w:pPr>
        <w:pStyle w:val="Corpsdetexte"/>
      </w:pPr>
      <w:r>
        <w:rPr>
          <w:b/>
          <w:bCs/>
        </w:rPr>
        <w:t>Quantification</w:t>
      </w:r>
    </w:p>
    <w:p w14:paraId="373ECD82" w14:textId="77777777" w:rsidR="00065317" w:rsidRDefault="005C7BF7">
      <w:pPr>
        <w:pStyle w:val="Corpsdetexte"/>
      </w:pPr>
      <w:r>
        <w:t>plusieurs à un, nécessaire (1,1:0,n)</w:t>
      </w:r>
    </w:p>
    <w:p w14:paraId="7F5ECD3D" w14:textId="77618DBD" w:rsidR="00065317" w:rsidRDefault="005C7BF7">
      <w:pPr>
        <w:pStyle w:val="Corpsdetexte"/>
      </w:pPr>
      <w:r>
        <w:rPr>
          <w:b/>
          <w:bCs/>
        </w:rPr>
        <w:t>Note d</w:t>
      </w:r>
      <w:r w:rsidR="00E84B0E">
        <w:rPr>
          <w:b/>
          <w:bCs/>
        </w:rPr>
        <w:t>’</w:t>
      </w:r>
      <w:r>
        <w:rPr>
          <w:b/>
          <w:bCs/>
        </w:rPr>
        <w:t>application</w:t>
      </w:r>
    </w:p>
    <w:p w14:paraId="72F49544" w14:textId="52911C99" w:rsidR="00065317" w:rsidRDefault="005C7BF7">
      <w:pPr>
        <w:pStyle w:val="Corpsdetexte"/>
      </w:pPr>
      <w:r>
        <w:t xml:space="preserve">Cette propriété associe une instance de </w:t>
      </w:r>
      <w:r>
        <w:rPr>
          <w:rStyle w:val="VerbatimChar"/>
        </w:rPr>
        <w:t>E16_Mesurage</w:t>
      </w:r>
      <w:r>
        <w:t xml:space="preserve"> à l</w:t>
      </w:r>
      <w:r w:rsidR="00E84B0E">
        <w:t>’</w:t>
      </w:r>
      <w:r>
        <w:t xml:space="preserve">instance de </w:t>
      </w:r>
      <w:r>
        <w:rPr>
          <w:rStyle w:val="VerbatimChar"/>
        </w:rPr>
        <w:t>E18_Chose_matérielle</w:t>
      </w:r>
      <w:r>
        <w:t xml:space="preserve"> sur laquelle elle a agi. L</w:t>
      </w:r>
      <w:r w:rsidR="00E84B0E">
        <w:t>’</w:t>
      </w:r>
      <w:r>
        <w:t xml:space="preserve">instance de </w:t>
      </w:r>
      <w:r>
        <w:rPr>
          <w:rStyle w:val="VerbatimChar"/>
        </w:rPr>
        <w:t>E16_Mesurage</w:t>
      </w:r>
      <w:r>
        <w:t xml:space="preserve"> est spécifique à l</w:t>
      </w:r>
      <w:r w:rsidR="00E84B0E">
        <w:t>’</w:t>
      </w:r>
      <w:r>
        <w:t xml:space="preserve">objet mesuré. Une instance de </w:t>
      </w:r>
      <w:r>
        <w:rPr>
          <w:rStyle w:val="VerbatimChar"/>
        </w:rPr>
        <w:t>E18_Chose_matérielle</w:t>
      </w:r>
      <w:r>
        <w:t xml:space="preserve"> peut être mesurée plus d</w:t>
      </w:r>
      <w:r w:rsidR="00E84B0E">
        <w:t>’</w:t>
      </w:r>
      <w:r>
        <w:t xml:space="preserve">une fois avec des résultats différents, constituant différentes instances de </w:t>
      </w:r>
      <w:r>
        <w:rPr>
          <w:rStyle w:val="VerbatimChar"/>
        </w:rPr>
        <w:t>E16_Mesurage</w:t>
      </w:r>
      <w:r>
        <w:t>.</w:t>
      </w:r>
    </w:p>
    <w:p w14:paraId="2C0F5880" w14:textId="77777777" w:rsidR="00065317" w:rsidRDefault="005C7BF7">
      <w:pPr>
        <w:pStyle w:val="Corpsdetexte"/>
      </w:pPr>
      <w:r>
        <w:rPr>
          <w:b/>
          <w:bCs/>
        </w:rPr>
        <w:t>Exemples</w:t>
      </w:r>
    </w:p>
    <w:p w14:paraId="63C2F7A5" w14:textId="6F8A4EE1" w:rsidR="00065317" w:rsidRDefault="005C7BF7">
      <w:pPr>
        <w:numPr>
          <w:ilvl w:val="0"/>
          <w:numId w:val="179"/>
        </w:numPr>
      </w:pPr>
      <w:r>
        <w:t>Le mesurage de la hauteur de la coupe en argent « 232 » le 31</w:t>
      </w:r>
      <w:r w:rsidR="00056DCD">
        <w:t> août </w:t>
      </w:r>
      <w:r>
        <w:t>1997 (</w:t>
      </w:r>
      <w:r>
        <w:rPr>
          <w:rStyle w:val="VerbatimChar"/>
        </w:rPr>
        <w:t>E16_Mesurage</w:t>
      </w:r>
      <w:r>
        <w:t>) a mesuré (</w:t>
      </w:r>
      <w:r>
        <w:rPr>
          <w:rStyle w:val="VerbatimChar"/>
        </w:rPr>
        <w:t>P39_a_mesuré</w:t>
      </w:r>
      <w:r>
        <w:t>) la coupe en argent « 232 » (</w:t>
      </w:r>
      <w:r>
        <w:rPr>
          <w:rStyle w:val="VerbatimChar"/>
        </w:rPr>
        <w:t>E22_Objet_élaboré_par_l</w:t>
      </w:r>
      <w:r w:rsidR="00E84B0E">
        <w:rPr>
          <w:rStyle w:val="VerbatimChar"/>
        </w:rPr>
        <w:t>’</w:t>
      </w:r>
      <w:r>
        <w:rPr>
          <w:rStyle w:val="VerbatimChar"/>
        </w:rPr>
        <w:t>humain</w:t>
      </w:r>
      <w:r>
        <w:t>) (fictif)</w:t>
      </w:r>
    </w:p>
    <w:p w14:paraId="49A36A47" w14:textId="1A58CD09" w:rsidR="00065317" w:rsidRDefault="005C7BF7">
      <w:pPr>
        <w:numPr>
          <w:ilvl w:val="0"/>
          <w:numId w:val="179"/>
        </w:numPr>
      </w:pPr>
      <w:r>
        <w:t>La datation au carbone 14 du « Sch</w:t>
      </w:r>
      <w:r w:rsidR="00F52177">
        <w:t>oe</w:t>
      </w:r>
      <w:r>
        <w:t>ninger Speer II » en 1996 (</w:t>
      </w:r>
      <w:r>
        <w:rPr>
          <w:rStyle w:val="VerbatimChar"/>
        </w:rPr>
        <w:t>E16_Mesurage</w:t>
      </w:r>
      <w:r>
        <w:t>) a mesuré (</w:t>
      </w:r>
      <w:r>
        <w:rPr>
          <w:rStyle w:val="VerbatimChar"/>
        </w:rPr>
        <w:t>P39_a_mesuré</w:t>
      </w:r>
      <w:r>
        <w:t>) le « Sch</w:t>
      </w:r>
      <w:r w:rsidR="00F52177">
        <w:t>oe</w:t>
      </w:r>
      <w:r>
        <w:t>ninger Speer II » (</w:t>
      </w:r>
      <w:r>
        <w:rPr>
          <w:rStyle w:val="VerbatimChar"/>
        </w:rPr>
        <w:t>E22_Objet_élaboré_par_l</w:t>
      </w:r>
      <w:r w:rsidR="00E84B0E">
        <w:rPr>
          <w:rStyle w:val="VerbatimChar"/>
        </w:rPr>
        <w:t>’</w:t>
      </w:r>
      <w:r>
        <w:rPr>
          <w:rStyle w:val="VerbatimChar"/>
        </w:rPr>
        <w:t>humain</w:t>
      </w:r>
      <w:r>
        <w:t>). [La datation au carbone 14 d</w:t>
      </w:r>
      <w:r w:rsidR="00E84B0E">
        <w:t>’</w:t>
      </w:r>
      <w:r>
        <w:t>une lance en bois complète du Paléolithique inférieur âgée d</w:t>
      </w:r>
      <w:r w:rsidR="00E84B0E">
        <w:t>’</w:t>
      </w:r>
      <w:r>
        <w:t xml:space="preserve">environ 400 000 ans, découverte en Allemagne à Schöningen, en Basse-Saxe, en 1995. Voir aussi </w:t>
      </w:r>
      <w:r>
        <w:rPr>
          <w:rStyle w:val="VerbatimChar"/>
        </w:rPr>
        <w:t>E16_Mesurage</w:t>
      </w:r>
      <w:r>
        <w:t>] (Kouwenhoven, 1997)</w:t>
      </w:r>
    </w:p>
    <w:p w14:paraId="1D3110DE" w14:textId="77777777" w:rsidR="00065317" w:rsidRDefault="005C7BF7">
      <w:pPr>
        <w:pStyle w:val="FirstParagraph"/>
      </w:pPr>
      <w:r>
        <w:rPr>
          <w:b/>
          <w:bCs/>
        </w:rPr>
        <w:t>Logique</w:t>
      </w:r>
    </w:p>
    <w:p w14:paraId="7E60DDC6" w14:textId="77777777" w:rsidR="00065317" w:rsidRDefault="005C7BF7">
      <w:pPr>
        <w:pStyle w:val="Corpsdetexte"/>
      </w:pPr>
      <w:r>
        <w:t>P39(x,y) ⇒ E16(x)</w:t>
      </w:r>
    </w:p>
    <w:p w14:paraId="6528FFEB" w14:textId="77777777" w:rsidR="00065317" w:rsidRDefault="005C7BF7">
      <w:pPr>
        <w:pStyle w:val="Corpsdetexte"/>
      </w:pPr>
      <w:r>
        <w:t>P39(x,y) ⇒ E18(y)</w:t>
      </w:r>
    </w:p>
    <w:p w14:paraId="70EED879" w14:textId="77777777" w:rsidR="00065317" w:rsidRDefault="005C7BF7">
      <w:pPr>
        <w:pStyle w:val="Corpsdetexte"/>
      </w:pPr>
      <w:r>
        <w:t>P39(x,y) ⇒ P140(x,y)</w:t>
      </w:r>
    </w:p>
    <w:p w14:paraId="15F38EB3" w14:textId="77777777" w:rsidR="00065317" w:rsidRDefault="005C7BF7">
      <w:pPr>
        <w:pStyle w:val="Corpsdetexte"/>
      </w:pPr>
      <w:r>
        <w:rPr>
          <w:b/>
          <w:bCs/>
        </w:rPr>
        <w:t>Propriétés</w:t>
      </w:r>
    </w:p>
    <w:p w14:paraId="3BB61C81" w14:textId="77777777" w:rsidR="00065317" w:rsidRDefault="005C7BF7">
      <w:pPr>
        <w:pStyle w:val="Normalcentr"/>
      </w:pPr>
      <w:r>
        <w:rPr>
          <w:b/>
          <w:bCs/>
          <w:i/>
          <w:iCs/>
        </w:rPr>
        <w:t>Note de traduction</w:t>
      </w:r>
    </w:p>
    <w:p w14:paraId="741B2B28" w14:textId="52441965" w:rsidR="00065317" w:rsidRDefault="005C7BF7" w:rsidP="003773B9">
      <w:pPr>
        <w:pStyle w:val="Normalcentr"/>
      </w:pPr>
      <w:r>
        <w:rPr>
          <w:b/>
          <w:bCs/>
          <w:i/>
          <w:iCs/>
        </w:rPr>
        <w:t>Références</w:t>
      </w:r>
    </w:p>
    <w:p w14:paraId="5153921E" w14:textId="77777777" w:rsidR="00065317" w:rsidRDefault="005C7BF7" w:rsidP="00914F34">
      <w:pPr>
        <w:pStyle w:val="Titre3"/>
      </w:pPr>
      <w:bookmarkStart w:id="342" w:name="_Toc154048856"/>
      <w:bookmarkStart w:id="343" w:name="X45e0389b940beffdf7b184ee8072b30532dfdee"/>
      <w:bookmarkEnd w:id="341"/>
      <w:r>
        <w:t>P40 a relevé comme dimension (a été relevé par)</w:t>
      </w:r>
      <w:bookmarkEnd w:id="342"/>
    </w:p>
    <w:p w14:paraId="0E197B05" w14:textId="77777777" w:rsidR="00065317" w:rsidRDefault="005C7BF7">
      <w:pPr>
        <w:pStyle w:val="FirstParagraph"/>
      </w:pPr>
      <w:r>
        <w:rPr>
          <w:b/>
          <w:bCs/>
        </w:rPr>
        <w:t>Domaine</w:t>
      </w:r>
    </w:p>
    <w:p w14:paraId="0291146F" w14:textId="77777777" w:rsidR="00065317" w:rsidRDefault="005C7BF7">
      <w:pPr>
        <w:pStyle w:val="Corpsdetexte"/>
      </w:pPr>
      <w:r>
        <w:rPr>
          <w:rStyle w:val="VerbatimChar"/>
        </w:rPr>
        <w:t>E16_Mesurage</w:t>
      </w:r>
    </w:p>
    <w:p w14:paraId="12C9A0D9" w14:textId="77777777" w:rsidR="00065317" w:rsidRDefault="005C7BF7">
      <w:pPr>
        <w:pStyle w:val="Corpsdetexte"/>
      </w:pPr>
      <w:r>
        <w:rPr>
          <w:b/>
          <w:bCs/>
        </w:rPr>
        <w:t>Portée</w:t>
      </w:r>
    </w:p>
    <w:p w14:paraId="04400B00" w14:textId="198F2491" w:rsidR="00144B23" w:rsidRDefault="005C7BF7">
      <w:pPr>
        <w:pStyle w:val="Corpsdetexte"/>
        <w:rPr>
          <w:b/>
          <w:bCs/>
        </w:rPr>
      </w:pPr>
      <w:r>
        <w:rPr>
          <w:rStyle w:val="VerbatimChar"/>
        </w:rPr>
        <w:t>E54_Dimension</w:t>
      </w:r>
    </w:p>
    <w:p w14:paraId="2B78A08F" w14:textId="4541B16A" w:rsidR="00065317" w:rsidRDefault="005C7BF7">
      <w:pPr>
        <w:pStyle w:val="Corpsdetexte"/>
      </w:pPr>
      <w:r>
        <w:rPr>
          <w:b/>
          <w:bCs/>
        </w:rPr>
        <w:t>Sous-propriété de</w:t>
      </w:r>
    </w:p>
    <w:p w14:paraId="4DB44FF6" w14:textId="37911C8E" w:rsidR="00065317" w:rsidRDefault="005C7BF7">
      <w:pPr>
        <w:pStyle w:val="Corpsdetexte"/>
      </w:pPr>
      <w:r>
        <w:rPr>
          <w:rStyle w:val="VerbatimChar"/>
        </w:rPr>
        <w:t>E13_Assignation_d</w:t>
      </w:r>
      <w:r w:rsidR="00E84B0E">
        <w:rPr>
          <w:rStyle w:val="VerbatimChar"/>
        </w:rPr>
        <w:t>’</w:t>
      </w:r>
      <w:r>
        <w:rPr>
          <w:rStyle w:val="VerbatimChar"/>
        </w:rPr>
        <w:t>attribut</w:t>
      </w:r>
      <w:r>
        <w:t xml:space="preserve">. </w:t>
      </w:r>
      <w:r>
        <w:rPr>
          <w:rStyle w:val="VerbatimChar"/>
        </w:rPr>
        <w:t>P141_a_assigné (a_été_assigné_par)</w:t>
      </w:r>
      <w:r>
        <w:t xml:space="preserve"> : </w:t>
      </w:r>
      <w:r>
        <w:rPr>
          <w:rStyle w:val="VerbatimChar"/>
        </w:rPr>
        <w:t>E1_Entité_CRM</w:t>
      </w:r>
    </w:p>
    <w:p w14:paraId="196C6B2F" w14:textId="77777777" w:rsidR="00065317" w:rsidRDefault="005C7BF7">
      <w:pPr>
        <w:pStyle w:val="Corpsdetexte"/>
      </w:pPr>
      <w:r>
        <w:rPr>
          <w:b/>
          <w:bCs/>
        </w:rPr>
        <w:lastRenderedPageBreak/>
        <w:t>Super-propriété de</w:t>
      </w:r>
    </w:p>
    <w:p w14:paraId="6F58A33E" w14:textId="77777777" w:rsidR="00065317" w:rsidRDefault="005C7BF7">
      <w:pPr>
        <w:pStyle w:val="Corpsdetexte"/>
      </w:pPr>
      <w:r>
        <w:rPr>
          <w:b/>
          <w:bCs/>
        </w:rPr>
        <w:t>Quantification</w:t>
      </w:r>
    </w:p>
    <w:p w14:paraId="367B7211" w14:textId="77777777" w:rsidR="00065317" w:rsidRDefault="005C7BF7">
      <w:pPr>
        <w:pStyle w:val="Corpsdetexte"/>
      </w:pPr>
      <w:r>
        <w:t>plusieurs à plusieurs, nécessaire (1,n:0,n)</w:t>
      </w:r>
    </w:p>
    <w:p w14:paraId="38D3C96C" w14:textId="2E9C796B" w:rsidR="00065317" w:rsidRDefault="005C7BF7">
      <w:pPr>
        <w:pStyle w:val="Corpsdetexte"/>
      </w:pPr>
      <w:r>
        <w:rPr>
          <w:b/>
          <w:bCs/>
        </w:rPr>
        <w:t>Note d</w:t>
      </w:r>
      <w:r w:rsidR="00E84B0E">
        <w:rPr>
          <w:b/>
          <w:bCs/>
        </w:rPr>
        <w:t>’</w:t>
      </w:r>
      <w:r>
        <w:rPr>
          <w:b/>
          <w:bCs/>
        </w:rPr>
        <w:t>application</w:t>
      </w:r>
    </w:p>
    <w:p w14:paraId="2FE30682" w14:textId="1F54817A" w:rsidR="00065317" w:rsidRDefault="005C7BF7">
      <w:pPr>
        <w:pStyle w:val="Corpsdetexte"/>
      </w:pPr>
      <w:r>
        <w:t>Cette propriété enregistre la dimension observée au cours d</w:t>
      </w:r>
      <w:r w:rsidR="00E84B0E">
        <w:t>’</w:t>
      </w:r>
      <w:r>
        <w:t xml:space="preserve">un évènement de </w:t>
      </w:r>
      <w:r>
        <w:rPr>
          <w:rStyle w:val="VerbatimChar"/>
        </w:rPr>
        <w:t>E16_Mesurage</w:t>
      </w:r>
      <w:r>
        <w:t>.</w:t>
      </w:r>
    </w:p>
    <w:p w14:paraId="337D6DA3" w14:textId="0CAA3019" w:rsidR="00065317" w:rsidRDefault="005C7BF7">
      <w:pPr>
        <w:pStyle w:val="Corpsdetexte"/>
      </w:pPr>
      <w:r>
        <w:t xml:space="preserve">Une instance de </w:t>
      </w:r>
      <w:r>
        <w:rPr>
          <w:rStyle w:val="VerbatimChar"/>
        </w:rPr>
        <w:t>E54_Dimension</w:t>
      </w:r>
      <w:r>
        <w:t xml:space="preserve"> peut représenter tout aspect quantifiable d</w:t>
      </w:r>
      <w:r w:rsidR="00E84B0E">
        <w:t>’</w:t>
      </w:r>
      <w:r>
        <w:t xml:space="preserve">une instance de </w:t>
      </w:r>
      <w:r>
        <w:rPr>
          <w:rStyle w:val="VerbatimChar"/>
        </w:rPr>
        <w:t>E70_Chose</w:t>
      </w:r>
      <w:r>
        <w:t>. En ce sens, le poids, la profondeur de couleur d</w:t>
      </w:r>
      <w:r w:rsidR="00E84B0E">
        <w:t>’</w:t>
      </w:r>
      <w:r>
        <w:t>une image et la valeur monétaire sont des dimensions. Une activité de mesurage peut déterminer plus d</w:t>
      </w:r>
      <w:r w:rsidR="00E84B0E">
        <w:t>’</w:t>
      </w:r>
      <w:r>
        <w:t>une dimension pour un objet donné.</w:t>
      </w:r>
    </w:p>
    <w:p w14:paraId="6DE3D9D5" w14:textId="1D1016FF" w:rsidR="00065317" w:rsidRDefault="005C7BF7">
      <w:pPr>
        <w:pStyle w:val="Corpsdetexte"/>
      </w:pPr>
      <w:r>
        <w:t>Les dimensions peuvent être déterminées soit par observation directe, soit à l</w:t>
      </w:r>
      <w:r w:rsidR="00E84B0E">
        <w:t>’</w:t>
      </w:r>
      <w:r>
        <w:t>aide de preuves enregistrées. Dans ce dernier cas, la chose mesurée n</w:t>
      </w:r>
      <w:r w:rsidR="00E84B0E">
        <w:t>’</w:t>
      </w:r>
      <w:r>
        <w:t>a pas nécessairement à être présente ou même à exister.</w:t>
      </w:r>
    </w:p>
    <w:p w14:paraId="5928B57E" w14:textId="029F5158" w:rsidR="00065317" w:rsidRDefault="005C7BF7">
      <w:pPr>
        <w:pStyle w:val="Corpsdetexte"/>
      </w:pPr>
      <w:r>
        <w:t>Même si la connaissance de la valeur d</w:t>
      </w:r>
      <w:r w:rsidR="00E84B0E">
        <w:t>’</w:t>
      </w:r>
      <w:r>
        <w:t>une dimension nécessite qu</w:t>
      </w:r>
      <w:r w:rsidR="00E84B0E">
        <w:t>’</w:t>
      </w:r>
      <w:r>
        <w:t>une activité de mesurage ait eu lieu, la dimension peut être un objet de discours avant qu</w:t>
      </w:r>
      <w:r w:rsidR="00E84B0E">
        <w:t>’</w:t>
      </w:r>
      <w:r>
        <w:t>une telle activité ait débuté, ou même si l</w:t>
      </w:r>
      <w:r w:rsidR="00E84B0E">
        <w:t>’</w:t>
      </w:r>
      <w:r>
        <w:t>activité n</w:t>
      </w:r>
      <w:r w:rsidR="00E84B0E">
        <w:t>’</w:t>
      </w:r>
      <w:r>
        <w:t>a pas eu lieu.</w:t>
      </w:r>
    </w:p>
    <w:p w14:paraId="09C77905" w14:textId="77777777" w:rsidR="00065317" w:rsidRDefault="005C7BF7">
      <w:pPr>
        <w:pStyle w:val="Corpsdetexte"/>
      </w:pPr>
      <w:r>
        <w:rPr>
          <w:b/>
          <w:bCs/>
        </w:rPr>
        <w:t>Exemples</w:t>
      </w:r>
    </w:p>
    <w:p w14:paraId="447A6AEA" w14:textId="4B6F6913" w:rsidR="00065317" w:rsidRDefault="005C7BF7">
      <w:pPr>
        <w:numPr>
          <w:ilvl w:val="0"/>
          <w:numId w:val="180"/>
        </w:numPr>
      </w:pPr>
      <w:r>
        <w:t>Le mesurage de la hauteur de la coupe en argent « 232 » le 31</w:t>
      </w:r>
      <w:r w:rsidR="00056DCD">
        <w:t> août </w:t>
      </w:r>
      <w:r>
        <w:t>1997 (</w:t>
      </w:r>
      <w:r>
        <w:rPr>
          <w:rStyle w:val="VerbatimChar"/>
        </w:rPr>
        <w:t>E16_Mesurage</w:t>
      </w:r>
      <w:r>
        <w:t>) a relevé comme dimension (</w:t>
      </w:r>
      <w:r>
        <w:rPr>
          <w:rStyle w:val="VerbatimChar"/>
        </w:rPr>
        <w:t>P40_a_relevé_comme_dimension</w:t>
      </w:r>
      <w:r>
        <w:t>) la hauteur de la coupe en argent « 232 » (</w:t>
      </w:r>
      <w:r>
        <w:rPr>
          <w:rStyle w:val="VerbatimChar"/>
        </w:rPr>
        <w:t>E54_Dimension</w:t>
      </w:r>
      <w:r>
        <w:t>) [qui a pour unité de mesure mm (</w:t>
      </w:r>
      <w:r>
        <w:rPr>
          <w:rStyle w:val="VerbatimChar"/>
        </w:rPr>
        <w:t>E58_Unité_de_mesure</w:t>
      </w:r>
      <w:r>
        <w:t>) et a pour valeur « 224 » (</w:t>
      </w:r>
      <w:r>
        <w:rPr>
          <w:rStyle w:val="VerbatimChar"/>
        </w:rPr>
        <w:t>E60_Nombre</w:t>
      </w:r>
      <w:r>
        <w:t>)] (fictif)</w:t>
      </w:r>
    </w:p>
    <w:p w14:paraId="27647265" w14:textId="46396538" w:rsidR="00065317" w:rsidRDefault="005C7BF7">
      <w:pPr>
        <w:numPr>
          <w:ilvl w:val="0"/>
          <w:numId w:val="180"/>
        </w:numPr>
      </w:pPr>
      <w:r>
        <w:t>La datation au carbone 14 de la « Sch</w:t>
      </w:r>
      <w:r w:rsidR="00F52177">
        <w:t>oe</w:t>
      </w:r>
      <w:r>
        <w:t>ninger Speer II » en 1996 (</w:t>
      </w:r>
      <w:r>
        <w:rPr>
          <w:rStyle w:val="VerbatimChar"/>
        </w:rPr>
        <w:t>E16_Mesurage</w:t>
      </w:r>
      <w:r>
        <w:t>) a relevé comme dimension la distance entre 1996 et la croissance du bois de ladite lance (</w:t>
      </w:r>
      <w:r>
        <w:rPr>
          <w:rStyle w:val="VerbatimChar"/>
        </w:rPr>
        <w:t>E60_Nombre</w:t>
      </w:r>
      <w:r>
        <w:t>) [la datation au carbone 14 d</w:t>
      </w:r>
      <w:r w:rsidR="00E84B0E">
        <w:t>’</w:t>
      </w:r>
      <w:r>
        <w:t>une lance en bois paléolithique complète datant d</w:t>
      </w:r>
      <w:r w:rsidR="00E84B0E">
        <w:t>’</w:t>
      </w:r>
      <w:r>
        <w:t>environ 400 000 ans trouvée en 1995 à Sch</w:t>
      </w:r>
      <w:r w:rsidR="00F52177">
        <w:t>oe</w:t>
      </w:r>
      <w:r>
        <w:t xml:space="preserve">ningen, Niedersachsen, en Allemagne; voir aussi </w:t>
      </w:r>
      <w:r>
        <w:rPr>
          <w:rStyle w:val="VerbatimChar"/>
        </w:rPr>
        <w:t>E16_Mesurage</w:t>
      </w:r>
      <w:r>
        <w:t>] (Kouwenhoven, 1997)</w:t>
      </w:r>
    </w:p>
    <w:p w14:paraId="538548EF" w14:textId="77777777" w:rsidR="00065317" w:rsidRDefault="005C7BF7">
      <w:pPr>
        <w:pStyle w:val="FirstParagraph"/>
      </w:pPr>
      <w:r>
        <w:rPr>
          <w:b/>
          <w:bCs/>
        </w:rPr>
        <w:t>Logique</w:t>
      </w:r>
    </w:p>
    <w:p w14:paraId="3B4BD42A" w14:textId="77777777" w:rsidR="00065317" w:rsidRDefault="005C7BF7">
      <w:pPr>
        <w:pStyle w:val="Corpsdetexte"/>
      </w:pPr>
      <w:r>
        <w:t>P40(x,y) ⇒ E16(x)</w:t>
      </w:r>
    </w:p>
    <w:p w14:paraId="671712D7" w14:textId="77777777" w:rsidR="00065317" w:rsidRDefault="005C7BF7">
      <w:pPr>
        <w:pStyle w:val="Corpsdetexte"/>
      </w:pPr>
      <w:r>
        <w:t>P40(x,y)⇒ E54(y)</w:t>
      </w:r>
    </w:p>
    <w:p w14:paraId="7B3ABC29" w14:textId="77777777" w:rsidR="00065317" w:rsidRDefault="005C7BF7">
      <w:pPr>
        <w:pStyle w:val="Corpsdetexte"/>
      </w:pPr>
      <w:r>
        <w:t>P40(x,y) ⇒ P141(x,y)</w:t>
      </w:r>
    </w:p>
    <w:p w14:paraId="17516CFB" w14:textId="77777777" w:rsidR="00065317" w:rsidRDefault="005C7BF7">
      <w:pPr>
        <w:pStyle w:val="Corpsdetexte"/>
      </w:pPr>
      <w:r>
        <w:rPr>
          <w:b/>
          <w:bCs/>
        </w:rPr>
        <w:t>Propriétés</w:t>
      </w:r>
    </w:p>
    <w:p w14:paraId="29CE84DE" w14:textId="77777777" w:rsidR="00065317" w:rsidRDefault="005C7BF7">
      <w:pPr>
        <w:pStyle w:val="Normalcentr"/>
      </w:pPr>
      <w:r>
        <w:rPr>
          <w:b/>
          <w:bCs/>
          <w:i/>
          <w:iCs/>
        </w:rPr>
        <w:t>Note de traduction</w:t>
      </w:r>
    </w:p>
    <w:p w14:paraId="2376B259" w14:textId="2D6FC8E3" w:rsidR="00144B23" w:rsidRPr="00144B23" w:rsidRDefault="005C7BF7" w:rsidP="00914F34">
      <w:pPr>
        <w:pStyle w:val="Normalcentr"/>
      </w:pPr>
      <w:r>
        <w:rPr>
          <w:b/>
          <w:bCs/>
          <w:i/>
          <w:iCs/>
        </w:rPr>
        <w:t>Références</w:t>
      </w:r>
    </w:p>
    <w:p w14:paraId="1955BDF0" w14:textId="77777777" w:rsidR="00065317" w:rsidRDefault="00065317">
      <w:pPr>
        <w:pStyle w:val="Normalcentr"/>
      </w:pPr>
    </w:p>
    <w:p w14:paraId="09646DE4" w14:textId="77777777" w:rsidR="00065317" w:rsidRDefault="005C7BF7" w:rsidP="00914F34">
      <w:pPr>
        <w:pStyle w:val="Titre3"/>
      </w:pPr>
      <w:bookmarkStart w:id="344" w:name="_Toc154048857"/>
      <w:bookmarkStart w:id="345" w:name="p41-a-classifie-(a-ete-classifie-par)"/>
      <w:bookmarkEnd w:id="343"/>
      <w:r>
        <w:t>P41 a classifié (a été classifié par)</w:t>
      </w:r>
      <w:bookmarkEnd w:id="344"/>
    </w:p>
    <w:p w14:paraId="6CD8852A" w14:textId="77777777" w:rsidR="00065317" w:rsidRDefault="005C7BF7">
      <w:pPr>
        <w:pStyle w:val="FirstParagraph"/>
      </w:pPr>
      <w:r>
        <w:rPr>
          <w:b/>
          <w:bCs/>
        </w:rPr>
        <w:t>Domaine</w:t>
      </w:r>
    </w:p>
    <w:p w14:paraId="49798515" w14:textId="77777777" w:rsidR="00065317" w:rsidRDefault="005C7BF7">
      <w:pPr>
        <w:pStyle w:val="Corpsdetexte"/>
      </w:pPr>
      <w:r>
        <w:rPr>
          <w:rStyle w:val="VerbatimChar"/>
        </w:rPr>
        <w:t>E17_Assignation_de_type</w:t>
      </w:r>
    </w:p>
    <w:p w14:paraId="55F354F6" w14:textId="77777777" w:rsidR="00065317" w:rsidRDefault="005C7BF7">
      <w:pPr>
        <w:pStyle w:val="Corpsdetexte"/>
      </w:pPr>
      <w:r>
        <w:rPr>
          <w:b/>
          <w:bCs/>
        </w:rPr>
        <w:t>Portée</w:t>
      </w:r>
    </w:p>
    <w:p w14:paraId="730F5581" w14:textId="77777777" w:rsidR="00065317" w:rsidRDefault="005C7BF7">
      <w:pPr>
        <w:pStyle w:val="Corpsdetexte"/>
      </w:pPr>
      <w:r>
        <w:rPr>
          <w:rStyle w:val="VerbatimChar"/>
        </w:rPr>
        <w:t>E1_Entité_CRM</w:t>
      </w:r>
    </w:p>
    <w:p w14:paraId="2E502489" w14:textId="77777777" w:rsidR="00065317" w:rsidRDefault="005C7BF7">
      <w:pPr>
        <w:pStyle w:val="Corpsdetexte"/>
      </w:pPr>
      <w:r>
        <w:rPr>
          <w:b/>
          <w:bCs/>
        </w:rPr>
        <w:lastRenderedPageBreak/>
        <w:t>Sous-propriété de</w:t>
      </w:r>
    </w:p>
    <w:p w14:paraId="53965A2F" w14:textId="3DBD34AA" w:rsidR="00065317" w:rsidRDefault="005C7BF7">
      <w:pPr>
        <w:pStyle w:val="Corpsdetexte"/>
      </w:pPr>
      <w:r>
        <w:rPr>
          <w:rStyle w:val="VerbatimChar"/>
        </w:rPr>
        <w:t>E13_Assignation_d</w:t>
      </w:r>
      <w:r w:rsidR="00E84B0E">
        <w:rPr>
          <w:rStyle w:val="VerbatimChar"/>
        </w:rPr>
        <w:t>’</w:t>
      </w:r>
      <w:r>
        <w:rPr>
          <w:rStyle w:val="VerbatimChar"/>
        </w:rPr>
        <w:t>attribut</w:t>
      </w:r>
      <w:r>
        <w:t>.</w:t>
      </w:r>
    </w:p>
    <w:p w14:paraId="4A0EA2AD" w14:textId="37A1EEA4" w:rsidR="00065317" w:rsidRDefault="005C7BF7">
      <w:pPr>
        <w:pStyle w:val="Corpsdetexte"/>
      </w:pP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r>
        <w:t xml:space="preserve"> : </w:t>
      </w:r>
      <w:r>
        <w:rPr>
          <w:rStyle w:val="VerbatimChar"/>
        </w:rPr>
        <w:t>E1_Entité_CRM</w:t>
      </w:r>
    </w:p>
    <w:p w14:paraId="2E83AC60" w14:textId="77777777" w:rsidR="00065317" w:rsidRDefault="005C7BF7">
      <w:pPr>
        <w:pStyle w:val="Corpsdetexte"/>
      </w:pPr>
      <w:r>
        <w:rPr>
          <w:b/>
          <w:bCs/>
        </w:rPr>
        <w:t>Super-propriété de</w:t>
      </w:r>
    </w:p>
    <w:p w14:paraId="0C78BD70" w14:textId="77777777" w:rsidR="00065317" w:rsidRDefault="005C7BF7">
      <w:pPr>
        <w:pStyle w:val="Corpsdetexte"/>
      </w:pPr>
      <w:r>
        <w:rPr>
          <w:b/>
          <w:bCs/>
        </w:rPr>
        <w:t>Quantification</w:t>
      </w:r>
    </w:p>
    <w:p w14:paraId="0F082E02" w14:textId="77777777" w:rsidR="00065317" w:rsidRDefault="005C7BF7">
      <w:pPr>
        <w:pStyle w:val="Corpsdetexte"/>
      </w:pPr>
      <w:r>
        <w:t>plusieurs à un, nécessaire (1,1:0,n)</w:t>
      </w:r>
    </w:p>
    <w:p w14:paraId="47D9BEAB" w14:textId="50676C71" w:rsidR="00065317" w:rsidRDefault="005C7BF7">
      <w:pPr>
        <w:pStyle w:val="Corpsdetexte"/>
      </w:pPr>
      <w:r>
        <w:rPr>
          <w:b/>
          <w:bCs/>
        </w:rPr>
        <w:t>Note d</w:t>
      </w:r>
      <w:r w:rsidR="00E84B0E">
        <w:rPr>
          <w:b/>
          <w:bCs/>
        </w:rPr>
        <w:t>’</w:t>
      </w:r>
      <w:r>
        <w:rPr>
          <w:b/>
          <w:bCs/>
        </w:rPr>
        <w:t>application</w:t>
      </w:r>
    </w:p>
    <w:p w14:paraId="07748BF4" w14:textId="5830B699" w:rsidR="00065317" w:rsidRDefault="005C7BF7">
      <w:pPr>
        <w:pStyle w:val="Corpsdetexte"/>
      </w:pPr>
      <w:r>
        <w:t>Cette propriété enregistre l</w:t>
      </w:r>
      <w:r w:rsidR="00E84B0E">
        <w:t>’</w:t>
      </w:r>
      <w:r>
        <w:t>entité à laquelle un type a été assigné lors d</w:t>
      </w:r>
      <w:r w:rsidR="00E84B0E">
        <w:t>’</w:t>
      </w:r>
      <w:r>
        <w:t xml:space="preserve">une instance de </w:t>
      </w:r>
      <w:r>
        <w:rPr>
          <w:rStyle w:val="VerbatimChar"/>
        </w:rPr>
        <w:t>E17_Assignation_de_type</w:t>
      </w:r>
      <w:r>
        <w:t>.</w:t>
      </w:r>
    </w:p>
    <w:p w14:paraId="1D29BD59" w14:textId="1E0801A4" w:rsidR="00065317" w:rsidRDefault="005C7BF7">
      <w:pPr>
        <w:pStyle w:val="Corpsdetexte"/>
      </w:pPr>
      <w:r>
        <w:t>Toute instance d</w:t>
      </w:r>
      <w:r w:rsidR="00E84B0E">
        <w:t>’</w:t>
      </w:r>
      <w:r>
        <w:t xml:space="preserve">une entité du </w:t>
      </w:r>
      <w:r w:rsidR="00C8288F">
        <w:t>CIDOC CRM</w:t>
      </w:r>
      <w:r>
        <w:t xml:space="preserve"> peut se voir assigner un type par une instance de </w:t>
      </w:r>
      <w:r>
        <w:rPr>
          <w:rStyle w:val="VerbatimChar"/>
        </w:rPr>
        <w:t>E17_Assignation_de_type</w:t>
      </w:r>
      <w:r>
        <w:t xml:space="preserve">. Les instances de </w:t>
      </w:r>
      <w:r>
        <w:rPr>
          <w:rStyle w:val="VerbatimChar"/>
        </w:rPr>
        <w:t>E17_Assignation_de_type</w:t>
      </w:r>
      <w:r>
        <w:t xml:space="preserve"> permettent le chemin sémantique plus détaillé </w:t>
      </w:r>
      <w:r>
        <w:rPr>
          <w:rStyle w:val="VerbatimChar"/>
        </w:rPr>
        <w:t>E1_Entité_CRM</w:t>
      </w:r>
      <w:r>
        <w:t xml:space="preserve">, </w:t>
      </w:r>
      <w:r>
        <w:rPr>
          <w:rStyle w:val="VerbatimChar"/>
        </w:rPr>
        <w:t>P41i_a_été_classifié_par</w:t>
      </w:r>
      <w:r>
        <w:t xml:space="preserve">, </w:t>
      </w:r>
      <w:r>
        <w:rPr>
          <w:rStyle w:val="VerbatimChar"/>
        </w:rPr>
        <w:t>E17_Assignation_de_type</w:t>
      </w:r>
      <w:r>
        <w:t xml:space="preserve">, </w:t>
      </w:r>
      <w:r>
        <w:rPr>
          <w:rStyle w:val="VerbatimChar"/>
        </w:rPr>
        <w:t>P42_a_assigné</w:t>
      </w:r>
      <w:r>
        <w:t xml:space="preserve">, </w:t>
      </w:r>
      <w:r>
        <w:rPr>
          <w:rStyle w:val="VerbatimChar"/>
        </w:rPr>
        <w:t>E55_Type</w:t>
      </w:r>
      <w:r>
        <w:t xml:space="preserve"> pour l</w:t>
      </w:r>
      <w:r w:rsidR="00E84B0E">
        <w:t>’</w:t>
      </w:r>
      <w:r>
        <w:t xml:space="preserve">assignation de types aux objets comparativement au raccourci offert par </w:t>
      </w:r>
      <w:r>
        <w:rPr>
          <w:rStyle w:val="VerbatimChar"/>
        </w:rPr>
        <w:t>P2_a_pour_type (est_le_type_de)</w:t>
      </w:r>
      <w:r>
        <w:t>.</w:t>
      </w:r>
    </w:p>
    <w:p w14:paraId="6551D187" w14:textId="77777777" w:rsidR="00065317" w:rsidRDefault="005C7BF7">
      <w:pPr>
        <w:pStyle w:val="Corpsdetexte"/>
      </w:pPr>
      <w:r>
        <w:rPr>
          <w:b/>
          <w:bCs/>
        </w:rPr>
        <w:t>Exemples</w:t>
      </w:r>
    </w:p>
    <w:p w14:paraId="0EE00BDA" w14:textId="153651FC" w:rsidR="00065317" w:rsidRDefault="005C7BF7">
      <w:pPr>
        <w:numPr>
          <w:ilvl w:val="0"/>
          <w:numId w:val="181"/>
        </w:numPr>
      </w:pPr>
      <w:r>
        <w:t>La classification de la coupe en argent « 232 » le 31</w:t>
      </w:r>
      <w:r w:rsidR="00056DCD">
        <w:t> août </w:t>
      </w:r>
      <w:r>
        <w:t>1997 (</w:t>
      </w:r>
      <w:r>
        <w:rPr>
          <w:rStyle w:val="VerbatimChar"/>
        </w:rPr>
        <w:t>E17_Assignation_de_type</w:t>
      </w:r>
      <w:r>
        <w:t>) a classifié (</w:t>
      </w:r>
      <w:r>
        <w:rPr>
          <w:rStyle w:val="VerbatimChar"/>
        </w:rPr>
        <w:t>P41_a_classifié</w:t>
      </w:r>
      <w:r>
        <w:t>) la coupe en argent « 232 » (</w:t>
      </w:r>
      <w:r>
        <w:rPr>
          <w:rStyle w:val="VerbatimChar"/>
        </w:rPr>
        <w:t>E22_Objet_élaboré_par_l</w:t>
      </w:r>
      <w:r w:rsidR="00E84B0E">
        <w:rPr>
          <w:rStyle w:val="VerbatimChar"/>
        </w:rPr>
        <w:t>’</w:t>
      </w:r>
      <w:r>
        <w:rPr>
          <w:rStyle w:val="VerbatimChar"/>
        </w:rPr>
        <w:t>humain</w:t>
      </w:r>
      <w:r>
        <w:t>) (fictif)</w:t>
      </w:r>
    </w:p>
    <w:p w14:paraId="44335B93" w14:textId="77777777" w:rsidR="00065317" w:rsidRDefault="005C7BF7">
      <w:pPr>
        <w:pStyle w:val="FirstParagraph"/>
      </w:pPr>
      <w:r>
        <w:rPr>
          <w:b/>
          <w:bCs/>
        </w:rPr>
        <w:t>Logique</w:t>
      </w:r>
    </w:p>
    <w:p w14:paraId="014CE4C8" w14:textId="77777777" w:rsidR="00065317" w:rsidRDefault="005C7BF7">
      <w:pPr>
        <w:pStyle w:val="Corpsdetexte"/>
      </w:pPr>
      <w:r>
        <w:t>P41(x,y) ⇒ E17(x) P41(x,y) ⇒ E1(y) P41(x,y) ⇒ P140(x,y)</w:t>
      </w:r>
    </w:p>
    <w:p w14:paraId="7DF17FFB" w14:textId="77777777" w:rsidR="00065317" w:rsidRDefault="005C7BF7">
      <w:pPr>
        <w:pStyle w:val="Corpsdetexte"/>
      </w:pPr>
      <w:r>
        <w:rPr>
          <w:b/>
          <w:bCs/>
        </w:rPr>
        <w:t>Propriétés</w:t>
      </w:r>
    </w:p>
    <w:p w14:paraId="34C7AA49" w14:textId="77777777" w:rsidR="00065317" w:rsidRDefault="005C7BF7">
      <w:pPr>
        <w:pStyle w:val="Normalcentr"/>
      </w:pPr>
      <w:r>
        <w:rPr>
          <w:b/>
          <w:bCs/>
          <w:i/>
          <w:iCs/>
        </w:rPr>
        <w:t>Note de traduction</w:t>
      </w:r>
    </w:p>
    <w:p w14:paraId="272757F2" w14:textId="347A66C3" w:rsidR="00065317" w:rsidRDefault="005C7BF7" w:rsidP="003773B9">
      <w:pPr>
        <w:pStyle w:val="Normalcentr"/>
      </w:pPr>
      <w:r>
        <w:rPr>
          <w:b/>
          <w:bCs/>
          <w:i/>
          <w:iCs/>
        </w:rPr>
        <w:t>Références</w:t>
      </w:r>
    </w:p>
    <w:p w14:paraId="2B659CE2" w14:textId="77777777" w:rsidR="00065317" w:rsidRDefault="005C7BF7" w:rsidP="00914F34">
      <w:pPr>
        <w:pStyle w:val="Titre3"/>
      </w:pPr>
      <w:bookmarkStart w:id="346" w:name="_Toc154048858"/>
      <w:bookmarkStart w:id="347" w:name="p42-a-assigne-(a-ete-assigne-par)"/>
      <w:bookmarkEnd w:id="345"/>
      <w:r>
        <w:t>P42 a assigné (a été assigné par)</w:t>
      </w:r>
      <w:bookmarkEnd w:id="346"/>
    </w:p>
    <w:p w14:paraId="744045E4" w14:textId="77777777" w:rsidR="00065317" w:rsidRDefault="005C7BF7">
      <w:pPr>
        <w:pStyle w:val="FirstParagraph"/>
      </w:pPr>
      <w:r>
        <w:rPr>
          <w:b/>
          <w:bCs/>
        </w:rPr>
        <w:t>Domaine</w:t>
      </w:r>
    </w:p>
    <w:p w14:paraId="60C63A15" w14:textId="77777777" w:rsidR="00065317" w:rsidRDefault="005C7BF7">
      <w:pPr>
        <w:pStyle w:val="Corpsdetexte"/>
      </w:pPr>
      <w:r>
        <w:rPr>
          <w:rStyle w:val="VerbatimChar"/>
        </w:rPr>
        <w:t>E17_Assignation_de_type</w:t>
      </w:r>
    </w:p>
    <w:p w14:paraId="2FAF1404" w14:textId="77777777" w:rsidR="00065317" w:rsidRDefault="005C7BF7">
      <w:pPr>
        <w:pStyle w:val="Corpsdetexte"/>
      </w:pPr>
      <w:r>
        <w:rPr>
          <w:b/>
          <w:bCs/>
        </w:rPr>
        <w:t>Portée</w:t>
      </w:r>
    </w:p>
    <w:p w14:paraId="6A9FB5DE" w14:textId="77777777" w:rsidR="00065317" w:rsidRDefault="005C7BF7">
      <w:pPr>
        <w:pStyle w:val="Corpsdetexte"/>
      </w:pPr>
      <w:r>
        <w:rPr>
          <w:rStyle w:val="VerbatimChar"/>
        </w:rPr>
        <w:t>E55_Type</w:t>
      </w:r>
    </w:p>
    <w:p w14:paraId="0C10EC61" w14:textId="77777777" w:rsidR="00065317" w:rsidRDefault="005C7BF7">
      <w:pPr>
        <w:pStyle w:val="Corpsdetexte"/>
      </w:pPr>
      <w:r>
        <w:rPr>
          <w:b/>
          <w:bCs/>
        </w:rPr>
        <w:t>Sous-propriété de</w:t>
      </w:r>
    </w:p>
    <w:p w14:paraId="0048F9D8" w14:textId="32B66DD2" w:rsidR="00065317" w:rsidRDefault="005C7BF7">
      <w:pPr>
        <w:pStyle w:val="Corpsdetexte"/>
      </w:pPr>
      <w:r>
        <w:rPr>
          <w:rStyle w:val="VerbatimChar"/>
        </w:rPr>
        <w:t>E13_Assignation_d</w:t>
      </w:r>
      <w:r w:rsidR="00E84B0E">
        <w:rPr>
          <w:rStyle w:val="VerbatimChar"/>
        </w:rPr>
        <w:t>’</w:t>
      </w:r>
      <w:r>
        <w:rPr>
          <w:rStyle w:val="VerbatimChar"/>
        </w:rPr>
        <w:t>attribut</w:t>
      </w:r>
      <w:r>
        <w:t>.</w:t>
      </w:r>
    </w:p>
    <w:p w14:paraId="0AA57437" w14:textId="77777777" w:rsidR="00065317" w:rsidRDefault="005C7BF7">
      <w:pPr>
        <w:pStyle w:val="Corpsdetexte"/>
      </w:pPr>
      <w:r>
        <w:rPr>
          <w:rStyle w:val="VerbatimChar"/>
        </w:rPr>
        <w:t>P141_a_assigné (a_été_assigné_par)</w:t>
      </w:r>
      <w:r>
        <w:t xml:space="preserve"> : </w:t>
      </w:r>
      <w:r>
        <w:rPr>
          <w:rStyle w:val="VerbatimChar"/>
        </w:rPr>
        <w:t>E1_Entité_CRM</w:t>
      </w:r>
    </w:p>
    <w:p w14:paraId="086823EC" w14:textId="77777777" w:rsidR="00065317" w:rsidRDefault="005C7BF7">
      <w:pPr>
        <w:pStyle w:val="Corpsdetexte"/>
      </w:pPr>
      <w:r>
        <w:rPr>
          <w:b/>
          <w:bCs/>
        </w:rPr>
        <w:t>Super-propriété de</w:t>
      </w:r>
    </w:p>
    <w:p w14:paraId="1E36D098" w14:textId="77777777" w:rsidR="00065317" w:rsidRDefault="005C7BF7">
      <w:pPr>
        <w:pStyle w:val="Corpsdetexte"/>
      </w:pPr>
      <w:r>
        <w:rPr>
          <w:b/>
          <w:bCs/>
        </w:rPr>
        <w:t>Quantification</w:t>
      </w:r>
    </w:p>
    <w:p w14:paraId="37ED26D2" w14:textId="77777777" w:rsidR="00065317" w:rsidRDefault="005C7BF7">
      <w:pPr>
        <w:pStyle w:val="Corpsdetexte"/>
      </w:pPr>
      <w:r>
        <w:t>plusieurs à plusieurs, nécessaire (1,n:0,n)</w:t>
      </w:r>
    </w:p>
    <w:p w14:paraId="1FF723CD" w14:textId="5E7FA004" w:rsidR="00065317" w:rsidRDefault="005C7BF7">
      <w:pPr>
        <w:pStyle w:val="Corpsdetexte"/>
      </w:pPr>
      <w:r>
        <w:rPr>
          <w:b/>
          <w:bCs/>
        </w:rPr>
        <w:lastRenderedPageBreak/>
        <w:t>Note d</w:t>
      </w:r>
      <w:r w:rsidR="00E84B0E">
        <w:rPr>
          <w:b/>
          <w:bCs/>
        </w:rPr>
        <w:t>’</w:t>
      </w:r>
      <w:r>
        <w:rPr>
          <w:b/>
          <w:bCs/>
        </w:rPr>
        <w:t>application</w:t>
      </w:r>
    </w:p>
    <w:p w14:paraId="67253D52" w14:textId="3B867D38" w:rsidR="00065317" w:rsidRDefault="005C7BF7">
      <w:pPr>
        <w:pStyle w:val="Corpsdetexte"/>
      </w:pPr>
      <w:r>
        <w:t>Cette propriété enregistre le type qui a été assigné à une entité lors d</w:t>
      </w:r>
      <w:r w:rsidR="00E84B0E">
        <w:t>’</w:t>
      </w:r>
      <w:r>
        <w:t xml:space="preserve">une instance de </w:t>
      </w:r>
      <w:r>
        <w:rPr>
          <w:rStyle w:val="VerbatimChar"/>
        </w:rPr>
        <w:t>E17_Assignation_de_type</w:t>
      </w:r>
      <w:r>
        <w:t>.</w:t>
      </w:r>
    </w:p>
    <w:p w14:paraId="1AAE686E" w14:textId="5FD58ACB" w:rsidR="00065317" w:rsidRDefault="005C7BF7">
      <w:pPr>
        <w:pStyle w:val="Corpsdetexte"/>
      </w:pPr>
      <w:r>
        <w:t xml:space="preserve">Les instances de </w:t>
      </w:r>
      <w:r>
        <w:rPr>
          <w:rStyle w:val="VerbatimChar"/>
        </w:rPr>
        <w:t>E17_Assignation_de_type</w:t>
      </w:r>
      <w:r>
        <w:t xml:space="preserve"> permettent le chemin sémantique plus détaillé </w:t>
      </w:r>
      <w:r>
        <w:rPr>
          <w:rStyle w:val="VerbatimChar"/>
        </w:rPr>
        <w:t>E1_Entité_CRM</w:t>
      </w:r>
      <w:r>
        <w:t xml:space="preserve">, </w:t>
      </w:r>
      <w:r>
        <w:rPr>
          <w:rStyle w:val="VerbatimChar"/>
        </w:rPr>
        <w:t>P41i_a_été_classifié_par</w:t>
      </w:r>
      <w:r>
        <w:t xml:space="preserve">, </w:t>
      </w:r>
      <w:r>
        <w:rPr>
          <w:rStyle w:val="VerbatimChar"/>
        </w:rPr>
        <w:t>E17_Assignation_de_type</w:t>
      </w:r>
      <w:r>
        <w:t xml:space="preserve">, </w:t>
      </w:r>
      <w:r>
        <w:rPr>
          <w:rStyle w:val="VerbatimChar"/>
        </w:rPr>
        <w:t>P42_a_assigné</w:t>
      </w:r>
      <w:r>
        <w:t xml:space="preserve">, </w:t>
      </w:r>
      <w:r>
        <w:rPr>
          <w:rStyle w:val="VerbatimChar"/>
        </w:rPr>
        <w:t>E55_Type</w:t>
      </w:r>
      <w:r>
        <w:t xml:space="preserve"> pour l</w:t>
      </w:r>
      <w:r w:rsidR="00E84B0E">
        <w:t>’</w:t>
      </w:r>
      <w:r>
        <w:t xml:space="preserve">assignation de types aux objets comparativement au raccourci offert par </w:t>
      </w:r>
      <w:r>
        <w:rPr>
          <w:rStyle w:val="VerbatimChar"/>
        </w:rPr>
        <w:t>P2_a_pour_type (est_le_type_de)</w:t>
      </w:r>
      <w:r>
        <w:t>.</w:t>
      </w:r>
    </w:p>
    <w:p w14:paraId="2FE8FE2E" w14:textId="1F146BE0" w:rsidR="00065317" w:rsidRDefault="005C7BF7">
      <w:pPr>
        <w:pStyle w:val="Corpsdetexte"/>
      </w:pPr>
      <w:r>
        <w:t>Par exemple, un fragment de vase antique pourrait se voir assigner le type « amphore attique à panse à figures rouges » par l</w:t>
      </w:r>
      <w:r w:rsidR="00E84B0E">
        <w:t>’</w:t>
      </w:r>
      <w:r>
        <w:t>expert A. Le même fragment pourrait se voir assigner le type « amphore à col » par l</w:t>
      </w:r>
      <w:r w:rsidR="00E84B0E">
        <w:t>’</w:t>
      </w:r>
      <w:r>
        <w:t>expert B.</w:t>
      </w:r>
    </w:p>
    <w:p w14:paraId="186C09B9" w14:textId="1FD449A9" w:rsidR="00065317" w:rsidRDefault="005C7BF7">
      <w:pPr>
        <w:pStyle w:val="Corpsdetexte"/>
      </w:pPr>
      <w:r>
        <w:t xml:space="preserve">Une instance de </w:t>
      </w:r>
      <w:r>
        <w:rPr>
          <w:rStyle w:val="VerbatimChar"/>
        </w:rPr>
        <w:t>E55_Type</w:t>
      </w:r>
      <w:r>
        <w:t xml:space="preserve"> peut être construite intellectuellement et indépendamment de l</w:t>
      </w:r>
      <w:r w:rsidR="00E84B0E">
        <w:t>’</w:t>
      </w:r>
      <w:r>
        <w:t>attribution d</w:t>
      </w:r>
      <w:r w:rsidR="00E84B0E">
        <w:t>’</w:t>
      </w:r>
      <w:r>
        <w:t>une autre instance à celle-ci.</w:t>
      </w:r>
    </w:p>
    <w:p w14:paraId="03BDBDFA" w14:textId="77777777" w:rsidR="00065317" w:rsidRDefault="005C7BF7">
      <w:pPr>
        <w:pStyle w:val="Corpsdetexte"/>
      </w:pPr>
      <w:r>
        <w:rPr>
          <w:b/>
          <w:bCs/>
        </w:rPr>
        <w:t>Exemples</w:t>
      </w:r>
    </w:p>
    <w:p w14:paraId="212DC30A" w14:textId="2B9C1F0D" w:rsidR="00065317" w:rsidRDefault="005C7BF7">
      <w:pPr>
        <w:numPr>
          <w:ilvl w:val="0"/>
          <w:numId w:val="182"/>
        </w:numPr>
      </w:pPr>
      <w:r>
        <w:t>La classification de la coupe en argent « 232 » le 31</w:t>
      </w:r>
      <w:r w:rsidR="00056DCD">
        <w:t> août </w:t>
      </w:r>
      <w:r>
        <w:t>1997 (</w:t>
      </w:r>
      <w:r>
        <w:rPr>
          <w:rStyle w:val="VerbatimChar"/>
        </w:rPr>
        <w:t>E17_Assignation_de_type</w:t>
      </w:r>
      <w:r>
        <w:t>) a assigné (</w:t>
      </w:r>
      <w:r>
        <w:rPr>
          <w:rStyle w:val="VerbatimChar"/>
        </w:rPr>
        <w:t>P42_a_assigné</w:t>
      </w:r>
      <w:r>
        <w:t>) « gobelet » (</w:t>
      </w:r>
      <w:r>
        <w:rPr>
          <w:rStyle w:val="VerbatimChar"/>
        </w:rPr>
        <w:t>E55_Type</w:t>
      </w:r>
      <w:r>
        <w:t>) (fictif)</w:t>
      </w:r>
    </w:p>
    <w:p w14:paraId="73A01858" w14:textId="77777777" w:rsidR="00065317" w:rsidRDefault="005C7BF7">
      <w:pPr>
        <w:pStyle w:val="FirstParagraph"/>
      </w:pPr>
      <w:r>
        <w:rPr>
          <w:b/>
          <w:bCs/>
        </w:rPr>
        <w:t>Logique</w:t>
      </w:r>
    </w:p>
    <w:p w14:paraId="5FD2CD45" w14:textId="77777777" w:rsidR="00065317" w:rsidRDefault="005C7BF7">
      <w:pPr>
        <w:pStyle w:val="Corpsdetexte"/>
      </w:pPr>
      <w:r>
        <w:t>P42(x,y) ⇒ E17(x)</w:t>
      </w:r>
    </w:p>
    <w:p w14:paraId="3519C016" w14:textId="77777777" w:rsidR="00065317" w:rsidRDefault="005C7BF7">
      <w:pPr>
        <w:pStyle w:val="Corpsdetexte"/>
      </w:pPr>
      <w:r>
        <w:t>P42(x,y)⇒ E55(y)</w:t>
      </w:r>
    </w:p>
    <w:p w14:paraId="37EAD4AC" w14:textId="77777777" w:rsidR="00065317" w:rsidRDefault="005C7BF7">
      <w:pPr>
        <w:pStyle w:val="Corpsdetexte"/>
      </w:pPr>
      <w:r>
        <w:t>P42(x,y) ⇒ P141(x,y)</w:t>
      </w:r>
    </w:p>
    <w:p w14:paraId="46EDABAB" w14:textId="77777777" w:rsidR="00065317" w:rsidRDefault="005C7BF7">
      <w:pPr>
        <w:pStyle w:val="Corpsdetexte"/>
      </w:pPr>
      <w:r>
        <w:rPr>
          <w:b/>
          <w:bCs/>
        </w:rPr>
        <w:t>Propriétés</w:t>
      </w:r>
    </w:p>
    <w:p w14:paraId="26DF8927" w14:textId="77777777" w:rsidR="00065317" w:rsidRDefault="005C7BF7">
      <w:pPr>
        <w:pStyle w:val="Normalcentr"/>
      </w:pPr>
      <w:r>
        <w:rPr>
          <w:b/>
          <w:bCs/>
          <w:i/>
          <w:iCs/>
        </w:rPr>
        <w:t>Note de traduction</w:t>
      </w:r>
    </w:p>
    <w:p w14:paraId="78D1FD17" w14:textId="56C50674" w:rsidR="00065317" w:rsidRDefault="005C7BF7" w:rsidP="003773B9">
      <w:pPr>
        <w:pStyle w:val="Normalcentr"/>
      </w:pPr>
      <w:r>
        <w:rPr>
          <w:b/>
          <w:bCs/>
          <w:i/>
          <w:iCs/>
        </w:rPr>
        <w:t>Références</w:t>
      </w:r>
    </w:p>
    <w:p w14:paraId="2AE74D9F" w14:textId="77777777" w:rsidR="00065317" w:rsidRDefault="005C7BF7" w:rsidP="00914F34">
      <w:pPr>
        <w:pStyle w:val="Titre3"/>
      </w:pPr>
      <w:bookmarkStart w:id="348" w:name="_Toc154048859"/>
      <w:bookmarkStart w:id="349" w:name="X8e031724ecb916af376f4b1ce27256b439192fb"/>
      <w:bookmarkEnd w:id="347"/>
      <w:r>
        <w:t>P43 a pour dimension (est la dimension de)</w:t>
      </w:r>
      <w:bookmarkEnd w:id="348"/>
    </w:p>
    <w:p w14:paraId="0699A6C1" w14:textId="77777777" w:rsidR="00065317" w:rsidRDefault="005C7BF7">
      <w:pPr>
        <w:pStyle w:val="FirstParagraph"/>
      </w:pPr>
      <w:r>
        <w:rPr>
          <w:b/>
          <w:bCs/>
        </w:rPr>
        <w:t>Domaine</w:t>
      </w:r>
    </w:p>
    <w:p w14:paraId="4F9EF35C" w14:textId="77777777" w:rsidR="00065317" w:rsidRDefault="005C7BF7">
      <w:pPr>
        <w:pStyle w:val="Corpsdetexte"/>
      </w:pPr>
      <w:r>
        <w:rPr>
          <w:rStyle w:val="VerbatimChar"/>
        </w:rPr>
        <w:t>E70_Chose</w:t>
      </w:r>
    </w:p>
    <w:p w14:paraId="1FEAE192" w14:textId="77777777" w:rsidR="00065317" w:rsidRDefault="005C7BF7">
      <w:pPr>
        <w:pStyle w:val="Corpsdetexte"/>
      </w:pPr>
      <w:r>
        <w:rPr>
          <w:b/>
          <w:bCs/>
        </w:rPr>
        <w:t>Portée</w:t>
      </w:r>
    </w:p>
    <w:p w14:paraId="10DC6D04" w14:textId="77777777" w:rsidR="00065317" w:rsidRDefault="005C7BF7">
      <w:pPr>
        <w:pStyle w:val="Corpsdetexte"/>
      </w:pPr>
      <w:r>
        <w:rPr>
          <w:rStyle w:val="VerbatimChar"/>
        </w:rPr>
        <w:t>E54_Dimension</w:t>
      </w:r>
    </w:p>
    <w:p w14:paraId="734EF729" w14:textId="77777777" w:rsidR="00065317" w:rsidRDefault="005C7BF7">
      <w:pPr>
        <w:pStyle w:val="Corpsdetexte"/>
      </w:pPr>
      <w:r>
        <w:rPr>
          <w:b/>
          <w:bCs/>
        </w:rPr>
        <w:t>Sous-propriété de</w:t>
      </w:r>
    </w:p>
    <w:p w14:paraId="645CED97" w14:textId="1BA4D6CD" w:rsidR="00065317" w:rsidRDefault="005C7BF7">
      <w:pPr>
        <w:pStyle w:val="Corpsdetexte"/>
      </w:pPr>
      <w:r>
        <w:rPr>
          <w:b/>
          <w:bCs/>
        </w:rPr>
        <w:t>Super-propriété de</w:t>
      </w:r>
    </w:p>
    <w:p w14:paraId="5C13B7E2" w14:textId="77777777" w:rsidR="00065317" w:rsidRDefault="005C7BF7">
      <w:pPr>
        <w:pStyle w:val="Corpsdetexte"/>
      </w:pPr>
      <w:r>
        <w:rPr>
          <w:b/>
          <w:bCs/>
        </w:rPr>
        <w:t>Quantification</w:t>
      </w:r>
    </w:p>
    <w:p w14:paraId="7B8246DE" w14:textId="77777777" w:rsidR="00065317" w:rsidRDefault="005C7BF7">
      <w:pPr>
        <w:pStyle w:val="Corpsdetexte"/>
      </w:pPr>
      <w:r>
        <w:t>un à plusieurs, dépendant (0,n:1,1)</w:t>
      </w:r>
    </w:p>
    <w:p w14:paraId="4FE5B6D2" w14:textId="502C055E" w:rsidR="00065317" w:rsidRDefault="005C7BF7">
      <w:pPr>
        <w:pStyle w:val="Corpsdetexte"/>
      </w:pPr>
      <w:r>
        <w:rPr>
          <w:b/>
          <w:bCs/>
        </w:rPr>
        <w:t>Note d</w:t>
      </w:r>
      <w:r w:rsidR="00E84B0E">
        <w:rPr>
          <w:b/>
          <w:bCs/>
        </w:rPr>
        <w:t>’</w:t>
      </w:r>
      <w:r>
        <w:rPr>
          <w:b/>
          <w:bCs/>
        </w:rPr>
        <w:t>application</w:t>
      </w:r>
    </w:p>
    <w:p w14:paraId="3AA38003" w14:textId="77777777" w:rsidR="00065317" w:rsidRDefault="005C7BF7">
      <w:pPr>
        <w:pStyle w:val="Corpsdetexte"/>
      </w:pPr>
      <w:r>
        <w:t xml:space="preserve">Cette propriété enregistre une instance de </w:t>
      </w:r>
      <w:r>
        <w:rPr>
          <w:rStyle w:val="VerbatimChar"/>
        </w:rPr>
        <w:t>E54_Dimension</w:t>
      </w:r>
      <w:r>
        <w:t xml:space="preserve"> se rapportant à une instance de </w:t>
      </w:r>
      <w:r>
        <w:rPr>
          <w:rStyle w:val="VerbatimChar"/>
        </w:rPr>
        <w:t>E70_Chose</w:t>
      </w:r>
      <w:r>
        <w:t>.</w:t>
      </w:r>
    </w:p>
    <w:p w14:paraId="2D72D83F" w14:textId="77777777" w:rsidR="00065317" w:rsidRDefault="005C7BF7">
      <w:pPr>
        <w:pStyle w:val="Corpsdetexte"/>
      </w:pPr>
      <w:r>
        <w:lastRenderedPageBreak/>
        <w:t xml:space="preserve">Cette propriété est un raccourci du chemin sémantique suivant : </w:t>
      </w:r>
      <w:r>
        <w:rPr>
          <w:rStyle w:val="VerbatimChar"/>
        </w:rPr>
        <w:t>E18_Chose_matérielle</w:t>
      </w:r>
      <w:r>
        <w:t xml:space="preserve">, </w:t>
      </w:r>
      <w:r>
        <w:rPr>
          <w:rStyle w:val="VerbatimChar"/>
        </w:rPr>
        <w:t>P39i_a_été_mesuré_par</w:t>
      </w:r>
      <w:r>
        <w:t xml:space="preserve">, </w:t>
      </w:r>
      <w:r>
        <w:rPr>
          <w:rStyle w:val="VerbatimChar"/>
        </w:rPr>
        <w:t>E16_Mesurage</w:t>
      </w:r>
      <w:r>
        <w:t xml:space="preserve">, </w:t>
      </w:r>
      <w:r>
        <w:rPr>
          <w:rStyle w:val="VerbatimChar"/>
        </w:rPr>
        <w:t>P40_a_relevé_comme_dimension (a_été_relevé_par)</w:t>
      </w:r>
      <w:r>
        <w:t xml:space="preserve">, </w:t>
      </w:r>
      <w:r>
        <w:rPr>
          <w:rStyle w:val="VerbatimChar"/>
        </w:rPr>
        <w:t>E54_Dimension</w:t>
      </w:r>
      <w:r>
        <w:t>.</w:t>
      </w:r>
    </w:p>
    <w:p w14:paraId="29DEA49B" w14:textId="36CC3436" w:rsidR="00065317" w:rsidRDefault="005C7BF7">
      <w:pPr>
        <w:pStyle w:val="Corpsdetexte"/>
      </w:pPr>
      <w:r>
        <w:t xml:space="preserve">La propriété </w:t>
      </w:r>
      <w:r>
        <w:rPr>
          <w:rStyle w:val="VerbatimChar"/>
        </w:rPr>
        <w:t>P43_a_pour_dimension (est_la_dimension_de)</w:t>
      </w:r>
      <w:r>
        <w:t xml:space="preserve"> n</w:t>
      </w:r>
      <w:r w:rsidR="00E84B0E">
        <w:t>’</w:t>
      </w:r>
      <w:r>
        <w:t xml:space="preserve">offre aucune information sur comment et quand une instance de </w:t>
      </w:r>
      <w:r>
        <w:rPr>
          <w:rStyle w:val="VerbatimChar"/>
        </w:rPr>
        <w:t>E54_Dimension</w:t>
      </w:r>
      <w:r>
        <w:t xml:space="preserve"> a été établie, ni par qui. La connaissance à propos d</w:t>
      </w:r>
      <w:r w:rsidR="00E84B0E">
        <w:t>’</w:t>
      </w:r>
      <w:r>
        <w:t xml:space="preserve">une instance de </w:t>
      </w:r>
      <w:r>
        <w:rPr>
          <w:rStyle w:val="VerbatimChar"/>
        </w:rPr>
        <w:t>E54_Dimension</w:t>
      </w:r>
      <w:r>
        <w:t xml:space="preserve"> n</w:t>
      </w:r>
      <w:r w:rsidR="00E84B0E">
        <w:t>’</w:t>
      </w:r>
      <w:r>
        <w:t>est pas nécessairement le résultat d</w:t>
      </w:r>
      <w:r w:rsidR="00E84B0E">
        <w:t>’</w:t>
      </w:r>
      <w:r>
        <w:t>une activité de mesurage; elle peut être le résultat d</w:t>
      </w:r>
      <w:r w:rsidR="00E84B0E">
        <w:t>’</w:t>
      </w:r>
      <w:r>
        <w:t>une activité d</w:t>
      </w:r>
      <w:r w:rsidR="00E84B0E">
        <w:t>’</w:t>
      </w:r>
      <w:r>
        <w:t>évaluation de données ou d</w:t>
      </w:r>
      <w:r w:rsidR="00E84B0E">
        <w:t>’</w:t>
      </w:r>
      <w:r>
        <w:t>autres informations. Dans ce cas, l</w:t>
      </w:r>
      <w:r w:rsidR="00E84B0E">
        <w:t>’</w:t>
      </w:r>
      <w:r>
        <w:t xml:space="preserve">activité doit être documentée comme une instance de </w:t>
      </w:r>
      <w:r>
        <w:rPr>
          <w:rStyle w:val="VerbatimChar"/>
        </w:rPr>
        <w:t>E13_Assignation_d</w:t>
      </w:r>
      <w:r w:rsidR="00E84B0E">
        <w:rPr>
          <w:rStyle w:val="VerbatimChar"/>
        </w:rPr>
        <w:t>’</w:t>
      </w:r>
      <w:r>
        <w:rPr>
          <w:rStyle w:val="VerbatimChar"/>
        </w:rPr>
        <w:t>attribut</w:t>
      </w:r>
      <w:r>
        <w:t>.</w:t>
      </w:r>
    </w:p>
    <w:p w14:paraId="5D5D9F3B" w14:textId="77777777" w:rsidR="00065317" w:rsidRDefault="005C7BF7">
      <w:pPr>
        <w:pStyle w:val="Corpsdetexte"/>
      </w:pPr>
      <w:r>
        <w:t xml:space="preserve">Une instance de </w:t>
      </w:r>
      <w:r>
        <w:rPr>
          <w:rStyle w:val="VerbatimChar"/>
        </w:rPr>
        <w:t>E54_Dimension</w:t>
      </w:r>
      <w:r>
        <w:t xml:space="preserve"> est spécifique à une instance de </w:t>
      </w:r>
      <w:r>
        <w:rPr>
          <w:rStyle w:val="VerbatimChar"/>
        </w:rPr>
        <w:t>E70_Chose</w:t>
      </w:r>
      <w:r>
        <w:t>.</w:t>
      </w:r>
    </w:p>
    <w:p w14:paraId="6BB27ADD" w14:textId="77777777" w:rsidR="00065317" w:rsidRDefault="005C7BF7">
      <w:pPr>
        <w:pStyle w:val="Corpsdetexte"/>
      </w:pPr>
      <w:r>
        <w:rPr>
          <w:b/>
          <w:bCs/>
        </w:rPr>
        <w:t>Exemples</w:t>
      </w:r>
    </w:p>
    <w:p w14:paraId="392067B9" w14:textId="1FA958AA" w:rsidR="00065317" w:rsidRDefault="005C7BF7">
      <w:pPr>
        <w:numPr>
          <w:ilvl w:val="0"/>
          <w:numId w:val="183"/>
        </w:numPr>
      </w:pPr>
      <w:r>
        <w:t>La coupe en argent « 232 » (</w:t>
      </w:r>
      <w:r>
        <w:rPr>
          <w:rStyle w:val="VerbatimChar"/>
        </w:rPr>
        <w:t>E22_Objet_élaboré_par_l</w:t>
      </w:r>
      <w:r w:rsidR="00E84B0E">
        <w:rPr>
          <w:rStyle w:val="VerbatimChar"/>
        </w:rPr>
        <w:t>’</w:t>
      </w:r>
      <w:r>
        <w:rPr>
          <w:rStyle w:val="VerbatimChar"/>
        </w:rPr>
        <w:t>humain</w:t>
      </w:r>
      <w:r>
        <w:t>) a pour dimension (</w:t>
      </w:r>
      <w:r>
        <w:rPr>
          <w:rStyle w:val="VerbatimChar"/>
        </w:rPr>
        <w:t>P43_a_pour_dimension</w:t>
      </w:r>
      <w:r>
        <w:t>) la hauteur de la coupe en argent « 232 » (</w:t>
      </w:r>
      <w:r>
        <w:rPr>
          <w:rStyle w:val="VerbatimChar"/>
        </w:rPr>
        <w:t>E54_Dimension</w:t>
      </w:r>
      <w:r>
        <w:t>) [qui a pour unité de mesure (</w:t>
      </w:r>
      <w:r>
        <w:rPr>
          <w:rStyle w:val="VerbatimChar"/>
        </w:rPr>
        <w:t>P91_a_pour_unité_de_mesure</w:t>
      </w:r>
      <w:r>
        <w:t>) « mm » (</w:t>
      </w:r>
      <w:r>
        <w:rPr>
          <w:rStyle w:val="VerbatimChar"/>
        </w:rPr>
        <w:t>E58_Unité_de_mesure</w:t>
      </w:r>
      <w:r>
        <w:t>) et pour valeur (</w:t>
      </w:r>
      <w:r>
        <w:rPr>
          <w:rStyle w:val="VerbatimChar"/>
        </w:rPr>
        <w:t>P90_a_pour_valeur</w:t>
      </w:r>
      <w:r>
        <w:t>) « 224 » (</w:t>
      </w:r>
      <w:r>
        <w:rPr>
          <w:rStyle w:val="VerbatimChar"/>
        </w:rPr>
        <w:t>E60_Nombre</w:t>
      </w:r>
      <w:r>
        <w:t>)] (fictif)</w:t>
      </w:r>
    </w:p>
    <w:p w14:paraId="2B37EC5D" w14:textId="77777777" w:rsidR="00065317" w:rsidRDefault="005C7BF7">
      <w:pPr>
        <w:pStyle w:val="FirstParagraph"/>
      </w:pPr>
      <w:r>
        <w:rPr>
          <w:b/>
          <w:bCs/>
        </w:rPr>
        <w:t>Logique</w:t>
      </w:r>
    </w:p>
    <w:p w14:paraId="1B73828E" w14:textId="77777777" w:rsidR="00065317" w:rsidRDefault="005C7BF7">
      <w:pPr>
        <w:pStyle w:val="Corpsdetexte"/>
      </w:pPr>
      <w:r>
        <w:t>P43(x,y) ⇒ E70(x) P43(x,y) ⇒ E54(y) P43(x,y) ⇐ (∃z) [E16(z) ˄ P39i(x,z) ˄ P40(z,y)]</w:t>
      </w:r>
    </w:p>
    <w:p w14:paraId="3964421A" w14:textId="77777777" w:rsidR="00065317" w:rsidRDefault="005C7BF7">
      <w:pPr>
        <w:pStyle w:val="Corpsdetexte"/>
      </w:pPr>
      <w:r>
        <w:rPr>
          <w:b/>
          <w:bCs/>
        </w:rPr>
        <w:t>Propriétés</w:t>
      </w:r>
    </w:p>
    <w:p w14:paraId="5648A1FB" w14:textId="77777777" w:rsidR="00065317" w:rsidRDefault="005C7BF7">
      <w:pPr>
        <w:pStyle w:val="Normalcentr"/>
      </w:pPr>
      <w:r>
        <w:rPr>
          <w:b/>
          <w:bCs/>
          <w:i/>
          <w:iCs/>
        </w:rPr>
        <w:t>Note de traduction</w:t>
      </w:r>
    </w:p>
    <w:p w14:paraId="78A54831" w14:textId="5F957225" w:rsidR="00065317" w:rsidRDefault="005C7BF7" w:rsidP="001155E9">
      <w:pPr>
        <w:pStyle w:val="Normalcentr"/>
      </w:pPr>
      <w:r>
        <w:rPr>
          <w:b/>
          <w:bCs/>
          <w:i/>
          <w:iCs/>
        </w:rPr>
        <w:t>Références</w:t>
      </w:r>
    </w:p>
    <w:p w14:paraId="77CF72F6" w14:textId="2F5360A8" w:rsidR="00065317" w:rsidRDefault="005C7BF7" w:rsidP="00914F34">
      <w:pPr>
        <w:pStyle w:val="Titre3"/>
      </w:pPr>
      <w:bookmarkStart w:id="350" w:name="_Toc154048860"/>
      <w:bookmarkStart w:id="351" w:name="Xf1a91ded366dd236f3346419bfe025425d68611"/>
      <w:bookmarkEnd w:id="349"/>
      <w:r>
        <w:t>P44 a pour état matériel (est l</w:t>
      </w:r>
      <w:r w:rsidR="00E84B0E">
        <w:t>’</w:t>
      </w:r>
      <w:r>
        <w:t>état matériel de)</w:t>
      </w:r>
      <w:bookmarkEnd w:id="350"/>
    </w:p>
    <w:p w14:paraId="6C7A4E9C" w14:textId="77777777" w:rsidR="00065317" w:rsidRDefault="005C7BF7">
      <w:pPr>
        <w:pStyle w:val="FirstParagraph"/>
      </w:pPr>
      <w:r>
        <w:rPr>
          <w:b/>
          <w:bCs/>
        </w:rPr>
        <w:t>Domaine</w:t>
      </w:r>
    </w:p>
    <w:p w14:paraId="2B26B1A1" w14:textId="77777777" w:rsidR="00065317" w:rsidRDefault="005C7BF7">
      <w:pPr>
        <w:pStyle w:val="Corpsdetexte"/>
      </w:pPr>
      <w:r>
        <w:rPr>
          <w:rStyle w:val="VerbatimChar"/>
        </w:rPr>
        <w:t>E18_Chose_matérielle</w:t>
      </w:r>
    </w:p>
    <w:p w14:paraId="06794A2E" w14:textId="77777777" w:rsidR="00065317" w:rsidRDefault="005C7BF7">
      <w:pPr>
        <w:pStyle w:val="Corpsdetexte"/>
      </w:pPr>
      <w:r>
        <w:rPr>
          <w:b/>
          <w:bCs/>
        </w:rPr>
        <w:t>Portée</w:t>
      </w:r>
    </w:p>
    <w:p w14:paraId="761F6E45" w14:textId="77777777" w:rsidR="00065317" w:rsidRDefault="005C7BF7">
      <w:pPr>
        <w:pStyle w:val="Corpsdetexte"/>
      </w:pPr>
      <w:r>
        <w:rPr>
          <w:rStyle w:val="VerbatimChar"/>
        </w:rPr>
        <w:t>E3_État_matériel</w:t>
      </w:r>
    </w:p>
    <w:p w14:paraId="2ED649AC" w14:textId="77777777" w:rsidR="00065317" w:rsidRDefault="005C7BF7">
      <w:pPr>
        <w:pStyle w:val="Corpsdetexte"/>
      </w:pPr>
      <w:r>
        <w:rPr>
          <w:b/>
          <w:bCs/>
        </w:rPr>
        <w:t>Sous-propriété de</w:t>
      </w:r>
    </w:p>
    <w:p w14:paraId="6DD52805" w14:textId="77777777" w:rsidR="00065317" w:rsidRDefault="005C7BF7">
      <w:pPr>
        <w:pStyle w:val="Corpsdetexte"/>
      </w:pPr>
      <w:r>
        <w:rPr>
          <w:b/>
          <w:bCs/>
        </w:rPr>
        <w:t>Super-propriété de</w:t>
      </w:r>
    </w:p>
    <w:p w14:paraId="256D2E2C" w14:textId="77777777" w:rsidR="00065317" w:rsidRDefault="005C7BF7">
      <w:pPr>
        <w:pStyle w:val="Corpsdetexte"/>
      </w:pPr>
      <w:r>
        <w:rPr>
          <w:b/>
          <w:bCs/>
        </w:rPr>
        <w:t>Quantification</w:t>
      </w:r>
    </w:p>
    <w:p w14:paraId="68910641" w14:textId="77777777" w:rsidR="00065317" w:rsidRDefault="005C7BF7">
      <w:pPr>
        <w:pStyle w:val="Corpsdetexte"/>
      </w:pPr>
      <w:r>
        <w:t>un à plusieurs, dépendant (0,n:1,1)</w:t>
      </w:r>
    </w:p>
    <w:p w14:paraId="1EA9D544" w14:textId="70B4E7A6" w:rsidR="00065317" w:rsidRDefault="005C7BF7">
      <w:pPr>
        <w:pStyle w:val="Corpsdetexte"/>
      </w:pPr>
      <w:r>
        <w:rPr>
          <w:b/>
          <w:bCs/>
        </w:rPr>
        <w:t>Note d</w:t>
      </w:r>
      <w:r w:rsidR="00E84B0E">
        <w:rPr>
          <w:b/>
          <w:bCs/>
        </w:rPr>
        <w:t>’</w:t>
      </w:r>
      <w:r>
        <w:rPr>
          <w:b/>
          <w:bCs/>
        </w:rPr>
        <w:t>application</w:t>
      </w:r>
    </w:p>
    <w:p w14:paraId="74674986" w14:textId="77777777" w:rsidR="00065317" w:rsidRDefault="005C7BF7">
      <w:pPr>
        <w:pStyle w:val="Corpsdetexte"/>
      </w:pPr>
      <w:r>
        <w:t xml:space="preserve">Cette propriété enregistre une instance de </w:t>
      </w:r>
      <w:r>
        <w:rPr>
          <w:rStyle w:val="VerbatimChar"/>
        </w:rPr>
        <w:t>E3_État_matériel</w:t>
      </w:r>
      <w:r>
        <w:t xml:space="preserve"> concernant une instance de </w:t>
      </w:r>
      <w:r>
        <w:rPr>
          <w:rStyle w:val="VerbatimChar"/>
        </w:rPr>
        <w:t>E18_Chose_matérielle</w:t>
      </w:r>
      <w:r>
        <w:t>.</w:t>
      </w:r>
    </w:p>
    <w:p w14:paraId="397C7FE2" w14:textId="7D01C89C" w:rsidR="00065317" w:rsidRDefault="005C7BF7">
      <w:pPr>
        <w:pStyle w:val="Corpsdetexte"/>
      </w:pPr>
      <w:r>
        <w:t xml:space="preserve">Cette propriété est un raccourci du chemin sémantique suivant : </w:t>
      </w:r>
      <w:r>
        <w:rPr>
          <w:rStyle w:val="VerbatimChar"/>
        </w:rPr>
        <w:t>E18_Chose_matérielle</w:t>
      </w:r>
      <w:r>
        <w:t xml:space="preserve">, </w:t>
      </w:r>
      <w:r>
        <w:rPr>
          <w:rStyle w:val="VerbatimChar"/>
        </w:rPr>
        <w:t>P34i_a_été_évalué_par</w:t>
      </w:r>
      <w:r>
        <w:t xml:space="preserve">, </w:t>
      </w:r>
      <w:r>
        <w:rPr>
          <w:rStyle w:val="VerbatimChar"/>
        </w:rPr>
        <w:t>E14_Évaluation_d</w:t>
      </w:r>
      <w:r w:rsidR="00E84B0E">
        <w:rPr>
          <w:rStyle w:val="VerbatimChar"/>
        </w:rPr>
        <w:t>’</w:t>
      </w:r>
      <w:r>
        <w:rPr>
          <w:rStyle w:val="VerbatimChar"/>
        </w:rPr>
        <w:t>état_matériel</w:t>
      </w:r>
      <w:r>
        <w:t xml:space="preserve">, </w:t>
      </w:r>
      <w:r>
        <w:rPr>
          <w:rStyle w:val="VerbatimChar"/>
        </w:rPr>
        <w:t>P35_a_identifié</w:t>
      </w:r>
      <w:r>
        <w:t xml:space="preserve">, </w:t>
      </w:r>
      <w:r>
        <w:rPr>
          <w:rStyle w:val="VerbatimChar"/>
        </w:rPr>
        <w:t>E3_État_matériel</w:t>
      </w:r>
      <w:r>
        <w:t>.</w:t>
      </w:r>
    </w:p>
    <w:p w14:paraId="7842D1A5" w14:textId="45B02D18" w:rsidR="00065317" w:rsidRDefault="005C7BF7">
      <w:pPr>
        <w:pStyle w:val="Corpsdetexte"/>
      </w:pPr>
      <w:r>
        <w:rPr>
          <w:rStyle w:val="VerbatimChar"/>
        </w:rPr>
        <w:t>P44_a_pour_état_matériel (est_l</w:t>
      </w:r>
      <w:r w:rsidR="00E84B0E">
        <w:rPr>
          <w:rStyle w:val="VerbatimChar"/>
        </w:rPr>
        <w:t>’</w:t>
      </w:r>
      <w:r>
        <w:rPr>
          <w:rStyle w:val="VerbatimChar"/>
        </w:rPr>
        <w:t>état_matériel_de)</w:t>
      </w:r>
      <w:r>
        <w:t xml:space="preserve"> ne procure pas d</w:t>
      </w:r>
      <w:r w:rsidR="00E84B0E">
        <w:t>’</w:t>
      </w:r>
      <w:r>
        <w:t>information sur comment, quand ou par qui a été établie l</w:t>
      </w:r>
      <w:r w:rsidR="00E84B0E">
        <w:t>’</w:t>
      </w:r>
      <w:r>
        <w:t xml:space="preserve">instance de </w:t>
      </w:r>
      <w:r>
        <w:rPr>
          <w:rStyle w:val="VerbatimChar"/>
        </w:rPr>
        <w:t>E3_État_matériel</w:t>
      </w:r>
      <w:r>
        <w:t>.</w:t>
      </w:r>
    </w:p>
    <w:p w14:paraId="3671B143" w14:textId="77777777" w:rsidR="00065317" w:rsidRDefault="005C7BF7">
      <w:pPr>
        <w:pStyle w:val="Corpsdetexte"/>
      </w:pPr>
      <w:r>
        <w:t xml:space="preserve">Une instance de </w:t>
      </w:r>
      <w:r>
        <w:rPr>
          <w:rStyle w:val="VerbatimChar"/>
        </w:rPr>
        <w:t>E3_État_matériel</w:t>
      </w:r>
      <w:r>
        <w:t xml:space="preserve"> est spécifique à une instance de </w:t>
      </w:r>
      <w:r>
        <w:rPr>
          <w:rStyle w:val="VerbatimChar"/>
        </w:rPr>
        <w:t>E18_Chose_matérielle</w:t>
      </w:r>
      <w:r>
        <w:t>.</w:t>
      </w:r>
    </w:p>
    <w:p w14:paraId="42AA16CE" w14:textId="77777777" w:rsidR="00065317" w:rsidRDefault="005C7BF7">
      <w:pPr>
        <w:pStyle w:val="Corpsdetexte"/>
      </w:pPr>
      <w:r>
        <w:rPr>
          <w:b/>
          <w:bCs/>
        </w:rPr>
        <w:lastRenderedPageBreak/>
        <w:t>Exemples</w:t>
      </w:r>
    </w:p>
    <w:p w14:paraId="1239B0E9" w14:textId="65F05470" w:rsidR="00065317" w:rsidRDefault="005C7BF7">
      <w:pPr>
        <w:numPr>
          <w:ilvl w:val="0"/>
          <w:numId w:val="184"/>
        </w:numPr>
      </w:pPr>
      <w:r>
        <w:t>La coupe en argent « 232 » (</w:t>
      </w:r>
      <w:r>
        <w:rPr>
          <w:rStyle w:val="VerbatimChar"/>
        </w:rPr>
        <w:t>E22_Objet_élaboré_par_l</w:t>
      </w:r>
      <w:r w:rsidR="00E84B0E">
        <w:rPr>
          <w:rStyle w:val="VerbatimChar"/>
        </w:rPr>
        <w:t>’</w:t>
      </w:r>
      <w:r>
        <w:rPr>
          <w:rStyle w:val="VerbatimChar"/>
        </w:rPr>
        <w:t>humain</w:t>
      </w:r>
      <w:r>
        <w:t>) a pour état matériel (</w:t>
      </w:r>
      <w:r>
        <w:rPr>
          <w:rStyle w:val="VerbatimChar"/>
        </w:rPr>
        <w:t>P44_a_pour_état_matériel</w:t>
      </w:r>
      <w:r>
        <w:t>) des traces d</w:t>
      </w:r>
      <w:r w:rsidR="00E84B0E">
        <w:t>’</w:t>
      </w:r>
      <w:r>
        <w:t>oxydation présentes en 1997 (</w:t>
      </w:r>
      <w:r>
        <w:rPr>
          <w:rStyle w:val="VerbatimChar"/>
        </w:rPr>
        <w:t>E3_État_matériel</w:t>
      </w:r>
      <w:r>
        <w:t>) [lesquelles ont pour type (</w:t>
      </w:r>
      <w:r>
        <w:rPr>
          <w:rStyle w:val="VerbatimChar"/>
        </w:rPr>
        <w:t>P2_a_pour_type</w:t>
      </w:r>
      <w:r>
        <w:t>) « traces d</w:t>
      </w:r>
      <w:r w:rsidR="00E84B0E">
        <w:t>’</w:t>
      </w:r>
      <w:r>
        <w:t>oxydation » (</w:t>
      </w:r>
      <w:r>
        <w:rPr>
          <w:rStyle w:val="VerbatimChar"/>
        </w:rPr>
        <w:t>E55_Type</w:t>
      </w:r>
      <w:r>
        <w:t>)] (fictif)</w:t>
      </w:r>
    </w:p>
    <w:p w14:paraId="4A44867A" w14:textId="77777777" w:rsidR="00065317" w:rsidRDefault="005C7BF7">
      <w:pPr>
        <w:pStyle w:val="FirstParagraph"/>
      </w:pPr>
      <w:r>
        <w:rPr>
          <w:b/>
          <w:bCs/>
        </w:rPr>
        <w:t>Logique</w:t>
      </w:r>
    </w:p>
    <w:p w14:paraId="41E7DA20" w14:textId="77777777" w:rsidR="00065317" w:rsidRDefault="005C7BF7">
      <w:pPr>
        <w:pStyle w:val="Corpsdetexte"/>
      </w:pPr>
      <w:r>
        <w:t>P44(x,y) ⇒ E18(x)</w:t>
      </w:r>
    </w:p>
    <w:p w14:paraId="76A7D55D" w14:textId="77777777" w:rsidR="00065317" w:rsidRDefault="005C7BF7">
      <w:pPr>
        <w:pStyle w:val="Corpsdetexte"/>
      </w:pPr>
      <w:r>
        <w:t>P44(x,y) ⇒ E3(y)</w:t>
      </w:r>
    </w:p>
    <w:p w14:paraId="1FB14587" w14:textId="77777777" w:rsidR="00065317" w:rsidRDefault="005C7BF7">
      <w:pPr>
        <w:pStyle w:val="Corpsdetexte"/>
      </w:pPr>
      <w:r>
        <w:t>P44(x,y) ⇐ (∃z) [E14(z) ˄ P34i(x,z) ˄ P35(z,y)]</w:t>
      </w:r>
    </w:p>
    <w:p w14:paraId="6EC4FF84" w14:textId="77777777" w:rsidR="00065317" w:rsidRDefault="005C7BF7">
      <w:pPr>
        <w:pStyle w:val="Corpsdetexte"/>
      </w:pPr>
      <w:r>
        <w:rPr>
          <w:b/>
          <w:bCs/>
        </w:rPr>
        <w:t>Propriétés</w:t>
      </w:r>
    </w:p>
    <w:p w14:paraId="168B62FE" w14:textId="77777777" w:rsidR="00065317" w:rsidRDefault="005C7BF7">
      <w:pPr>
        <w:pStyle w:val="Normalcentr"/>
      </w:pPr>
      <w:r>
        <w:rPr>
          <w:b/>
          <w:bCs/>
          <w:i/>
          <w:iCs/>
        </w:rPr>
        <w:t>Note de traduction</w:t>
      </w:r>
    </w:p>
    <w:p w14:paraId="3E4AE0F1" w14:textId="0348E5C3" w:rsidR="00065317" w:rsidRDefault="005C7BF7" w:rsidP="001155E9">
      <w:pPr>
        <w:pStyle w:val="Normalcentr"/>
      </w:pPr>
      <w:r>
        <w:rPr>
          <w:b/>
          <w:bCs/>
          <w:i/>
          <w:iCs/>
        </w:rPr>
        <w:t>Références</w:t>
      </w:r>
    </w:p>
    <w:p w14:paraId="59A44136" w14:textId="77777777" w:rsidR="00065317" w:rsidRDefault="005C7BF7" w:rsidP="00914F34">
      <w:pPr>
        <w:pStyle w:val="Titre3"/>
      </w:pPr>
      <w:bookmarkStart w:id="352" w:name="_Toc154048861"/>
      <w:bookmarkStart w:id="353" w:name="p45-comprend-(est-inclus-dans)"/>
      <w:bookmarkEnd w:id="351"/>
      <w:r>
        <w:t>P45 comprend (est inclus dans)</w:t>
      </w:r>
      <w:bookmarkEnd w:id="352"/>
    </w:p>
    <w:p w14:paraId="0D668F49" w14:textId="77777777" w:rsidR="00065317" w:rsidRDefault="005C7BF7">
      <w:pPr>
        <w:pStyle w:val="FirstParagraph"/>
      </w:pPr>
      <w:r>
        <w:rPr>
          <w:b/>
          <w:bCs/>
        </w:rPr>
        <w:t>Domaine</w:t>
      </w:r>
    </w:p>
    <w:p w14:paraId="32938EC1" w14:textId="77777777" w:rsidR="00065317" w:rsidRDefault="005C7BF7">
      <w:pPr>
        <w:pStyle w:val="Corpsdetexte"/>
      </w:pPr>
      <w:r>
        <w:rPr>
          <w:rStyle w:val="VerbatimChar"/>
        </w:rPr>
        <w:t>E18_Chose_matérielle</w:t>
      </w:r>
    </w:p>
    <w:p w14:paraId="61D85488" w14:textId="77777777" w:rsidR="00065317" w:rsidRDefault="005C7BF7">
      <w:pPr>
        <w:pStyle w:val="Corpsdetexte"/>
      </w:pPr>
      <w:r>
        <w:rPr>
          <w:b/>
          <w:bCs/>
        </w:rPr>
        <w:t>Portée</w:t>
      </w:r>
    </w:p>
    <w:p w14:paraId="432FDE1E" w14:textId="77777777" w:rsidR="00065317" w:rsidRDefault="005C7BF7">
      <w:pPr>
        <w:pStyle w:val="Corpsdetexte"/>
      </w:pPr>
      <w:r>
        <w:rPr>
          <w:rStyle w:val="VerbatimChar"/>
        </w:rPr>
        <w:t>E57_Matériau</w:t>
      </w:r>
    </w:p>
    <w:p w14:paraId="1E68F047" w14:textId="77777777" w:rsidR="00065317" w:rsidRDefault="005C7BF7">
      <w:pPr>
        <w:pStyle w:val="Corpsdetexte"/>
      </w:pPr>
      <w:r>
        <w:rPr>
          <w:b/>
          <w:bCs/>
        </w:rPr>
        <w:t>Sous-propriété de</w:t>
      </w:r>
    </w:p>
    <w:p w14:paraId="3AD6A34B" w14:textId="77777777" w:rsidR="00065317" w:rsidRDefault="005C7BF7">
      <w:pPr>
        <w:pStyle w:val="Corpsdetexte"/>
      </w:pPr>
      <w:r>
        <w:rPr>
          <w:b/>
          <w:bCs/>
        </w:rPr>
        <w:t>Super-propriété de</w:t>
      </w:r>
    </w:p>
    <w:p w14:paraId="5743435F" w14:textId="77777777" w:rsidR="00065317" w:rsidRDefault="005C7BF7">
      <w:pPr>
        <w:pStyle w:val="Corpsdetexte"/>
      </w:pPr>
      <w:r>
        <w:rPr>
          <w:b/>
          <w:bCs/>
        </w:rPr>
        <w:t>Quantification</w:t>
      </w:r>
    </w:p>
    <w:p w14:paraId="4A7C6628" w14:textId="77777777" w:rsidR="00065317" w:rsidRDefault="005C7BF7">
      <w:pPr>
        <w:pStyle w:val="Corpsdetexte"/>
      </w:pPr>
      <w:r>
        <w:t>plusieurs à plusieurs, nécessaire (1,n:0,n)</w:t>
      </w:r>
    </w:p>
    <w:p w14:paraId="2167F3C9" w14:textId="029AAD32" w:rsidR="00065317" w:rsidRDefault="005C7BF7">
      <w:pPr>
        <w:pStyle w:val="Corpsdetexte"/>
      </w:pPr>
      <w:r>
        <w:rPr>
          <w:b/>
          <w:bCs/>
        </w:rPr>
        <w:t>Note d</w:t>
      </w:r>
      <w:r w:rsidR="00E84B0E">
        <w:rPr>
          <w:b/>
          <w:bCs/>
        </w:rPr>
        <w:t>’</w:t>
      </w:r>
      <w:r>
        <w:rPr>
          <w:b/>
          <w:bCs/>
        </w:rPr>
        <w:t>application</w:t>
      </w:r>
    </w:p>
    <w:p w14:paraId="2C002509" w14:textId="77777777" w:rsidR="00065317" w:rsidRDefault="005C7BF7">
      <w:pPr>
        <w:pStyle w:val="Corpsdetexte"/>
      </w:pPr>
      <w:r>
        <w:t xml:space="preserve">Cette propriété identifie les instances de </w:t>
      </w:r>
      <w:r>
        <w:rPr>
          <w:rStyle w:val="VerbatimChar"/>
        </w:rPr>
        <w:t>E57_Matériau</w:t>
      </w:r>
      <w:r>
        <w:t xml:space="preserve"> dont une instance de </w:t>
      </w:r>
      <w:r>
        <w:rPr>
          <w:rStyle w:val="VerbatimChar"/>
        </w:rPr>
        <w:t>E18_Chose_matérielle</w:t>
      </w:r>
      <w:r>
        <w:t xml:space="preserve"> est composée.</w:t>
      </w:r>
    </w:p>
    <w:p w14:paraId="1C999AE5" w14:textId="41EEBB9D" w:rsidR="00065317" w:rsidRDefault="005C7BF7">
      <w:pPr>
        <w:pStyle w:val="Corpsdetexte"/>
      </w:pPr>
      <w:r>
        <w:t xml:space="preserve">Toutes les choses matérielles comprennent des matériaux physiques observables que </w:t>
      </w:r>
      <w:r>
        <w:rPr>
          <w:rStyle w:val="VerbatimChar"/>
        </w:rPr>
        <w:t>P45_comprend (est_inclus_dans)</w:t>
      </w:r>
      <w:r>
        <w:t xml:space="preserve"> permet d</w:t>
      </w:r>
      <w:r w:rsidR="00E84B0E">
        <w:t>’</w:t>
      </w:r>
      <w:r>
        <w:t>enregistrer.</w:t>
      </w:r>
    </w:p>
    <w:p w14:paraId="4BD807C0" w14:textId="66AF0D57" w:rsidR="00065317" w:rsidRDefault="005C7BF7">
      <w:pPr>
        <w:pStyle w:val="Corpsdetexte"/>
      </w:pPr>
      <w:r>
        <w:t>Dans ce contexte, les matériaux observables sont distingués de matériaux bruts qui seraient consommés. De plus, un matériau pourrait ne pas avoir d</w:t>
      </w:r>
      <w:r w:rsidR="00E84B0E">
        <w:t>’</w:t>
      </w:r>
      <w:r>
        <w:t>instance physique (p. ex. un alliage théorique).</w:t>
      </w:r>
    </w:p>
    <w:p w14:paraId="39AE324F" w14:textId="77777777" w:rsidR="00065317" w:rsidRDefault="005C7BF7">
      <w:pPr>
        <w:pStyle w:val="Corpsdetexte"/>
      </w:pPr>
      <w:r>
        <w:rPr>
          <w:b/>
          <w:bCs/>
        </w:rPr>
        <w:t>Exemples</w:t>
      </w:r>
    </w:p>
    <w:p w14:paraId="6ACCC734" w14:textId="5F3DD9AA" w:rsidR="00065317" w:rsidRDefault="005C7BF7">
      <w:pPr>
        <w:numPr>
          <w:ilvl w:val="0"/>
          <w:numId w:val="185"/>
        </w:numPr>
      </w:pPr>
      <w:r>
        <w:t>La coupe en argent « 232 » (</w:t>
      </w:r>
      <w:r>
        <w:rPr>
          <w:rStyle w:val="VerbatimChar"/>
        </w:rPr>
        <w:t>E22_Objet_élaboré_par_l</w:t>
      </w:r>
      <w:r w:rsidR="00E84B0E">
        <w:rPr>
          <w:rStyle w:val="VerbatimChar"/>
        </w:rPr>
        <w:t>’</w:t>
      </w:r>
      <w:r>
        <w:rPr>
          <w:rStyle w:val="VerbatimChar"/>
        </w:rPr>
        <w:t>humain</w:t>
      </w:r>
      <w:r>
        <w:t>) comprend (</w:t>
      </w:r>
      <w:r>
        <w:rPr>
          <w:rStyle w:val="VerbatimChar"/>
        </w:rPr>
        <w:t>P45_comprend</w:t>
      </w:r>
      <w:r>
        <w:t>) le matériau « argent » (</w:t>
      </w:r>
      <w:r>
        <w:rPr>
          <w:rStyle w:val="VerbatimChar"/>
        </w:rPr>
        <w:t>E57_Matériau</w:t>
      </w:r>
      <w:r>
        <w:t>) (fictif)</w:t>
      </w:r>
    </w:p>
    <w:p w14:paraId="4D03132C" w14:textId="77777777" w:rsidR="00065317" w:rsidRDefault="005C7BF7">
      <w:pPr>
        <w:pStyle w:val="FirstParagraph"/>
      </w:pPr>
      <w:r>
        <w:rPr>
          <w:b/>
          <w:bCs/>
        </w:rPr>
        <w:t>Logique</w:t>
      </w:r>
    </w:p>
    <w:p w14:paraId="0A034D70" w14:textId="77777777" w:rsidR="00065317" w:rsidRDefault="005C7BF7">
      <w:pPr>
        <w:pStyle w:val="Corpsdetexte"/>
      </w:pPr>
      <w:r>
        <w:t>P45(x,y) ⇒ E18(x)</w:t>
      </w:r>
    </w:p>
    <w:p w14:paraId="3BBE7BFB" w14:textId="77777777" w:rsidR="00065317" w:rsidRDefault="005C7BF7">
      <w:pPr>
        <w:pStyle w:val="Corpsdetexte"/>
      </w:pPr>
      <w:r>
        <w:t>P45(x,y) ⇒ E57(y)</w:t>
      </w:r>
    </w:p>
    <w:p w14:paraId="15A7322A" w14:textId="77777777" w:rsidR="00065317" w:rsidRDefault="005C7BF7">
      <w:pPr>
        <w:pStyle w:val="Corpsdetexte"/>
      </w:pPr>
      <w:r>
        <w:rPr>
          <w:b/>
          <w:bCs/>
        </w:rPr>
        <w:t>Propriétés</w:t>
      </w:r>
    </w:p>
    <w:p w14:paraId="4A3C30E7" w14:textId="77777777" w:rsidR="00065317" w:rsidRDefault="005C7BF7">
      <w:pPr>
        <w:pStyle w:val="Normalcentr"/>
      </w:pPr>
      <w:r>
        <w:rPr>
          <w:b/>
          <w:bCs/>
          <w:i/>
          <w:iCs/>
        </w:rPr>
        <w:lastRenderedPageBreak/>
        <w:t>Note de traduction</w:t>
      </w:r>
    </w:p>
    <w:p w14:paraId="0D626A92" w14:textId="1EA32808" w:rsidR="00065317" w:rsidRDefault="005C7BF7" w:rsidP="001155E9">
      <w:pPr>
        <w:pStyle w:val="Normalcentr"/>
      </w:pPr>
      <w:r>
        <w:rPr>
          <w:b/>
          <w:bCs/>
          <w:i/>
          <w:iCs/>
        </w:rPr>
        <w:t>Références</w:t>
      </w:r>
    </w:p>
    <w:p w14:paraId="139F0D61" w14:textId="77777777" w:rsidR="00065317" w:rsidRDefault="005C7BF7" w:rsidP="00914F34">
      <w:pPr>
        <w:pStyle w:val="Titre3"/>
      </w:pPr>
      <w:bookmarkStart w:id="354" w:name="_Toc154048862"/>
      <w:bookmarkStart w:id="355" w:name="p46-est-compose-de-(fait-partie-de)"/>
      <w:bookmarkEnd w:id="353"/>
      <w:r>
        <w:t>P46 est composé de (fait partie de)</w:t>
      </w:r>
      <w:bookmarkEnd w:id="354"/>
    </w:p>
    <w:p w14:paraId="57D0FE68" w14:textId="77777777" w:rsidR="00065317" w:rsidRDefault="005C7BF7">
      <w:pPr>
        <w:pStyle w:val="FirstParagraph"/>
      </w:pPr>
      <w:r>
        <w:rPr>
          <w:b/>
          <w:bCs/>
        </w:rPr>
        <w:t>Domaine</w:t>
      </w:r>
    </w:p>
    <w:p w14:paraId="07BCB027" w14:textId="77777777" w:rsidR="00065317" w:rsidRDefault="005C7BF7">
      <w:pPr>
        <w:pStyle w:val="Corpsdetexte"/>
      </w:pPr>
      <w:r>
        <w:rPr>
          <w:rStyle w:val="VerbatimChar"/>
        </w:rPr>
        <w:t>E18_Chose_matérielle</w:t>
      </w:r>
    </w:p>
    <w:p w14:paraId="6CBE8FDF" w14:textId="77777777" w:rsidR="00065317" w:rsidRDefault="005C7BF7">
      <w:pPr>
        <w:pStyle w:val="Corpsdetexte"/>
      </w:pPr>
      <w:r>
        <w:rPr>
          <w:b/>
          <w:bCs/>
        </w:rPr>
        <w:t>Portée</w:t>
      </w:r>
    </w:p>
    <w:p w14:paraId="65A257B1" w14:textId="77777777" w:rsidR="00065317" w:rsidRDefault="005C7BF7">
      <w:pPr>
        <w:pStyle w:val="Corpsdetexte"/>
      </w:pPr>
      <w:r>
        <w:rPr>
          <w:rStyle w:val="VerbatimChar"/>
        </w:rPr>
        <w:t>E18_Chose_matérielle</w:t>
      </w:r>
    </w:p>
    <w:p w14:paraId="200B20E8" w14:textId="77777777" w:rsidR="00065317" w:rsidRDefault="005C7BF7">
      <w:pPr>
        <w:pStyle w:val="Corpsdetexte"/>
      </w:pPr>
      <w:r>
        <w:rPr>
          <w:b/>
          <w:bCs/>
        </w:rPr>
        <w:t>Sous-propriété de</w:t>
      </w:r>
    </w:p>
    <w:p w14:paraId="65FA2491" w14:textId="77777777" w:rsidR="00065317" w:rsidRDefault="005C7BF7">
      <w:pPr>
        <w:pStyle w:val="Corpsdetexte"/>
      </w:pPr>
      <w:r>
        <w:rPr>
          <w:b/>
          <w:bCs/>
        </w:rPr>
        <w:t>Super-propriété de</w:t>
      </w:r>
    </w:p>
    <w:p w14:paraId="4859C909" w14:textId="2A208A88" w:rsidR="00065317" w:rsidRDefault="005C7BF7">
      <w:pPr>
        <w:pStyle w:val="Corpsdetexte"/>
      </w:pPr>
      <w:r>
        <w:rPr>
          <w:rStyle w:val="VerbatimChar"/>
        </w:rPr>
        <w:t>E19_Objet_matériel</w:t>
      </w:r>
      <w:r>
        <w:t xml:space="preserve">. </w:t>
      </w:r>
      <w:r>
        <w:rPr>
          <w:rStyle w:val="VerbatimChar"/>
        </w:rPr>
        <w:t>P56_a_pour_caractéristique (se_trouve_sur)</w:t>
      </w:r>
      <w:r w:rsidR="0028642C">
        <w:t xml:space="preserve"> </w:t>
      </w:r>
      <w:r>
        <w:t xml:space="preserve">: </w:t>
      </w:r>
      <w:r>
        <w:rPr>
          <w:rStyle w:val="VerbatimChar"/>
        </w:rPr>
        <w:t>E26_Caractéristique_physique</w:t>
      </w:r>
    </w:p>
    <w:p w14:paraId="37822980" w14:textId="77777777" w:rsidR="00065317" w:rsidRDefault="005C7BF7">
      <w:pPr>
        <w:pStyle w:val="Corpsdetexte"/>
      </w:pPr>
      <w:r>
        <w:rPr>
          <w:b/>
          <w:bCs/>
        </w:rPr>
        <w:t>Quantification</w:t>
      </w:r>
    </w:p>
    <w:p w14:paraId="177ED511" w14:textId="77777777" w:rsidR="00065317" w:rsidRDefault="005C7BF7">
      <w:pPr>
        <w:pStyle w:val="Corpsdetexte"/>
      </w:pPr>
      <w:r>
        <w:t>plusieurs à plusieurs (0,n:0,n)</w:t>
      </w:r>
    </w:p>
    <w:p w14:paraId="77C09E2D" w14:textId="01D573DC" w:rsidR="00065317" w:rsidRDefault="005C7BF7">
      <w:pPr>
        <w:pStyle w:val="Corpsdetexte"/>
      </w:pPr>
      <w:r>
        <w:rPr>
          <w:b/>
          <w:bCs/>
        </w:rPr>
        <w:t>Note d</w:t>
      </w:r>
      <w:r w:rsidR="00E84B0E">
        <w:rPr>
          <w:b/>
          <w:bCs/>
        </w:rPr>
        <w:t>’</w:t>
      </w:r>
      <w:r>
        <w:rPr>
          <w:b/>
          <w:bCs/>
        </w:rPr>
        <w:t>application</w:t>
      </w:r>
    </w:p>
    <w:p w14:paraId="33811C9C" w14:textId="0D3395F5" w:rsidR="00065317" w:rsidRDefault="005C7BF7">
      <w:pPr>
        <w:pStyle w:val="Corpsdetexte"/>
      </w:pPr>
      <w:r>
        <w:t xml:space="preserve">Cette propriété associe une instance de </w:t>
      </w:r>
      <w:r>
        <w:rPr>
          <w:rStyle w:val="VerbatimChar"/>
        </w:rPr>
        <w:t>E18_Chose_matérielle</w:t>
      </w:r>
      <w:r>
        <w:t xml:space="preserve"> à une autre instance de </w:t>
      </w:r>
      <w:r>
        <w:rPr>
          <w:rStyle w:val="VerbatimChar"/>
        </w:rPr>
        <w:t>E18_Chose_matérielle</w:t>
      </w:r>
      <w:r>
        <w:t xml:space="preserve"> dont elle fait partie. La portée spatiale de la partie composante est inclu</w:t>
      </w:r>
      <w:r w:rsidR="007F43A3">
        <w:t>s</w:t>
      </w:r>
      <w:r>
        <w:t>e dans la portée spatiale du tout.</w:t>
      </w:r>
    </w:p>
    <w:p w14:paraId="7B3354AD" w14:textId="212FBDF2" w:rsidR="00065317" w:rsidRDefault="005C7BF7">
      <w:pPr>
        <w:pStyle w:val="Corpsdetexte"/>
      </w:pPr>
      <w:r>
        <w:t>Les éléments composants, puisqu</w:t>
      </w:r>
      <w:r w:rsidR="00E84B0E">
        <w:t>’</w:t>
      </w:r>
      <w:r>
        <w:t xml:space="preserve">ils sont eux-mêmes des instances de </w:t>
      </w:r>
      <w:r>
        <w:rPr>
          <w:rStyle w:val="VerbatimChar"/>
        </w:rPr>
        <w:t>E18_Chose_matérielle</w:t>
      </w:r>
      <w:r>
        <w:t xml:space="preserve">, peuvent être à leur tour analysés comme contenant des sous-composants, ce qui crée donc une hiérarchie de subdivision en parties. Une instance de </w:t>
      </w:r>
      <w:r>
        <w:rPr>
          <w:rStyle w:val="VerbatimChar"/>
        </w:rPr>
        <w:t>E18_Chose_matérielle</w:t>
      </w:r>
      <w:r>
        <w:t xml:space="preserve"> peut être partagée entre plusieurs ensembles, par exemple dans le cas de deux bâtiments qui partagent un mur mitoyen. Cette propriété ne spécifie pas quand et pour combien de temps un élément composant fait partie d</w:t>
      </w:r>
      <w:r w:rsidR="00E84B0E">
        <w:t>’</w:t>
      </w:r>
      <w:r>
        <w:t>un ensemble. Si un composant ne fait pas partie d</w:t>
      </w:r>
      <w:r w:rsidR="00E84B0E">
        <w:t>’</w:t>
      </w:r>
      <w:r>
        <w:t>un ensemble du début ou jusqu</w:t>
      </w:r>
      <w:r w:rsidR="00E84B0E">
        <w:t>’</w:t>
      </w:r>
      <w:r>
        <w:t>à la fin de l</w:t>
      </w:r>
      <w:r w:rsidR="00E84B0E">
        <w:t>’</w:t>
      </w:r>
      <w:r>
        <w:t xml:space="preserve">existence de ce dernier, les classes </w:t>
      </w:r>
      <w:r>
        <w:rPr>
          <w:rStyle w:val="VerbatimChar"/>
        </w:rPr>
        <w:t>E79_Ajout_d</w:t>
      </w:r>
      <w:r w:rsidR="00E84B0E">
        <w:rPr>
          <w:rStyle w:val="VerbatimChar"/>
        </w:rPr>
        <w:t>’</w:t>
      </w:r>
      <w:r>
        <w:rPr>
          <w:rStyle w:val="VerbatimChar"/>
        </w:rPr>
        <w:t>élément</w:t>
      </w:r>
      <w:r>
        <w:t xml:space="preserve"> et </w:t>
      </w:r>
      <w:r>
        <w:rPr>
          <w:rStyle w:val="VerbatimChar"/>
        </w:rPr>
        <w:t>E80_Retrait_d</w:t>
      </w:r>
      <w:r w:rsidR="00E84B0E">
        <w:rPr>
          <w:rStyle w:val="VerbatimChar"/>
        </w:rPr>
        <w:t>’</w:t>
      </w:r>
      <w:r>
        <w:rPr>
          <w:rStyle w:val="VerbatimChar"/>
        </w:rPr>
        <w:t>élément</w:t>
      </w:r>
      <w:r>
        <w:t xml:space="preserve"> peuvent être utilisées pour documenter le moment où le composant devient une partie de cet ensemble spécifique et/ou quand il cesse de l</w:t>
      </w:r>
      <w:r w:rsidR="00E84B0E">
        <w:t>’</w:t>
      </w:r>
      <w:r>
        <w:t>être. Durant l</w:t>
      </w:r>
      <w:r w:rsidR="00E84B0E">
        <w:t>’</w:t>
      </w:r>
      <w:r>
        <w:t>intervalle temporel où le composant fait partie de cet ensemble, il est complètement contenu dans le lieu occupé par l</w:t>
      </w:r>
      <w:r w:rsidR="00E84B0E">
        <w:t>’</w:t>
      </w:r>
      <w:r>
        <w:t>ensemble.</w:t>
      </w:r>
    </w:p>
    <w:p w14:paraId="7B44600A" w14:textId="132ED000" w:rsidR="00065317" w:rsidRDefault="005C7BF7">
      <w:pPr>
        <w:pStyle w:val="Corpsdetexte"/>
      </w:pPr>
      <w:r>
        <w:t>Cette propriété vise à décrire des composants spécifiques qui sont individuellement documentés, plutôt que des aspects généraux. Des descriptions générales de la structure d</w:t>
      </w:r>
      <w:r w:rsidR="00E84B0E">
        <w:t>’</w:t>
      </w:r>
      <w:r>
        <w:t xml:space="preserve">une instance de </w:t>
      </w:r>
      <w:r>
        <w:rPr>
          <w:rStyle w:val="VerbatimChar"/>
        </w:rPr>
        <w:t>E18_Chose_matérielle</w:t>
      </w:r>
      <w:r>
        <w:t xml:space="preserve"> sont documentées par la propriété </w:t>
      </w:r>
      <w:r>
        <w:rPr>
          <w:rStyle w:val="VerbatimChar"/>
        </w:rPr>
        <w:t>P3_a_pour_note</w:t>
      </w:r>
      <w:r>
        <w:t>.</w:t>
      </w:r>
    </w:p>
    <w:p w14:paraId="09254EC1" w14:textId="77777777" w:rsidR="00065317" w:rsidRDefault="005C7BF7">
      <w:pPr>
        <w:pStyle w:val="Corpsdetexte"/>
      </w:pPr>
      <w:r>
        <w:t xml:space="preserve">Les instances de </w:t>
      </w:r>
      <w:r>
        <w:rPr>
          <w:rStyle w:val="VerbatimChar"/>
        </w:rPr>
        <w:t>E57_Matériau</w:t>
      </w:r>
      <w:r>
        <w:t xml:space="preserve"> dont une instance de </w:t>
      </w:r>
      <w:r>
        <w:rPr>
          <w:rStyle w:val="VerbatimChar"/>
        </w:rPr>
        <w:t>E18_Chose_matérielle</w:t>
      </w:r>
      <w:r>
        <w:t xml:space="preserve"> est composée doivent être documentées en utilisant la propriété </w:t>
      </w:r>
      <w:r>
        <w:rPr>
          <w:rStyle w:val="VerbatimChar"/>
        </w:rPr>
        <w:t>P45_comprend (est_inclus_dans)</w:t>
      </w:r>
      <w:r>
        <w:t>.</w:t>
      </w:r>
    </w:p>
    <w:p w14:paraId="774B03F9" w14:textId="77777777" w:rsidR="00065317" w:rsidRDefault="005C7BF7">
      <w:pPr>
        <w:pStyle w:val="Corpsdetexte"/>
      </w:pPr>
      <w:r>
        <w:t>Cette propriété est transitive et asymétrique.</w:t>
      </w:r>
    </w:p>
    <w:p w14:paraId="13E45AB3" w14:textId="77777777" w:rsidR="00065317" w:rsidRDefault="005C7BF7">
      <w:pPr>
        <w:pStyle w:val="Corpsdetexte"/>
      </w:pPr>
      <w:r>
        <w:rPr>
          <w:b/>
          <w:bCs/>
        </w:rPr>
        <w:t>Exemples</w:t>
      </w:r>
    </w:p>
    <w:p w14:paraId="3A784697" w14:textId="5E3C83E0" w:rsidR="00065317" w:rsidRDefault="005C7BF7">
      <w:pPr>
        <w:numPr>
          <w:ilvl w:val="0"/>
          <w:numId w:val="186"/>
        </w:numPr>
      </w:pPr>
      <w:r>
        <w:t>Le carrosse royal (</w:t>
      </w:r>
      <w:r>
        <w:rPr>
          <w:rStyle w:val="VerbatimChar"/>
        </w:rPr>
        <w:t>E22_Objet_élaboré_par_l</w:t>
      </w:r>
      <w:r w:rsidR="00E84B0E">
        <w:rPr>
          <w:rStyle w:val="VerbatimChar"/>
        </w:rPr>
        <w:t>’</w:t>
      </w:r>
      <w:r>
        <w:rPr>
          <w:rStyle w:val="VerbatimChar"/>
        </w:rPr>
        <w:t>humain</w:t>
      </w:r>
      <w:r>
        <w:t>) fait partie du (</w:t>
      </w:r>
      <w:r>
        <w:rPr>
          <w:rStyle w:val="VerbatimChar"/>
        </w:rPr>
        <w:t>P46i_fait_partie_de</w:t>
      </w:r>
      <w:r>
        <w:t>) cortège royal (</w:t>
      </w:r>
      <w:r>
        <w:rPr>
          <w:rStyle w:val="VerbatimChar"/>
        </w:rPr>
        <w:t>E22_Objet_élaboré_par_l</w:t>
      </w:r>
      <w:r w:rsidR="00E84B0E">
        <w:rPr>
          <w:rStyle w:val="VerbatimChar"/>
        </w:rPr>
        <w:t>’</w:t>
      </w:r>
      <w:r>
        <w:rPr>
          <w:rStyle w:val="VerbatimChar"/>
        </w:rPr>
        <w:t>humain</w:t>
      </w:r>
      <w:r>
        <w:t>)</w:t>
      </w:r>
    </w:p>
    <w:p w14:paraId="3338E639" w14:textId="5E4F9BD6" w:rsidR="00065317" w:rsidRDefault="005C7BF7">
      <w:pPr>
        <w:numPr>
          <w:ilvl w:val="0"/>
          <w:numId w:val="186"/>
        </w:numPr>
      </w:pPr>
      <w:r>
        <w:t>Le « Hog</w:t>
      </w:r>
      <w:r w:rsidR="00E84B0E">
        <w:t>’</w:t>
      </w:r>
      <w:r>
        <w:t>s back » (</w:t>
      </w:r>
      <w:r>
        <w:rPr>
          <w:rStyle w:val="VerbatimChar"/>
        </w:rPr>
        <w:t>E24_Chose_matérielle_élaborée_par_l</w:t>
      </w:r>
      <w:r w:rsidR="00E84B0E">
        <w:rPr>
          <w:rStyle w:val="VerbatimChar"/>
        </w:rPr>
        <w:t>’</w:t>
      </w:r>
      <w:r>
        <w:rPr>
          <w:rStyle w:val="VerbatimChar"/>
        </w:rPr>
        <w:t>humain</w:t>
      </w:r>
      <w:r>
        <w:t>) fait partie du (</w:t>
      </w:r>
      <w:r>
        <w:rPr>
          <w:rStyle w:val="VerbatimChar"/>
        </w:rPr>
        <w:t>P46i_fait_partie_de</w:t>
      </w:r>
      <w:r>
        <w:t>) « Fosseway » (</w:t>
      </w:r>
      <w:r>
        <w:rPr>
          <w:rStyle w:val="VerbatimChar"/>
        </w:rPr>
        <w:t>E24_Chose_matérielle_élaborée_par_l</w:t>
      </w:r>
      <w:r w:rsidR="00E84B0E">
        <w:rPr>
          <w:rStyle w:val="VerbatimChar"/>
        </w:rPr>
        <w:t>’</w:t>
      </w:r>
      <w:r>
        <w:rPr>
          <w:rStyle w:val="VerbatimChar"/>
        </w:rPr>
        <w:t>humain</w:t>
      </w:r>
      <w:r>
        <w:t>)</w:t>
      </w:r>
    </w:p>
    <w:p w14:paraId="28E4EA9B" w14:textId="77777777" w:rsidR="00065317" w:rsidRDefault="005C7BF7">
      <w:pPr>
        <w:pStyle w:val="FirstParagraph"/>
      </w:pPr>
      <w:r>
        <w:rPr>
          <w:b/>
          <w:bCs/>
        </w:rPr>
        <w:lastRenderedPageBreak/>
        <w:t>Logique</w:t>
      </w:r>
    </w:p>
    <w:p w14:paraId="7109043D" w14:textId="77777777" w:rsidR="00065317" w:rsidRDefault="005C7BF7">
      <w:pPr>
        <w:pStyle w:val="Corpsdetexte"/>
      </w:pPr>
      <w:r>
        <w:t>P46(x,y) ⇒ E18(x)</w:t>
      </w:r>
    </w:p>
    <w:p w14:paraId="01F48064" w14:textId="77777777" w:rsidR="00065317" w:rsidRDefault="005C7BF7">
      <w:pPr>
        <w:pStyle w:val="Corpsdetexte"/>
      </w:pPr>
      <w:r>
        <w:t>P46(x,y) ⇒ E18(y)</w:t>
      </w:r>
    </w:p>
    <w:p w14:paraId="1BEE22EB" w14:textId="77777777" w:rsidR="00065317" w:rsidRDefault="005C7BF7">
      <w:pPr>
        <w:pStyle w:val="Corpsdetexte"/>
      </w:pPr>
      <w:r>
        <w:t>P46(x,y) ⇒ P132(x,y)</w:t>
      </w:r>
    </w:p>
    <w:p w14:paraId="19BE59C2" w14:textId="77777777" w:rsidR="00065317" w:rsidRDefault="005C7BF7">
      <w:pPr>
        <w:pStyle w:val="Corpsdetexte"/>
      </w:pPr>
      <w:r>
        <w:t>[P46(x,y) ∧ P46(y,z)] ⇒ P46(x,z)</w:t>
      </w:r>
    </w:p>
    <w:p w14:paraId="36861D6D" w14:textId="77777777" w:rsidR="00065317" w:rsidRDefault="005C7BF7">
      <w:pPr>
        <w:pStyle w:val="Corpsdetexte"/>
      </w:pPr>
      <w:r>
        <w:t>P46(x,y) ⇒ (∃uzw)[E93(u) ∧ P195i (x,u) ∧ E52(z) ∧ P164(u,z) ∧ E93(w) ∧ P195i (w,y) ∧ P164(w,z) ∧ P10(w,u)]</w:t>
      </w:r>
    </w:p>
    <w:p w14:paraId="5223B00B" w14:textId="77777777" w:rsidR="00065317" w:rsidRDefault="005C7BF7">
      <w:pPr>
        <w:pStyle w:val="Corpsdetexte"/>
      </w:pPr>
      <w:r>
        <w:t>P46(x,y) ⇒ ¬P46(y,x)</w:t>
      </w:r>
    </w:p>
    <w:p w14:paraId="3E2580D8" w14:textId="77777777" w:rsidR="00065317" w:rsidRDefault="005C7BF7">
      <w:pPr>
        <w:pStyle w:val="Corpsdetexte"/>
      </w:pPr>
      <w:r>
        <w:rPr>
          <w:b/>
          <w:bCs/>
        </w:rPr>
        <w:t>Propriétés</w:t>
      </w:r>
    </w:p>
    <w:p w14:paraId="3FCCB90F" w14:textId="77777777" w:rsidR="00065317" w:rsidRDefault="005C7BF7">
      <w:pPr>
        <w:pStyle w:val="Normalcentr"/>
      </w:pPr>
      <w:r>
        <w:rPr>
          <w:b/>
          <w:bCs/>
          <w:i/>
          <w:iCs/>
        </w:rPr>
        <w:t>Note de traduction</w:t>
      </w:r>
    </w:p>
    <w:p w14:paraId="6E54B8CE" w14:textId="2F1A5B8D" w:rsidR="00065317" w:rsidRDefault="005C7BF7" w:rsidP="001155E9">
      <w:pPr>
        <w:pStyle w:val="Normalcentr"/>
      </w:pPr>
      <w:r>
        <w:rPr>
          <w:b/>
          <w:bCs/>
          <w:i/>
          <w:iCs/>
        </w:rPr>
        <w:t>Références</w:t>
      </w:r>
    </w:p>
    <w:p w14:paraId="4342AF2C" w14:textId="088EEF41" w:rsidR="00065317" w:rsidRDefault="005C7BF7" w:rsidP="00914F34">
      <w:pPr>
        <w:pStyle w:val="Titre3"/>
      </w:pPr>
      <w:bookmarkStart w:id="356" w:name="_Toc154048863"/>
      <w:bookmarkStart w:id="357" w:name="X719eb258293089e789abfbecb28c2fce2fd6090"/>
      <w:bookmarkEnd w:id="355"/>
      <w:r>
        <w:t>P48 a pour identifiant préférentiel (est l</w:t>
      </w:r>
      <w:r w:rsidR="00E84B0E">
        <w:t>’</w:t>
      </w:r>
      <w:r>
        <w:t>identifiant préférentiel de)</w:t>
      </w:r>
      <w:bookmarkEnd w:id="356"/>
    </w:p>
    <w:p w14:paraId="7046FA08" w14:textId="77777777" w:rsidR="00065317" w:rsidRDefault="005C7BF7">
      <w:pPr>
        <w:pStyle w:val="FirstParagraph"/>
      </w:pPr>
      <w:r>
        <w:rPr>
          <w:b/>
          <w:bCs/>
        </w:rPr>
        <w:t>Domaine</w:t>
      </w:r>
    </w:p>
    <w:p w14:paraId="6DF2F6F2" w14:textId="77777777" w:rsidR="00065317" w:rsidRDefault="005C7BF7">
      <w:pPr>
        <w:pStyle w:val="Corpsdetexte"/>
      </w:pPr>
      <w:r>
        <w:rPr>
          <w:rStyle w:val="VerbatimChar"/>
        </w:rPr>
        <w:t>E1_Entité_CRM</w:t>
      </w:r>
    </w:p>
    <w:p w14:paraId="1CF88D70" w14:textId="77777777" w:rsidR="00065317" w:rsidRDefault="005C7BF7">
      <w:pPr>
        <w:pStyle w:val="Corpsdetexte"/>
      </w:pPr>
      <w:r>
        <w:rPr>
          <w:b/>
          <w:bCs/>
        </w:rPr>
        <w:t>Portée</w:t>
      </w:r>
    </w:p>
    <w:p w14:paraId="0656CE58" w14:textId="77777777" w:rsidR="00065317" w:rsidRDefault="005C7BF7">
      <w:pPr>
        <w:pStyle w:val="Corpsdetexte"/>
      </w:pPr>
      <w:r>
        <w:rPr>
          <w:rStyle w:val="VerbatimChar"/>
        </w:rPr>
        <w:t>E42_Identifiant</w:t>
      </w:r>
    </w:p>
    <w:p w14:paraId="4B36B27A" w14:textId="77777777" w:rsidR="00065317" w:rsidRDefault="005C7BF7">
      <w:pPr>
        <w:pStyle w:val="Corpsdetexte"/>
      </w:pPr>
      <w:r>
        <w:rPr>
          <w:b/>
          <w:bCs/>
        </w:rPr>
        <w:t>Sous-propriété de</w:t>
      </w:r>
    </w:p>
    <w:p w14:paraId="0C69C81E" w14:textId="77777777" w:rsidR="00065317" w:rsidRDefault="005C7BF7">
      <w:pPr>
        <w:pStyle w:val="Corpsdetexte"/>
      </w:pPr>
      <w:r>
        <w:rPr>
          <w:rStyle w:val="VerbatimChar"/>
        </w:rPr>
        <w:t>E1_Entité_CRM</w:t>
      </w:r>
      <w:r>
        <w:t xml:space="preserve">. </w:t>
      </w:r>
      <w:r>
        <w:rPr>
          <w:rStyle w:val="VerbatimChar"/>
        </w:rPr>
        <w:t>P1_est_identifié_par (identifie)</w:t>
      </w:r>
      <w:r>
        <w:t xml:space="preserve"> : </w:t>
      </w:r>
      <w:r>
        <w:rPr>
          <w:rStyle w:val="VerbatimChar"/>
        </w:rPr>
        <w:t>E41_Appellation</w:t>
      </w:r>
    </w:p>
    <w:p w14:paraId="512ED98D" w14:textId="77777777" w:rsidR="00065317" w:rsidRDefault="005C7BF7">
      <w:pPr>
        <w:pStyle w:val="Corpsdetexte"/>
      </w:pPr>
      <w:r>
        <w:rPr>
          <w:b/>
          <w:bCs/>
        </w:rPr>
        <w:t>Super-propriété de</w:t>
      </w:r>
    </w:p>
    <w:p w14:paraId="0D5CC7F9" w14:textId="77777777" w:rsidR="00065317" w:rsidRDefault="005C7BF7">
      <w:pPr>
        <w:pStyle w:val="Corpsdetexte"/>
      </w:pPr>
      <w:r>
        <w:rPr>
          <w:b/>
          <w:bCs/>
        </w:rPr>
        <w:t>Quantification</w:t>
      </w:r>
    </w:p>
    <w:p w14:paraId="7FC9B856" w14:textId="2136FEE6" w:rsidR="00144B23" w:rsidRDefault="005C7BF7">
      <w:pPr>
        <w:pStyle w:val="Corpsdetexte"/>
        <w:rPr>
          <w:b/>
          <w:bCs/>
        </w:rPr>
      </w:pPr>
      <w:r>
        <w:t>plusieurs à un (0,1:0,n)</w:t>
      </w:r>
    </w:p>
    <w:p w14:paraId="5F8B0D3E" w14:textId="583F45CB" w:rsidR="00065317" w:rsidRDefault="005C7BF7">
      <w:pPr>
        <w:pStyle w:val="Corpsdetexte"/>
      </w:pPr>
      <w:r>
        <w:rPr>
          <w:b/>
          <w:bCs/>
        </w:rPr>
        <w:t>Note d</w:t>
      </w:r>
      <w:r w:rsidR="00E84B0E">
        <w:rPr>
          <w:b/>
          <w:bCs/>
        </w:rPr>
        <w:t>’</w:t>
      </w:r>
      <w:r>
        <w:rPr>
          <w:b/>
          <w:bCs/>
        </w:rPr>
        <w:t>application</w:t>
      </w:r>
    </w:p>
    <w:p w14:paraId="7487F603" w14:textId="5FD19482" w:rsidR="00065317" w:rsidRDefault="005C7BF7">
      <w:pPr>
        <w:pStyle w:val="Corpsdetexte"/>
      </w:pPr>
      <w:r>
        <w:t>Cette propriété enregistre l</w:t>
      </w:r>
      <w:r w:rsidR="00E84B0E">
        <w:t>’</w:t>
      </w:r>
      <w:r>
        <w:t xml:space="preserve">instance préférentielle de </w:t>
      </w:r>
      <w:r>
        <w:rPr>
          <w:rStyle w:val="VerbatimChar"/>
        </w:rPr>
        <w:t>E42_Identifiant</w:t>
      </w:r>
      <w:r>
        <w:t xml:space="preserve"> qui a été utilisée pour identifier une instance de </w:t>
      </w:r>
      <w:r>
        <w:rPr>
          <w:rStyle w:val="VerbatimChar"/>
        </w:rPr>
        <w:t>E1_Entité_CRM</w:t>
      </w:r>
      <w:r>
        <w:t xml:space="preserve"> au moment où cette propriété a été documentée.</w:t>
      </w:r>
    </w:p>
    <w:p w14:paraId="1EF5BFE9" w14:textId="27960C4F" w:rsidR="00065317" w:rsidRDefault="005C7BF7">
      <w:pPr>
        <w:pStyle w:val="Corpsdetexte"/>
      </w:pPr>
      <w:r>
        <w:t>Plus d</w:t>
      </w:r>
      <w:r w:rsidR="00E84B0E">
        <w:t>’</w:t>
      </w:r>
      <w:r>
        <w:t>un identifiant préférentiel peut avoir été assigné à une entité au cours du temps.</w:t>
      </w:r>
    </w:p>
    <w:p w14:paraId="54D019FF" w14:textId="3D854F1C" w:rsidR="00065317" w:rsidRDefault="005C7BF7">
      <w:pPr>
        <w:pStyle w:val="Corpsdetexte"/>
      </w:pPr>
      <w:r>
        <w:t>L</w:t>
      </w:r>
      <w:r w:rsidR="00E84B0E">
        <w:t>’</w:t>
      </w:r>
      <w:r>
        <w:t>usage de cette propriété requiert un mécanisme externe pour assigner la validité temporelle à l</w:t>
      </w:r>
      <w:r w:rsidR="00E84B0E">
        <w:t>’</w:t>
      </w:r>
      <w:r>
        <w:t xml:space="preserve">instance du </w:t>
      </w:r>
      <w:r w:rsidR="00C8288F">
        <w:t>CIDOC CRM</w:t>
      </w:r>
      <w:r>
        <w:t xml:space="preserve"> qui assigne l</w:t>
      </w:r>
      <w:r w:rsidR="00E84B0E">
        <w:t>’</w:t>
      </w:r>
      <w:r>
        <w:t>identifiant.</w:t>
      </w:r>
    </w:p>
    <w:p w14:paraId="4E8228FF" w14:textId="24C2927B" w:rsidR="00F54917" w:rsidRDefault="005C7BF7">
      <w:pPr>
        <w:pStyle w:val="Corpsdetexte"/>
      </w:pPr>
      <w:r>
        <w:t>Le fait qu</w:t>
      </w:r>
      <w:r w:rsidR="00E84B0E">
        <w:t>’</w:t>
      </w:r>
      <w:r>
        <w:t>un identifiant soit privilégié par une organisation peut être exprimé dans un format indépendant du contexte en documentant cette préférence sous la forme d</w:t>
      </w:r>
      <w:r w:rsidR="00E84B0E">
        <w:t>’</w:t>
      </w:r>
      <w:r>
        <w:t xml:space="preserve">une instance de </w:t>
      </w:r>
      <w:r>
        <w:rPr>
          <w:rStyle w:val="VerbatimChar"/>
        </w:rPr>
        <w:t>E55_Type</w:t>
      </w:r>
      <w:r>
        <w:t xml:space="preserve"> relié à une instance de </w:t>
      </w:r>
      <w:r>
        <w:rPr>
          <w:rStyle w:val="VerbatimChar"/>
        </w:rPr>
        <w:t>E15_Assignation_d</w:t>
      </w:r>
      <w:r w:rsidR="00E84B0E">
        <w:rPr>
          <w:rStyle w:val="VerbatimChar"/>
        </w:rPr>
        <w:t>’</w:t>
      </w:r>
      <w:r>
        <w:rPr>
          <w:rStyle w:val="VerbatimChar"/>
        </w:rPr>
        <w:t>identifiant</w:t>
      </w:r>
      <w:r>
        <w:t xml:space="preserve"> par le biais de la propriété </w:t>
      </w:r>
      <w:r>
        <w:rPr>
          <w:rStyle w:val="VerbatimChar"/>
        </w:rPr>
        <w:t>P2_a_pour_type (est_le_type_de)</w:t>
      </w:r>
      <w:r>
        <w:t>.</w:t>
      </w:r>
    </w:p>
    <w:p w14:paraId="70FC93E4" w14:textId="0A0A7860" w:rsidR="00065317" w:rsidRDefault="00F54917" w:rsidP="00F54917">
      <w:pPr>
        <w:spacing w:after="0"/>
      </w:pPr>
      <w:r>
        <w:br w:type="page"/>
      </w:r>
    </w:p>
    <w:p w14:paraId="726BA4E9" w14:textId="77777777" w:rsidR="00065317" w:rsidRDefault="005C7BF7">
      <w:pPr>
        <w:pStyle w:val="Corpsdetexte"/>
      </w:pPr>
      <w:r>
        <w:rPr>
          <w:b/>
          <w:bCs/>
        </w:rPr>
        <w:lastRenderedPageBreak/>
        <w:t>Exemples</w:t>
      </w:r>
    </w:p>
    <w:p w14:paraId="26A27C87" w14:textId="4391C2BA" w:rsidR="00065317" w:rsidRDefault="005C7BF7">
      <w:pPr>
        <w:numPr>
          <w:ilvl w:val="0"/>
          <w:numId w:val="187"/>
        </w:numPr>
      </w:pPr>
      <w:r>
        <w:t>La paire de Lederhosen (culotte bavaroise) donnée par Martin D</w:t>
      </w:r>
      <w:r w:rsidR="003C7A4A">
        <w:t>oe</w:t>
      </w:r>
      <w:r>
        <w:t>rr (</w:t>
      </w:r>
      <w:r>
        <w:rPr>
          <w:rStyle w:val="VerbatimChar"/>
        </w:rPr>
        <w:t>E22_Objet_élaboré_par_l</w:t>
      </w:r>
      <w:r w:rsidR="00E84B0E">
        <w:rPr>
          <w:rStyle w:val="VerbatimChar"/>
        </w:rPr>
        <w:t>’</w:t>
      </w:r>
      <w:r>
        <w:rPr>
          <w:rStyle w:val="VerbatimChar"/>
        </w:rPr>
        <w:t>humain</w:t>
      </w:r>
      <w:r>
        <w:t>) a pour identifiant préférentiel (</w:t>
      </w:r>
      <w:r>
        <w:rPr>
          <w:rStyle w:val="VerbatimChar"/>
        </w:rPr>
        <w:t>P48_a_pour_identifiant_préférentiel</w:t>
      </w:r>
      <w:r>
        <w:t>) « OXCMS:2001.1.32 » (</w:t>
      </w:r>
      <w:r>
        <w:rPr>
          <w:rStyle w:val="VerbatimChar"/>
        </w:rPr>
        <w:t>E42_Identifiant</w:t>
      </w:r>
      <w:r>
        <w:t>) (fictif)</w:t>
      </w:r>
    </w:p>
    <w:p w14:paraId="42900083" w14:textId="77777777" w:rsidR="00065317" w:rsidRDefault="005C7BF7">
      <w:pPr>
        <w:pStyle w:val="FirstParagraph"/>
      </w:pPr>
      <w:r>
        <w:rPr>
          <w:b/>
          <w:bCs/>
        </w:rPr>
        <w:t>Logique</w:t>
      </w:r>
    </w:p>
    <w:p w14:paraId="297087A5" w14:textId="77777777" w:rsidR="00065317" w:rsidRDefault="005C7BF7">
      <w:pPr>
        <w:pStyle w:val="Corpsdetexte"/>
      </w:pPr>
      <w:r>
        <w:t>P48(x,y) ⇒ E1(x)</w:t>
      </w:r>
    </w:p>
    <w:p w14:paraId="5D10878D" w14:textId="77777777" w:rsidR="00065317" w:rsidRDefault="005C7BF7">
      <w:pPr>
        <w:pStyle w:val="Corpsdetexte"/>
      </w:pPr>
      <w:r>
        <w:t>P48(x,y) ⇒ E42(y)</w:t>
      </w:r>
    </w:p>
    <w:p w14:paraId="5E2D186B" w14:textId="77777777" w:rsidR="00065317" w:rsidRDefault="005C7BF7">
      <w:pPr>
        <w:pStyle w:val="Corpsdetexte"/>
      </w:pPr>
      <w:r>
        <w:t>P48(x,y) ⇒ P1(x,y)</w:t>
      </w:r>
    </w:p>
    <w:p w14:paraId="030EA5CE" w14:textId="77777777" w:rsidR="00065317" w:rsidRDefault="005C7BF7">
      <w:pPr>
        <w:pStyle w:val="Corpsdetexte"/>
      </w:pPr>
      <w:r>
        <w:rPr>
          <w:b/>
          <w:bCs/>
        </w:rPr>
        <w:t>Propriétés</w:t>
      </w:r>
    </w:p>
    <w:p w14:paraId="63FB76A6" w14:textId="77777777" w:rsidR="00065317" w:rsidRDefault="005C7BF7">
      <w:pPr>
        <w:pStyle w:val="Normalcentr"/>
      </w:pPr>
      <w:r>
        <w:rPr>
          <w:b/>
          <w:bCs/>
          <w:i/>
          <w:iCs/>
        </w:rPr>
        <w:t>Note de traduction</w:t>
      </w:r>
    </w:p>
    <w:p w14:paraId="4274E62B" w14:textId="55DD8CC1" w:rsidR="00065317" w:rsidRDefault="005C7BF7" w:rsidP="001155E9">
      <w:pPr>
        <w:pStyle w:val="Normalcentr"/>
      </w:pPr>
      <w:r>
        <w:rPr>
          <w:b/>
          <w:bCs/>
          <w:i/>
          <w:iCs/>
        </w:rPr>
        <w:t>Références</w:t>
      </w:r>
    </w:p>
    <w:p w14:paraId="19AED232" w14:textId="0C6247EE" w:rsidR="00065317" w:rsidRDefault="005C7BF7" w:rsidP="00914F34">
      <w:pPr>
        <w:pStyle w:val="Titre3"/>
      </w:pPr>
      <w:bookmarkStart w:id="358" w:name="_Toc154048864"/>
      <w:bookmarkStart w:id="359" w:name="Xe1efc7a3d5923f1df4e610c254779d64a696535"/>
      <w:bookmarkEnd w:id="357"/>
      <w:r>
        <w:t>P49 a pour actant détenteur actuel ou antérieur (est l</w:t>
      </w:r>
      <w:r w:rsidR="00E84B0E">
        <w:t>’</w:t>
      </w:r>
      <w:r>
        <w:t>actant détenteur actuel ou antérieur de)</w:t>
      </w:r>
      <w:bookmarkEnd w:id="358"/>
    </w:p>
    <w:p w14:paraId="62C28215" w14:textId="77777777" w:rsidR="00065317" w:rsidRDefault="005C7BF7">
      <w:pPr>
        <w:pStyle w:val="FirstParagraph"/>
      </w:pPr>
      <w:r>
        <w:rPr>
          <w:b/>
          <w:bCs/>
        </w:rPr>
        <w:t>Domaine</w:t>
      </w:r>
    </w:p>
    <w:p w14:paraId="5B054920" w14:textId="77777777" w:rsidR="00065317" w:rsidRDefault="005C7BF7">
      <w:pPr>
        <w:pStyle w:val="Corpsdetexte"/>
      </w:pPr>
      <w:r>
        <w:rPr>
          <w:rStyle w:val="VerbatimChar"/>
        </w:rPr>
        <w:t>E18_Chose_matérielle</w:t>
      </w:r>
    </w:p>
    <w:p w14:paraId="74D3473C" w14:textId="77777777" w:rsidR="00065317" w:rsidRDefault="005C7BF7">
      <w:pPr>
        <w:pStyle w:val="Corpsdetexte"/>
      </w:pPr>
      <w:r>
        <w:rPr>
          <w:b/>
          <w:bCs/>
        </w:rPr>
        <w:t>Portée</w:t>
      </w:r>
    </w:p>
    <w:p w14:paraId="6860B73D" w14:textId="77777777" w:rsidR="00065317" w:rsidRDefault="005C7BF7">
      <w:pPr>
        <w:pStyle w:val="Corpsdetexte"/>
      </w:pPr>
      <w:r>
        <w:rPr>
          <w:rStyle w:val="VerbatimChar"/>
        </w:rPr>
        <w:t>E39_Actant</w:t>
      </w:r>
    </w:p>
    <w:p w14:paraId="61629578" w14:textId="77777777" w:rsidR="00065317" w:rsidRDefault="005C7BF7">
      <w:pPr>
        <w:pStyle w:val="Corpsdetexte"/>
      </w:pPr>
      <w:r>
        <w:rPr>
          <w:b/>
          <w:bCs/>
        </w:rPr>
        <w:t>Sous-propriété de</w:t>
      </w:r>
    </w:p>
    <w:p w14:paraId="1E0D1588" w14:textId="77777777" w:rsidR="00065317" w:rsidRDefault="005C7BF7">
      <w:pPr>
        <w:pStyle w:val="Corpsdetexte"/>
      </w:pPr>
      <w:r>
        <w:rPr>
          <w:b/>
          <w:bCs/>
        </w:rPr>
        <w:t>Super-propriété de</w:t>
      </w:r>
    </w:p>
    <w:p w14:paraId="76FFBC53" w14:textId="77777777" w:rsidR="00065317" w:rsidRDefault="005C7BF7">
      <w:pPr>
        <w:pStyle w:val="Corpsdetexte"/>
      </w:pPr>
      <w:r>
        <w:rPr>
          <w:rStyle w:val="VerbatimChar"/>
        </w:rPr>
        <w:t>E18_Chose_matérielle</w:t>
      </w:r>
      <w:r>
        <w:t xml:space="preserve">. </w:t>
      </w:r>
      <w:r>
        <w:rPr>
          <w:rStyle w:val="VerbatimChar"/>
        </w:rPr>
        <w:t>P50_a_pour_actant_détenteur_actuel (est_actant_détenteur_actuel_de)</w:t>
      </w:r>
      <w:r>
        <w:t xml:space="preserve"> : </w:t>
      </w:r>
      <w:r>
        <w:rPr>
          <w:rStyle w:val="VerbatimChar"/>
        </w:rPr>
        <w:t>E39_Actant</w:t>
      </w:r>
    </w:p>
    <w:p w14:paraId="56EC4517" w14:textId="2F6DA1BB" w:rsidR="00144B23" w:rsidRDefault="005C7BF7">
      <w:pPr>
        <w:pStyle w:val="Corpsdetexte"/>
        <w:rPr>
          <w:b/>
          <w:bCs/>
        </w:rPr>
      </w:pPr>
      <w:r>
        <w:rPr>
          <w:rStyle w:val="VerbatimChar"/>
        </w:rPr>
        <w:t>E78_Collection</w:t>
      </w:r>
      <w:r>
        <w:t xml:space="preserve">. </w:t>
      </w:r>
      <w:r>
        <w:rPr>
          <w:rStyle w:val="VerbatimChar"/>
        </w:rPr>
        <w:t>P109_a_pour_responsable_actuel_ou_antérieur_de_la_collection (est_responsable_actuel_ou_antérieur_de_la_collection)</w:t>
      </w:r>
      <w:r>
        <w:t xml:space="preserve"> : </w:t>
      </w:r>
      <w:r>
        <w:rPr>
          <w:rStyle w:val="VerbatimChar"/>
        </w:rPr>
        <w:t>E39_Actant</w:t>
      </w:r>
    </w:p>
    <w:p w14:paraId="3727C7EB" w14:textId="78B1C555" w:rsidR="00065317" w:rsidRDefault="005C7BF7">
      <w:pPr>
        <w:pStyle w:val="Corpsdetexte"/>
      </w:pPr>
      <w:r>
        <w:rPr>
          <w:b/>
          <w:bCs/>
        </w:rPr>
        <w:t>Quantification</w:t>
      </w:r>
    </w:p>
    <w:p w14:paraId="0C2D4A75" w14:textId="77777777" w:rsidR="00065317" w:rsidRDefault="005C7BF7">
      <w:pPr>
        <w:pStyle w:val="Corpsdetexte"/>
      </w:pPr>
      <w:r>
        <w:t>plusieurs à plusieurs (0,n:0,n)</w:t>
      </w:r>
    </w:p>
    <w:p w14:paraId="408E13F1" w14:textId="6D194ED8" w:rsidR="00065317" w:rsidRDefault="005C7BF7">
      <w:pPr>
        <w:pStyle w:val="Corpsdetexte"/>
      </w:pPr>
      <w:r>
        <w:rPr>
          <w:b/>
          <w:bCs/>
        </w:rPr>
        <w:t>Note d</w:t>
      </w:r>
      <w:r w:rsidR="00E84B0E">
        <w:rPr>
          <w:b/>
          <w:bCs/>
        </w:rPr>
        <w:t>’</w:t>
      </w:r>
      <w:r>
        <w:rPr>
          <w:b/>
          <w:bCs/>
        </w:rPr>
        <w:t>application</w:t>
      </w:r>
    </w:p>
    <w:p w14:paraId="259FC930" w14:textId="50269CC0" w:rsidR="00065317" w:rsidRDefault="005C7BF7">
      <w:pPr>
        <w:pStyle w:val="Corpsdetexte"/>
      </w:pPr>
      <w:r>
        <w:t>Cette propriété identifie l</w:t>
      </w:r>
      <w:r w:rsidR="00E84B0E">
        <w:t>’</w:t>
      </w:r>
      <w:r>
        <w:t xml:space="preserve">instance de </w:t>
      </w:r>
      <w:r>
        <w:rPr>
          <w:rStyle w:val="VerbatimChar"/>
        </w:rPr>
        <w:t>E39_Actant</w:t>
      </w:r>
      <w:r>
        <w:t xml:space="preserve"> qui a ou a eu la garde d</w:t>
      </w:r>
      <w:r w:rsidR="00E84B0E">
        <w:t>’</w:t>
      </w:r>
      <w:r>
        <w:t xml:space="preserve">une instance de </w:t>
      </w:r>
      <w:r>
        <w:rPr>
          <w:rStyle w:val="VerbatimChar"/>
        </w:rPr>
        <w:t>E18_Chose_matérielle</w:t>
      </w:r>
      <w:r>
        <w:t xml:space="preserve"> à un moment donné. Cette propriété laisse ouverte la question de l</w:t>
      </w:r>
      <w:r w:rsidR="00E84B0E">
        <w:t>’</w:t>
      </w:r>
      <w:r>
        <w:t>ajout ou du retrait des parties de la chose matérielle durant les intervalles temporels où elle a été sous la garde de cet actant. Il est cependant requis qu</w:t>
      </w:r>
      <w:r w:rsidR="00E84B0E">
        <w:t>’</w:t>
      </w:r>
      <w:r>
        <w:t>au moins une partie, qui peut être identifiée sans ambiguïté comme étant représentative de l</w:t>
      </w:r>
      <w:r w:rsidR="00E84B0E">
        <w:t>’</w:t>
      </w:r>
      <w:r>
        <w:t>ensemble, a été sous cette garde durant la totalité de l</w:t>
      </w:r>
      <w:r w:rsidR="00E84B0E">
        <w:t>’</w:t>
      </w:r>
      <w:r>
        <w:t>intervalle temporel. La manière dont une part représentative est définie doit permettre de comprendre sans ambiguïté qui est détenteur d</w:t>
      </w:r>
      <w:r w:rsidR="00E84B0E">
        <w:t>’</w:t>
      </w:r>
      <w:r>
        <w:t>une part et de l</w:t>
      </w:r>
      <w:r w:rsidR="00E84B0E">
        <w:t>’</w:t>
      </w:r>
      <w:r>
        <w:t>ensemble, et doit être en conformité avec les critères d</w:t>
      </w:r>
      <w:r w:rsidR="00E84B0E">
        <w:t>’</w:t>
      </w:r>
      <w:r>
        <w:t>identité de l</w:t>
      </w:r>
      <w:r w:rsidR="00E84B0E">
        <w:t>’</w:t>
      </w:r>
      <w:r>
        <w:t xml:space="preserve">instance de </w:t>
      </w:r>
      <w:r>
        <w:rPr>
          <w:rStyle w:val="VerbatimChar"/>
        </w:rPr>
        <w:t>E18_Chose_matérielle</w:t>
      </w:r>
      <w:r>
        <w:t xml:space="preserve"> détenue.</w:t>
      </w:r>
    </w:p>
    <w:p w14:paraId="7DF5F899" w14:textId="499FF2C0" w:rsidR="00065317" w:rsidRDefault="005C7BF7">
      <w:pPr>
        <w:pStyle w:val="Corpsdetexte"/>
      </w:pPr>
      <w:r>
        <w:t xml:space="preserve">La distinction entre la propriété </w:t>
      </w:r>
      <w:r>
        <w:rPr>
          <w:rStyle w:val="VerbatimChar"/>
        </w:rPr>
        <w:t>P50_a_pour_actant_détenteur_actuel (est_actant_détenteur_actuel_de)</w:t>
      </w:r>
      <w:r>
        <w:t xml:space="preserve"> et la propriété </w:t>
      </w:r>
      <w:r>
        <w:rPr>
          <w:rStyle w:val="VerbatimChar"/>
        </w:rPr>
        <w:t xml:space="preserve">P49_a_pour_actant_détenteur_actuel_ou_antérieur </w:t>
      </w:r>
      <w:r>
        <w:rPr>
          <w:rStyle w:val="VerbatimChar"/>
        </w:rPr>
        <w:lastRenderedPageBreak/>
        <w:t>(est_l</w:t>
      </w:r>
      <w:r w:rsidR="00E84B0E">
        <w:rPr>
          <w:rStyle w:val="VerbatimChar"/>
        </w:rPr>
        <w:t>’</w:t>
      </w:r>
      <w:r>
        <w:rPr>
          <w:rStyle w:val="VerbatimChar"/>
        </w:rPr>
        <w:t>actant_détenteur_actuel_ou_antérieur_de)</w:t>
      </w:r>
      <w:r>
        <w:t xml:space="preserve"> est que cette dernière ne précise pas si l</w:t>
      </w:r>
      <w:r w:rsidR="00E84B0E">
        <w:t>’</w:t>
      </w:r>
      <w:r>
        <w:t>actant détenant la chose matérielle est antérieur ou actuel.</w:t>
      </w:r>
    </w:p>
    <w:p w14:paraId="604EEE55" w14:textId="63CA4724" w:rsidR="00065317" w:rsidRDefault="005C7BF7">
      <w:pPr>
        <w:pStyle w:val="Corpsdetexte"/>
      </w:pPr>
      <w:r>
        <w:t xml:space="preserve">Cette propriété est un raccourci du chemin sémantique suivant : </w:t>
      </w:r>
      <w:r>
        <w:rPr>
          <w:rStyle w:val="VerbatimChar"/>
        </w:rPr>
        <w:t>E18_Chose_matérielle</w:t>
      </w:r>
      <w:r>
        <w:t xml:space="preserve">, </w:t>
      </w:r>
      <w:r>
        <w:rPr>
          <w:rStyle w:val="VerbatimChar"/>
        </w:rPr>
        <w:t>P30i_a_été_l</w:t>
      </w:r>
      <w:r w:rsidR="00E84B0E">
        <w:rPr>
          <w:rStyle w:val="VerbatimChar"/>
        </w:rPr>
        <w:t>’</w:t>
      </w:r>
      <w:r>
        <w:rPr>
          <w:rStyle w:val="VerbatimChar"/>
        </w:rPr>
        <w:t>objet_d</w:t>
      </w:r>
      <w:r w:rsidR="00E84B0E">
        <w:rPr>
          <w:rStyle w:val="VerbatimChar"/>
        </w:rPr>
        <w:t>’</w:t>
      </w:r>
      <w:r>
        <w:rPr>
          <w:rStyle w:val="VerbatimChar"/>
        </w:rPr>
        <w:t>un_transfert_de_garde_par</w:t>
      </w:r>
      <w:r>
        <w:t xml:space="preserve">, </w:t>
      </w:r>
      <w:r>
        <w:rPr>
          <w:rStyle w:val="VerbatimChar"/>
        </w:rPr>
        <w:t>E10_Transfert_de_la_garde</w:t>
      </w:r>
      <w:r>
        <w:t xml:space="preserve">, </w:t>
      </w:r>
      <w:r>
        <w:rPr>
          <w:rStyle w:val="VerbatimChar"/>
        </w:rPr>
        <w:t>P28_a_mis_fin_à_la_garde_par (a_cédé_la_garde_par)</w:t>
      </w:r>
      <w:r>
        <w:t xml:space="preserve"> (ou </w:t>
      </w:r>
      <w:r>
        <w:rPr>
          <w:rStyle w:val="VerbatimChar"/>
        </w:rPr>
        <w:t>P29_a_confié_la_garde_par (a_reçu_la_garde_par)</w:t>
      </w:r>
      <w:r>
        <w:t xml:space="preserve">), </w:t>
      </w:r>
      <w:r>
        <w:rPr>
          <w:rStyle w:val="VerbatimChar"/>
        </w:rPr>
        <w:t>E39_Actant</w:t>
      </w:r>
      <w:r>
        <w:t>.</w:t>
      </w:r>
    </w:p>
    <w:p w14:paraId="4F1A0A52" w14:textId="77777777" w:rsidR="00065317" w:rsidRDefault="005C7BF7">
      <w:pPr>
        <w:pStyle w:val="Corpsdetexte"/>
      </w:pPr>
      <w:r>
        <w:rPr>
          <w:b/>
          <w:bCs/>
        </w:rPr>
        <w:t>Exemples</w:t>
      </w:r>
    </w:p>
    <w:p w14:paraId="350AC4A8" w14:textId="77777777" w:rsidR="00065317" w:rsidRDefault="005C7BF7">
      <w:pPr>
        <w:numPr>
          <w:ilvl w:val="0"/>
          <w:numId w:val="188"/>
        </w:numPr>
      </w:pPr>
      <w:r>
        <w:t>Les œuvres peintes de la collection Iveagh Bequest (</w:t>
      </w:r>
      <w:r>
        <w:rPr>
          <w:rStyle w:val="VerbatimChar"/>
        </w:rPr>
        <w:t>E78_Collection</w:t>
      </w:r>
      <w:r>
        <w:t>) ont pour actant détenteur actuel ou antérieur (</w:t>
      </w:r>
      <w:r>
        <w:rPr>
          <w:rStyle w:val="VerbatimChar"/>
        </w:rPr>
        <w:t>P49_a_pour_actant_détenteur_actuel_ou_antérieur</w:t>
      </w:r>
      <w:r>
        <w:t>) Secure Deliveries Inc. (</w:t>
      </w:r>
      <w:r>
        <w:rPr>
          <w:rStyle w:val="VerbatimChar"/>
        </w:rPr>
        <w:t>E74_Groupe</w:t>
      </w:r>
      <w:r>
        <w:t>)</w:t>
      </w:r>
    </w:p>
    <w:p w14:paraId="792724D7" w14:textId="77777777" w:rsidR="00065317" w:rsidRDefault="005C7BF7">
      <w:pPr>
        <w:pStyle w:val="FirstParagraph"/>
      </w:pPr>
      <w:r>
        <w:rPr>
          <w:b/>
          <w:bCs/>
        </w:rPr>
        <w:t>Logique</w:t>
      </w:r>
    </w:p>
    <w:p w14:paraId="6DBD34B4" w14:textId="77777777" w:rsidR="00065317" w:rsidRDefault="005C7BF7">
      <w:pPr>
        <w:pStyle w:val="Corpsdetexte"/>
      </w:pPr>
      <w:r>
        <w:t>P49(x,y) ⇒ E18(x)</w:t>
      </w:r>
    </w:p>
    <w:p w14:paraId="0E9BCD1D" w14:textId="77777777" w:rsidR="00065317" w:rsidRDefault="005C7BF7">
      <w:pPr>
        <w:pStyle w:val="Corpsdetexte"/>
      </w:pPr>
      <w:r>
        <w:t>P49(x,y) ⇒ E39(y)</w:t>
      </w:r>
    </w:p>
    <w:p w14:paraId="0A187E6C" w14:textId="77777777" w:rsidR="00065317" w:rsidRDefault="005C7BF7">
      <w:pPr>
        <w:pStyle w:val="Corpsdetexte"/>
      </w:pPr>
      <w:r>
        <w:t>P49(x,y) ⇐ (∃z) [E10(z) ˄ P30i(x,z) ˄ [P28(z,y) ˅ P29(z,y) ]]</w:t>
      </w:r>
    </w:p>
    <w:p w14:paraId="68B6A124" w14:textId="77777777" w:rsidR="00065317" w:rsidRDefault="005C7BF7">
      <w:pPr>
        <w:pStyle w:val="Corpsdetexte"/>
      </w:pPr>
      <w:r>
        <w:rPr>
          <w:b/>
          <w:bCs/>
        </w:rPr>
        <w:t>Propriétés</w:t>
      </w:r>
    </w:p>
    <w:p w14:paraId="4150CCDA" w14:textId="77777777" w:rsidR="00065317" w:rsidRDefault="005C7BF7">
      <w:pPr>
        <w:pStyle w:val="Normalcentr"/>
      </w:pPr>
      <w:r>
        <w:rPr>
          <w:b/>
          <w:bCs/>
          <w:i/>
          <w:iCs/>
        </w:rPr>
        <w:t>Note de traduction</w:t>
      </w:r>
    </w:p>
    <w:p w14:paraId="5E7312AD" w14:textId="1BE23FB4" w:rsidR="00065317" w:rsidRDefault="005C7BF7" w:rsidP="001155E9">
      <w:pPr>
        <w:pStyle w:val="Normalcentr"/>
      </w:pPr>
      <w:r>
        <w:rPr>
          <w:b/>
          <w:bCs/>
          <w:i/>
          <w:iCs/>
        </w:rPr>
        <w:t>Références</w:t>
      </w:r>
    </w:p>
    <w:p w14:paraId="7FA04D03" w14:textId="537FDD28" w:rsidR="00065317" w:rsidRDefault="005C7BF7" w:rsidP="00914F34">
      <w:pPr>
        <w:pStyle w:val="Titre3"/>
      </w:pPr>
      <w:bookmarkStart w:id="360" w:name="_Toc154048865"/>
      <w:bookmarkStart w:id="361" w:name="Xac74a405b92c96cc3fb474b41f8e3a3307b5731"/>
      <w:bookmarkEnd w:id="359"/>
      <w:r>
        <w:t>P50 a pour actant détenteur actuel (est l</w:t>
      </w:r>
      <w:r w:rsidR="00E84B0E">
        <w:t>’</w:t>
      </w:r>
      <w:r>
        <w:t>actant détenteur actuel)</w:t>
      </w:r>
      <w:bookmarkEnd w:id="360"/>
    </w:p>
    <w:p w14:paraId="43B767F2" w14:textId="77777777" w:rsidR="00065317" w:rsidRDefault="005C7BF7">
      <w:pPr>
        <w:pStyle w:val="FirstParagraph"/>
      </w:pPr>
      <w:r>
        <w:rPr>
          <w:b/>
          <w:bCs/>
        </w:rPr>
        <w:t>Domaine</w:t>
      </w:r>
    </w:p>
    <w:p w14:paraId="6E1B927E" w14:textId="77777777" w:rsidR="00065317" w:rsidRDefault="005C7BF7">
      <w:pPr>
        <w:pStyle w:val="Corpsdetexte"/>
      </w:pPr>
      <w:r>
        <w:rPr>
          <w:rStyle w:val="VerbatimChar"/>
        </w:rPr>
        <w:t>E18_Chose_matérielle</w:t>
      </w:r>
    </w:p>
    <w:p w14:paraId="32CFD4F9" w14:textId="77777777" w:rsidR="00065317" w:rsidRDefault="005C7BF7">
      <w:pPr>
        <w:pStyle w:val="Corpsdetexte"/>
      </w:pPr>
      <w:r>
        <w:rPr>
          <w:b/>
          <w:bCs/>
        </w:rPr>
        <w:t>Portée</w:t>
      </w:r>
    </w:p>
    <w:p w14:paraId="04AF995B" w14:textId="51B29BC7" w:rsidR="00144B23" w:rsidRDefault="005C7BF7">
      <w:pPr>
        <w:pStyle w:val="Corpsdetexte"/>
        <w:rPr>
          <w:b/>
          <w:bCs/>
        </w:rPr>
      </w:pPr>
      <w:r>
        <w:rPr>
          <w:rStyle w:val="VerbatimChar"/>
        </w:rPr>
        <w:t>E39_Actant</w:t>
      </w:r>
    </w:p>
    <w:p w14:paraId="6F6169BA" w14:textId="41235CE5" w:rsidR="00065317" w:rsidRDefault="005C7BF7">
      <w:pPr>
        <w:pStyle w:val="Corpsdetexte"/>
      </w:pPr>
      <w:r>
        <w:rPr>
          <w:b/>
          <w:bCs/>
        </w:rPr>
        <w:t>Sous-propriété de</w:t>
      </w:r>
    </w:p>
    <w:p w14:paraId="0721F93D" w14:textId="17C471D7" w:rsidR="00065317" w:rsidRDefault="005C7BF7">
      <w:pPr>
        <w:pStyle w:val="Corpsdetexte"/>
      </w:pPr>
      <w:r>
        <w:rPr>
          <w:rStyle w:val="VerbatimChar"/>
        </w:rPr>
        <w:t>E18_Chose_matérielle</w:t>
      </w:r>
      <w:r>
        <w:t xml:space="preserve">. </w:t>
      </w:r>
      <w:r>
        <w:rPr>
          <w:rStyle w:val="VerbatimChar"/>
        </w:rPr>
        <w:t>P49_a_pour_actant_détenteur_actuel_ou_antérieur (est_l</w:t>
      </w:r>
      <w:r w:rsidR="00E84B0E">
        <w:rPr>
          <w:rStyle w:val="VerbatimChar"/>
        </w:rPr>
        <w:t>’</w:t>
      </w:r>
      <w:r>
        <w:rPr>
          <w:rStyle w:val="VerbatimChar"/>
        </w:rPr>
        <w:t>actant_détenteur_actuel_ou_antérieur_de)</w:t>
      </w:r>
      <w:r>
        <w:t xml:space="preserve"> : </w:t>
      </w:r>
      <w:r>
        <w:rPr>
          <w:rStyle w:val="VerbatimChar"/>
        </w:rPr>
        <w:t>E39_Actant</w:t>
      </w:r>
    </w:p>
    <w:p w14:paraId="3D634598" w14:textId="77777777" w:rsidR="00065317" w:rsidRDefault="005C7BF7">
      <w:pPr>
        <w:pStyle w:val="Corpsdetexte"/>
      </w:pPr>
      <w:r>
        <w:rPr>
          <w:b/>
          <w:bCs/>
        </w:rPr>
        <w:t>Super-propriété de</w:t>
      </w:r>
    </w:p>
    <w:p w14:paraId="2471A70C" w14:textId="77777777" w:rsidR="00065317" w:rsidRDefault="005C7BF7">
      <w:pPr>
        <w:pStyle w:val="Corpsdetexte"/>
      </w:pPr>
      <w:r>
        <w:rPr>
          <w:b/>
          <w:bCs/>
        </w:rPr>
        <w:t>Quantification</w:t>
      </w:r>
    </w:p>
    <w:p w14:paraId="37222E22" w14:textId="77777777" w:rsidR="00065317" w:rsidRDefault="005C7BF7">
      <w:pPr>
        <w:pStyle w:val="Corpsdetexte"/>
      </w:pPr>
      <w:r>
        <w:t>plusieurs à plusieurs (0,n:0,n)</w:t>
      </w:r>
    </w:p>
    <w:p w14:paraId="35509FBA" w14:textId="24A441F1" w:rsidR="00065317" w:rsidRDefault="005C7BF7">
      <w:pPr>
        <w:pStyle w:val="Corpsdetexte"/>
      </w:pPr>
      <w:r>
        <w:rPr>
          <w:b/>
          <w:bCs/>
        </w:rPr>
        <w:t>Note d</w:t>
      </w:r>
      <w:r w:rsidR="00E84B0E">
        <w:rPr>
          <w:b/>
          <w:bCs/>
        </w:rPr>
        <w:t>’</w:t>
      </w:r>
      <w:r>
        <w:rPr>
          <w:b/>
          <w:bCs/>
        </w:rPr>
        <w:t>application</w:t>
      </w:r>
    </w:p>
    <w:p w14:paraId="710C6015" w14:textId="6E709E37" w:rsidR="00065317" w:rsidRDefault="005C7BF7">
      <w:pPr>
        <w:pStyle w:val="Corpsdetexte"/>
      </w:pPr>
      <w:r>
        <w:t xml:space="preserve">Cette propriété identifie une instance de </w:t>
      </w:r>
      <w:r>
        <w:rPr>
          <w:rStyle w:val="VerbatimChar"/>
        </w:rPr>
        <w:t>E39_Actant</w:t>
      </w:r>
      <w:r>
        <w:t xml:space="preserve"> ayant eu la garde d</w:t>
      </w:r>
      <w:r w:rsidR="00E84B0E">
        <w:t>’</w:t>
      </w:r>
      <w:r>
        <w:t xml:space="preserve">une instance de </w:t>
      </w:r>
      <w:r>
        <w:rPr>
          <w:rStyle w:val="VerbatimChar"/>
        </w:rPr>
        <w:t>E18_Chose_matérielle</w:t>
      </w:r>
      <w:r>
        <w:t xml:space="preserve"> au moment où l</w:t>
      </w:r>
      <w:r w:rsidR="00E84B0E">
        <w:t>’</w:t>
      </w:r>
      <w:r>
        <w:t>information dans l</w:t>
      </w:r>
      <w:r w:rsidR="00E84B0E">
        <w:t>’</w:t>
      </w:r>
      <w:r>
        <w:t>enregistrement ou la base de données contenant l</w:t>
      </w:r>
      <w:r w:rsidR="00E84B0E">
        <w:t>’</w:t>
      </w:r>
      <w:r>
        <w:t>énoncé décrit par cette propriété était considérée valide.</w:t>
      </w:r>
    </w:p>
    <w:p w14:paraId="02CF0AB5" w14:textId="0F7FB90F" w:rsidR="00065317" w:rsidRDefault="005C7BF7">
      <w:pPr>
        <w:pStyle w:val="Corpsdetexte"/>
      </w:pPr>
      <w:r>
        <w:t>Cette propriété est un raccourci du chemin sémantique suivant uniquement lorsque la garde n</w:t>
      </w:r>
      <w:r w:rsidR="00E84B0E">
        <w:t>’</w:t>
      </w:r>
      <w:r>
        <w:t>a pas ultérieurement été cédée par l</w:t>
      </w:r>
      <w:r w:rsidR="00E84B0E">
        <w:t>’</w:t>
      </w:r>
      <w:r>
        <w:t xml:space="preserve">actant la recevant : </w:t>
      </w:r>
      <w:r>
        <w:rPr>
          <w:rStyle w:val="VerbatimChar"/>
        </w:rPr>
        <w:t>E18_Chose_matérielle</w:t>
      </w:r>
      <w:r>
        <w:t xml:space="preserve">, </w:t>
      </w:r>
      <w:r>
        <w:rPr>
          <w:rStyle w:val="VerbatimChar"/>
        </w:rPr>
        <w:t>P30i_a_été_l</w:t>
      </w:r>
      <w:r w:rsidR="00E84B0E">
        <w:rPr>
          <w:rStyle w:val="VerbatimChar"/>
        </w:rPr>
        <w:t>’</w:t>
      </w:r>
      <w:r>
        <w:rPr>
          <w:rStyle w:val="VerbatimChar"/>
        </w:rPr>
        <w:t>objet_d</w:t>
      </w:r>
      <w:r w:rsidR="00E84B0E">
        <w:rPr>
          <w:rStyle w:val="VerbatimChar"/>
        </w:rPr>
        <w:t>’</w:t>
      </w:r>
      <w:r>
        <w:rPr>
          <w:rStyle w:val="VerbatimChar"/>
        </w:rPr>
        <w:t>un_transfert_de_garde_par</w:t>
      </w:r>
      <w:r>
        <w:t xml:space="preserve">, </w:t>
      </w:r>
      <w:r>
        <w:rPr>
          <w:rStyle w:val="VerbatimChar"/>
        </w:rPr>
        <w:t>E10_Transfert_de_la_garde</w:t>
      </w:r>
      <w:r>
        <w:t xml:space="preserve">, </w:t>
      </w:r>
      <w:r>
        <w:rPr>
          <w:rStyle w:val="VerbatimChar"/>
        </w:rPr>
        <w:t>P29_a_confié_la_garde_par</w:t>
      </w:r>
      <w:r>
        <w:t xml:space="preserve">, </w:t>
      </w:r>
      <w:r>
        <w:rPr>
          <w:rStyle w:val="VerbatimChar"/>
        </w:rPr>
        <w:t>E39_Actant</w:t>
      </w:r>
      <w:r>
        <w:t>.</w:t>
      </w:r>
    </w:p>
    <w:p w14:paraId="5BDA65A5" w14:textId="77777777" w:rsidR="00065317" w:rsidRDefault="005C7BF7">
      <w:pPr>
        <w:pStyle w:val="Corpsdetexte"/>
      </w:pPr>
      <w:r>
        <w:rPr>
          <w:b/>
          <w:bCs/>
        </w:rPr>
        <w:lastRenderedPageBreak/>
        <w:t>Exemples</w:t>
      </w:r>
    </w:p>
    <w:p w14:paraId="647A4501" w14:textId="77777777" w:rsidR="00065317" w:rsidRDefault="005C7BF7">
      <w:pPr>
        <w:numPr>
          <w:ilvl w:val="0"/>
          <w:numId w:val="189"/>
        </w:numPr>
      </w:pPr>
      <w:r>
        <w:t>Les œuvres peintes de la collection Iveagh Bequest (</w:t>
      </w:r>
      <w:r>
        <w:rPr>
          <w:rStyle w:val="VerbatimChar"/>
        </w:rPr>
        <w:t>E78_Collection</w:t>
      </w:r>
      <w:r>
        <w:t>) ont pour actant détenteur actuel (</w:t>
      </w:r>
      <w:r>
        <w:rPr>
          <w:rStyle w:val="VerbatimChar"/>
        </w:rPr>
        <w:t>P50_a_pour_actant_détenteur_actuel</w:t>
      </w:r>
      <w:r>
        <w:t>) la National Gallery (</w:t>
      </w:r>
      <w:r>
        <w:rPr>
          <w:rStyle w:val="VerbatimChar"/>
        </w:rPr>
        <w:t>E74_Groupe</w:t>
      </w:r>
      <w:r>
        <w:t>) (Iveagh Bequest, 1975)</w:t>
      </w:r>
    </w:p>
    <w:p w14:paraId="41B634F1" w14:textId="77777777" w:rsidR="00065317" w:rsidRDefault="005C7BF7">
      <w:pPr>
        <w:pStyle w:val="FirstParagraph"/>
      </w:pPr>
      <w:r>
        <w:rPr>
          <w:b/>
          <w:bCs/>
        </w:rPr>
        <w:t>Logique</w:t>
      </w:r>
    </w:p>
    <w:p w14:paraId="0619EBE1" w14:textId="77777777" w:rsidR="00065317" w:rsidRDefault="005C7BF7">
      <w:pPr>
        <w:pStyle w:val="Corpsdetexte"/>
      </w:pPr>
      <w:r>
        <w:t>P50(x,y) ⇒ E18(x)</w:t>
      </w:r>
    </w:p>
    <w:p w14:paraId="2B7AC08D" w14:textId="77777777" w:rsidR="00065317" w:rsidRDefault="005C7BF7">
      <w:pPr>
        <w:pStyle w:val="Corpsdetexte"/>
      </w:pPr>
      <w:r>
        <w:t>P50(x,y) ⇒ E39(y)</w:t>
      </w:r>
    </w:p>
    <w:p w14:paraId="1F39A256" w14:textId="77777777" w:rsidR="00065317" w:rsidRDefault="005C7BF7">
      <w:pPr>
        <w:pStyle w:val="Corpsdetexte"/>
      </w:pPr>
      <w:r>
        <w:t>P50(x,y) ⇒ P49(x,y)</w:t>
      </w:r>
    </w:p>
    <w:p w14:paraId="0115912B" w14:textId="4C0F14C2" w:rsidR="00065317" w:rsidRDefault="005C7BF7">
      <w:pPr>
        <w:pStyle w:val="Corpsdetexte"/>
      </w:pPr>
      <w:r>
        <w:t>P50(x,y) ⇐ (∃z) [[E10(z) ˄ P30i(x,z) ˄ P29(z,y)]</w:t>
      </w:r>
    </w:p>
    <w:p w14:paraId="336EBC85" w14:textId="77777777" w:rsidR="00065317" w:rsidRDefault="005C7BF7">
      <w:pPr>
        <w:pStyle w:val="Corpsdetexte"/>
      </w:pPr>
      <w:r>
        <w:t>˄ ¬ (∃w) [E10(w) ˄ P30i(x,w) ˄ P28(w,y)˄ P182(z,w)]]</w:t>
      </w:r>
    </w:p>
    <w:p w14:paraId="3A430000" w14:textId="77777777" w:rsidR="00065317" w:rsidRDefault="005C7BF7">
      <w:pPr>
        <w:pStyle w:val="Corpsdetexte"/>
      </w:pPr>
      <w:r>
        <w:rPr>
          <w:b/>
          <w:bCs/>
        </w:rPr>
        <w:t>Propriétés</w:t>
      </w:r>
    </w:p>
    <w:p w14:paraId="3763E27E" w14:textId="77777777" w:rsidR="00065317" w:rsidRDefault="005C7BF7">
      <w:pPr>
        <w:pStyle w:val="Normalcentr"/>
      </w:pPr>
      <w:r>
        <w:rPr>
          <w:b/>
          <w:bCs/>
          <w:i/>
          <w:iCs/>
        </w:rPr>
        <w:t>Note de traduction</w:t>
      </w:r>
    </w:p>
    <w:p w14:paraId="063D87FE" w14:textId="799C2CCA" w:rsidR="00065317" w:rsidRDefault="005C7BF7" w:rsidP="001155E9">
      <w:pPr>
        <w:pStyle w:val="Normalcentr"/>
      </w:pPr>
      <w:r>
        <w:rPr>
          <w:b/>
          <w:bCs/>
          <w:i/>
          <w:iCs/>
        </w:rPr>
        <w:t>Références</w:t>
      </w:r>
    </w:p>
    <w:p w14:paraId="0196D92B" w14:textId="2755EA87" w:rsidR="00065317" w:rsidRDefault="005C7BF7" w:rsidP="00DD1219">
      <w:pPr>
        <w:pStyle w:val="Titre3"/>
      </w:pPr>
      <w:bookmarkStart w:id="362" w:name="_Toc154048866"/>
      <w:bookmarkStart w:id="363" w:name="Xa136e64a13ec73d4bf29232b0e656483e4ed856"/>
      <w:bookmarkEnd w:id="361"/>
      <w:r>
        <w:t>P51 a pour propriétaire actuel ou antérieur (est l</w:t>
      </w:r>
      <w:r w:rsidR="00E84B0E">
        <w:t>’</w:t>
      </w:r>
      <w:r>
        <w:t>actant propriétaire actuel ou antérieur de)</w:t>
      </w:r>
      <w:bookmarkEnd w:id="362"/>
    </w:p>
    <w:p w14:paraId="1315FB73" w14:textId="77777777" w:rsidR="00065317" w:rsidRDefault="005C7BF7">
      <w:pPr>
        <w:pStyle w:val="FirstParagraph"/>
      </w:pPr>
      <w:r>
        <w:rPr>
          <w:b/>
          <w:bCs/>
        </w:rPr>
        <w:t>Domaine</w:t>
      </w:r>
    </w:p>
    <w:p w14:paraId="4D5C206D" w14:textId="77777777" w:rsidR="00065317" w:rsidRDefault="005C7BF7">
      <w:pPr>
        <w:pStyle w:val="Corpsdetexte"/>
      </w:pPr>
      <w:r>
        <w:rPr>
          <w:rStyle w:val="VerbatimChar"/>
        </w:rPr>
        <w:t>E18_Chose_matérielle</w:t>
      </w:r>
    </w:p>
    <w:p w14:paraId="6254DD09" w14:textId="77777777" w:rsidR="00065317" w:rsidRDefault="005C7BF7">
      <w:pPr>
        <w:pStyle w:val="Corpsdetexte"/>
      </w:pPr>
      <w:r>
        <w:rPr>
          <w:b/>
          <w:bCs/>
        </w:rPr>
        <w:t>Portée</w:t>
      </w:r>
    </w:p>
    <w:p w14:paraId="57B1DCC4" w14:textId="776F4B2C" w:rsidR="00144B23" w:rsidRDefault="005C7BF7">
      <w:pPr>
        <w:pStyle w:val="Corpsdetexte"/>
        <w:rPr>
          <w:b/>
          <w:bCs/>
        </w:rPr>
      </w:pPr>
      <w:r>
        <w:rPr>
          <w:rStyle w:val="VerbatimChar"/>
        </w:rPr>
        <w:t>E39_Actant</w:t>
      </w:r>
    </w:p>
    <w:p w14:paraId="4B0E9EE7" w14:textId="5F9AFB91" w:rsidR="00065317" w:rsidRDefault="005C7BF7">
      <w:pPr>
        <w:pStyle w:val="Corpsdetexte"/>
      </w:pPr>
      <w:r>
        <w:rPr>
          <w:b/>
          <w:bCs/>
        </w:rPr>
        <w:t>Sous-propriété de</w:t>
      </w:r>
    </w:p>
    <w:p w14:paraId="0AF2DA9D" w14:textId="77777777" w:rsidR="00065317" w:rsidRDefault="005C7BF7">
      <w:pPr>
        <w:pStyle w:val="Corpsdetexte"/>
      </w:pPr>
      <w:r>
        <w:rPr>
          <w:b/>
          <w:bCs/>
        </w:rPr>
        <w:t>Super-propriété de</w:t>
      </w:r>
    </w:p>
    <w:p w14:paraId="21B97295" w14:textId="03A3D8B0" w:rsidR="00065317" w:rsidRDefault="005C7BF7">
      <w:pPr>
        <w:pStyle w:val="Corpsdetexte"/>
      </w:pPr>
      <w:r>
        <w:rPr>
          <w:rStyle w:val="VerbatimChar"/>
        </w:rPr>
        <w:t>E18_Chose_matérielle</w:t>
      </w:r>
      <w:r>
        <w:t xml:space="preserve">. </w:t>
      </w:r>
      <w:r>
        <w:rPr>
          <w:rStyle w:val="VerbatimChar"/>
        </w:rPr>
        <w:t>P52_a_pour_propriétaire_actuel (est_l</w:t>
      </w:r>
      <w:r w:rsidR="00E84B0E">
        <w:rPr>
          <w:rStyle w:val="VerbatimChar"/>
        </w:rPr>
        <w:t>’</w:t>
      </w:r>
      <w:r>
        <w:rPr>
          <w:rStyle w:val="VerbatimChar"/>
        </w:rPr>
        <w:t>actant_propriétaire_actuel_de)</w:t>
      </w:r>
      <w:r w:rsidR="00C97359">
        <w:t> </w:t>
      </w:r>
      <w:r>
        <w:t xml:space="preserve">: </w:t>
      </w:r>
      <w:r>
        <w:rPr>
          <w:rStyle w:val="VerbatimChar"/>
        </w:rPr>
        <w:t>E39_Actant</w:t>
      </w:r>
    </w:p>
    <w:p w14:paraId="626D84C9" w14:textId="77777777" w:rsidR="00065317" w:rsidRDefault="005C7BF7">
      <w:pPr>
        <w:pStyle w:val="Corpsdetexte"/>
      </w:pPr>
      <w:r>
        <w:rPr>
          <w:b/>
          <w:bCs/>
        </w:rPr>
        <w:t>Quantification</w:t>
      </w:r>
    </w:p>
    <w:p w14:paraId="1E8BF7E0" w14:textId="77777777" w:rsidR="00065317" w:rsidRDefault="005C7BF7">
      <w:pPr>
        <w:pStyle w:val="Corpsdetexte"/>
      </w:pPr>
      <w:r>
        <w:t>plusieurs à plusieurs (0,n:0,n)</w:t>
      </w:r>
    </w:p>
    <w:p w14:paraId="7AB11294" w14:textId="3A2CEB53" w:rsidR="00065317" w:rsidRDefault="005C7BF7">
      <w:pPr>
        <w:pStyle w:val="Corpsdetexte"/>
      </w:pPr>
      <w:r>
        <w:rPr>
          <w:b/>
          <w:bCs/>
        </w:rPr>
        <w:t>Note d</w:t>
      </w:r>
      <w:r w:rsidR="00E84B0E">
        <w:rPr>
          <w:b/>
          <w:bCs/>
        </w:rPr>
        <w:t>’</w:t>
      </w:r>
      <w:r>
        <w:rPr>
          <w:b/>
          <w:bCs/>
        </w:rPr>
        <w:t>application</w:t>
      </w:r>
    </w:p>
    <w:p w14:paraId="7622BF88" w14:textId="3341ED2C" w:rsidR="00065317" w:rsidRDefault="005C7BF7">
      <w:pPr>
        <w:pStyle w:val="Corpsdetexte"/>
      </w:pPr>
      <w:r>
        <w:t>Cette propriété identifie l</w:t>
      </w:r>
      <w:r w:rsidR="00E84B0E">
        <w:t>’</w:t>
      </w:r>
      <w:r>
        <w:t xml:space="preserve">instance de </w:t>
      </w:r>
      <w:r>
        <w:rPr>
          <w:rStyle w:val="VerbatimChar"/>
        </w:rPr>
        <w:t>E39_Actant</w:t>
      </w:r>
      <w:r>
        <w:t xml:space="preserve"> qui est ou qui a été le propriétaire légal (c.-à-d. le détenteur du titre de propriété) d</w:t>
      </w:r>
      <w:r w:rsidR="00E84B0E">
        <w:t>’</w:t>
      </w:r>
      <w:r>
        <w:t xml:space="preserve">une instance de </w:t>
      </w:r>
      <w:r>
        <w:rPr>
          <w:rStyle w:val="VerbatimChar"/>
        </w:rPr>
        <w:t>E18_Chose_matérielle</w:t>
      </w:r>
      <w:r>
        <w:t xml:space="preserve"> à un moment donné.</w:t>
      </w:r>
    </w:p>
    <w:p w14:paraId="2E1AC9B5" w14:textId="7E45F5B2" w:rsidR="00065317" w:rsidRDefault="005C7BF7">
      <w:pPr>
        <w:pStyle w:val="Corpsdetexte"/>
      </w:pPr>
      <w:r>
        <w:t xml:space="preserve">La distinction avec </w:t>
      </w:r>
      <w:r>
        <w:rPr>
          <w:rStyle w:val="VerbatimChar"/>
        </w:rPr>
        <w:t>P52_a_pour_propriétaire_actuel (est_l</w:t>
      </w:r>
      <w:r w:rsidR="00E84B0E">
        <w:rPr>
          <w:rStyle w:val="VerbatimChar"/>
        </w:rPr>
        <w:t>’</w:t>
      </w:r>
      <w:r>
        <w:rPr>
          <w:rStyle w:val="VerbatimChar"/>
        </w:rPr>
        <w:t>actant_propriétaire_actuel_de)</w:t>
      </w:r>
      <w:r>
        <w:t xml:space="preserve"> est le fait que </w:t>
      </w:r>
      <w:r>
        <w:rPr>
          <w:rStyle w:val="VerbatimChar"/>
        </w:rPr>
        <w:t>P51_a_pour_propriétaire_actuel_ou_antérieur (est_l</w:t>
      </w:r>
      <w:r w:rsidR="00E84B0E">
        <w:rPr>
          <w:rStyle w:val="VerbatimChar"/>
        </w:rPr>
        <w:t>’</w:t>
      </w:r>
      <w:r>
        <w:rPr>
          <w:rStyle w:val="VerbatimChar"/>
        </w:rPr>
        <w:t>actant_propriétaire_actuel_ou_antérieur_de)</w:t>
      </w:r>
      <w:r>
        <w:t xml:space="preserve"> ne précise pas si le ou les propriétaires indiqués sont actuels.</w:t>
      </w:r>
    </w:p>
    <w:p w14:paraId="1C001BA6" w14:textId="77777777" w:rsidR="00F54917" w:rsidRDefault="00F54917">
      <w:pPr>
        <w:spacing w:after="0"/>
      </w:pPr>
      <w:r>
        <w:br w:type="page"/>
      </w:r>
    </w:p>
    <w:p w14:paraId="54B8DDA0" w14:textId="4EB8A0DD" w:rsidR="00065317" w:rsidRDefault="005C7BF7">
      <w:pPr>
        <w:pStyle w:val="Corpsdetexte"/>
      </w:pPr>
      <w:r>
        <w:lastRenderedPageBreak/>
        <w:t>Cette propriété est un raccourci du chemin sémantique suivant :</w:t>
      </w:r>
    </w:p>
    <w:p w14:paraId="531B17CB" w14:textId="77777777" w:rsidR="00065317" w:rsidRDefault="005C7BF7">
      <w:pPr>
        <w:pStyle w:val="Corpsdetexte"/>
      </w:pPr>
      <w:r>
        <w:rPr>
          <w:rStyle w:val="VerbatimChar"/>
        </w:rPr>
        <w:t>E18_Chose_matérielle</w:t>
      </w:r>
      <w:r>
        <w:t xml:space="preserve">, </w:t>
      </w:r>
      <w:r>
        <w:rPr>
          <w:rStyle w:val="VerbatimChar"/>
        </w:rPr>
        <w:t>P24i__changé_de_propriétaire_par</w:t>
      </w:r>
      <w:r>
        <w:t xml:space="preserve">, </w:t>
      </w:r>
      <w:r>
        <w:rPr>
          <w:rStyle w:val="VerbatimChar"/>
        </w:rPr>
        <w:t>E8_Acquisition</w:t>
      </w:r>
      <w:r>
        <w:t xml:space="preserve">, </w:t>
      </w:r>
      <w:r>
        <w:rPr>
          <w:rStyle w:val="VerbatimChar"/>
        </w:rPr>
        <w:t>P23_a_transféré_le_titre_de_propriété_de</w:t>
      </w:r>
      <w:r>
        <w:t xml:space="preserve"> (ou </w:t>
      </w:r>
      <w:r>
        <w:rPr>
          <w:rStyle w:val="VerbatimChar"/>
        </w:rPr>
        <w:t>P22_a_transféré_le_titre_de_propriété_à</w:t>
      </w:r>
      <w:r>
        <w:t xml:space="preserve">), </w:t>
      </w:r>
      <w:r>
        <w:rPr>
          <w:rStyle w:val="VerbatimChar"/>
        </w:rPr>
        <w:t>E39_Actant</w:t>
      </w:r>
      <w:r>
        <w:t>.</w:t>
      </w:r>
    </w:p>
    <w:p w14:paraId="516CAA53" w14:textId="77777777" w:rsidR="00065317" w:rsidRDefault="005C7BF7">
      <w:pPr>
        <w:pStyle w:val="Corpsdetexte"/>
      </w:pPr>
      <w:r>
        <w:rPr>
          <w:b/>
          <w:bCs/>
        </w:rPr>
        <w:t>Exemples</w:t>
      </w:r>
    </w:p>
    <w:p w14:paraId="50CF1B5A" w14:textId="77777777" w:rsidR="00065317" w:rsidRDefault="005C7BF7">
      <w:pPr>
        <w:numPr>
          <w:ilvl w:val="0"/>
          <w:numId w:val="190"/>
        </w:numPr>
      </w:pPr>
      <w:r>
        <w:t>Les œuvres peintes de la collection Iveagh Bequest (</w:t>
      </w:r>
      <w:r>
        <w:rPr>
          <w:rStyle w:val="VerbatimChar"/>
        </w:rPr>
        <w:t>E78_Collection</w:t>
      </w:r>
      <w:r>
        <w:t>) ont pour propriétaire actuel ou antérieur (</w:t>
      </w:r>
      <w:r>
        <w:rPr>
          <w:rStyle w:val="VerbatimChar"/>
        </w:rPr>
        <w:t>P51_a_pour_propriétaire_actuel_ou_antérieur</w:t>
      </w:r>
      <w:r>
        <w:t>) Lord Iveagh (</w:t>
      </w:r>
      <w:r>
        <w:rPr>
          <w:rStyle w:val="VerbatimChar"/>
        </w:rPr>
        <w:t>E21_Personne</w:t>
      </w:r>
      <w:r>
        <w:t>) (Bryant, 1990)</w:t>
      </w:r>
    </w:p>
    <w:p w14:paraId="3459266F" w14:textId="77777777" w:rsidR="00065317" w:rsidRDefault="005C7BF7">
      <w:pPr>
        <w:pStyle w:val="FirstParagraph"/>
      </w:pPr>
      <w:r>
        <w:rPr>
          <w:b/>
          <w:bCs/>
        </w:rPr>
        <w:t>Logique</w:t>
      </w:r>
    </w:p>
    <w:p w14:paraId="5B2448E3" w14:textId="77777777" w:rsidR="00065317" w:rsidRDefault="005C7BF7">
      <w:pPr>
        <w:pStyle w:val="Corpsdetexte"/>
      </w:pPr>
      <w:r>
        <w:t>P51(x,y) ⇒ E18(x)</w:t>
      </w:r>
    </w:p>
    <w:p w14:paraId="1A0D2121" w14:textId="77777777" w:rsidR="00065317" w:rsidRDefault="005C7BF7">
      <w:pPr>
        <w:pStyle w:val="Corpsdetexte"/>
      </w:pPr>
      <w:r>
        <w:t>P51(x,y) ⇒ E39(y)</w:t>
      </w:r>
    </w:p>
    <w:p w14:paraId="04BCC1B7" w14:textId="77777777" w:rsidR="00065317" w:rsidRDefault="005C7BF7">
      <w:pPr>
        <w:pStyle w:val="Corpsdetexte"/>
      </w:pPr>
      <w:r>
        <w:t>P51(x,y) ⇐ (∃z) [E8(z) ˄ P24i(x,z) ˄ [P23(z,y) ˅ P22(z,y) ]]</w:t>
      </w:r>
    </w:p>
    <w:p w14:paraId="58602AF9" w14:textId="77777777" w:rsidR="00065317" w:rsidRDefault="005C7BF7">
      <w:pPr>
        <w:pStyle w:val="Corpsdetexte"/>
      </w:pPr>
      <w:r>
        <w:rPr>
          <w:b/>
          <w:bCs/>
        </w:rPr>
        <w:t>Propriétés</w:t>
      </w:r>
    </w:p>
    <w:p w14:paraId="7C5D73B6" w14:textId="77777777" w:rsidR="00065317" w:rsidRDefault="005C7BF7">
      <w:pPr>
        <w:pStyle w:val="Normalcentr"/>
      </w:pPr>
      <w:r>
        <w:rPr>
          <w:b/>
          <w:bCs/>
          <w:i/>
          <w:iCs/>
        </w:rPr>
        <w:t>Note de traduction</w:t>
      </w:r>
    </w:p>
    <w:p w14:paraId="6211A3CB" w14:textId="3FBC9B99" w:rsidR="00065317" w:rsidRDefault="005C7BF7" w:rsidP="001155E9">
      <w:pPr>
        <w:pStyle w:val="Normalcentr"/>
      </w:pPr>
      <w:r>
        <w:rPr>
          <w:b/>
          <w:bCs/>
          <w:i/>
          <w:iCs/>
        </w:rPr>
        <w:t>Références</w:t>
      </w:r>
    </w:p>
    <w:p w14:paraId="59C59D07" w14:textId="74049756" w:rsidR="00065317" w:rsidRDefault="005C7BF7" w:rsidP="00914F34">
      <w:pPr>
        <w:pStyle w:val="Titre3"/>
      </w:pPr>
      <w:bookmarkStart w:id="364" w:name="_Toc154048867"/>
      <w:bookmarkStart w:id="365" w:name="Xf01268bbaf1fc9eb98ea41bac73271042f6252f"/>
      <w:bookmarkEnd w:id="363"/>
      <w:r>
        <w:t>P52 a pour propriétaire actuel (est l</w:t>
      </w:r>
      <w:r w:rsidR="00E84B0E">
        <w:t>’</w:t>
      </w:r>
      <w:r>
        <w:t>actant propriétaire actuel de)</w:t>
      </w:r>
      <w:bookmarkEnd w:id="364"/>
    </w:p>
    <w:p w14:paraId="0D26002B" w14:textId="77777777" w:rsidR="00065317" w:rsidRDefault="005C7BF7">
      <w:pPr>
        <w:pStyle w:val="FirstParagraph"/>
      </w:pPr>
      <w:r>
        <w:rPr>
          <w:b/>
          <w:bCs/>
        </w:rPr>
        <w:t>Domaine</w:t>
      </w:r>
    </w:p>
    <w:p w14:paraId="05E1374F" w14:textId="77777777" w:rsidR="00065317" w:rsidRDefault="005C7BF7">
      <w:pPr>
        <w:pStyle w:val="Corpsdetexte"/>
      </w:pPr>
      <w:r>
        <w:rPr>
          <w:rStyle w:val="VerbatimChar"/>
        </w:rPr>
        <w:t>E18_Chose_matérielle</w:t>
      </w:r>
    </w:p>
    <w:p w14:paraId="2C138254" w14:textId="77777777" w:rsidR="00065317" w:rsidRDefault="005C7BF7">
      <w:pPr>
        <w:pStyle w:val="Corpsdetexte"/>
      </w:pPr>
      <w:r>
        <w:rPr>
          <w:b/>
          <w:bCs/>
        </w:rPr>
        <w:t>Portée</w:t>
      </w:r>
    </w:p>
    <w:p w14:paraId="0BECE8AC" w14:textId="41AA173F" w:rsidR="00144B23" w:rsidRDefault="005C7BF7">
      <w:pPr>
        <w:pStyle w:val="Corpsdetexte"/>
        <w:rPr>
          <w:b/>
          <w:bCs/>
        </w:rPr>
      </w:pPr>
      <w:r>
        <w:rPr>
          <w:rStyle w:val="VerbatimChar"/>
        </w:rPr>
        <w:t>E39_Actant</w:t>
      </w:r>
    </w:p>
    <w:p w14:paraId="39999E5D" w14:textId="5D6F250A" w:rsidR="00065317" w:rsidRDefault="005C7BF7">
      <w:pPr>
        <w:pStyle w:val="Corpsdetexte"/>
      </w:pPr>
      <w:r>
        <w:rPr>
          <w:b/>
          <w:bCs/>
        </w:rPr>
        <w:t>Sous-propriété de</w:t>
      </w:r>
    </w:p>
    <w:p w14:paraId="555D15C6" w14:textId="7063C08A" w:rsidR="00065317" w:rsidRDefault="005C7BF7">
      <w:pPr>
        <w:pStyle w:val="Corpsdetexte"/>
      </w:pPr>
      <w:r>
        <w:rPr>
          <w:rStyle w:val="VerbatimChar"/>
        </w:rPr>
        <w:t>E18_Chose_matérielle</w:t>
      </w:r>
      <w:r>
        <w:t xml:space="preserve">. </w:t>
      </w:r>
      <w:r>
        <w:rPr>
          <w:rStyle w:val="VerbatimChar"/>
        </w:rPr>
        <w:t>P51_a_pour_propriétaire_actuel_ou_antérieur (est_l</w:t>
      </w:r>
      <w:r w:rsidR="00E84B0E">
        <w:rPr>
          <w:rStyle w:val="VerbatimChar"/>
        </w:rPr>
        <w:t>’</w:t>
      </w:r>
      <w:r>
        <w:rPr>
          <w:rStyle w:val="VerbatimChar"/>
        </w:rPr>
        <w:t>actant_propriétaire_actuel_ou_antérieur_de)</w:t>
      </w:r>
      <w:r>
        <w:t xml:space="preserve"> : </w:t>
      </w:r>
      <w:r>
        <w:rPr>
          <w:rStyle w:val="VerbatimChar"/>
        </w:rPr>
        <w:t>E39_Actant</w:t>
      </w:r>
    </w:p>
    <w:p w14:paraId="6F192B69" w14:textId="77777777" w:rsidR="00065317" w:rsidRDefault="005C7BF7">
      <w:pPr>
        <w:pStyle w:val="Corpsdetexte"/>
      </w:pPr>
      <w:r>
        <w:rPr>
          <w:rStyle w:val="VerbatimChar"/>
        </w:rPr>
        <w:t>E72_Objet_juridique</w:t>
      </w:r>
      <w:r>
        <w:t xml:space="preserve">. </w:t>
      </w:r>
      <w:r>
        <w:rPr>
          <w:rStyle w:val="VerbatimChar"/>
        </w:rPr>
        <w:t>P105_droit_détenu_par (détient_le_droit_sur)</w:t>
      </w:r>
      <w:r>
        <w:t xml:space="preserve"> : </w:t>
      </w:r>
      <w:r>
        <w:rPr>
          <w:rStyle w:val="VerbatimChar"/>
        </w:rPr>
        <w:t>E39_Actant</w:t>
      </w:r>
    </w:p>
    <w:p w14:paraId="33A35D39" w14:textId="77777777" w:rsidR="00065317" w:rsidRDefault="005C7BF7">
      <w:pPr>
        <w:pStyle w:val="Corpsdetexte"/>
      </w:pPr>
      <w:r>
        <w:rPr>
          <w:b/>
          <w:bCs/>
        </w:rPr>
        <w:t>Super-propriété de</w:t>
      </w:r>
    </w:p>
    <w:p w14:paraId="1D3C13C6" w14:textId="77777777" w:rsidR="00065317" w:rsidRDefault="005C7BF7">
      <w:pPr>
        <w:pStyle w:val="Corpsdetexte"/>
      </w:pPr>
      <w:r>
        <w:rPr>
          <w:b/>
          <w:bCs/>
        </w:rPr>
        <w:t>Quantification</w:t>
      </w:r>
    </w:p>
    <w:p w14:paraId="24CF5205" w14:textId="77777777" w:rsidR="00065317" w:rsidRDefault="005C7BF7">
      <w:pPr>
        <w:pStyle w:val="Corpsdetexte"/>
      </w:pPr>
      <w:r>
        <w:t>plusieurs à plusieurs (0,n:0,n)</w:t>
      </w:r>
    </w:p>
    <w:p w14:paraId="408A6168" w14:textId="16C34772" w:rsidR="00065317" w:rsidRDefault="005C7BF7">
      <w:pPr>
        <w:pStyle w:val="Corpsdetexte"/>
      </w:pPr>
      <w:r>
        <w:rPr>
          <w:b/>
          <w:bCs/>
        </w:rPr>
        <w:t>Note d</w:t>
      </w:r>
      <w:r w:rsidR="00E84B0E">
        <w:rPr>
          <w:b/>
          <w:bCs/>
        </w:rPr>
        <w:t>’</w:t>
      </w:r>
      <w:r>
        <w:rPr>
          <w:b/>
          <w:bCs/>
        </w:rPr>
        <w:t>application</w:t>
      </w:r>
    </w:p>
    <w:p w14:paraId="17C7B996" w14:textId="172EEBCA" w:rsidR="00065317" w:rsidRDefault="005C7BF7">
      <w:pPr>
        <w:pStyle w:val="Corpsdetexte"/>
      </w:pPr>
      <w:r>
        <w:t>Cette propriété identifie l</w:t>
      </w:r>
      <w:r w:rsidR="00E84B0E">
        <w:t>’</w:t>
      </w:r>
      <w:r>
        <w:t xml:space="preserve">instance de </w:t>
      </w:r>
      <w:r>
        <w:rPr>
          <w:rStyle w:val="VerbatimChar"/>
        </w:rPr>
        <w:t>E21_Personne</w:t>
      </w:r>
      <w:r>
        <w:t xml:space="preserve"> ou de </w:t>
      </w:r>
      <w:r>
        <w:rPr>
          <w:rStyle w:val="VerbatimChar"/>
        </w:rPr>
        <w:t>E74_Groupe</w:t>
      </w:r>
      <w:r>
        <w:t xml:space="preserve"> qui était propriétaire d</w:t>
      </w:r>
      <w:r w:rsidR="00E84B0E">
        <w:t>’</w:t>
      </w:r>
      <w:r>
        <w:t xml:space="preserve">une instance de </w:t>
      </w:r>
      <w:r>
        <w:rPr>
          <w:rStyle w:val="VerbatimChar"/>
        </w:rPr>
        <w:t>E18_Chose_matérielle</w:t>
      </w:r>
      <w:r>
        <w:t xml:space="preserve"> au moment où l</w:t>
      </w:r>
      <w:r w:rsidR="00E84B0E">
        <w:t>’</w:t>
      </w:r>
      <w:r>
        <w:t>information dans l</w:t>
      </w:r>
      <w:r w:rsidR="00E84B0E">
        <w:t>’</w:t>
      </w:r>
      <w:r>
        <w:t>enregistrement ou la base de données contenant l</w:t>
      </w:r>
      <w:r w:rsidR="00E84B0E">
        <w:t>’</w:t>
      </w:r>
      <w:r>
        <w:t>énoncé décrit par cette propriété était considérée valide.</w:t>
      </w:r>
    </w:p>
    <w:p w14:paraId="64276B0F" w14:textId="0DAD9328" w:rsidR="00065317" w:rsidRDefault="005C7BF7">
      <w:pPr>
        <w:pStyle w:val="Corpsdetexte"/>
      </w:pPr>
      <w:r>
        <w:t xml:space="preserve">Cette propriété est un raccourci du chemin sémantique suivant : </w:t>
      </w:r>
      <w:r>
        <w:rPr>
          <w:rStyle w:val="VerbatimChar"/>
        </w:rPr>
        <w:t>E18_Chose_matérielle</w:t>
      </w:r>
      <w:r>
        <w:t xml:space="preserve">, </w:t>
      </w:r>
      <w:r>
        <w:rPr>
          <w:rStyle w:val="VerbatimChar"/>
        </w:rPr>
        <w:t>P24i_a_changé_de_propriétaire_par</w:t>
      </w:r>
      <w:r>
        <w:t xml:space="preserve">, </w:t>
      </w:r>
      <w:r>
        <w:rPr>
          <w:rStyle w:val="VerbatimChar"/>
        </w:rPr>
        <w:t>E8_Acquisition</w:t>
      </w:r>
      <w:r>
        <w:t xml:space="preserve">, </w:t>
      </w:r>
      <w:r>
        <w:rPr>
          <w:rStyle w:val="VerbatimChar"/>
        </w:rPr>
        <w:t>P22_a_transféré_le_titre_de_propriété_à</w:t>
      </w:r>
      <w:r>
        <w:t xml:space="preserve">, </w:t>
      </w:r>
      <w:r>
        <w:rPr>
          <w:rStyle w:val="VerbatimChar"/>
        </w:rPr>
        <w:t>E39_Actant</w:t>
      </w:r>
      <w:r>
        <w:t>, si et seulement si l</w:t>
      </w:r>
      <w:r w:rsidR="00E84B0E">
        <w:t>’</w:t>
      </w:r>
      <w:r>
        <w:t>évènement d</w:t>
      </w:r>
      <w:r w:rsidR="00E84B0E">
        <w:t>’</w:t>
      </w:r>
      <w:r>
        <w:t>acquisition est le plus récent.</w:t>
      </w:r>
    </w:p>
    <w:p w14:paraId="42848EDC" w14:textId="77777777" w:rsidR="00F54917" w:rsidRDefault="00F54917">
      <w:pPr>
        <w:spacing w:after="0"/>
        <w:rPr>
          <w:b/>
          <w:bCs/>
        </w:rPr>
      </w:pPr>
      <w:r>
        <w:rPr>
          <w:b/>
          <w:bCs/>
        </w:rPr>
        <w:br w:type="page"/>
      </w:r>
    </w:p>
    <w:p w14:paraId="574307CC" w14:textId="4B316F38" w:rsidR="00065317" w:rsidRDefault="005C7BF7">
      <w:pPr>
        <w:pStyle w:val="Corpsdetexte"/>
      </w:pPr>
      <w:r>
        <w:rPr>
          <w:b/>
          <w:bCs/>
        </w:rPr>
        <w:lastRenderedPageBreak/>
        <w:t>Exemples</w:t>
      </w:r>
    </w:p>
    <w:p w14:paraId="418F05C9" w14:textId="354A9D7C" w:rsidR="00065317" w:rsidRDefault="005C7BF7">
      <w:pPr>
        <w:numPr>
          <w:ilvl w:val="0"/>
          <w:numId w:val="191"/>
        </w:numPr>
      </w:pPr>
      <w:r>
        <w:t>Les œuvres peintes de la collection Iveagh Bequest (</w:t>
      </w:r>
      <w:r>
        <w:rPr>
          <w:rStyle w:val="VerbatimChar"/>
        </w:rPr>
        <w:t>E78_Collection</w:t>
      </w:r>
      <w:r>
        <w:t>) ont pour propriétaire actuel (</w:t>
      </w:r>
      <w:r>
        <w:rPr>
          <w:rStyle w:val="VerbatimChar"/>
        </w:rPr>
        <w:t>P52_a_pour_propriétaire_actuel</w:t>
      </w:r>
      <w:r>
        <w:t>) Historic England (</w:t>
      </w:r>
      <w:r>
        <w:rPr>
          <w:rStyle w:val="VerbatimChar"/>
        </w:rPr>
        <w:t>E74_Groupe</w:t>
      </w:r>
      <w:r>
        <w:t>) [</w:t>
      </w:r>
      <w:r w:rsidR="00714434">
        <w:t>Cela</w:t>
      </w:r>
      <w:r>
        <w:t xml:space="preserve"> est valide en 2021 EC. L</w:t>
      </w:r>
      <w:r w:rsidR="00E84B0E">
        <w:t>’</w:t>
      </w:r>
      <w:r>
        <w:t>importante collection des maîtres anciens et des portraits de Britanniques a été léguée à Kenwood par Edward Cecil Guinness, 1</w:t>
      </w:r>
      <w:r>
        <w:rPr>
          <w:vertAlign w:val="superscript"/>
        </w:rPr>
        <w:t>er</w:t>
      </w:r>
      <w:r>
        <w:t xml:space="preserve"> comte d</w:t>
      </w:r>
      <w:r w:rsidR="00E84B0E">
        <w:t>’</w:t>
      </w:r>
      <w:r>
        <w:t>Iveagh en 1927] (Iveagh Bequest, 1975; Bryant, 1990)</w:t>
      </w:r>
    </w:p>
    <w:p w14:paraId="26DDC058" w14:textId="77777777" w:rsidR="00065317" w:rsidRDefault="005C7BF7">
      <w:pPr>
        <w:pStyle w:val="FirstParagraph"/>
      </w:pPr>
      <w:r>
        <w:rPr>
          <w:b/>
          <w:bCs/>
        </w:rPr>
        <w:t>Logique</w:t>
      </w:r>
    </w:p>
    <w:p w14:paraId="2428BF05" w14:textId="77777777" w:rsidR="00065317" w:rsidRDefault="005C7BF7">
      <w:pPr>
        <w:pStyle w:val="Corpsdetexte"/>
      </w:pPr>
      <w:r>
        <w:t>P52(x,y) ⇒ E18(x)</w:t>
      </w:r>
    </w:p>
    <w:p w14:paraId="4A34EE7E" w14:textId="77777777" w:rsidR="00065317" w:rsidRDefault="005C7BF7">
      <w:pPr>
        <w:pStyle w:val="Corpsdetexte"/>
      </w:pPr>
      <w:r>
        <w:t>P52(x,y) ⇒ E39(y)</w:t>
      </w:r>
    </w:p>
    <w:p w14:paraId="6BAE4325" w14:textId="77777777" w:rsidR="00065317" w:rsidRDefault="005C7BF7">
      <w:pPr>
        <w:pStyle w:val="Corpsdetexte"/>
      </w:pPr>
      <w:r>
        <w:t>P52(x,y) ⇒ P51(x,y)</w:t>
      </w:r>
    </w:p>
    <w:p w14:paraId="1752C773" w14:textId="77777777" w:rsidR="00065317" w:rsidRDefault="005C7BF7">
      <w:pPr>
        <w:pStyle w:val="Corpsdetexte"/>
      </w:pPr>
      <w:r>
        <w:t>P52(x,y) ⇒ P105(x,y)</w:t>
      </w:r>
    </w:p>
    <w:p w14:paraId="5DBA348F" w14:textId="0A887079" w:rsidR="00065317" w:rsidRDefault="005C7BF7">
      <w:pPr>
        <w:pStyle w:val="Corpsdetexte"/>
      </w:pPr>
      <w:r>
        <w:t>P52(x,y) ⇐ (∃z) [[E8(z) ˄ P24i(x,z) ˄ P22(z,y)]</w:t>
      </w:r>
    </w:p>
    <w:p w14:paraId="4B7F2B1D" w14:textId="77777777" w:rsidR="00065317" w:rsidRDefault="005C7BF7">
      <w:pPr>
        <w:pStyle w:val="Corpsdetexte"/>
      </w:pPr>
      <w:r>
        <w:t>˄ ¬ (∃w) [E8(w) ˄ P24i(x,w) ˄ P23(w,y)˄ P182(z,w)]]</w:t>
      </w:r>
    </w:p>
    <w:p w14:paraId="68A5D737" w14:textId="77777777" w:rsidR="00065317" w:rsidRDefault="005C7BF7">
      <w:pPr>
        <w:pStyle w:val="Corpsdetexte"/>
      </w:pPr>
      <w:r>
        <w:rPr>
          <w:b/>
          <w:bCs/>
        </w:rPr>
        <w:t>Propriétés</w:t>
      </w:r>
    </w:p>
    <w:p w14:paraId="3D3E5776" w14:textId="77777777" w:rsidR="00065317" w:rsidRDefault="005C7BF7">
      <w:pPr>
        <w:pStyle w:val="Normalcentr"/>
      </w:pPr>
      <w:r>
        <w:rPr>
          <w:b/>
          <w:bCs/>
          <w:i/>
          <w:iCs/>
        </w:rPr>
        <w:t>Note de traduction</w:t>
      </w:r>
    </w:p>
    <w:p w14:paraId="005DC24C" w14:textId="2F4F7DF1" w:rsidR="00065317" w:rsidRDefault="005C7BF7" w:rsidP="001155E9">
      <w:pPr>
        <w:pStyle w:val="Normalcentr"/>
      </w:pPr>
      <w:r>
        <w:rPr>
          <w:b/>
          <w:bCs/>
          <w:i/>
          <w:iCs/>
        </w:rPr>
        <w:t>Références</w:t>
      </w:r>
    </w:p>
    <w:p w14:paraId="27F37CDB" w14:textId="77777777" w:rsidR="00065317" w:rsidRDefault="005C7BF7" w:rsidP="00914F34">
      <w:pPr>
        <w:pStyle w:val="Titre3"/>
      </w:pPr>
      <w:bookmarkStart w:id="366" w:name="_Toc154048868"/>
      <w:bookmarkStart w:id="367" w:name="X3eb8dd7b8a5930f317732f87547f6987728f348"/>
      <w:bookmarkEnd w:id="365"/>
      <w:r>
        <w:t>P53 a pour localisation actuelle ou antérieure (est la localisation actuelle ou antérieure de)</w:t>
      </w:r>
      <w:bookmarkEnd w:id="366"/>
    </w:p>
    <w:p w14:paraId="4309AD95" w14:textId="77777777" w:rsidR="00065317" w:rsidRDefault="005C7BF7">
      <w:pPr>
        <w:pStyle w:val="FirstParagraph"/>
      </w:pPr>
      <w:r>
        <w:rPr>
          <w:b/>
          <w:bCs/>
        </w:rPr>
        <w:t>Domaine</w:t>
      </w:r>
    </w:p>
    <w:p w14:paraId="6555150D" w14:textId="77777777" w:rsidR="00065317" w:rsidRDefault="005C7BF7">
      <w:pPr>
        <w:pStyle w:val="Corpsdetexte"/>
      </w:pPr>
      <w:r>
        <w:rPr>
          <w:rStyle w:val="VerbatimChar"/>
        </w:rPr>
        <w:t>E18_Chose_matérielle</w:t>
      </w:r>
    </w:p>
    <w:p w14:paraId="0C159175" w14:textId="77777777" w:rsidR="00065317" w:rsidRDefault="005C7BF7">
      <w:pPr>
        <w:pStyle w:val="Corpsdetexte"/>
      </w:pPr>
      <w:r>
        <w:rPr>
          <w:b/>
          <w:bCs/>
        </w:rPr>
        <w:t>Portée</w:t>
      </w:r>
    </w:p>
    <w:p w14:paraId="3279E10A" w14:textId="77777777" w:rsidR="00065317" w:rsidRDefault="005C7BF7">
      <w:pPr>
        <w:pStyle w:val="Corpsdetexte"/>
      </w:pPr>
      <w:r>
        <w:rPr>
          <w:rStyle w:val="VerbatimChar"/>
        </w:rPr>
        <w:t>E53_Lieu</w:t>
      </w:r>
    </w:p>
    <w:p w14:paraId="09AAF08B" w14:textId="1AA6C183" w:rsidR="00065317" w:rsidRDefault="005C7BF7">
      <w:pPr>
        <w:pStyle w:val="Corpsdetexte"/>
      </w:pPr>
      <w:r>
        <w:rPr>
          <w:b/>
          <w:bCs/>
        </w:rPr>
        <w:t>Sous-propriété de</w:t>
      </w:r>
    </w:p>
    <w:p w14:paraId="7DDAAB01" w14:textId="77777777" w:rsidR="00065317" w:rsidRDefault="005C7BF7">
      <w:pPr>
        <w:pStyle w:val="Corpsdetexte"/>
      </w:pPr>
      <w:r>
        <w:rPr>
          <w:b/>
          <w:bCs/>
        </w:rPr>
        <w:t>Super-propriété de</w:t>
      </w:r>
    </w:p>
    <w:p w14:paraId="48DF5381" w14:textId="77777777" w:rsidR="00065317" w:rsidRDefault="005C7BF7">
      <w:pPr>
        <w:pStyle w:val="Corpsdetexte"/>
      </w:pPr>
      <w:r>
        <w:rPr>
          <w:rStyle w:val="VerbatimChar"/>
        </w:rPr>
        <w:t>E19_Objet_matériel</w:t>
      </w:r>
      <w:r>
        <w:t xml:space="preserve">. </w:t>
      </w:r>
      <w:r>
        <w:rPr>
          <w:rStyle w:val="VerbatimChar"/>
        </w:rPr>
        <w:t>P55_a_actuellement_pour_localisation (est_actuellement_la_localisation_de)</w:t>
      </w:r>
      <w:r>
        <w:t xml:space="preserve"> : </w:t>
      </w:r>
      <w:r>
        <w:rPr>
          <w:rStyle w:val="VerbatimChar"/>
        </w:rPr>
        <w:t>E53_Lieu</w:t>
      </w:r>
    </w:p>
    <w:p w14:paraId="3A93455E" w14:textId="77777777" w:rsidR="00065317" w:rsidRDefault="005C7BF7">
      <w:pPr>
        <w:pStyle w:val="Corpsdetexte"/>
      </w:pPr>
      <w:r>
        <w:rPr>
          <w:rStyle w:val="VerbatimChar"/>
        </w:rPr>
        <w:t>E18_Chose_matérielle</w:t>
      </w:r>
      <w:r>
        <w:t xml:space="preserve">. </w:t>
      </w:r>
      <w:r>
        <w:rPr>
          <w:rStyle w:val="VerbatimChar"/>
        </w:rPr>
        <w:t>P156_occupe (est_occupé_par)</w:t>
      </w:r>
      <w:r>
        <w:t xml:space="preserve"> : </w:t>
      </w:r>
      <w:r>
        <w:rPr>
          <w:rStyle w:val="VerbatimChar"/>
        </w:rPr>
        <w:t>E53_Lieu</w:t>
      </w:r>
    </w:p>
    <w:p w14:paraId="3ED90842" w14:textId="77777777" w:rsidR="00065317" w:rsidRDefault="005C7BF7">
      <w:pPr>
        <w:pStyle w:val="Corpsdetexte"/>
      </w:pPr>
      <w:r>
        <w:rPr>
          <w:b/>
          <w:bCs/>
        </w:rPr>
        <w:t>Quantification</w:t>
      </w:r>
    </w:p>
    <w:p w14:paraId="271E8F0A" w14:textId="77777777" w:rsidR="00065317" w:rsidRDefault="005C7BF7">
      <w:pPr>
        <w:pStyle w:val="Corpsdetexte"/>
      </w:pPr>
      <w:r>
        <w:t>plusieurs à plusieurs, nécessaire (1,n:0,n)</w:t>
      </w:r>
    </w:p>
    <w:p w14:paraId="5A623BE9" w14:textId="5D93076A" w:rsidR="00065317" w:rsidRDefault="005C7BF7">
      <w:pPr>
        <w:pStyle w:val="Corpsdetexte"/>
      </w:pPr>
      <w:r>
        <w:rPr>
          <w:b/>
          <w:bCs/>
        </w:rPr>
        <w:t>Note d</w:t>
      </w:r>
      <w:r w:rsidR="00E84B0E">
        <w:rPr>
          <w:b/>
          <w:bCs/>
        </w:rPr>
        <w:t>’</w:t>
      </w:r>
      <w:r>
        <w:rPr>
          <w:b/>
          <w:bCs/>
        </w:rPr>
        <w:t>application</w:t>
      </w:r>
    </w:p>
    <w:p w14:paraId="05A14C37" w14:textId="76363131" w:rsidR="00065317" w:rsidRDefault="005C7BF7">
      <w:pPr>
        <w:pStyle w:val="Corpsdetexte"/>
      </w:pPr>
      <w:r>
        <w:t xml:space="preserve">Cette propriété identifie une instance de </w:t>
      </w:r>
      <w:r>
        <w:rPr>
          <w:rStyle w:val="VerbatimChar"/>
        </w:rPr>
        <w:t>E53_Lieu</w:t>
      </w:r>
      <w:r>
        <w:t xml:space="preserve"> comme localisation antérieure ou actuelle d</w:t>
      </w:r>
      <w:r w:rsidR="00E84B0E">
        <w:t>’</w:t>
      </w:r>
      <w:r>
        <w:t xml:space="preserve">une instance de </w:t>
      </w:r>
      <w:r>
        <w:rPr>
          <w:rStyle w:val="VerbatimChar"/>
        </w:rPr>
        <w:t>E18_Chose_matérielle</w:t>
      </w:r>
      <w:r>
        <w:t>.</w:t>
      </w:r>
    </w:p>
    <w:p w14:paraId="17F5830B" w14:textId="1F880675" w:rsidR="00065317" w:rsidRDefault="005C7BF7">
      <w:pPr>
        <w:pStyle w:val="Corpsdetexte"/>
      </w:pPr>
      <w:r>
        <w:t>Dans le cas d</w:t>
      </w:r>
      <w:r w:rsidR="00E84B0E">
        <w:t>’</w:t>
      </w:r>
      <w:r>
        <w:t xml:space="preserve">instances de </w:t>
      </w:r>
      <w:r>
        <w:rPr>
          <w:rStyle w:val="VerbatimChar"/>
        </w:rPr>
        <w:t>E19_Objet_matériel</w:t>
      </w:r>
      <w:r>
        <w:t>, la propriété ne permet aucune indication de l</w:t>
      </w:r>
      <w:r w:rsidR="00E84B0E">
        <w:t>’</w:t>
      </w:r>
      <w:r>
        <w:t>intervalle temporel pendant lequel l</w:t>
      </w:r>
      <w:r w:rsidR="00E84B0E">
        <w:t>’</w:t>
      </w:r>
      <w:r>
        <w:t xml:space="preserve">instance de </w:t>
      </w:r>
      <w:r>
        <w:rPr>
          <w:rStyle w:val="VerbatimChar"/>
        </w:rPr>
        <w:t>E19_Objet_matériel</w:t>
      </w:r>
      <w:r>
        <w:t xml:space="preserve"> était située à cette instance de </w:t>
      </w:r>
      <w:r>
        <w:rPr>
          <w:rStyle w:val="VerbatimChar"/>
        </w:rPr>
        <w:t>E53_Lieu</w:t>
      </w:r>
      <w:r>
        <w:t>, ni s</w:t>
      </w:r>
      <w:r w:rsidR="00E84B0E">
        <w:t>’</w:t>
      </w:r>
      <w:r>
        <w:t>il s</w:t>
      </w:r>
      <w:r w:rsidR="00E84B0E">
        <w:t>’</w:t>
      </w:r>
      <w:r>
        <w:t>agit de la localisation actuelle.</w:t>
      </w:r>
    </w:p>
    <w:p w14:paraId="40B10527" w14:textId="1E5DA0A8" w:rsidR="00065317" w:rsidRDefault="005C7BF7">
      <w:pPr>
        <w:pStyle w:val="Corpsdetexte"/>
      </w:pPr>
      <w:r>
        <w:lastRenderedPageBreak/>
        <w:t>Dans le cas d</w:t>
      </w:r>
      <w:r w:rsidR="00E84B0E">
        <w:t>’</w:t>
      </w:r>
      <w:r>
        <w:t>objets immobiles, l</w:t>
      </w:r>
      <w:r w:rsidR="00E84B0E">
        <w:t>’</w:t>
      </w:r>
      <w:r>
        <w:t xml:space="preserve">instance de </w:t>
      </w:r>
      <w:r>
        <w:rPr>
          <w:rStyle w:val="VerbatimChar"/>
        </w:rPr>
        <w:t>E53_Lieu</w:t>
      </w:r>
      <w:r>
        <w:t xml:space="preserve"> correspondrait normalement au lieu de création.</w:t>
      </w:r>
    </w:p>
    <w:p w14:paraId="621F7FEF" w14:textId="77777777" w:rsidR="00065317" w:rsidRDefault="005C7BF7">
      <w:pPr>
        <w:pStyle w:val="Corpsdetexte"/>
      </w:pPr>
      <w:r>
        <w:t xml:space="preserve">Cette propriété est un raccourci du chemin sémantique suivant : </w:t>
      </w:r>
      <w:r>
        <w:rPr>
          <w:rStyle w:val="VerbatimChar"/>
        </w:rPr>
        <w:t>E19_Objet_matériel</w:t>
      </w:r>
      <w:r>
        <w:t xml:space="preserve">, </w:t>
      </w:r>
      <w:r>
        <w:rPr>
          <w:rStyle w:val="VerbatimChar"/>
        </w:rPr>
        <w:t>P25i_a_été_déplacé_par</w:t>
      </w:r>
      <w:r>
        <w:t xml:space="preserve">, </w:t>
      </w:r>
      <w:r>
        <w:rPr>
          <w:rStyle w:val="VerbatimChar"/>
        </w:rPr>
        <w:t>E9_Déplacement</w:t>
      </w:r>
      <w:r>
        <w:t xml:space="preserve">, </w:t>
      </w:r>
      <w:r>
        <w:rPr>
          <w:rStyle w:val="VerbatimChar"/>
        </w:rPr>
        <w:t>P26_a_déplacé_vers</w:t>
      </w:r>
      <w:r>
        <w:t xml:space="preserve"> (ou </w:t>
      </w:r>
      <w:r>
        <w:rPr>
          <w:rStyle w:val="VerbatimChar"/>
        </w:rPr>
        <w:t>P27_a_déplacé_depuis</w:t>
      </w:r>
      <w:r>
        <w:t xml:space="preserve">), </w:t>
      </w:r>
      <w:r>
        <w:rPr>
          <w:rStyle w:val="VerbatimChar"/>
        </w:rPr>
        <w:t>E53_Lieu</w:t>
      </w:r>
      <w:r>
        <w:t>.</w:t>
      </w:r>
    </w:p>
    <w:p w14:paraId="6D7BDAB3" w14:textId="77777777" w:rsidR="00065317" w:rsidRDefault="005C7BF7">
      <w:pPr>
        <w:pStyle w:val="Corpsdetexte"/>
      </w:pPr>
      <w:r>
        <w:rPr>
          <w:b/>
          <w:bCs/>
        </w:rPr>
        <w:t>Exemples</w:t>
      </w:r>
    </w:p>
    <w:p w14:paraId="4381EDED" w14:textId="179F51EE" w:rsidR="00065317" w:rsidRDefault="005C7BF7">
      <w:pPr>
        <w:numPr>
          <w:ilvl w:val="0"/>
          <w:numId w:val="192"/>
        </w:numPr>
      </w:pPr>
      <w:r>
        <w:t>La coupe en argent « 232 » (</w:t>
      </w:r>
      <w:r>
        <w:rPr>
          <w:rStyle w:val="VerbatimChar"/>
        </w:rPr>
        <w:t>E22_Objet_élaboré_par_l</w:t>
      </w:r>
      <w:r w:rsidR="00E84B0E">
        <w:rPr>
          <w:rStyle w:val="VerbatimChar"/>
        </w:rPr>
        <w:t>’</w:t>
      </w:r>
      <w:r>
        <w:rPr>
          <w:rStyle w:val="VerbatimChar"/>
        </w:rPr>
        <w:t>humain</w:t>
      </w:r>
      <w:r>
        <w:t>) a pour localisation actuelle ou antérieure (</w:t>
      </w:r>
      <w:r>
        <w:rPr>
          <w:rStyle w:val="VerbatimChar"/>
        </w:rPr>
        <w:t>P53_a_pour_localisation_actuelle_ou_antérieure</w:t>
      </w:r>
      <w:r>
        <w:t>) la Vitrine n</w:t>
      </w:r>
      <w:r>
        <w:rPr>
          <w:vertAlign w:val="superscript"/>
        </w:rPr>
        <w:t>o</w:t>
      </w:r>
      <w:r>
        <w:t xml:space="preserve"> 4 dans la salle n</w:t>
      </w:r>
      <w:r>
        <w:rPr>
          <w:vertAlign w:val="superscript"/>
        </w:rPr>
        <w:t>o</w:t>
      </w:r>
      <w:r w:rsidR="001155E9">
        <w:t> </w:t>
      </w:r>
      <w:r>
        <w:t>23 du Museum of Oxford (</w:t>
      </w:r>
      <w:r>
        <w:rPr>
          <w:rStyle w:val="VerbatimChar"/>
        </w:rPr>
        <w:t>E53_Lieu</w:t>
      </w:r>
      <w:r>
        <w:t>) (fictif)</w:t>
      </w:r>
    </w:p>
    <w:p w14:paraId="6A918253" w14:textId="77777777" w:rsidR="00065317" w:rsidRDefault="005C7BF7">
      <w:pPr>
        <w:pStyle w:val="FirstParagraph"/>
      </w:pPr>
      <w:r>
        <w:rPr>
          <w:b/>
          <w:bCs/>
        </w:rPr>
        <w:t>Logique</w:t>
      </w:r>
    </w:p>
    <w:p w14:paraId="6B419333" w14:textId="77777777" w:rsidR="00065317" w:rsidRDefault="005C7BF7">
      <w:pPr>
        <w:pStyle w:val="Corpsdetexte"/>
      </w:pPr>
      <w:r>
        <w:t>P53(x,y) ⇒ E18(x)</w:t>
      </w:r>
    </w:p>
    <w:p w14:paraId="4DB8FEB1" w14:textId="77777777" w:rsidR="00065317" w:rsidRDefault="005C7BF7">
      <w:pPr>
        <w:pStyle w:val="Corpsdetexte"/>
      </w:pPr>
      <w:r>
        <w:t>P53(x,y) ⇒ E53(y)</w:t>
      </w:r>
    </w:p>
    <w:p w14:paraId="4D0FAD2F" w14:textId="77777777" w:rsidR="00065317" w:rsidRDefault="005C7BF7">
      <w:pPr>
        <w:pStyle w:val="Corpsdetexte"/>
      </w:pPr>
      <w:r>
        <w:t>P53(x,y) ⇐ (∃z) [E9(z) ˄ P25i(x,z) ˄ [P26(z,y) ˅ P27(z,y)]]</w:t>
      </w:r>
    </w:p>
    <w:p w14:paraId="6D73B897" w14:textId="77777777" w:rsidR="00065317" w:rsidRDefault="005C7BF7">
      <w:pPr>
        <w:pStyle w:val="Corpsdetexte"/>
      </w:pPr>
      <w:r>
        <w:rPr>
          <w:b/>
          <w:bCs/>
        </w:rPr>
        <w:t>Propriétés</w:t>
      </w:r>
    </w:p>
    <w:p w14:paraId="0B7D74DE" w14:textId="77777777" w:rsidR="00065317" w:rsidRDefault="005C7BF7">
      <w:pPr>
        <w:pStyle w:val="Normalcentr"/>
      </w:pPr>
      <w:r>
        <w:rPr>
          <w:b/>
          <w:bCs/>
          <w:i/>
          <w:iCs/>
        </w:rPr>
        <w:t>Note de traduction</w:t>
      </w:r>
    </w:p>
    <w:p w14:paraId="7B8562A4" w14:textId="5616E6F5" w:rsidR="00065317" w:rsidRDefault="005C7BF7" w:rsidP="001155E9">
      <w:pPr>
        <w:pStyle w:val="Normalcentr"/>
      </w:pPr>
      <w:r>
        <w:rPr>
          <w:b/>
          <w:bCs/>
          <w:i/>
          <w:iCs/>
        </w:rPr>
        <w:t>Références</w:t>
      </w:r>
    </w:p>
    <w:p w14:paraId="47262F6E" w14:textId="77777777" w:rsidR="00065317" w:rsidRDefault="005C7BF7" w:rsidP="00914F34">
      <w:pPr>
        <w:pStyle w:val="Titre3"/>
      </w:pPr>
      <w:bookmarkStart w:id="368" w:name="_Toc154048869"/>
      <w:bookmarkStart w:id="369" w:name="X21d950d1c2964f8fcdcbc092c7a149c2855acb0"/>
      <w:bookmarkEnd w:id="367"/>
      <w:r>
        <w:t>P54 a actuellement pour localisation fixe (est actuellement la location fixe de)</w:t>
      </w:r>
      <w:bookmarkEnd w:id="368"/>
    </w:p>
    <w:p w14:paraId="1EF6608F" w14:textId="77777777" w:rsidR="00065317" w:rsidRDefault="005C7BF7">
      <w:pPr>
        <w:pStyle w:val="FirstParagraph"/>
      </w:pPr>
      <w:r>
        <w:rPr>
          <w:b/>
          <w:bCs/>
        </w:rPr>
        <w:t>Domaine</w:t>
      </w:r>
    </w:p>
    <w:p w14:paraId="6CE3205E" w14:textId="77777777" w:rsidR="00065317" w:rsidRDefault="005C7BF7">
      <w:pPr>
        <w:pStyle w:val="Corpsdetexte"/>
      </w:pPr>
      <w:r>
        <w:rPr>
          <w:rStyle w:val="VerbatimChar"/>
        </w:rPr>
        <w:t>E19_Objet_matériel</w:t>
      </w:r>
    </w:p>
    <w:p w14:paraId="605DAEDB" w14:textId="77777777" w:rsidR="00065317" w:rsidRDefault="005C7BF7">
      <w:pPr>
        <w:pStyle w:val="Corpsdetexte"/>
      </w:pPr>
      <w:r>
        <w:rPr>
          <w:b/>
          <w:bCs/>
        </w:rPr>
        <w:t>Portée</w:t>
      </w:r>
    </w:p>
    <w:p w14:paraId="0509F961" w14:textId="77777777" w:rsidR="00065317" w:rsidRDefault="005C7BF7">
      <w:pPr>
        <w:pStyle w:val="Corpsdetexte"/>
      </w:pPr>
      <w:r>
        <w:rPr>
          <w:rStyle w:val="VerbatimChar"/>
        </w:rPr>
        <w:t>E53_Lieu</w:t>
      </w:r>
    </w:p>
    <w:p w14:paraId="6AB0AE57" w14:textId="77777777" w:rsidR="00065317" w:rsidRDefault="005C7BF7">
      <w:pPr>
        <w:pStyle w:val="Corpsdetexte"/>
      </w:pPr>
      <w:r>
        <w:rPr>
          <w:b/>
          <w:bCs/>
        </w:rPr>
        <w:t>Sous-propriété de</w:t>
      </w:r>
    </w:p>
    <w:p w14:paraId="171D30FA" w14:textId="77777777" w:rsidR="00065317" w:rsidRDefault="005C7BF7">
      <w:pPr>
        <w:pStyle w:val="Corpsdetexte"/>
      </w:pPr>
      <w:r>
        <w:rPr>
          <w:b/>
          <w:bCs/>
        </w:rPr>
        <w:t>Super-propriété de</w:t>
      </w:r>
    </w:p>
    <w:p w14:paraId="55EC937A" w14:textId="77777777" w:rsidR="00065317" w:rsidRDefault="005C7BF7">
      <w:pPr>
        <w:pStyle w:val="Corpsdetexte"/>
      </w:pPr>
      <w:r>
        <w:rPr>
          <w:b/>
          <w:bCs/>
        </w:rPr>
        <w:t>Quantification</w:t>
      </w:r>
    </w:p>
    <w:p w14:paraId="6FE2930C" w14:textId="77777777" w:rsidR="00065317" w:rsidRDefault="005C7BF7">
      <w:pPr>
        <w:pStyle w:val="Corpsdetexte"/>
      </w:pPr>
      <w:r>
        <w:t>plusieurs à un (0,1:0,n)</w:t>
      </w:r>
    </w:p>
    <w:p w14:paraId="62302A7E" w14:textId="68677AC4" w:rsidR="00065317" w:rsidRDefault="005C7BF7">
      <w:pPr>
        <w:pStyle w:val="Corpsdetexte"/>
      </w:pPr>
      <w:r>
        <w:rPr>
          <w:b/>
          <w:bCs/>
        </w:rPr>
        <w:t>Note d</w:t>
      </w:r>
      <w:r w:rsidR="00E84B0E">
        <w:rPr>
          <w:b/>
          <w:bCs/>
        </w:rPr>
        <w:t>’</w:t>
      </w:r>
      <w:r>
        <w:rPr>
          <w:b/>
          <w:bCs/>
        </w:rPr>
        <w:t>application</w:t>
      </w:r>
    </w:p>
    <w:p w14:paraId="6CDB1CC8" w14:textId="24A281B6" w:rsidR="00065317" w:rsidRDefault="005C7BF7">
      <w:pPr>
        <w:pStyle w:val="Corpsdetexte"/>
      </w:pPr>
      <w:r>
        <w:t>Cette propriété enregistre la localisation fixe prévue d</w:t>
      </w:r>
      <w:r w:rsidR="00E84B0E">
        <w:t>’</w:t>
      </w:r>
      <w:r>
        <w:t xml:space="preserve">une instance de </w:t>
      </w:r>
      <w:r>
        <w:rPr>
          <w:rStyle w:val="VerbatimChar"/>
        </w:rPr>
        <w:t>E19_Objet_matériel</w:t>
      </w:r>
      <w:r>
        <w:t xml:space="preserve"> au moment où l</w:t>
      </w:r>
      <w:r w:rsidR="00E84B0E">
        <w:t>’</w:t>
      </w:r>
      <w:r>
        <w:t>information dans l</w:t>
      </w:r>
      <w:r w:rsidR="00E84B0E">
        <w:t>’</w:t>
      </w:r>
      <w:r>
        <w:t>enregistrement ou la base de données contenant l</w:t>
      </w:r>
      <w:r w:rsidR="00E84B0E">
        <w:t>’</w:t>
      </w:r>
      <w:r>
        <w:t>énoncé décrit par cette propriété était considérée valide.</w:t>
      </w:r>
    </w:p>
    <w:p w14:paraId="2CEC0BE9" w14:textId="47A73A7E" w:rsidR="00065317" w:rsidRDefault="005C7BF7">
      <w:pPr>
        <w:pStyle w:val="Corpsdetexte"/>
      </w:pPr>
      <w:r>
        <w:rPr>
          <w:rStyle w:val="VerbatimChar"/>
        </w:rPr>
        <w:t>P54_a_actuellement_pour_localisation_fixe (est_actuellement_la_localisation_fixe_de)</w:t>
      </w:r>
      <w:r>
        <w:t xml:space="preserve"> est semblable à </w:t>
      </w:r>
      <w:r>
        <w:rPr>
          <w:rStyle w:val="VerbatimChar"/>
        </w:rPr>
        <w:t>P55_a_actuellement_pour_localisation (est_actuellement_la_localisation_de)</w:t>
      </w:r>
      <w:r>
        <w:t>. Cependant, cette propriété indique l</w:t>
      </w:r>
      <w:r w:rsidR="00E84B0E">
        <w:t>’</w:t>
      </w:r>
      <w:r>
        <w:t xml:space="preserve">instance de </w:t>
      </w:r>
      <w:r>
        <w:rPr>
          <w:rStyle w:val="VerbatimChar"/>
        </w:rPr>
        <w:t>E53_Lieu</w:t>
      </w:r>
      <w:r>
        <w:t xml:space="preserve"> actuellement réservée à un objet, tel que le lieu d</w:t>
      </w:r>
      <w:r w:rsidR="00E84B0E">
        <w:t>’</w:t>
      </w:r>
      <w:r>
        <w:t>entreposage ou une localisation d</w:t>
      </w:r>
      <w:r w:rsidR="00E84B0E">
        <w:t>’</w:t>
      </w:r>
      <w:r>
        <w:t>exposition fixe. L</w:t>
      </w:r>
      <w:r w:rsidR="00E84B0E">
        <w:t>’</w:t>
      </w:r>
      <w:r>
        <w:t>objet peut être temporairement retiré de la localisation fixe, par exemple lorsqu</w:t>
      </w:r>
      <w:r w:rsidR="00E84B0E">
        <w:t>’</w:t>
      </w:r>
      <w:r>
        <w:t>il est utilisé dans des expositions temporaires ou prêté à une autre institution. L</w:t>
      </w:r>
      <w:r w:rsidR="00E84B0E">
        <w:t>’</w:t>
      </w:r>
      <w:r>
        <w:t>objet pourrait, en réalité, ne jamais être localisé à sa localisation fixe.</w:t>
      </w:r>
    </w:p>
    <w:p w14:paraId="51A46B2A" w14:textId="77777777" w:rsidR="00F54917" w:rsidRDefault="00F54917">
      <w:pPr>
        <w:spacing w:after="0"/>
        <w:rPr>
          <w:b/>
          <w:bCs/>
        </w:rPr>
      </w:pPr>
      <w:r>
        <w:rPr>
          <w:b/>
          <w:bCs/>
        </w:rPr>
        <w:br w:type="page"/>
      </w:r>
    </w:p>
    <w:p w14:paraId="7691A8CE" w14:textId="72696DC1" w:rsidR="00065317" w:rsidRDefault="005C7BF7">
      <w:pPr>
        <w:pStyle w:val="Corpsdetexte"/>
      </w:pPr>
      <w:r>
        <w:rPr>
          <w:b/>
          <w:bCs/>
        </w:rPr>
        <w:lastRenderedPageBreak/>
        <w:t>Exemples</w:t>
      </w:r>
    </w:p>
    <w:p w14:paraId="4D05EBC2" w14:textId="7854BF51" w:rsidR="00065317" w:rsidRDefault="005C7BF7">
      <w:pPr>
        <w:numPr>
          <w:ilvl w:val="0"/>
          <w:numId w:val="193"/>
        </w:numPr>
      </w:pPr>
      <w:r>
        <w:t>La coupe en argent « 232 » (</w:t>
      </w:r>
      <w:r>
        <w:rPr>
          <w:rStyle w:val="VerbatimChar"/>
        </w:rPr>
        <w:t>E22_Objet_élaboré_par_l</w:t>
      </w:r>
      <w:r w:rsidR="00E84B0E">
        <w:rPr>
          <w:rStyle w:val="VerbatimChar"/>
        </w:rPr>
        <w:t>’</w:t>
      </w:r>
      <w:r>
        <w:rPr>
          <w:rStyle w:val="VerbatimChar"/>
        </w:rPr>
        <w:t>humain</w:t>
      </w:r>
      <w:r>
        <w:t>) a actuellement pour localisation fixe (</w:t>
      </w:r>
      <w:r>
        <w:rPr>
          <w:rStyle w:val="VerbatimChar"/>
        </w:rPr>
        <w:t>P54_a_actuellement_pour_localisation_fixe</w:t>
      </w:r>
      <w:r>
        <w:t>) Tablette 3.1, Réserve 2, Musée d</w:t>
      </w:r>
      <w:r w:rsidR="00E84B0E">
        <w:t>’</w:t>
      </w:r>
      <w:r>
        <w:t>Oxford (</w:t>
      </w:r>
      <w:r>
        <w:rPr>
          <w:rStyle w:val="VerbatimChar"/>
        </w:rPr>
        <w:t>E53_Lieu</w:t>
      </w:r>
      <w:r>
        <w:t>) (fictif)</w:t>
      </w:r>
    </w:p>
    <w:p w14:paraId="7732544E" w14:textId="77777777" w:rsidR="00065317" w:rsidRDefault="005C7BF7">
      <w:pPr>
        <w:pStyle w:val="FirstParagraph"/>
      </w:pPr>
      <w:r>
        <w:rPr>
          <w:b/>
          <w:bCs/>
        </w:rPr>
        <w:t>Logique</w:t>
      </w:r>
    </w:p>
    <w:p w14:paraId="60D92494" w14:textId="77777777" w:rsidR="00065317" w:rsidRDefault="005C7BF7">
      <w:pPr>
        <w:pStyle w:val="Corpsdetexte"/>
      </w:pPr>
      <w:r>
        <w:t>P54(x,y) ⇒ E19(x)</w:t>
      </w:r>
    </w:p>
    <w:p w14:paraId="055D1F81" w14:textId="77777777" w:rsidR="00065317" w:rsidRDefault="005C7BF7">
      <w:pPr>
        <w:pStyle w:val="Corpsdetexte"/>
      </w:pPr>
      <w:r>
        <w:t>P54(x,y) ⇒ E53(y)</w:t>
      </w:r>
    </w:p>
    <w:p w14:paraId="608E5441" w14:textId="77777777" w:rsidR="00065317" w:rsidRDefault="005C7BF7">
      <w:pPr>
        <w:pStyle w:val="Corpsdetexte"/>
      </w:pPr>
      <w:r>
        <w:rPr>
          <w:b/>
          <w:bCs/>
        </w:rPr>
        <w:t>Propriétés</w:t>
      </w:r>
    </w:p>
    <w:p w14:paraId="4F432AE3" w14:textId="77777777" w:rsidR="00065317" w:rsidRDefault="005C7BF7">
      <w:pPr>
        <w:pStyle w:val="Normalcentr"/>
      </w:pPr>
      <w:r>
        <w:rPr>
          <w:b/>
          <w:bCs/>
          <w:i/>
          <w:iCs/>
        </w:rPr>
        <w:t>Note de traduction</w:t>
      </w:r>
    </w:p>
    <w:p w14:paraId="5ED1282B" w14:textId="46DD5E16" w:rsidR="00065317" w:rsidRDefault="005C7BF7">
      <w:pPr>
        <w:pStyle w:val="Normalcentr"/>
      </w:pPr>
      <w:r>
        <w:t>Lorsqu</w:t>
      </w:r>
      <w:r w:rsidR="00E84B0E">
        <w:t>’</w:t>
      </w:r>
      <w:r>
        <w:t>il s</w:t>
      </w:r>
      <w:r w:rsidR="00E84B0E">
        <w:t>’</w:t>
      </w:r>
      <w:r>
        <w:t>agit d</w:t>
      </w:r>
      <w:r w:rsidR="00E84B0E">
        <w:t>’</w:t>
      </w:r>
      <w:r>
        <w:t>une adresse/d</w:t>
      </w:r>
      <w:r w:rsidR="00E84B0E">
        <w:t>’</w:t>
      </w:r>
      <w:r>
        <w:t>un emplacement, l</w:t>
      </w:r>
      <w:r w:rsidR="00E84B0E">
        <w:t>’</w:t>
      </w:r>
      <w:r>
        <w:t>usage de « fixe » plutôt que « permanent » est recommandé, car il fait référence à l</w:t>
      </w:r>
      <w:r w:rsidR="00E84B0E">
        <w:t>’</w:t>
      </w:r>
      <w:r>
        <w:t>état durable de l</w:t>
      </w:r>
      <w:r w:rsidR="00E84B0E">
        <w:t>’</w:t>
      </w:r>
      <w:r>
        <w:t>emplacement plutôt qu</w:t>
      </w:r>
      <w:r w:rsidR="00E84B0E">
        <w:t>’</w:t>
      </w:r>
      <w:r>
        <w:t>à son caractère durable.</w:t>
      </w:r>
    </w:p>
    <w:p w14:paraId="07F3EEA4" w14:textId="757BC66B" w:rsidR="00065317" w:rsidRDefault="005C7BF7" w:rsidP="001155E9">
      <w:pPr>
        <w:pStyle w:val="Normalcentr"/>
      </w:pPr>
      <w:r>
        <w:rPr>
          <w:b/>
          <w:bCs/>
          <w:i/>
          <w:iCs/>
        </w:rPr>
        <w:t>Références</w:t>
      </w:r>
    </w:p>
    <w:p w14:paraId="3416B26A" w14:textId="77777777" w:rsidR="00065317" w:rsidRDefault="005C7BF7" w:rsidP="00914F34">
      <w:pPr>
        <w:pStyle w:val="Titre3"/>
      </w:pPr>
      <w:bookmarkStart w:id="370" w:name="_Toc154048870"/>
      <w:bookmarkStart w:id="371" w:name="X2182d3bb36cd166aae0d901f7df77498bd15579"/>
      <w:bookmarkEnd w:id="369"/>
      <w:r>
        <w:t>P55 a actuellement pour localisation (est actuellement la localisation de)</w:t>
      </w:r>
      <w:bookmarkEnd w:id="370"/>
    </w:p>
    <w:p w14:paraId="65C7661F" w14:textId="77777777" w:rsidR="00065317" w:rsidRDefault="005C7BF7">
      <w:pPr>
        <w:pStyle w:val="FirstParagraph"/>
      </w:pPr>
      <w:r>
        <w:rPr>
          <w:b/>
          <w:bCs/>
        </w:rPr>
        <w:t>Domaine</w:t>
      </w:r>
    </w:p>
    <w:p w14:paraId="2DA59665" w14:textId="77777777" w:rsidR="00065317" w:rsidRDefault="005C7BF7">
      <w:pPr>
        <w:pStyle w:val="Corpsdetexte"/>
      </w:pPr>
      <w:r>
        <w:rPr>
          <w:rStyle w:val="VerbatimChar"/>
        </w:rPr>
        <w:t>E19_Objet_matériel</w:t>
      </w:r>
    </w:p>
    <w:p w14:paraId="44876015" w14:textId="77777777" w:rsidR="00065317" w:rsidRDefault="005C7BF7">
      <w:pPr>
        <w:pStyle w:val="Corpsdetexte"/>
      </w:pPr>
      <w:r>
        <w:rPr>
          <w:b/>
          <w:bCs/>
        </w:rPr>
        <w:t>Portée</w:t>
      </w:r>
    </w:p>
    <w:p w14:paraId="7667879A" w14:textId="199130CB" w:rsidR="00FC2E07" w:rsidRDefault="005C7BF7">
      <w:pPr>
        <w:pStyle w:val="Corpsdetexte"/>
        <w:rPr>
          <w:b/>
          <w:bCs/>
        </w:rPr>
      </w:pPr>
      <w:r>
        <w:rPr>
          <w:rStyle w:val="VerbatimChar"/>
        </w:rPr>
        <w:t>E53_Lieu</w:t>
      </w:r>
    </w:p>
    <w:p w14:paraId="2E0A2641" w14:textId="7841264E" w:rsidR="00065317" w:rsidRDefault="005C7BF7">
      <w:pPr>
        <w:pStyle w:val="Corpsdetexte"/>
      </w:pPr>
      <w:r>
        <w:rPr>
          <w:b/>
          <w:bCs/>
        </w:rPr>
        <w:t>Sous-propriété de</w:t>
      </w:r>
    </w:p>
    <w:p w14:paraId="46731679" w14:textId="6FC0D611" w:rsidR="00065317" w:rsidRDefault="005C7BF7">
      <w:pPr>
        <w:pStyle w:val="Corpsdetexte"/>
      </w:pPr>
      <w:r>
        <w:rPr>
          <w:rStyle w:val="VerbatimChar"/>
        </w:rPr>
        <w:t>E18_Chose_matérielle</w:t>
      </w:r>
      <w:r>
        <w:t>.</w:t>
      </w:r>
      <w:r w:rsidR="00FC2E07">
        <w:t xml:space="preserve"> </w:t>
      </w:r>
      <w:r>
        <w:rPr>
          <w:rStyle w:val="VerbatimChar"/>
        </w:rPr>
        <w:t>P53_a_pour_localisation_actuelle_ou_antérieure (est_la_localisation_actuelle_ou_antérieure_de)</w:t>
      </w:r>
      <w:r>
        <w:t xml:space="preserve"> :</w:t>
      </w:r>
      <w:r>
        <w:rPr>
          <w:rStyle w:val="VerbatimChar"/>
        </w:rPr>
        <w:t xml:space="preserve"> E53_Lieu</w:t>
      </w:r>
    </w:p>
    <w:p w14:paraId="483202F0" w14:textId="77777777" w:rsidR="00065317" w:rsidRDefault="005C7BF7">
      <w:pPr>
        <w:pStyle w:val="Corpsdetexte"/>
      </w:pPr>
      <w:r>
        <w:rPr>
          <w:b/>
          <w:bCs/>
        </w:rPr>
        <w:t>Super-propriété de</w:t>
      </w:r>
    </w:p>
    <w:p w14:paraId="41A78901" w14:textId="77777777" w:rsidR="00065317" w:rsidRDefault="005C7BF7">
      <w:pPr>
        <w:pStyle w:val="Corpsdetexte"/>
      </w:pPr>
      <w:r>
        <w:rPr>
          <w:b/>
          <w:bCs/>
        </w:rPr>
        <w:t>Quantification</w:t>
      </w:r>
    </w:p>
    <w:p w14:paraId="533FC0B5" w14:textId="77777777" w:rsidR="00065317" w:rsidRDefault="005C7BF7">
      <w:pPr>
        <w:pStyle w:val="Corpsdetexte"/>
      </w:pPr>
      <w:r>
        <w:t>plusieurs à plusieurs (0,n:0,n)</w:t>
      </w:r>
    </w:p>
    <w:p w14:paraId="4FD0B552" w14:textId="07027B7B" w:rsidR="00065317" w:rsidRDefault="005C7BF7">
      <w:pPr>
        <w:pStyle w:val="Corpsdetexte"/>
      </w:pPr>
      <w:r>
        <w:rPr>
          <w:b/>
          <w:bCs/>
        </w:rPr>
        <w:t>Note d</w:t>
      </w:r>
      <w:r w:rsidR="00E84B0E">
        <w:rPr>
          <w:b/>
          <w:bCs/>
        </w:rPr>
        <w:t>’</w:t>
      </w:r>
      <w:r>
        <w:rPr>
          <w:b/>
          <w:bCs/>
        </w:rPr>
        <w:t>application</w:t>
      </w:r>
    </w:p>
    <w:p w14:paraId="14C8F544" w14:textId="3C4D8FF0" w:rsidR="00065317" w:rsidRDefault="005C7BF7">
      <w:pPr>
        <w:pStyle w:val="Corpsdetexte"/>
      </w:pPr>
      <w:r>
        <w:t>Cette propriété enregistre la localisation d</w:t>
      </w:r>
      <w:r w:rsidR="00E84B0E">
        <w:t>’</w:t>
      </w:r>
      <w:r>
        <w:t xml:space="preserve">une instance de </w:t>
      </w:r>
      <w:r>
        <w:rPr>
          <w:rStyle w:val="VerbatimChar"/>
        </w:rPr>
        <w:t>E19_Objet_matériel</w:t>
      </w:r>
      <w:r>
        <w:t xml:space="preserve"> au moment où l</w:t>
      </w:r>
      <w:r w:rsidR="00E84B0E">
        <w:t>’</w:t>
      </w:r>
      <w:r>
        <w:t>information dans l</w:t>
      </w:r>
      <w:r w:rsidR="00E84B0E">
        <w:t>’</w:t>
      </w:r>
      <w:r>
        <w:t>enregistrement ou la base de données contenant l</w:t>
      </w:r>
      <w:r w:rsidR="00E84B0E">
        <w:t>’</w:t>
      </w:r>
      <w:r>
        <w:t>énoncé décrit par cette propriété était considérée valide.</w:t>
      </w:r>
    </w:p>
    <w:p w14:paraId="7C75E972" w14:textId="618200FA" w:rsidR="00065317" w:rsidRDefault="005C7BF7">
      <w:pPr>
        <w:pStyle w:val="Corpsdetexte"/>
      </w:pPr>
      <w:r>
        <w:t xml:space="preserve">Cette propriété est une sous-propriété de </w:t>
      </w:r>
      <w:r>
        <w:rPr>
          <w:rStyle w:val="VerbatimChar"/>
        </w:rPr>
        <w:t>P53_a_pour localisation actuelle ou antérieure (est_la_localisation_actuelle_ou_antérieure_de)</w:t>
      </w:r>
      <w:r>
        <w:t>. La propriété indique que l</w:t>
      </w:r>
      <w:r w:rsidR="00E84B0E">
        <w:t>’</w:t>
      </w:r>
      <w:r>
        <w:t xml:space="preserve">instance de </w:t>
      </w:r>
      <w:r>
        <w:rPr>
          <w:rStyle w:val="VerbatimChar"/>
        </w:rPr>
        <w:t>E53_Lieu</w:t>
      </w:r>
      <w:r>
        <w:t xml:space="preserve"> associée à l</w:t>
      </w:r>
      <w:r w:rsidR="00E84B0E">
        <w:t>’</w:t>
      </w:r>
      <w:r>
        <w:t xml:space="preserve">instance de </w:t>
      </w:r>
      <w:r>
        <w:rPr>
          <w:rStyle w:val="VerbatimChar"/>
        </w:rPr>
        <w:t>E19_Objet_matériel</w:t>
      </w:r>
      <w:r>
        <w:t xml:space="preserve"> est la localisation de l</w:t>
      </w:r>
      <w:r w:rsidR="00E84B0E">
        <w:t>’</w:t>
      </w:r>
      <w:r>
        <w:t>objet. La propriété ne permet pas d</w:t>
      </w:r>
      <w:r w:rsidR="00E84B0E">
        <w:t>’</w:t>
      </w:r>
      <w:r>
        <w:t>indiquer depuis combien de temps l</w:t>
      </w:r>
      <w:r w:rsidR="00E84B0E">
        <w:t>’</w:t>
      </w:r>
      <w:r>
        <w:t>objet se trouve à la localisation actuelle.</w:t>
      </w:r>
    </w:p>
    <w:p w14:paraId="5289C003" w14:textId="77777777" w:rsidR="00065317" w:rsidRDefault="005C7BF7">
      <w:pPr>
        <w:pStyle w:val="Corpsdetexte"/>
      </w:pPr>
      <w:r>
        <w:t>Cette propriété est un raccourci du chemin sémantique suivant :</w:t>
      </w:r>
    </w:p>
    <w:p w14:paraId="099807D6" w14:textId="77777777" w:rsidR="00065317" w:rsidRDefault="005C7BF7">
      <w:pPr>
        <w:pStyle w:val="Corpsdetexte"/>
      </w:pPr>
      <w:r>
        <w:rPr>
          <w:rStyle w:val="VerbatimChar"/>
        </w:rPr>
        <w:t>E19_Objet_matériel</w:t>
      </w:r>
      <w:r>
        <w:t xml:space="preserve">, </w:t>
      </w:r>
      <w:r>
        <w:rPr>
          <w:rStyle w:val="VerbatimChar"/>
        </w:rPr>
        <w:t>P25i_a_été_déplacé_par</w:t>
      </w:r>
      <w:r>
        <w:t xml:space="preserve">, </w:t>
      </w:r>
      <w:r>
        <w:rPr>
          <w:rStyle w:val="VerbatimChar"/>
        </w:rPr>
        <w:t>E9_Déplacement</w:t>
      </w:r>
      <w:r>
        <w:t xml:space="preserve">, </w:t>
      </w:r>
      <w:r>
        <w:rPr>
          <w:rStyle w:val="VerbatimChar"/>
        </w:rPr>
        <w:t>P26_Move_to</w:t>
      </w:r>
      <w:r>
        <w:t xml:space="preserve">, </w:t>
      </w:r>
      <w:r>
        <w:rPr>
          <w:rStyle w:val="VerbatimChar"/>
        </w:rPr>
        <w:t>P26_a_déplacé_vers</w:t>
      </w:r>
      <w:r>
        <w:t>,</w:t>
      </w:r>
      <w:r>
        <w:rPr>
          <w:rStyle w:val="VerbatimChar"/>
        </w:rPr>
        <w:t xml:space="preserve"> E53_Lieu</w:t>
      </w:r>
      <w:r>
        <w:t>, si et seulement si ce déplacement est le plus récent.</w:t>
      </w:r>
    </w:p>
    <w:p w14:paraId="1CE46A60" w14:textId="77777777" w:rsidR="00F54917" w:rsidRDefault="00F54917">
      <w:pPr>
        <w:spacing w:after="0"/>
        <w:rPr>
          <w:b/>
          <w:bCs/>
        </w:rPr>
      </w:pPr>
      <w:r>
        <w:rPr>
          <w:b/>
          <w:bCs/>
        </w:rPr>
        <w:br w:type="page"/>
      </w:r>
    </w:p>
    <w:p w14:paraId="287160EE" w14:textId="2BB01362" w:rsidR="00065317" w:rsidRDefault="005C7BF7">
      <w:pPr>
        <w:pStyle w:val="Corpsdetexte"/>
      </w:pPr>
      <w:r>
        <w:rPr>
          <w:b/>
          <w:bCs/>
        </w:rPr>
        <w:lastRenderedPageBreak/>
        <w:t>Exemples</w:t>
      </w:r>
    </w:p>
    <w:p w14:paraId="20A0492E" w14:textId="00D48D3D" w:rsidR="00065317" w:rsidRDefault="005C7BF7">
      <w:pPr>
        <w:numPr>
          <w:ilvl w:val="0"/>
          <w:numId w:val="194"/>
        </w:numPr>
      </w:pPr>
      <w:r>
        <w:t>La coupe en argent « 232 » (</w:t>
      </w:r>
      <w:r>
        <w:rPr>
          <w:rStyle w:val="VerbatimChar"/>
        </w:rPr>
        <w:t>E22_Objet_élaboré_par_l</w:t>
      </w:r>
      <w:r w:rsidR="00E84B0E">
        <w:rPr>
          <w:rStyle w:val="VerbatimChar"/>
        </w:rPr>
        <w:t>’</w:t>
      </w:r>
      <w:r>
        <w:rPr>
          <w:rStyle w:val="VerbatimChar"/>
        </w:rPr>
        <w:t>humain</w:t>
      </w:r>
      <w:r>
        <w:t>) a actuellement pour localisation (</w:t>
      </w:r>
      <w:r>
        <w:rPr>
          <w:rStyle w:val="VerbatimChar"/>
        </w:rPr>
        <w:t>P55_a_actuellement_pour_localisation</w:t>
      </w:r>
      <w:r>
        <w:t>) la Vitrine n</w:t>
      </w:r>
      <w:r>
        <w:rPr>
          <w:vertAlign w:val="superscript"/>
        </w:rPr>
        <w:t>o</w:t>
      </w:r>
      <w:r>
        <w:t xml:space="preserve"> 23 dans la salle n</w:t>
      </w:r>
      <w:r>
        <w:rPr>
          <w:vertAlign w:val="superscript"/>
        </w:rPr>
        <w:t>o</w:t>
      </w:r>
      <w:r>
        <w:t xml:space="preserve"> 4 du British Museum (</w:t>
      </w:r>
      <w:r>
        <w:rPr>
          <w:rStyle w:val="VerbatimChar"/>
        </w:rPr>
        <w:t>E53_Lieu</w:t>
      </w:r>
      <w:r>
        <w:t>) (fictif)</w:t>
      </w:r>
    </w:p>
    <w:p w14:paraId="40241E76" w14:textId="77777777" w:rsidR="00065317" w:rsidRDefault="005C7BF7">
      <w:pPr>
        <w:pStyle w:val="FirstParagraph"/>
      </w:pPr>
      <w:r>
        <w:rPr>
          <w:b/>
          <w:bCs/>
        </w:rPr>
        <w:t>Logique</w:t>
      </w:r>
    </w:p>
    <w:p w14:paraId="44B169E9" w14:textId="77777777" w:rsidR="00065317" w:rsidRDefault="005C7BF7">
      <w:pPr>
        <w:pStyle w:val="Corpsdetexte"/>
      </w:pPr>
      <w:r>
        <w:t>P55(x,y) ⇒ E19(x)</w:t>
      </w:r>
    </w:p>
    <w:p w14:paraId="6538EFB3" w14:textId="77777777" w:rsidR="00065317" w:rsidRDefault="005C7BF7">
      <w:pPr>
        <w:pStyle w:val="Corpsdetexte"/>
      </w:pPr>
      <w:r>
        <w:t>P55(x,y) ⇒ E53(y)</w:t>
      </w:r>
    </w:p>
    <w:p w14:paraId="5450A0FC" w14:textId="77777777" w:rsidR="00065317" w:rsidRDefault="005C7BF7">
      <w:pPr>
        <w:pStyle w:val="Corpsdetexte"/>
      </w:pPr>
      <w:r>
        <w:t>P55(x,y) ⇒ P53(x,y)</w:t>
      </w:r>
    </w:p>
    <w:p w14:paraId="343CC029" w14:textId="77777777" w:rsidR="00065317" w:rsidRDefault="005C7BF7">
      <w:pPr>
        <w:pStyle w:val="Corpsdetexte"/>
      </w:pPr>
      <w:r>
        <w:t>P55(x,y) ⇐ (∃z) [ [E9(z) ˄ P25i(x,z) ˄ P26(z,y)]</w:t>
      </w:r>
    </w:p>
    <w:p w14:paraId="19A4ABDB" w14:textId="77777777" w:rsidR="00065317" w:rsidRDefault="005C7BF7">
      <w:pPr>
        <w:pStyle w:val="Corpsdetexte"/>
      </w:pPr>
      <w:r>
        <w:t>˄ ¬​ (∃w) [E9(w) ˄ P25i(x,w) ˄ P27(w,y)˄ P182(z,w)]]​</w:t>
      </w:r>
    </w:p>
    <w:p w14:paraId="5D61A48F" w14:textId="77777777" w:rsidR="00065317" w:rsidRDefault="005C7BF7">
      <w:pPr>
        <w:pStyle w:val="Corpsdetexte"/>
      </w:pPr>
      <w:r>
        <w:rPr>
          <w:b/>
          <w:bCs/>
        </w:rPr>
        <w:t>Propriétés</w:t>
      </w:r>
    </w:p>
    <w:p w14:paraId="05F2DE0A" w14:textId="77777777" w:rsidR="00065317" w:rsidRDefault="005C7BF7">
      <w:pPr>
        <w:pStyle w:val="Normalcentr"/>
      </w:pPr>
      <w:r>
        <w:rPr>
          <w:b/>
          <w:bCs/>
          <w:i/>
          <w:iCs/>
        </w:rPr>
        <w:t>Note de traduction</w:t>
      </w:r>
    </w:p>
    <w:p w14:paraId="27BDA932" w14:textId="720993F1" w:rsidR="00065317" w:rsidRDefault="005C7BF7" w:rsidP="001155E9">
      <w:pPr>
        <w:pStyle w:val="Normalcentr"/>
      </w:pPr>
      <w:r>
        <w:rPr>
          <w:b/>
          <w:bCs/>
          <w:i/>
          <w:iCs/>
        </w:rPr>
        <w:t>Références</w:t>
      </w:r>
    </w:p>
    <w:p w14:paraId="3210BCA1" w14:textId="77777777" w:rsidR="00065317" w:rsidRDefault="005C7BF7" w:rsidP="00914F34">
      <w:pPr>
        <w:pStyle w:val="Titre3"/>
      </w:pPr>
      <w:bookmarkStart w:id="372" w:name="_Toc154048871"/>
      <w:bookmarkStart w:id="373" w:name="Xba4e73811e622c32eac77a3cdad7af748ad52ae"/>
      <w:bookmarkEnd w:id="371"/>
      <w:r>
        <w:t>P56 a pour caractéristique (se trouve sur)</w:t>
      </w:r>
      <w:bookmarkEnd w:id="372"/>
    </w:p>
    <w:p w14:paraId="472141AE" w14:textId="77777777" w:rsidR="00065317" w:rsidRDefault="005C7BF7">
      <w:pPr>
        <w:pStyle w:val="FirstParagraph"/>
      </w:pPr>
      <w:r>
        <w:rPr>
          <w:b/>
          <w:bCs/>
        </w:rPr>
        <w:t>Domaine</w:t>
      </w:r>
    </w:p>
    <w:p w14:paraId="054B38DA" w14:textId="747D673A" w:rsidR="00FC2E07" w:rsidRDefault="005C7BF7">
      <w:pPr>
        <w:pStyle w:val="Corpsdetexte"/>
        <w:rPr>
          <w:b/>
          <w:bCs/>
        </w:rPr>
      </w:pPr>
      <w:r>
        <w:rPr>
          <w:rStyle w:val="VerbatimChar"/>
        </w:rPr>
        <w:t>E19_Objet_matériel</w:t>
      </w:r>
    </w:p>
    <w:p w14:paraId="277F239C" w14:textId="53E14CC6" w:rsidR="00065317" w:rsidRDefault="005C7BF7">
      <w:pPr>
        <w:pStyle w:val="Corpsdetexte"/>
      </w:pPr>
      <w:r>
        <w:rPr>
          <w:b/>
          <w:bCs/>
        </w:rPr>
        <w:t>Portée</w:t>
      </w:r>
    </w:p>
    <w:p w14:paraId="5385CEAB" w14:textId="77777777" w:rsidR="00065317" w:rsidRDefault="005C7BF7">
      <w:pPr>
        <w:pStyle w:val="Corpsdetexte"/>
      </w:pPr>
      <w:r>
        <w:rPr>
          <w:rStyle w:val="VerbatimChar"/>
        </w:rPr>
        <w:t>E26_Caractéristique_physique</w:t>
      </w:r>
    </w:p>
    <w:p w14:paraId="4F565C66" w14:textId="77777777" w:rsidR="00065317" w:rsidRDefault="005C7BF7">
      <w:pPr>
        <w:pStyle w:val="Corpsdetexte"/>
      </w:pPr>
      <w:r>
        <w:rPr>
          <w:b/>
          <w:bCs/>
        </w:rPr>
        <w:t>Sous-propriété de</w:t>
      </w:r>
    </w:p>
    <w:p w14:paraId="51D49CDF" w14:textId="09EE24D1" w:rsidR="00065317" w:rsidRDefault="005C7BF7">
      <w:pPr>
        <w:pStyle w:val="Corpsdetexte"/>
      </w:pPr>
      <w:r>
        <w:rPr>
          <w:rStyle w:val="VerbatimChar"/>
        </w:rPr>
        <w:t>E18_Chose_matérielle</w:t>
      </w:r>
      <w:r>
        <w:t xml:space="preserve">. </w:t>
      </w:r>
      <w:r>
        <w:rPr>
          <w:rStyle w:val="VerbatimChar"/>
        </w:rPr>
        <w:t>P46_est_composé_de (fait_partie_de)</w:t>
      </w:r>
      <w:r w:rsidR="008D582B">
        <w:t> </w:t>
      </w:r>
      <w:r>
        <w:t xml:space="preserve">: </w:t>
      </w:r>
      <w:r>
        <w:rPr>
          <w:rStyle w:val="VerbatimChar"/>
        </w:rPr>
        <w:t>E18_Chose_matérielle</w:t>
      </w:r>
    </w:p>
    <w:p w14:paraId="6492FD10" w14:textId="77777777" w:rsidR="00065317" w:rsidRDefault="005C7BF7">
      <w:pPr>
        <w:pStyle w:val="Corpsdetexte"/>
      </w:pPr>
      <w:r>
        <w:rPr>
          <w:b/>
          <w:bCs/>
        </w:rPr>
        <w:t>Super-propriété de</w:t>
      </w:r>
    </w:p>
    <w:p w14:paraId="760337C9" w14:textId="77777777" w:rsidR="00065317" w:rsidRDefault="005C7BF7">
      <w:pPr>
        <w:pStyle w:val="Corpsdetexte"/>
      </w:pPr>
      <w:r>
        <w:rPr>
          <w:b/>
          <w:bCs/>
        </w:rPr>
        <w:t>Quantification</w:t>
      </w:r>
    </w:p>
    <w:p w14:paraId="74800637" w14:textId="77777777" w:rsidR="00065317" w:rsidRDefault="005C7BF7">
      <w:pPr>
        <w:pStyle w:val="Corpsdetexte"/>
      </w:pPr>
      <w:r>
        <w:t>un à plusieurs, dépendant (0,n:1,1)</w:t>
      </w:r>
    </w:p>
    <w:p w14:paraId="6E7B50E8" w14:textId="756A555A" w:rsidR="00065317" w:rsidRDefault="005C7BF7">
      <w:pPr>
        <w:pStyle w:val="Corpsdetexte"/>
      </w:pPr>
      <w:r>
        <w:rPr>
          <w:b/>
          <w:bCs/>
        </w:rPr>
        <w:t>Note d</w:t>
      </w:r>
      <w:r w:rsidR="00E84B0E">
        <w:rPr>
          <w:b/>
          <w:bCs/>
        </w:rPr>
        <w:t>’</w:t>
      </w:r>
      <w:r>
        <w:rPr>
          <w:b/>
          <w:bCs/>
        </w:rPr>
        <w:t>application</w:t>
      </w:r>
    </w:p>
    <w:p w14:paraId="0BDBC7E6" w14:textId="7C7FE8CD" w:rsidR="00065317" w:rsidRDefault="005C7BF7">
      <w:pPr>
        <w:pStyle w:val="Corpsdetexte"/>
      </w:pPr>
      <w:r>
        <w:t xml:space="preserve">Cette propriété lie une instance de </w:t>
      </w:r>
      <w:r>
        <w:rPr>
          <w:rStyle w:val="VerbatimChar"/>
        </w:rPr>
        <w:t>E19_Objet_matériel</w:t>
      </w:r>
      <w:r>
        <w:t xml:space="preserve"> à une instance de </w:t>
      </w:r>
      <w:r>
        <w:rPr>
          <w:rStyle w:val="VerbatimChar"/>
        </w:rPr>
        <w:t>E26_Caractéristique_physique</w:t>
      </w:r>
      <w:r>
        <w:t xml:space="preserve"> qu</w:t>
      </w:r>
      <w:r w:rsidR="00E84B0E">
        <w:t>’</w:t>
      </w:r>
      <w:r>
        <w:t>elle porte.</w:t>
      </w:r>
    </w:p>
    <w:p w14:paraId="079F507A" w14:textId="148D75D5" w:rsidR="00065317" w:rsidRDefault="005C7BF7">
      <w:pPr>
        <w:pStyle w:val="Corpsdetexte"/>
      </w:pPr>
      <w:r>
        <w:t xml:space="preserve">Une instance de </w:t>
      </w:r>
      <w:r>
        <w:rPr>
          <w:rStyle w:val="VerbatimChar"/>
        </w:rPr>
        <w:t>E26_Caractéristique_physique</w:t>
      </w:r>
      <w:r w:rsidR="0028642C">
        <w:t xml:space="preserve"> </w:t>
      </w:r>
      <w:r>
        <w:t>peut seulement caractériser un objet. Un objet peut être porteur de plus d</w:t>
      </w:r>
      <w:r w:rsidR="00E84B0E">
        <w:t>’</w:t>
      </w:r>
      <w:r>
        <w:t xml:space="preserve">une </w:t>
      </w:r>
      <w:r>
        <w:rPr>
          <w:rStyle w:val="VerbatimChar"/>
        </w:rPr>
        <w:t>E26_Caractéristique_physique</w:t>
      </w:r>
      <w:r>
        <w:t>.</w:t>
      </w:r>
      <w:r w:rsidR="0028642C">
        <w:t xml:space="preserve"> </w:t>
      </w:r>
      <w:r>
        <w:t xml:space="preserve">Une instance de </w:t>
      </w:r>
      <w:r>
        <w:rPr>
          <w:rStyle w:val="VerbatimChar"/>
        </w:rPr>
        <w:t>E27_Site</w:t>
      </w:r>
      <w:r>
        <w:t xml:space="preserve"> devrait être considérée comme une instance de </w:t>
      </w:r>
      <w:r>
        <w:rPr>
          <w:rStyle w:val="VerbatimChar"/>
        </w:rPr>
        <w:t>E26_Caractéristique_physique</w:t>
      </w:r>
      <w:r>
        <w:t xml:space="preserve"> à la surface de la Terre.</w:t>
      </w:r>
    </w:p>
    <w:p w14:paraId="05DF09DA" w14:textId="3A12BCD5" w:rsidR="00065317" w:rsidRDefault="005C7BF7">
      <w:pPr>
        <w:pStyle w:val="Corpsdetexte"/>
      </w:pPr>
      <w:r>
        <w:t xml:space="preserve">Une instance B de </w:t>
      </w:r>
      <w:r>
        <w:rPr>
          <w:rStyle w:val="VerbatimChar"/>
        </w:rPr>
        <w:t>E26_Caractéristique_physique</w:t>
      </w:r>
      <w:r>
        <w:t xml:space="preserve"> étant un détail structurel d</w:t>
      </w:r>
      <w:r w:rsidR="00E84B0E">
        <w:t>’</w:t>
      </w:r>
      <w:r>
        <w:t xml:space="preserve">une instance A de </w:t>
      </w:r>
      <w:r>
        <w:rPr>
          <w:rStyle w:val="VerbatimChar"/>
        </w:rPr>
        <w:t>E26_Caractéristique_physique</w:t>
      </w:r>
      <w:r>
        <w:t>, celle-ci peut être liée à l</w:t>
      </w:r>
      <w:r w:rsidR="00E84B0E">
        <w:t>’</w:t>
      </w:r>
      <w:r>
        <w:t>instance B par l</w:t>
      </w:r>
      <w:r w:rsidR="00E84B0E">
        <w:t>’</w:t>
      </w:r>
      <w:r>
        <w:t xml:space="preserve">utilisation de la propriété </w:t>
      </w:r>
      <w:r>
        <w:rPr>
          <w:rStyle w:val="VerbatimChar"/>
        </w:rPr>
        <w:t>P46_est_composé_de (fait_partie_de)</w:t>
      </w:r>
      <w:r>
        <w:t>. Cela implique que la sous-caractéristique de l</w:t>
      </w:r>
      <w:r w:rsidR="00E84B0E">
        <w:t>’</w:t>
      </w:r>
      <w:r>
        <w:t>instance B (</w:t>
      </w:r>
      <w:r>
        <w:rPr>
          <w:rStyle w:val="VerbatimChar"/>
        </w:rPr>
        <w:t>P56i_se_trouve_sur</w:t>
      </w:r>
      <w:r>
        <w:t>) se trouve sur le même objet matériel (</w:t>
      </w:r>
      <w:r>
        <w:rPr>
          <w:rStyle w:val="VerbatimChar"/>
        </w:rPr>
        <w:t>E19_Objet_matériel</w:t>
      </w:r>
      <w:r>
        <w:t>) que l</w:t>
      </w:r>
      <w:r w:rsidR="00E84B0E">
        <w:t>’</w:t>
      </w:r>
      <w:r>
        <w:t>instance A.</w:t>
      </w:r>
    </w:p>
    <w:p w14:paraId="5889A624" w14:textId="77777777" w:rsidR="00065317" w:rsidRDefault="005C7BF7">
      <w:pPr>
        <w:pStyle w:val="Corpsdetexte"/>
      </w:pPr>
      <w:r>
        <w:lastRenderedPageBreak/>
        <w:t xml:space="preserve">Cette propriété est un raccourci du chemin sémantique suivant : </w:t>
      </w:r>
      <w:r>
        <w:rPr>
          <w:rStyle w:val="VerbatimChar"/>
        </w:rPr>
        <w:t>E19_Objet_matériel</w:t>
      </w:r>
      <w:r>
        <w:t xml:space="preserve">, </w:t>
      </w:r>
      <w:r>
        <w:rPr>
          <w:rStyle w:val="VerbatimChar"/>
        </w:rPr>
        <w:t>P59_a_pour_section (se_situe_sur_ou_dans)</w:t>
      </w:r>
      <w:r>
        <w:t xml:space="preserve">, </w:t>
      </w:r>
      <w:r>
        <w:rPr>
          <w:rStyle w:val="VerbatimChar"/>
        </w:rPr>
        <w:t>E53_Lieu</w:t>
      </w:r>
      <w:r>
        <w:t xml:space="preserve">, </w:t>
      </w:r>
      <w:r>
        <w:rPr>
          <w:rStyle w:val="VerbatimChar"/>
        </w:rPr>
        <w:t>P53i_est_la_localisation_actuelle_ou_antérieure_de</w:t>
      </w:r>
      <w:r>
        <w:t xml:space="preserve">, </w:t>
      </w:r>
      <w:r>
        <w:rPr>
          <w:rStyle w:val="VerbatimChar"/>
        </w:rPr>
        <w:t>E26_Caractéristique_physique</w:t>
      </w:r>
      <w:r>
        <w:t>.</w:t>
      </w:r>
    </w:p>
    <w:p w14:paraId="33B7AAE4" w14:textId="77777777" w:rsidR="00065317" w:rsidRDefault="005C7BF7">
      <w:pPr>
        <w:pStyle w:val="Corpsdetexte"/>
      </w:pPr>
      <w:r>
        <w:rPr>
          <w:b/>
          <w:bCs/>
        </w:rPr>
        <w:t>Exemples</w:t>
      </w:r>
    </w:p>
    <w:p w14:paraId="2823B150" w14:textId="5054EBCF" w:rsidR="00065317" w:rsidRDefault="005C7BF7">
      <w:pPr>
        <w:numPr>
          <w:ilvl w:val="0"/>
          <w:numId w:val="195"/>
        </w:numPr>
      </w:pPr>
      <w:r>
        <w:t>La coupe en argent « 232 » (</w:t>
      </w:r>
      <w:r>
        <w:rPr>
          <w:rStyle w:val="VerbatimChar"/>
        </w:rPr>
        <w:t>E22_Objet_élaboré_par_l</w:t>
      </w:r>
      <w:r w:rsidR="00E84B0E">
        <w:rPr>
          <w:rStyle w:val="VerbatimChar"/>
        </w:rPr>
        <w:t>’</w:t>
      </w:r>
      <w:r>
        <w:rPr>
          <w:rStyle w:val="VerbatimChar"/>
        </w:rPr>
        <w:t>humain</w:t>
      </w:r>
      <w:r>
        <w:t>) a pour caractéristique (</w:t>
      </w:r>
      <w:r>
        <w:rPr>
          <w:rStyle w:val="VerbatimChar"/>
        </w:rPr>
        <w:t>P56_a_pour_caractéristique</w:t>
      </w:r>
      <w:r>
        <w:t>) une rayure se trouvant sur la coupe en argent « 232 » (</w:t>
      </w:r>
      <w:r>
        <w:rPr>
          <w:rStyle w:val="VerbatimChar"/>
        </w:rPr>
        <w:t>E26_Caractéristique_physique</w:t>
      </w:r>
      <w:r>
        <w:t>) (fictif)</w:t>
      </w:r>
    </w:p>
    <w:p w14:paraId="7C5624A6" w14:textId="77777777" w:rsidR="00065317" w:rsidRDefault="005C7BF7">
      <w:pPr>
        <w:pStyle w:val="FirstParagraph"/>
      </w:pPr>
      <w:r>
        <w:rPr>
          <w:b/>
          <w:bCs/>
        </w:rPr>
        <w:t>Logique</w:t>
      </w:r>
    </w:p>
    <w:p w14:paraId="0FC8E54D" w14:textId="77777777" w:rsidR="00065317" w:rsidRDefault="005C7BF7">
      <w:pPr>
        <w:pStyle w:val="Corpsdetexte"/>
      </w:pPr>
      <w:r>
        <w:t>P56(x,y) ⇒E19(x)</w:t>
      </w:r>
    </w:p>
    <w:p w14:paraId="29116B27" w14:textId="77777777" w:rsidR="00065317" w:rsidRDefault="005C7BF7">
      <w:pPr>
        <w:pStyle w:val="Corpsdetexte"/>
      </w:pPr>
      <w:r>
        <w:t>P56(x,y) ⇒ E26(y)</w:t>
      </w:r>
    </w:p>
    <w:p w14:paraId="1C488924" w14:textId="77777777" w:rsidR="00065317" w:rsidRDefault="005C7BF7">
      <w:pPr>
        <w:pStyle w:val="Corpsdetexte"/>
      </w:pPr>
      <w:r>
        <w:t>P56(x,y) ⇒ P46(x,y)</w:t>
      </w:r>
    </w:p>
    <w:p w14:paraId="25C1F8FB" w14:textId="77777777" w:rsidR="00065317" w:rsidRDefault="005C7BF7">
      <w:pPr>
        <w:pStyle w:val="Corpsdetexte"/>
      </w:pPr>
      <w:r>
        <w:t>P56(x,y) ⇐ (∃z) [E53(z) ˄ P59(x,z) ˄ P53i(z,y)]</w:t>
      </w:r>
    </w:p>
    <w:p w14:paraId="1D7972ED" w14:textId="77777777" w:rsidR="00065317" w:rsidRDefault="005C7BF7">
      <w:pPr>
        <w:pStyle w:val="Corpsdetexte"/>
      </w:pPr>
      <w:r>
        <w:rPr>
          <w:b/>
          <w:bCs/>
        </w:rPr>
        <w:t>Propriétés</w:t>
      </w:r>
    </w:p>
    <w:p w14:paraId="573ABB59" w14:textId="77777777" w:rsidR="00065317" w:rsidRDefault="005C7BF7">
      <w:pPr>
        <w:pStyle w:val="Normalcentr"/>
      </w:pPr>
      <w:r>
        <w:rPr>
          <w:b/>
          <w:bCs/>
          <w:i/>
          <w:iCs/>
        </w:rPr>
        <w:t>Note de traduction</w:t>
      </w:r>
    </w:p>
    <w:p w14:paraId="36723AAE" w14:textId="10072C70" w:rsidR="00065317" w:rsidRDefault="005C7BF7" w:rsidP="001155E9">
      <w:pPr>
        <w:pStyle w:val="Normalcentr"/>
      </w:pPr>
      <w:r>
        <w:rPr>
          <w:b/>
          <w:bCs/>
          <w:i/>
          <w:iCs/>
        </w:rPr>
        <w:t>Références</w:t>
      </w:r>
    </w:p>
    <w:p w14:paraId="57420139" w14:textId="17F8C3A6" w:rsidR="00065317" w:rsidRDefault="005C7BF7" w:rsidP="00914F34">
      <w:pPr>
        <w:pStyle w:val="Titre3"/>
      </w:pPr>
      <w:bookmarkStart w:id="374" w:name="_Toc154048872"/>
      <w:bookmarkStart w:id="375" w:name="p57-a-pour-nombre-delements"/>
      <w:bookmarkEnd w:id="373"/>
      <w:r>
        <w:t>P57 a pour nombre d</w:t>
      </w:r>
      <w:r w:rsidR="00E84B0E">
        <w:t>’</w:t>
      </w:r>
      <w:r>
        <w:t>éléments</w:t>
      </w:r>
      <w:bookmarkEnd w:id="374"/>
    </w:p>
    <w:p w14:paraId="1A35DAA6" w14:textId="77777777" w:rsidR="00065317" w:rsidRDefault="005C7BF7">
      <w:pPr>
        <w:pStyle w:val="FirstParagraph"/>
      </w:pPr>
      <w:r>
        <w:rPr>
          <w:b/>
          <w:bCs/>
        </w:rPr>
        <w:t>Domaine</w:t>
      </w:r>
    </w:p>
    <w:p w14:paraId="1F11DE36" w14:textId="77777777" w:rsidR="00065317" w:rsidRDefault="005C7BF7">
      <w:pPr>
        <w:pStyle w:val="Corpsdetexte"/>
      </w:pPr>
      <w:r>
        <w:rPr>
          <w:rStyle w:val="VerbatimChar"/>
        </w:rPr>
        <w:t>E19_Objet_matériel</w:t>
      </w:r>
    </w:p>
    <w:p w14:paraId="0B86712C" w14:textId="77777777" w:rsidR="00065317" w:rsidRDefault="005C7BF7">
      <w:pPr>
        <w:pStyle w:val="Corpsdetexte"/>
      </w:pPr>
      <w:r>
        <w:rPr>
          <w:b/>
          <w:bCs/>
        </w:rPr>
        <w:t>Portée</w:t>
      </w:r>
    </w:p>
    <w:p w14:paraId="3FB05743" w14:textId="77777777" w:rsidR="00065317" w:rsidRDefault="005C7BF7">
      <w:pPr>
        <w:pStyle w:val="Corpsdetexte"/>
      </w:pPr>
      <w:r>
        <w:rPr>
          <w:rStyle w:val="VerbatimChar"/>
        </w:rPr>
        <w:t>E60_Nombre</w:t>
      </w:r>
    </w:p>
    <w:p w14:paraId="6B107A9B" w14:textId="77777777" w:rsidR="00065317" w:rsidRDefault="005C7BF7">
      <w:pPr>
        <w:pStyle w:val="Corpsdetexte"/>
      </w:pPr>
      <w:r>
        <w:rPr>
          <w:b/>
          <w:bCs/>
        </w:rPr>
        <w:t>Sous-propriété de</w:t>
      </w:r>
    </w:p>
    <w:p w14:paraId="723C8145" w14:textId="77777777" w:rsidR="00065317" w:rsidRDefault="005C7BF7">
      <w:pPr>
        <w:pStyle w:val="Corpsdetexte"/>
      </w:pPr>
      <w:r>
        <w:rPr>
          <w:b/>
          <w:bCs/>
        </w:rPr>
        <w:t>Super-propriété de</w:t>
      </w:r>
    </w:p>
    <w:p w14:paraId="163822BD" w14:textId="77777777" w:rsidR="00065317" w:rsidRDefault="005C7BF7">
      <w:pPr>
        <w:pStyle w:val="Corpsdetexte"/>
      </w:pPr>
      <w:r>
        <w:rPr>
          <w:b/>
          <w:bCs/>
        </w:rPr>
        <w:t>Quantification</w:t>
      </w:r>
    </w:p>
    <w:p w14:paraId="02996B14" w14:textId="77777777" w:rsidR="00065317" w:rsidRDefault="005C7BF7">
      <w:pPr>
        <w:pStyle w:val="Corpsdetexte"/>
      </w:pPr>
      <w:r>
        <w:t>plusieurs à un (0,1:0,n)</w:t>
      </w:r>
    </w:p>
    <w:p w14:paraId="52AD9D81" w14:textId="06B6E09F" w:rsidR="00065317" w:rsidRDefault="005C7BF7">
      <w:pPr>
        <w:pStyle w:val="Corpsdetexte"/>
      </w:pPr>
      <w:r>
        <w:rPr>
          <w:b/>
          <w:bCs/>
        </w:rPr>
        <w:t>Note d</w:t>
      </w:r>
      <w:r w:rsidR="00E84B0E">
        <w:rPr>
          <w:b/>
          <w:bCs/>
        </w:rPr>
        <w:t>’</w:t>
      </w:r>
      <w:r>
        <w:rPr>
          <w:b/>
          <w:bCs/>
        </w:rPr>
        <w:t>application</w:t>
      </w:r>
    </w:p>
    <w:p w14:paraId="69804364" w14:textId="77777777" w:rsidR="00065317" w:rsidRDefault="005C7BF7">
      <w:pPr>
        <w:pStyle w:val="Corpsdetexte"/>
      </w:pPr>
      <w:r>
        <w:t xml:space="preserve">Cette propriété documente le nombre de parties, par une instance de </w:t>
      </w:r>
      <w:r>
        <w:rPr>
          <w:rStyle w:val="VerbatimChar"/>
        </w:rPr>
        <w:t>E60_Nombre</w:t>
      </w:r>
      <w:r>
        <w:t xml:space="preserve">, qui composent une instance de </w:t>
      </w:r>
      <w:r>
        <w:rPr>
          <w:rStyle w:val="VerbatimChar"/>
        </w:rPr>
        <w:t>E19_Objet_matériel</w:t>
      </w:r>
      <w:r>
        <w:t>.</w:t>
      </w:r>
    </w:p>
    <w:p w14:paraId="78A648E3" w14:textId="2D5C068A" w:rsidR="00065317" w:rsidRDefault="005C7BF7">
      <w:pPr>
        <w:pStyle w:val="Corpsdetexte"/>
      </w:pPr>
      <w:r>
        <w:t>Cette méthode peut être utilisée afin de procéder à un contrôle des inventaires d</w:t>
      </w:r>
      <w:r w:rsidR="00E84B0E">
        <w:t>’</w:t>
      </w:r>
      <w:r>
        <w:t>objets de nature collective ou agrégée. Ce qui constitue une partie ou un élément composant dépend du contexte et des exigences de la documentation. Normalement, les parties ainsi documentées ne devraient pas être considérées dignes qu</w:t>
      </w:r>
      <w:r w:rsidR="00E84B0E">
        <w:t>’</w:t>
      </w:r>
      <w:r>
        <w:t>on leur porte individuellement attention.</w:t>
      </w:r>
    </w:p>
    <w:p w14:paraId="1E472C72" w14:textId="7E40753D" w:rsidR="00065317" w:rsidRDefault="005C7BF7">
      <w:pPr>
        <w:pStyle w:val="Corpsdetexte"/>
      </w:pPr>
      <w:r>
        <w:t>Pour une description plus complète, les objets peuvent être divisés en éléments constitutifs ou composants à l</w:t>
      </w:r>
      <w:r w:rsidR="00E84B0E">
        <w:t>’</w:t>
      </w:r>
      <w:r>
        <w:t xml:space="preserve">aide de </w:t>
      </w:r>
      <w:r>
        <w:rPr>
          <w:rStyle w:val="VerbatimChar"/>
        </w:rPr>
        <w:t>P45_comprend (est_inclus_dans)</w:t>
      </w:r>
      <w:r>
        <w:t xml:space="preserve"> et de </w:t>
      </w:r>
      <w:r>
        <w:rPr>
          <w:rStyle w:val="VerbatimChar"/>
        </w:rPr>
        <w:t>P46_est_composé_de (fait_partie_de)</w:t>
      </w:r>
      <w:r>
        <w:t xml:space="preserve">. </w:t>
      </w:r>
      <w:r w:rsidR="00714434">
        <w:t>Cela</w:t>
      </w:r>
      <w:r>
        <w:t xml:space="preserve"> permet de décrire individuellement chaque élément.</w:t>
      </w:r>
    </w:p>
    <w:p w14:paraId="613BC173" w14:textId="77777777" w:rsidR="00F54917" w:rsidRDefault="00F54917">
      <w:pPr>
        <w:spacing w:after="0"/>
        <w:rPr>
          <w:b/>
          <w:bCs/>
        </w:rPr>
      </w:pPr>
      <w:r>
        <w:rPr>
          <w:b/>
          <w:bCs/>
        </w:rPr>
        <w:br w:type="page"/>
      </w:r>
    </w:p>
    <w:p w14:paraId="2B80CE2F" w14:textId="01D19B34" w:rsidR="00065317" w:rsidRDefault="005C7BF7">
      <w:pPr>
        <w:pStyle w:val="Corpsdetexte"/>
      </w:pPr>
      <w:r>
        <w:rPr>
          <w:b/>
          <w:bCs/>
        </w:rPr>
        <w:lastRenderedPageBreak/>
        <w:t>Exemples</w:t>
      </w:r>
    </w:p>
    <w:p w14:paraId="0772A078" w14:textId="599340A5" w:rsidR="00065317" w:rsidRDefault="005C7BF7">
      <w:pPr>
        <w:numPr>
          <w:ilvl w:val="0"/>
          <w:numId w:val="196"/>
        </w:numPr>
      </w:pPr>
      <w:r>
        <w:t>Le jeu d</w:t>
      </w:r>
      <w:r w:rsidR="00E84B0E">
        <w:t>’</w:t>
      </w:r>
      <w:r>
        <w:t>échecs « 233 » a pour nombre d</w:t>
      </w:r>
      <w:r w:rsidR="00E84B0E">
        <w:t>’</w:t>
      </w:r>
      <w:r>
        <w:t>éléments (</w:t>
      </w:r>
      <w:r>
        <w:rPr>
          <w:rStyle w:val="VerbatimChar"/>
        </w:rPr>
        <w:t>P57_a_pour_nombre_d</w:t>
      </w:r>
      <w:r w:rsidR="00E84B0E">
        <w:rPr>
          <w:rStyle w:val="VerbatimChar"/>
        </w:rPr>
        <w:t>’</w:t>
      </w:r>
      <w:r>
        <w:rPr>
          <w:rStyle w:val="VerbatimChar"/>
        </w:rPr>
        <w:t>éléments</w:t>
      </w:r>
      <w:r>
        <w:t>) 33 (</w:t>
      </w:r>
      <w:r>
        <w:rPr>
          <w:rStyle w:val="VerbatimChar"/>
        </w:rPr>
        <w:t>E60_Nombre</w:t>
      </w:r>
      <w:r>
        <w:t>) (fictif)</w:t>
      </w:r>
    </w:p>
    <w:p w14:paraId="5382C255" w14:textId="77777777" w:rsidR="00065317" w:rsidRDefault="005C7BF7">
      <w:pPr>
        <w:pStyle w:val="FirstParagraph"/>
      </w:pPr>
      <w:r>
        <w:rPr>
          <w:b/>
          <w:bCs/>
        </w:rPr>
        <w:t>Logique</w:t>
      </w:r>
    </w:p>
    <w:p w14:paraId="5A660D32" w14:textId="77777777" w:rsidR="00065317" w:rsidRDefault="005C7BF7">
      <w:pPr>
        <w:pStyle w:val="Corpsdetexte"/>
      </w:pPr>
      <w:r>
        <w:t>P57(x,y) ⇒ E19(x)</w:t>
      </w:r>
    </w:p>
    <w:p w14:paraId="18151A99" w14:textId="77777777" w:rsidR="00065317" w:rsidRDefault="005C7BF7">
      <w:pPr>
        <w:pStyle w:val="Corpsdetexte"/>
      </w:pPr>
      <w:r>
        <w:t>P57(x,y) ⇒ E60(y)</w:t>
      </w:r>
    </w:p>
    <w:p w14:paraId="7CAA147A" w14:textId="77777777" w:rsidR="00065317" w:rsidRDefault="005C7BF7">
      <w:pPr>
        <w:pStyle w:val="Corpsdetexte"/>
      </w:pPr>
      <w:r>
        <w:rPr>
          <w:b/>
          <w:bCs/>
        </w:rPr>
        <w:t>Propriétés</w:t>
      </w:r>
    </w:p>
    <w:p w14:paraId="23E095AA" w14:textId="77777777" w:rsidR="00065317" w:rsidRDefault="005C7BF7">
      <w:pPr>
        <w:pStyle w:val="Normalcentr"/>
      </w:pPr>
      <w:r>
        <w:rPr>
          <w:b/>
          <w:bCs/>
          <w:i/>
          <w:iCs/>
        </w:rPr>
        <w:t>Note de traduction</w:t>
      </w:r>
    </w:p>
    <w:p w14:paraId="4C6D269E" w14:textId="09DE99FA" w:rsidR="00065317" w:rsidRDefault="005C7BF7" w:rsidP="001155E9">
      <w:pPr>
        <w:pStyle w:val="Normalcentr"/>
      </w:pPr>
      <w:r>
        <w:rPr>
          <w:b/>
          <w:bCs/>
          <w:i/>
          <w:iCs/>
        </w:rPr>
        <w:t>Références</w:t>
      </w:r>
    </w:p>
    <w:p w14:paraId="126F4CD9" w14:textId="77777777" w:rsidR="00065317" w:rsidRDefault="005C7BF7" w:rsidP="00914F34">
      <w:pPr>
        <w:pStyle w:val="Titre3"/>
      </w:pPr>
      <w:bookmarkStart w:id="376" w:name="_Toc154048873"/>
      <w:bookmarkStart w:id="377" w:name="X2a6f0d8e412814bd28f0faab4c9e8ac54803d0c"/>
      <w:bookmarkEnd w:id="375"/>
      <w:r>
        <w:t>P59 a pour section (se situe sur ou dans)</w:t>
      </w:r>
      <w:bookmarkEnd w:id="376"/>
    </w:p>
    <w:p w14:paraId="52E3E551" w14:textId="77777777" w:rsidR="00065317" w:rsidRDefault="005C7BF7">
      <w:pPr>
        <w:pStyle w:val="FirstParagraph"/>
      </w:pPr>
      <w:r>
        <w:rPr>
          <w:b/>
          <w:bCs/>
        </w:rPr>
        <w:t>Domaine</w:t>
      </w:r>
    </w:p>
    <w:p w14:paraId="0BE12F05" w14:textId="77777777" w:rsidR="00065317" w:rsidRDefault="005C7BF7">
      <w:pPr>
        <w:pStyle w:val="Corpsdetexte"/>
      </w:pPr>
      <w:r>
        <w:rPr>
          <w:rStyle w:val="VerbatimChar"/>
        </w:rPr>
        <w:t>E18_Chose_matérielle</w:t>
      </w:r>
    </w:p>
    <w:p w14:paraId="58D57715" w14:textId="77777777" w:rsidR="00065317" w:rsidRDefault="005C7BF7">
      <w:pPr>
        <w:pStyle w:val="Corpsdetexte"/>
      </w:pPr>
      <w:r>
        <w:rPr>
          <w:b/>
          <w:bCs/>
        </w:rPr>
        <w:t>Portée</w:t>
      </w:r>
    </w:p>
    <w:p w14:paraId="1046372D" w14:textId="77777777" w:rsidR="00065317" w:rsidRDefault="005C7BF7">
      <w:pPr>
        <w:pStyle w:val="Corpsdetexte"/>
      </w:pPr>
      <w:r>
        <w:rPr>
          <w:rStyle w:val="VerbatimChar"/>
        </w:rPr>
        <w:t>E53_Lieu</w:t>
      </w:r>
    </w:p>
    <w:p w14:paraId="70BF64F4" w14:textId="77777777" w:rsidR="00065317" w:rsidRDefault="005C7BF7">
      <w:pPr>
        <w:pStyle w:val="Corpsdetexte"/>
      </w:pPr>
      <w:r>
        <w:rPr>
          <w:b/>
          <w:bCs/>
        </w:rPr>
        <w:t>Sous-propriété de</w:t>
      </w:r>
    </w:p>
    <w:p w14:paraId="7990D9E6" w14:textId="1C965DEB" w:rsidR="00065317" w:rsidRDefault="005C7BF7">
      <w:pPr>
        <w:pStyle w:val="Corpsdetexte"/>
      </w:pPr>
      <w:r>
        <w:rPr>
          <w:rStyle w:val="VerbatimChar"/>
        </w:rPr>
        <w:t>E18_Chose_matérielle</w:t>
      </w:r>
      <w:r>
        <w:t xml:space="preserve">. </w:t>
      </w:r>
      <w:r>
        <w:rPr>
          <w:rStyle w:val="VerbatimChar"/>
        </w:rPr>
        <w:t>P157i_procure_l</w:t>
      </w:r>
      <w:r w:rsidR="00E84B0E">
        <w:rPr>
          <w:rStyle w:val="VerbatimChar"/>
        </w:rPr>
        <w:t>’</w:t>
      </w:r>
      <w:r>
        <w:rPr>
          <w:rStyle w:val="VerbatimChar"/>
        </w:rPr>
        <w:t>espace_de_référence_pour (est_à_l</w:t>
      </w:r>
      <w:r w:rsidR="00E84B0E">
        <w:rPr>
          <w:rStyle w:val="VerbatimChar"/>
        </w:rPr>
        <w:t>’</w:t>
      </w:r>
      <w:r>
        <w:rPr>
          <w:rStyle w:val="VerbatimChar"/>
        </w:rPr>
        <w:t>arrêt_par_rapport_à)</w:t>
      </w:r>
      <w:r>
        <w:t xml:space="preserve"> : </w:t>
      </w:r>
      <w:r>
        <w:rPr>
          <w:rStyle w:val="VerbatimChar"/>
        </w:rPr>
        <w:t>E53_Lieu</w:t>
      </w:r>
    </w:p>
    <w:p w14:paraId="45045719" w14:textId="77777777" w:rsidR="00065317" w:rsidRDefault="005C7BF7">
      <w:pPr>
        <w:pStyle w:val="Corpsdetexte"/>
      </w:pPr>
      <w:r>
        <w:rPr>
          <w:b/>
          <w:bCs/>
        </w:rPr>
        <w:t>Super-propriété de</w:t>
      </w:r>
    </w:p>
    <w:p w14:paraId="528E2E60" w14:textId="77777777" w:rsidR="00065317" w:rsidRDefault="005C7BF7">
      <w:pPr>
        <w:pStyle w:val="Corpsdetexte"/>
      </w:pPr>
      <w:r>
        <w:rPr>
          <w:b/>
          <w:bCs/>
        </w:rPr>
        <w:t>Quantification</w:t>
      </w:r>
    </w:p>
    <w:p w14:paraId="3395FFFA" w14:textId="77777777" w:rsidR="00065317" w:rsidRDefault="005C7BF7">
      <w:pPr>
        <w:pStyle w:val="Corpsdetexte"/>
      </w:pPr>
      <w:r>
        <w:t>plusieurs à plusieurs (0,n:0,n)</w:t>
      </w:r>
    </w:p>
    <w:p w14:paraId="1C89F144" w14:textId="72764191" w:rsidR="00065317" w:rsidRDefault="005C7BF7">
      <w:pPr>
        <w:pStyle w:val="Corpsdetexte"/>
      </w:pPr>
      <w:r>
        <w:rPr>
          <w:b/>
          <w:bCs/>
        </w:rPr>
        <w:t>Note d</w:t>
      </w:r>
      <w:r w:rsidR="00E84B0E">
        <w:rPr>
          <w:b/>
          <w:bCs/>
        </w:rPr>
        <w:t>’</w:t>
      </w:r>
      <w:r>
        <w:rPr>
          <w:b/>
          <w:bCs/>
        </w:rPr>
        <w:t>application</w:t>
      </w:r>
    </w:p>
    <w:p w14:paraId="72F97034" w14:textId="18F921F3" w:rsidR="00065317" w:rsidRDefault="005C7BF7">
      <w:pPr>
        <w:pStyle w:val="Corpsdetexte"/>
      </w:pPr>
      <w:r>
        <w:t xml:space="preserve">Cette propriété lie une zone géographique, c.-à-d. une instance de </w:t>
      </w:r>
      <w:r>
        <w:rPr>
          <w:rStyle w:val="VerbatimChar"/>
        </w:rPr>
        <w:t>E53_Lieu</w:t>
      </w:r>
      <w:r>
        <w:t xml:space="preserve">, à une instance de </w:t>
      </w:r>
      <w:r>
        <w:rPr>
          <w:rStyle w:val="VerbatimChar"/>
        </w:rPr>
        <w:t>E18_Chose_matérielle</w:t>
      </w:r>
      <w:r>
        <w:t xml:space="preserve"> sur laquelle elle se trouve. Cette zone peut être identifiée soit par un nom, soit par un système de coordonnées géométriques adapté à la forme de l</w:t>
      </w:r>
      <w:r w:rsidR="00E84B0E">
        <w:t>’</w:t>
      </w:r>
      <w:r>
        <w:t xml:space="preserve">instance respective de </w:t>
      </w:r>
      <w:r>
        <w:rPr>
          <w:rStyle w:val="VerbatimChar"/>
        </w:rPr>
        <w:t>E18_Chose_matérielle</w:t>
      </w:r>
      <w:r>
        <w:t>. Typiquement, les noms identifiant des sections d</w:t>
      </w:r>
      <w:r w:rsidR="00E84B0E">
        <w:t>’</w:t>
      </w:r>
      <w:r>
        <w:t>objets physiques sont composés du nom d</w:t>
      </w:r>
      <w:r w:rsidR="00E84B0E">
        <w:t>’</w:t>
      </w:r>
      <w:r>
        <w:t>un type de partie de l</w:t>
      </w:r>
      <w:r w:rsidR="00E84B0E">
        <w:t>’</w:t>
      </w:r>
      <w:r>
        <w:t>objet et du nom de l</w:t>
      </w:r>
      <w:r w:rsidR="00E84B0E">
        <w:t>’</w:t>
      </w:r>
      <w:r>
        <w:t>objet lui-même, par exemple « Le pont de dunette du HMS Victory », qui est composé de « pont de dunette » et de « HMS Victory ».</w:t>
      </w:r>
    </w:p>
    <w:p w14:paraId="66526510" w14:textId="77777777" w:rsidR="00065317" w:rsidRDefault="005C7BF7">
      <w:pPr>
        <w:pStyle w:val="Corpsdetexte"/>
      </w:pPr>
      <w:r>
        <w:rPr>
          <w:b/>
          <w:bCs/>
        </w:rPr>
        <w:t>Exemples</w:t>
      </w:r>
    </w:p>
    <w:p w14:paraId="01FBFF7E" w14:textId="7285D5E6" w:rsidR="00065317" w:rsidRDefault="005C7BF7">
      <w:pPr>
        <w:numPr>
          <w:ilvl w:val="0"/>
          <w:numId w:val="197"/>
        </w:numPr>
      </w:pPr>
      <w:r>
        <w:t>HMS Victory (</w:t>
      </w:r>
      <w:r>
        <w:rPr>
          <w:rStyle w:val="VerbatimChar"/>
        </w:rPr>
        <w:t>E22_Objet_élaboré_par_l</w:t>
      </w:r>
      <w:r w:rsidR="00E84B0E">
        <w:rPr>
          <w:rStyle w:val="VerbatimChar"/>
        </w:rPr>
        <w:t>’</w:t>
      </w:r>
      <w:r>
        <w:rPr>
          <w:rStyle w:val="VerbatimChar"/>
        </w:rPr>
        <w:t>humain</w:t>
      </w:r>
      <w:r>
        <w:t>) a pour section (</w:t>
      </w:r>
      <w:r>
        <w:rPr>
          <w:rStyle w:val="VerbatimChar"/>
        </w:rPr>
        <w:t>P59_a_pour_section</w:t>
      </w:r>
      <w:r>
        <w:t>) la section B347.6 du HMS Victory (</w:t>
      </w:r>
      <w:r>
        <w:rPr>
          <w:rStyle w:val="VerbatimChar"/>
        </w:rPr>
        <w:t>E53_Lieu</w:t>
      </w:r>
      <w:r>
        <w:t>) (Goodwin, 2015)</w:t>
      </w:r>
    </w:p>
    <w:p w14:paraId="3B852EBC" w14:textId="77777777" w:rsidR="00065317" w:rsidRDefault="005C7BF7">
      <w:pPr>
        <w:pStyle w:val="FirstParagraph"/>
      </w:pPr>
      <w:r>
        <w:rPr>
          <w:b/>
          <w:bCs/>
        </w:rPr>
        <w:t>Logique</w:t>
      </w:r>
    </w:p>
    <w:p w14:paraId="7F5EB158" w14:textId="77777777" w:rsidR="00065317" w:rsidRDefault="005C7BF7">
      <w:pPr>
        <w:pStyle w:val="Corpsdetexte"/>
      </w:pPr>
      <w:r>
        <w:t>P59(x,y) ⇒ E18(x)</w:t>
      </w:r>
    </w:p>
    <w:p w14:paraId="6EC68603" w14:textId="77777777" w:rsidR="00065317" w:rsidRDefault="005C7BF7">
      <w:pPr>
        <w:pStyle w:val="Corpsdetexte"/>
      </w:pPr>
      <w:r>
        <w:t>P59(x,y) ⇒ E53(y)</w:t>
      </w:r>
    </w:p>
    <w:p w14:paraId="51100378" w14:textId="77777777" w:rsidR="00065317" w:rsidRDefault="005C7BF7">
      <w:pPr>
        <w:pStyle w:val="Corpsdetexte"/>
      </w:pPr>
      <w:r>
        <w:rPr>
          <w:b/>
          <w:bCs/>
        </w:rPr>
        <w:t>Propriétés</w:t>
      </w:r>
    </w:p>
    <w:p w14:paraId="6E61FF76" w14:textId="77777777" w:rsidR="00065317" w:rsidRDefault="005C7BF7">
      <w:pPr>
        <w:pStyle w:val="Normalcentr"/>
      </w:pPr>
      <w:r>
        <w:rPr>
          <w:b/>
          <w:bCs/>
          <w:i/>
          <w:iCs/>
        </w:rPr>
        <w:lastRenderedPageBreak/>
        <w:t>Note de traduction</w:t>
      </w:r>
    </w:p>
    <w:p w14:paraId="47F33341" w14:textId="3BC5C631" w:rsidR="00065317" w:rsidRDefault="005C7BF7" w:rsidP="001155E9">
      <w:pPr>
        <w:pStyle w:val="Normalcentr"/>
      </w:pPr>
      <w:r>
        <w:rPr>
          <w:b/>
          <w:bCs/>
          <w:i/>
          <w:iCs/>
        </w:rPr>
        <w:t>Références</w:t>
      </w:r>
    </w:p>
    <w:p w14:paraId="58022545" w14:textId="77777777" w:rsidR="00065317" w:rsidRDefault="005C7BF7" w:rsidP="00914F34">
      <w:pPr>
        <w:pStyle w:val="Titre3"/>
      </w:pPr>
      <w:bookmarkStart w:id="378" w:name="_Toc154048874"/>
      <w:bookmarkStart w:id="379" w:name="p62-illustre-(est-illustre-par)"/>
      <w:bookmarkEnd w:id="377"/>
      <w:r>
        <w:t>P62 illustre (est illustré par)</w:t>
      </w:r>
      <w:bookmarkEnd w:id="378"/>
    </w:p>
    <w:p w14:paraId="655CAE0B" w14:textId="77777777" w:rsidR="00065317" w:rsidRDefault="005C7BF7">
      <w:pPr>
        <w:pStyle w:val="FirstParagraph"/>
      </w:pPr>
      <w:r>
        <w:rPr>
          <w:b/>
          <w:bCs/>
        </w:rPr>
        <w:t>Domaine</w:t>
      </w:r>
    </w:p>
    <w:p w14:paraId="2F8DBE01" w14:textId="2C3EF29A" w:rsidR="00065317" w:rsidRDefault="005C7BF7">
      <w:pPr>
        <w:pStyle w:val="Corpsdetexte"/>
      </w:pPr>
      <w:r>
        <w:rPr>
          <w:rStyle w:val="VerbatimChar"/>
        </w:rPr>
        <w:t>E24_Chose_matérielle_élaborée_par_l</w:t>
      </w:r>
      <w:r w:rsidR="00E84B0E">
        <w:rPr>
          <w:rStyle w:val="VerbatimChar"/>
        </w:rPr>
        <w:t>’</w:t>
      </w:r>
      <w:r>
        <w:rPr>
          <w:rStyle w:val="VerbatimChar"/>
        </w:rPr>
        <w:t>humain</w:t>
      </w:r>
    </w:p>
    <w:p w14:paraId="6BBEF651" w14:textId="77777777" w:rsidR="00065317" w:rsidRDefault="005C7BF7">
      <w:pPr>
        <w:pStyle w:val="Corpsdetexte"/>
      </w:pPr>
      <w:r>
        <w:rPr>
          <w:b/>
          <w:bCs/>
        </w:rPr>
        <w:t>Portée</w:t>
      </w:r>
    </w:p>
    <w:p w14:paraId="17FC65FB" w14:textId="77777777" w:rsidR="00065317" w:rsidRDefault="005C7BF7">
      <w:pPr>
        <w:pStyle w:val="Corpsdetexte"/>
      </w:pPr>
      <w:r>
        <w:rPr>
          <w:rStyle w:val="VerbatimChar"/>
        </w:rPr>
        <w:t>E1_Entité_CRM</w:t>
      </w:r>
    </w:p>
    <w:p w14:paraId="48E11F08" w14:textId="77777777" w:rsidR="00065317" w:rsidRDefault="005C7BF7">
      <w:pPr>
        <w:pStyle w:val="Corpsdetexte"/>
      </w:pPr>
      <w:r>
        <w:rPr>
          <w:b/>
          <w:bCs/>
        </w:rPr>
        <w:t>Sous-propriété de</w:t>
      </w:r>
    </w:p>
    <w:p w14:paraId="7F704F5E" w14:textId="77777777" w:rsidR="00065317" w:rsidRDefault="005C7BF7">
      <w:pPr>
        <w:pStyle w:val="Corpsdetexte"/>
      </w:pPr>
      <w:r>
        <w:rPr>
          <w:b/>
          <w:bCs/>
        </w:rPr>
        <w:t>Super-propriété de</w:t>
      </w:r>
    </w:p>
    <w:p w14:paraId="12A1C4B5" w14:textId="77777777" w:rsidR="00065317" w:rsidRDefault="005C7BF7">
      <w:pPr>
        <w:pStyle w:val="Corpsdetexte"/>
      </w:pPr>
      <w:r>
        <w:rPr>
          <w:b/>
          <w:bCs/>
        </w:rPr>
        <w:t>Quantification</w:t>
      </w:r>
    </w:p>
    <w:p w14:paraId="63041B75" w14:textId="77777777" w:rsidR="00065317" w:rsidRDefault="005C7BF7">
      <w:pPr>
        <w:pStyle w:val="Corpsdetexte"/>
      </w:pPr>
      <w:r>
        <w:t>plusieurs à plusieurs (0,n:0,n)</w:t>
      </w:r>
    </w:p>
    <w:p w14:paraId="2F9E5130" w14:textId="0C6E5A62" w:rsidR="00065317" w:rsidRDefault="005C7BF7">
      <w:pPr>
        <w:pStyle w:val="Corpsdetexte"/>
      </w:pPr>
      <w:r>
        <w:rPr>
          <w:b/>
          <w:bCs/>
        </w:rPr>
        <w:t>Note d</w:t>
      </w:r>
      <w:r w:rsidR="00E84B0E">
        <w:rPr>
          <w:b/>
          <w:bCs/>
        </w:rPr>
        <w:t>’</w:t>
      </w:r>
      <w:r>
        <w:rPr>
          <w:b/>
          <w:bCs/>
        </w:rPr>
        <w:t>application</w:t>
      </w:r>
    </w:p>
    <w:p w14:paraId="679D77AD" w14:textId="155DBA53" w:rsidR="00065317" w:rsidRDefault="005C7BF7">
      <w:pPr>
        <w:pStyle w:val="Corpsdetexte"/>
      </w:pPr>
      <w:r>
        <w:t xml:space="preserve">Cette propriété identifie quelque chose qui est illustré par une instance de </w:t>
      </w:r>
      <w:r>
        <w:rPr>
          <w:rStyle w:val="VerbatimChar"/>
        </w:rPr>
        <w:t>E24_Chose_matérielle_élaborée_par_l</w:t>
      </w:r>
      <w:r w:rsidR="00E84B0E">
        <w:rPr>
          <w:rStyle w:val="VerbatimChar"/>
        </w:rPr>
        <w:t>’</w:t>
      </w:r>
      <w:r>
        <w:rPr>
          <w:rStyle w:val="VerbatimChar"/>
        </w:rPr>
        <w:t>humain</w:t>
      </w:r>
      <w:r>
        <w:t>. Le terme « illustré » signifie ici qu</w:t>
      </w:r>
      <w:r w:rsidR="00E84B0E">
        <w:t>’</w:t>
      </w:r>
      <w:r>
        <w:t xml:space="preserve">une instance de </w:t>
      </w:r>
      <w:r>
        <w:rPr>
          <w:rStyle w:val="VerbatimChar"/>
        </w:rPr>
        <w:t>E24_Chose_matérielle_élaborée_par_l</w:t>
      </w:r>
      <w:r w:rsidR="00E84B0E">
        <w:rPr>
          <w:rStyle w:val="VerbatimChar"/>
        </w:rPr>
        <w:t>’</w:t>
      </w:r>
      <w:r>
        <w:rPr>
          <w:rStyle w:val="VerbatimChar"/>
        </w:rPr>
        <w:t>humain</w:t>
      </w:r>
      <w:r>
        <w:t>, à travers ses caractéristiques optiques ou sa forme, est une représentation intentionnelle de l</w:t>
      </w:r>
      <w:r w:rsidR="00E84B0E">
        <w:t>’</w:t>
      </w:r>
      <w:r>
        <w:t>entité illustrée. Les photographies sont considérées par défaut comme des représentations intentionnelles. Tout ce qui est conçu pour changer les propriétés de l</w:t>
      </w:r>
      <w:r w:rsidR="00E84B0E">
        <w:t>’</w:t>
      </w:r>
      <w:r>
        <w:t>illustration, comme un lecteur de livres électroniques, est spécifiquement exclu. Cette propriété ne s</w:t>
      </w:r>
      <w:r w:rsidR="00E84B0E">
        <w:t>’</w:t>
      </w:r>
      <w:r>
        <w:t>applique pas aux inscriptions ou autres types d</w:t>
      </w:r>
      <w:r w:rsidR="00E84B0E">
        <w:t>’</w:t>
      </w:r>
      <w:r>
        <w:t>informations encodées.</w:t>
      </w:r>
    </w:p>
    <w:p w14:paraId="1F050E80" w14:textId="5FF019DC" w:rsidR="00065317" w:rsidRDefault="005C7BF7">
      <w:pPr>
        <w:pStyle w:val="Corpsdetexte"/>
      </w:pPr>
      <w:r>
        <w:t xml:space="preserve">Cette propriété est un raccourci du chemin sémantique suivant : </w:t>
      </w:r>
      <w:r>
        <w:rPr>
          <w:rStyle w:val="VerbatimChar"/>
        </w:rPr>
        <w:t>E24_Chose_matérielle_élaborée_par_l</w:t>
      </w:r>
      <w:r w:rsidR="00E84B0E">
        <w:rPr>
          <w:rStyle w:val="VerbatimChar"/>
        </w:rPr>
        <w:t>’</w:t>
      </w:r>
      <w:r>
        <w:rPr>
          <w:rStyle w:val="VerbatimChar"/>
        </w:rPr>
        <w:t>humain</w:t>
      </w:r>
      <w:r>
        <w:t xml:space="preserve">, </w:t>
      </w:r>
      <w:r>
        <w:rPr>
          <w:rStyle w:val="VerbatimChar"/>
        </w:rPr>
        <w:t>P65_représente_l</w:t>
      </w:r>
      <w:r w:rsidR="00E84B0E">
        <w:rPr>
          <w:rStyle w:val="VerbatimChar"/>
        </w:rPr>
        <w:t>’</w:t>
      </w:r>
      <w:r>
        <w:rPr>
          <w:rStyle w:val="VerbatimChar"/>
        </w:rPr>
        <w:t>entité_visuelle</w:t>
      </w:r>
      <w:r>
        <w:t xml:space="preserve">, </w:t>
      </w:r>
      <w:r>
        <w:rPr>
          <w:rStyle w:val="VerbatimChar"/>
        </w:rPr>
        <w:t>E36_Entité_visuelle</w:t>
      </w:r>
      <w:r>
        <w:t xml:space="preserve">, </w:t>
      </w:r>
      <w:r>
        <w:rPr>
          <w:rStyle w:val="VerbatimChar"/>
        </w:rPr>
        <w:t>P138_représente</w:t>
      </w:r>
      <w:r>
        <w:t xml:space="preserve">, </w:t>
      </w:r>
      <w:r>
        <w:rPr>
          <w:rStyle w:val="VerbatimChar"/>
        </w:rPr>
        <w:t>E1_Entité_CRM</w:t>
      </w:r>
      <w:r>
        <w:t xml:space="preserve">. La propriété </w:t>
      </w:r>
      <w:r>
        <w:rPr>
          <w:rStyle w:val="VerbatimChar"/>
        </w:rPr>
        <w:t>P62.1_mode_d</w:t>
      </w:r>
      <w:r w:rsidR="00E84B0E">
        <w:rPr>
          <w:rStyle w:val="VerbatimChar"/>
        </w:rPr>
        <w:t>’</w:t>
      </w:r>
      <w:r>
        <w:rPr>
          <w:rStyle w:val="VerbatimChar"/>
        </w:rPr>
        <w:t>illustration</w:t>
      </w:r>
      <w:r>
        <w:t xml:space="preserve"> permet de préciser la nature de l</w:t>
      </w:r>
      <w:r w:rsidR="00E84B0E">
        <w:t>’</w:t>
      </w:r>
      <w:r>
        <w:t>illustration.</w:t>
      </w:r>
    </w:p>
    <w:p w14:paraId="200A187F" w14:textId="77777777" w:rsidR="00065317" w:rsidRDefault="005C7BF7">
      <w:pPr>
        <w:pStyle w:val="Corpsdetexte"/>
      </w:pPr>
      <w:r>
        <w:rPr>
          <w:b/>
          <w:bCs/>
        </w:rPr>
        <w:t>Exemples</w:t>
      </w:r>
    </w:p>
    <w:p w14:paraId="3E5A8B5D" w14:textId="42EB5158" w:rsidR="00065317" w:rsidRDefault="005C7BF7">
      <w:pPr>
        <w:numPr>
          <w:ilvl w:val="0"/>
          <w:numId w:val="198"/>
        </w:numPr>
      </w:pPr>
      <w:r>
        <w:t>L</w:t>
      </w:r>
      <w:r w:rsidR="00E84B0E">
        <w:t>’</w:t>
      </w:r>
      <w:r>
        <w:t xml:space="preserve">œuvre peinte </w:t>
      </w:r>
      <w:r>
        <w:rPr>
          <w:i/>
          <w:iCs/>
        </w:rPr>
        <w:t>La Liberté guidant le peuple</w:t>
      </w:r>
      <w:r>
        <w:t xml:space="preserve"> d</w:t>
      </w:r>
      <w:r w:rsidR="00E84B0E">
        <w:t>’</w:t>
      </w:r>
      <w:r>
        <w:t>Eugène Delacroix (</w:t>
      </w:r>
      <w:r>
        <w:rPr>
          <w:rStyle w:val="VerbatimChar"/>
        </w:rPr>
        <w:t>E22_Objet_élaboré_par_l</w:t>
      </w:r>
      <w:r w:rsidR="00E84B0E">
        <w:rPr>
          <w:rStyle w:val="VerbatimChar"/>
        </w:rPr>
        <w:t>’</w:t>
      </w:r>
      <w:r>
        <w:rPr>
          <w:rStyle w:val="VerbatimChar"/>
        </w:rPr>
        <w:t>humain</w:t>
      </w:r>
      <w:r>
        <w:t>) illustre (</w:t>
      </w:r>
      <w:r>
        <w:rPr>
          <w:rStyle w:val="VerbatimChar"/>
        </w:rPr>
        <w:t>P62_illustre</w:t>
      </w:r>
      <w:r>
        <w:t>) les « Trois Glorieuses » (</w:t>
      </w:r>
      <w:r>
        <w:rPr>
          <w:rStyle w:val="VerbatimChar"/>
        </w:rPr>
        <w:t>E7_Activité</w:t>
      </w:r>
      <w:r>
        <w:t>) (Delacroix, 1982)</w:t>
      </w:r>
    </w:p>
    <w:p w14:paraId="32A156B6" w14:textId="2EC11251" w:rsidR="00065317" w:rsidRDefault="005C7BF7">
      <w:pPr>
        <w:numPr>
          <w:ilvl w:val="0"/>
          <w:numId w:val="198"/>
        </w:numPr>
      </w:pPr>
      <w:r>
        <w:t>La pièce de monnaie de 20 pennys détenue par le département des pièces et médailles du British Museum sous le numéro d</w:t>
      </w:r>
      <w:r w:rsidR="00E84B0E">
        <w:t>’</w:t>
      </w:r>
      <w:r>
        <w:t>enregistrement 2006,1101.126 (</w:t>
      </w:r>
      <w:r>
        <w:rPr>
          <w:rStyle w:val="VerbatimChar"/>
        </w:rPr>
        <w:t>E22_Objet_élaboré_par_l</w:t>
      </w:r>
      <w:r w:rsidR="00E84B0E">
        <w:rPr>
          <w:rStyle w:val="VerbatimChar"/>
        </w:rPr>
        <w:t>’</w:t>
      </w:r>
      <w:r>
        <w:rPr>
          <w:rStyle w:val="VerbatimChar"/>
        </w:rPr>
        <w:t>humain</w:t>
      </w:r>
      <w:r>
        <w:t>) illustre (</w:t>
      </w:r>
      <w:r>
        <w:rPr>
          <w:rStyle w:val="VerbatimChar"/>
        </w:rPr>
        <w:t>P62_illustre</w:t>
      </w:r>
      <w:r>
        <w:t>) la reine Elizabeth II (</w:t>
      </w:r>
      <w:r>
        <w:rPr>
          <w:rStyle w:val="VerbatimChar"/>
        </w:rPr>
        <w:t>E21_Personne</w:t>
      </w:r>
      <w:r>
        <w:t>) avec pour mode d</w:t>
      </w:r>
      <w:r w:rsidR="00E84B0E">
        <w:t>’</w:t>
      </w:r>
      <w:r>
        <w:t>illustration (</w:t>
      </w:r>
      <w:r>
        <w:rPr>
          <w:rStyle w:val="VerbatimChar"/>
        </w:rPr>
        <w:t>P62.1_mode_d</w:t>
      </w:r>
      <w:r w:rsidR="00E84B0E">
        <w:rPr>
          <w:rStyle w:val="VerbatimChar"/>
        </w:rPr>
        <w:t>’</w:t>
      </w:r>
      <w:r>
        <w:rPr>
          <w:rStyle w:val="VerbatimChar"/>
        </w:rPr>
        <w:t>illustration</w:t>
      </w:r>
      <w:r>
        <w:t>) « Profil » (</w:t>
      </w:r>
      <w:r>
        <w:rPr>
          <w:rStyle w:val="VerbatimChar"/>
        </w:rPr>
        <w:t>E55_Type</w:t>
      </w:r>
      <w:r>
        <w:t>)</w:t>
      </w:r>
    </w:p>
    <w:p w14:paraId="72885B7B" w14:textId="77777777" w:rsidR="00065317" w:rsidRDefault="005C7BF7">
      <w:pPr>
        <w:pStyle w:val="FirstParagraph"/>
      </w:pPr>
      <w:r>
        <w:rPr>
          <w:b/>
          <w:bCs/>
        </w:rPr>
        <w:t>Logique</w:t>
      </w:r>
    </w:p>
    <w:p w14:paraId="742A75F1" w14:textId="77777777" w:rsidR="00065317" w:rsidRDefault="005C7BF7">
      <w:pPr>
        <w:pStyle w:val="Corpsdetexte"/>
      </w:pPr>
      <w:r>
        <w:t>P62(x,y) ⇒ E24(x)</w:t>
      </w:r>
    </w:p>
    <w:p w14:paraId="1BFB8CEC" w14:textId="77777777" w:rsidR="00065317" w:rsidRDefault="005C7BF7">
      <w:pPr>
        <w:pStyle w:val="Corpsdetexte"/>
      </w:pPr>
      <w:r>
        <w:t>P62(x,y) ⇒ E1(y)</w:t>
      </w:r>
    </w:p>
    <w:p w14:paraId="1C5A02A4" w14:textId="77777777" w:rsidR="00065317" w:rsidRDefault="005C7BF7">
      <w:pPr>
        <w:pStyle w:val="Corpsdetexte"/>
      </w:pPr>
      <w:r>
        <w:t>P62(x,y,z) ⇒ [P62(x,y) ˄ E55(z)]</w:t>
      </w:r>
    </w:p>
    <w:p w14:paraId="44241D4D" w14:textId="77777777" w:rsidR="00065317" w:rsidRDefault="005C7BF7">
      <w:pPr>
        <w:pStyle w:val="Corpsdetexte"/>
      </w:pPr>
      <w:r>
        <w:t>P62(x,y) ⇐ (∃z) [E36(z) ˄ P65(x,z) ˄ P138(z,y)]</w:t>
      </w:r>
    </w:p>
    <w:p w14:paraId="65CD8410" w14:textId="77777777" w:rsidR="00F54917" w:rsidRDefault="00F54917">
      <w:pPr>
        <w:spacing w:after="0"/>
        <w:rPr>
          <w:b/>
          <w:bCs/>
        </w:rPr>
      </w:pPr>
      <w:r>
        <w:rPr>
          <w:b/>
          <w:bCs/>
        </w:rPr>
        <w:br w:type="page"/>
      </w:r>
    </w:p>
    <w:p w14:paraId="3884F701" w14:textId="4C795563" w:rsidR="00065317" w:rsidRDefault="005C7BF7">
      <w:pPr>
        <w:pStyle w:val="Corpsdetexte"/>
      </w:pPr>
      <w:r>
        <w:rPr>
          <w:b/>
          <w:bCs/>
        </w:rPr>
        <w:lastRenderedPageBreak/>
        <w:t>Propriétés</w:t>
      </w:r>
    </w:p>
    <w:p w14:paraId="6004A7A5" w14:textId="51D74435" w:rsidR="00065317" w:rsidRDefault="005C7BF7">
      <w:pPr>
        <w:pStyle w:val="Corpsdetexte"/>
      </w:pPr>
      <w:r>
        <w:rPr>
          <w:rStyle w:val="VerbatimChar"/>
        </w:rPr>
        <w:t>P62.1_mode_d</w:t>
      </w:r>
      <w:r w:rsidR="00E84B0E">
        <w:rPr>
          <w:rStyle w:val="VerbatimChar"/>
        </w:rPr>
        <w:t>’</w:t>
      </w:r>
      <w:r>
        <w:rPr>
          <w:rStyle w:val="VerbatimChar"/>
        </w:rPr>
        <w:t>illustration</w:t>
      </w:r>
      <w:r>
        <w:t xml:space="preserve"> : </w:t>
      </w:r>
      <w:r>
        <w:rPr>
          <w:rStyle w:val="VerbatimChar"/>
        </w:rPr>
        <w:t>E55_Type</w:t>
      </w:r>
    </w:p>
    <w:p w14:paraId="2DA04D51" w14:textId="77777777" w:rsidR="00065317" w:rsidRDefault="005C7BF7">
      <w:pPr>
        <w:pStyle w:val="Normalcentr"/>
      </w:pPr>
      <w:r>
        <w:rPr>
          <w:b/>
          <w:bCs/>
          <w:i/>
          <w:iCs/>
        </w:rPr>
        <w:t>Note de traduction</w:t>
      </w:r>
    </w:p>
    <w:p w14:paraId="79C2F73C" w14:textId="48F43CE2" w:rsidR="00065317" w:rsidRDefault="005C7BF7">
      <w:pPr>
        <w:pStyle w:val="Normalcentr"/>
      </w:pPr>
      <w:r>
        <w:t>La révolution qui a eu lieu en France les 27, 28 et 29</w:t>
      </w:r>
      <w:r w:rsidR="00056DCD">
        <w:t> juillet </w:t>
      </w:r>
      <w:r>
        <w:t>1830 et qui a amené à l</w:t>
      </w:r>
      <w:r w:rsidR="00E84B0E">
        <w:t>’</w:t>
      </w:r>
      <w:r>
        <w:t>instauration de la monarchie de</w:t>
      </w:r>
      <w:r w:rsidR="00056DCD">
        <w:t> juillet </w:t>
      </w:r>
      <w:r>
        <w:t>est généralement appelée les « Trois Glorieuses » plutôt que la « Révolution de</w:t>
      </w:r>
      <w:r w:rsidR="00056DCD">
        <w:t> juillet </w:t>
      </w:r>
      <w:r>
        <w:t>».</w:t>
      </w:r>
    </w:p>
    <w:p w14:paraId="4793BEB2" w14:textId="77777777" w:rsidR="00065317" w:rsidRDefault="005C7BF7">
      <w:pPr>
        <w:pStyle w:val="Normalcentr"/>
      </w:pPr>
      <w:r>
        <w:t>Le terme « pence », pluriel de « penny », est traduit en français par « pennys ».</w:t>
      </w:r>
    </w:p>
    <w:p w14:paraId="0A077CEC" w14:textId="77777777" w:rsidR="00065317" w:rsidRDefault="005C7BF7">
      <w:pPr>
        <w:pStyle w:val="Normalcentr"/>
      </w:pPr>
      <w:r>
        <w:rPr>
          <w:b/>
          <w:bCs/>
          <w:i/>
          <w:iCs/>
        </w:rPr>
        <w:t>Références</w:t>
      </w:r>
    </w:p>
    <w:p w14:paraId="5C501D6F" w14:textId="69B00724" w:rsidR="00065317" w:rsidRDefault="005C7BF7">
      <w:pPr>
        <w:pStyle w:val="Normalcentr"/>
      </w:pPr>
      <w:r>
        <w:t xml:space="preserve">Wikipédia. « Penny ». Dans </w:t>
      </w:r>
      <w:r>
        <w:rPr>
          <w:i/>
          <w:iCs/>
        </w:rPr>
        <w:t>Wikipédia</w:t>
      </w:r>
      <w:r>
        <w:t>. San Francisco, US-CA: Wikipédia, 8</w:t>
      </w:r>
      <w:r w:rsidR="00056DCD">
        <w:t> décembre </w:t>
      </w:r>
      <w:r>
        <w:t>2022.</w:t>
      </w:r>
      <w:hyperlink r:id="rId240">
        <w:r>
          <w:rPr>
            <w:rStyle w:val="Lienhypertexte"/>
          </w:rPr>
          <w:t xml:space="preserve"> </w:t>
        </w:r>
      </w:hyperlink>
      <w:hyperlink r:id="rId241">
        <w:r>
          <w:rPr>
            <w:rStyle w:val="Lienhypertexte"/>
          </w:rPr>
          <w:t>https://fr.wikipedia.org/w/index.php?title=Penny&amp;oldid=199318252</w:t>
        </w:r>
      </w:hyperlink>
      <w:r>
        <w:t>.</w:t>
      </w:r>
    </w:p>
    <w:p w14:paraId="088611E8" w14:textId="7EF3515D" w:rsidR="00065317" w:rsidRDefault="005C7BF7">
      <w:pPr>
        <w:pStyle w:val="Normalcentr"/>
      </w:pPr>
      <w:r>
        <w:t xml:space="preserve">———. « Trois Glorieuses ». </w:t>
      </w:r>
      <w:r w:rsidRPr="00DE2D62">
        <w:rPr>
          <w:lang w:val="en-US"/>
        </w:rPr>
        <w:t xml:space="preserve">Dans </w:t>
      </w:r>
      <w:r w:rsidRPr="00DE2D62">
        <w:rPr>
          <w:i/>
          <w:iCs/>
          <w:lang w:val="en-US"/>
        </w:rPr>
        <w:t>Wikipédia</w:t>
      </w:r>
      <w:r w:rsidRPr="00DE2D62">
        <w:rPr>
          <w:lang w:val="en-US"/>
        </w:rPr>
        <w:t>. San Francisco, US-CA: Wikipédia, 17</w:t>
      </w:r>
      <w:r w:rsidR="00056DCD" w:rsidRPr="00DE2D62">
        <w:rPr>
          <w:lang w:val="en-US"/>
        </w:rPr>
        <w:t> avril </w:t>
      </w:r>
      <w:r w:rsidRPr="00DE2D62">
        <w:rPr>
          <w:lang w:val="en-US"/>
        </w:rPr>
        <w:t>2023.</w:t>
      </w:r>
      <w:hyperlink r:id="rId242">
        <w:r w:rsidRPr="00DE2D62">
          <w:rPr>
            <w:rStyle w:val="Lienhypertexte"/>
            <w:lang w:val="en-US"/>
          </w:rPr>
          <w:t xml:space="preserve"> </w:t>
        </w:r>
      </w:hyperlink>
      <w:hyperlink r:id="rId243">
        <w:r>
          <w:rPr>
            <w:rStyle w:val="Lienhypertexte"/>
          </w:rPr>
          <w:t>https://fr.wikipedia.org/w/index.php?title=Trois_Glorieuses&amp;oldid=203438591</w:t>
        </w:r>
      </w:hyperlink>
      <w:r>
        <w:t>.</w:t>
      </w:r>
    </w:p>
    <w:p w14:paraId="1A6997F2" w14:textId="15D04EB4" w:rsidR="00065317" w:rsidRDefault="005C7BF7" w:rsidP="00914F34">
      <w:pPr>
        <w:pStyle w:val="Titre3"/>
      </w:pPr>
      <w:bookmarkStart w:id="380" w:name="_Toc154048875"/>
      <w:bookmarkStart w:id="381" w:name="X127495790a06c09b82e611ae5aae346d7ce65e7"/>
      <w:bookmarkEnd w:id="379"/>
      <w:r>
        <w:t>P65 représente l</w:t>
      </w:r>
      <w:r w:rsidR="00E84B0E">
        <w:t>’</w:t>
      </w:r>
      <w:r>
        <w:t>entité visuelle (est représenté par)</w:t>
      </w:r>
      <w:bookmarkEnd w:id="380"/>
    </w:p>
    <w:p w14:paraId="5FF6EE43" w14:textId="77777777" w:rsidR="00065317" w:rsidRDefault="005C7BF7">
      <w:pPr>
        <w:pStyle w:val="FirstParagraph"/>
      </w:pPr>
      <w:r>
        <w:rPr>
          <w:b/>
          <w:bCs/>
        </w:rPr>
        <w:t>Domaine</w:t>
      </w:r>
    </w:p>
    <w:p w14:paraId="2D72E7E0" w14:textId="14D96CE6" w:rsidR="00FC2E07" w:rsidRPr="0028642C" w:rsidRDefault="005C7BF7">
      <w:pPr>
        <w:pStyle w:val="Corpsdetexte"/>
      </w:pPr>
      <w:r>
        <w:rPr>
          <w:rStyle w:val="VerbatimChar"/>
        </w:rPr>
        <w:t>E24_Chose_matérielle_élaborée_par_l</w:t>
      </w:r>
      <w:r w:rsidR="00E84B0E">
        <w:rPr>
          <w:rStyle w:val="VerbatimChar"/>
        </w:rPr>
        <w:t>’</w:t>
      </w:r>
      <w:r>
        <w:rPr>
          <w:rStyle w:val="VerbatimChar"/>
        </w:rPr>
        <w:t>humain</w:t>
      </w:r>
    </w:p>
    <w:p w14:paraId="12E170B8" w14:textId="31D0AC68" w:rsidR="00065317" w:rsidRDefault="005C7BF7">
      <w:pPr>
        <w:pStyle w:val="Corpsdetexte"/>
      </w:pPr>
      <w:r>
        <w:rPr>
          <w:b/>
          <w:bCs/>
        </w:rPr>
        <w:t>Portée</w:t>
      </w:r>
    </w:p>
    <w:p w14:paraId="6DAE02FB" w14:textId="77777777" w:rsidR="00065317" w:rsidRDefault="005C7BF7">
      <w:pPr>
        <w:pStyle w:val="Corpsdetexte"/>
      </w:pPr>
      <w:r>
        <w:rPr>
          <w:rStyle w:val="VerbatimChar"/>
        </w:rPr>
        <w:t>E36_Entité_visuelle</w:t>
      </w:r>
    </w:p>
    <w:p w14:paraId="47B5439B" w14:textId="77777777" w:rsidR="00065317" w:rsidRDefault="005C7BF7">
      <w:pPr>
        <w:pStyle w:val="Corpsdetexte"/>
      </w:pPr>
      <w:r>
        <w:rPr>
          <w:b/>
          <w:bCs/>
        </w:rPr>
        <w:t>Sous-propriété de</w:t>
      </w:r>
    </w:p>
    <w:p w14:paraId="0FEF64DB" w14:textId="77777777" w:rsidR="00065317" w:rsidRDefault="005C7BF7">
      <w:pPr>
        <w:pStyle w:val="Corpsdetexte"/>
      </w:pPr>
      <w:r>
        <w:rPr>
          <w:rStyle w:val="VerbatimChar"/>
        </w:rPr>
        <w:t>E18_Chose_matérielle</w:t>
      </w:r>
      <w:r>
        <w:t xml:space="preserve">. </w:t>
      </w:r>
      <w:r>
        <w:rPr>
          <w:rStyle w:val="VerbatimChar"/>
        </w:rPr>
        <w:t>P128_est_le_support_de (a_pour_support)</w:t>
      </w:r>
      <w:r>
        <w:t xml:space="preserve"> : </w:t>
      </w:r>
      <w:r>
        <w:rPr>
          <w:rStyle w:val="VerbatimChar"/>
        </w:rPr>
        <w:t>E90_Objet_symbolique</w:t>
      </w:r>
    </w:p>
    <w:p w14:paraId="6DFCED56" w14:textId="77777777" w:rsidR="00065317" w:rsidRDefault="005C7BF7">
      <w:pPr>
        <w:pStyle w:val="Corpsdetexte"/>
      </w:pPr>
      <w:r>
        <w:rPr>
          <w:b/>
          <w:bCs/>
        </w:rPr>
        <w:t>Super-propriété de</w:t>
      </w:r>
    </w:p>
    <w:p w14:paraId="1B29FCE6" w14:textId="77777777" w:rsidR="00065317" w:rsidRDefault="005C7BF7">
      <w:pPr>
        <w:pStyle w:val="Corpsdetexte"/>
      </w:pPr>
      <w:r>
        <w:rPr>
          <w:b/>
          <w:bCs/>
        </w:rPr>
        <w:t>Quantification</w:t>
      </w:r>
    </w:p>
    <w:p w14:paraId="34D7B263" w14:textId="77777777" w:rsidR="00065317" w:rsidRDefault="005C7BF7">
      <w:pPr>
        <w:pStyle w:val="Corpsdetexte"/>
      </w:pPr>
      <w:r>
        <w:t>plusieurs à plusieurs (0,n:0,n)</w:t>
      </w:r>
    </w:p>
    <w:p w14:paraId="51E34798" w14:textId="7C7DCE9E" w:rsidR="00065317" w:rsidRDefault="005C7BF7">
      <w:pPr>
        <w:pStyle w:val="Corpsdetexte"/>
      </w:pPr>
      <w:r>
        <w:rPr>
          <w:b/>
          <w:bCs/>
        </w:rPr>
        <w:t>Note d</w:t>
      </w:r>
      <w:r w:rsidR="00E84B0E">
        <w:rPr>
          <w:b/>
          <w:bCs/>
        </w:rPr>
        <w:t>’</w:t>
      </w:r>
      <w:r>
        <w:rPr>
          <w:b/>
          <w:bCs/>
        </w:rPr>
        <w:t>application</w:t>
      </w:r>
    </w:p>
    <w:p w14:paraId="173E84F0" w14:textId="38A2F7E8" w:rsidR="00065317" w:rsidRDefault="005C7BF7">
      <w:pPr>
        <w:pStyle w:val="Corpsdetexte"/>
      </w:pPr>
      <w:r>
        <w:t xml:space="preserve">Cette propriété documente une instance de </w:t>
      </w:r>
      <w:r>
        <w:rPr>
          <w:rStyle w:val="VerbatimChar"/>
        </w:rPr>
        <w:t>E36_Entité_visuelle</w:t>
      </w:r>
      <w:r>
        <w:t xml:space="preserve"> représentée par une instance de </w:t>
      </w:r>
      <w:r>
        <w:rPr>
          <w:rStyle w:val="VerbatimChar"/>
        </w:rPr>
        <w:t>E24_Chose_matérielle_élaborée_par_l</w:t>
      </w:r>
      <w:r w:rsidR="00E84B0E">
        <w:rPr>
          <w:rStyle w:val="VerbatimChar"/>
        </w:rPr>
        <w:t>’</w:t>
      </w:r>
      <w:r>
        <w:rPr>
          <w:rStyle w:val="VerbatimChar"/>
        </w:rPr>
        <w:t>humain</w:t>
      </w:r>
      <w:r>
        <w:t>.</w:t>
      </w:r>
    </w:p>
    <w:p w14:paraId="547EA22F" w14:textId="5BAF37CE" w:rsidR="00065317" w:rsidRDefault="005C7BF7">
      <w:pPr>
        <w:pStyle w:val="Corpsdetexte"/>
      </w:pPr>
      <w:r>
        <w:t xml:space="preserve">Cette propriété est similaire à </w:t>
      </w:r>
      <w:r>
        <w:rPr>
          <w:rStyle w:val="VerbatimChar"/>
        </w:rPr>
        <w:t>P62_illustre (est_illustré_par)</w:t>
      </w:r>
      <w:r>
        <w:t xml:space="preserve"> puisqu</w:t>
      </w:r>
      <w:r w:rsidR="00E84B0E">
        <w:t>’</w:t>
      </w:r>
      <w:r>
        <w:t xml:space="preserve">elle associe une instance de </w:t>
      </w:r>
      <w:r>
        <w:rPr>
          <w:rStyle w:val="VerbatimChar"/>
        </w:rPr>
        <w:t>E24_Chose_matérielle_élaborée_par_l</w:t>
      </w:r>
      <w:r w:rsidR="00E84B0E">
        <w:rPr>
          <w:rStyle w:val="VerbatimChar"/>
        </w:rPr>
        <w:t>’</w:t>
      </w:r>
      <w:r>
        <w:rPr>
          <w:rStyle w:val="VerbatimChar"/>
        </w:rPr>
        <w:t>humain</w:t>
      </w:r>
      <w:r>
        <w:t xml:space="preserve"> à une représentation visuelle. Cependant, </w:t>
      </w:r>
      <w:r>
        <w:rPr>
          <w:rStyle w:val="VerbatimChar"/>
        </w:rPr>
        <w:t>P65_représente_l</w:t>
      </w:r>
      <w:r w:rsidR="00E84B0E">
        <w:rPr>
          <w:rStyle w:val="VerbatimChar"/>
        </w:rPr>
        <w:t>’</w:t>
      </w:r>
      <w:r>
        <w:rPr>
          <w:rStyle w:val="VerbatimChar"/>
        </w:rPr>
        <w:t>entité_visuelle (est_représenté_par)</w:t>
      </w:r>
      <w:r>
        <w:t xml:space="preserve"> diffère de la propriété </w:t>
      </w:r>
      <w:r>
        <w:rPr>
          <w:rStyle w:val="VerbatimChar"/>
        </w:rPr>
        <w:t>P62_illustre (est_illustré_par)</w:t>
      </w:r>
      <w:r>
        <w:t xml:space="preserve"> puisqu</w:t>
      </w:r>
      <w:r w:rsidR="00E84B0E">
        <w:t>’</w:t>
      </w:r>
      <w:r>
        <w:t>elle ne renseigne pas sur ce que l</w:t>
      </w:r>
      <w:r w:rsidR="00E84B0E">
        <w:t>’</w:t>
      </w:r>
      <w:r>
        <w:t xml:space="preserve">instance de </w:t>
      </w:r>
      <w:r>
        <w:rPr>
          <w:rStyle w:val="VerbatimChar"/>
        </w:rPr>
        <w:t>E36_Entité_visuelle</w:t>
      </w:r>
      <w:r>
        <w:t xml:space="preserve"> est censée représenter. Une instance de </w:t>
      </w:r>
      <w:r>
        <w:rPr>
          <w:rStyle w:val="VerbatimChar"/>
        </w:rPr>
        <w:t>E36_Entité_visuelle</w:t>
      </w:r>
      <w:r>
        <w:t xml:space="preserve"> identifie une image ou un symbole reconnaissables, indépendamment de ce que cette image peut représenter ou non.</w:t>
      </w:r>
    </w:p>
    <w:p w14:paraId="1920CB5B" w14:textId="741082B2" w:rsidR="00065317" w:rsidRDefault="005C7BF7">
      <w:pPr>
        <w:pStyle w:val="Corpsdetexte"/>
      </w:pPr>
      <w:r>
        <w:t>Par exemple, toutes les pièces de monnaie britanniques récentes présentent un portrait de la reine Elizabeth II, un fait correctement documenté par l</w:t>
      </w:r>
      <w:r w:rsidR="00E84B0E">
        <w:t>’</w:t>
      </w:r>
      <w:r>
        <w:t xml:space="preserve">utilisation de la propriété </w:t>
      </w:r>
      <w:r>
        <w:rPr>
          <w:rStyle w:val="VerbatimChar"/>
        </w:rPr>
        <w:t>P62_illustre (est_illustré_par)</w:t>
      </w:r>
      <w:r>
        <w:t xml:space="preserve">. Cependant, différents portraits ont été utilisés au cours du temps. La propriété </w:t>
      </w:r>
      <w:r>
        <w:rPr>
          <w:rStyle w:val="VerbatimChar"/>
        </w:rPr>
        <w:t>P65_représente_l</w:t>
      </w:r>
      <w:r w:rsidR="00E84B0E">
        <w:rPr>
          <w:rStyle w:val="VerbatimChar"/>
        </w:rPr>
        <w:t>’</w:t>
      </w:r>
      <w:r>
        <w:rPr>
          <w:rStyle w:val="VerbatimChar"/>
        </w:rPr>
        <w:t>entité_visuelle (est_représenté_par)</w:t>
      </w:r>
      <w:r>
        <w:t xml:space="preserve"> peut être utilisée pour faire référence à un portrait particulier.</w:t>
      </w:r>
    </w:p>
    <w:p w14:paraId="1A261337" w14:textId="5A7AE47E" w:rsidR="00065317" w:rsidRDefault="005C7BF7">
      <w:pPr>
        <w:pStyle w:val="Corpsdetexte"/>
      </w:pPr>
      <w:r>
        <w:t xml:space="preserve">La propriété </w:t>
      </w:r>
      <w:r>
        <w:rPr>
          <w:rStyle w:val="VerbatimChar"/>
        </w:rPr>
        <w:t>P65_représente_l</w:t>
      </w:r>
      <w:r w:rsidR="00E84B0E">
        <w:rPr>
          <w:rStyle w:val="VerbatimChar"/>
        </w:rPr>
        <w:t>’</w:t>
      </w:r>
      <w:r>
        <w:rPr>
          <w:rStyle w:val="VerbatimChar"/>
        </w:rPr>
        <w:t>entité_visuelle (est_représenté_par)</w:t>
      </w:r>
      <w:r>
        <w:t xml:space="preserve"> peut également être utilisée pour les entités visuelles telles que les signes, les marques et les symboles, par exemple la croix de Malte ou le symbole du droit d</w:t>
      </w:r>
      <w:r w:rsidR="00E84B0E">
        <w:t>’</w:t>
      </w:r>
      <w:r>
        <w:t>auteur, qui n</w:t>
      </w:r>
      <w:r w:rsidR="00E84B0E">
        <w:t>’</w:t>
      </w:r>
      <w:r>
        <w:t>ont pas de contenu de représentation particulier.</w:t>
      </w:r>
    </w:p>
    <w:p w14:paraId="41BBDE73" w14:textId="17B49E38" w:rsidR="00065317" w:rsidRDefault="005C7BF7">
      <w:pPr>
        <w:pStyle w:val="Corpsdetexte"/>
      </w:pPr>
      <w:r>
        <w:lastRenderedPageBreak/>
        <w:t xml:space="preserve">Cette propriété fait partie du chemin sémantique plus détaillé </w:t>
      </w:r>
      <w:r>
        <w:rPr>
          <w:rStyle w:val="VerbatimChar"/>
        </w:rPr>
        <w:t>E24_Chose_matérielle_élaborée_par_l</w:t>
      </w:r>
      <w:r w:rsidR="00E84B0E">
        <w:rPr>
          <w:rStyle w:val="VerbatimChar"/>
        </w:rPr>
        <w:t>’</w:t>
      </w:r>
      <w:r>
        <w:rPr>
          <w:rStyle w:val="VerbatimChar"/>
        </w:rPr>
        <w:t>humain</w:t>
      </w:r>
      <w:r>
        <w:t xml:space="preserve">, </w:t>
      </w:r>
      <w:r>
        <w:rPr>
          <w:rStyle w:val="VerbatimChar"/>
        </w:rPr>
        <w:t>P65_représente_l</w:t>
      </w:r>
      <w:r w:rsidR="00E84B0E">
        <w:rPr>
          <w:rStyle w:val="VerbatimChar"/>
        </w:rPr>
        <w:t>’</w:t>
      </w:r>
      <w:r>
        <w:rPr>
          <w:rStyle w:val="VerbatimChar"/>
        </w:rPr>
        <w:t>entité_visuelle (est_représenté_par)</w:t>
      </w:r>
      <w:r>
        <w:t xml:space="preserve">, </w:t>
      </w:r>
      <w:r>
        <w:rPr>
          <w:rStyle w:val="VerbatimChar"/>
        </w:rPr>
        <w:t>E36_Entité_visuelle</w:t>
      </w:r>
      <w:r>
        <w:t xml:space="preserve">, </w:t>
      </w:r>
      <w:r>
        <w:rPr>
          <w:rStyle w:val="VerbatimChar"/>
        </w:rPr>
        <w:t>P138_représente (est_représenté_par)</w:t>
      </w:r>
      <w:r>
        <w:t xml:space="preserve">, </w:t>
      </w:r>
      <w:r>
        <w:rPr>
          <w:rStyle w:val="VerbatimChar"/>
        </w:rPr>
        <w:t>E1_Entité_CRM</w:t>
      </w:r>
      <w:r>
        <w:t>, qui peut être raccourci par l</w:t>
      </w:r>
      <w:r w:rsidR="00E84B0E">
        <w:t>’</w:t>
      </w:r>
      <w:r>
        <w:t xml:space="preserve">utilisation de </w:t>
      </w:r>
      <w:r>
        <w:rPr>
          <w:rStyle w:val="VerbatimChar"/>
        </w:rPr>
        <w:t>P62_illustre (est_illustré_par)</w:t>
      </w:r>
      <w:r>
        <w:t>.</w:t>
      </w:r>
    </w:p>
    <w:p w14:paraId="5F51C7D4" w14:textId="77777777" w:rsidR="00065317" w:rsidRDefault="005C7BF7">
      <w:pPr>
        <w:pStyle w:val="Corpsdetexte"/>
      </w:pPr>
      <w:r>
        <w:rPr>
          <w:b/>
          <w:bCs/>
        </w:rPr>
        <w:t>Exemples</w:t>
      </w:r>
    </w:p>
    <w:p w14:paraId="5F6BF8FD" w14:textId="593C314E" w:rsidR="00065317" w:rsidRDefault="005C7BF7">
      <w:pPr>
        <w:numPr>
          <w:ilvl w:val="0"/>
          <w:numId w:val="199"/>
        </w:numPr>
      </w:pPr>
      <w:r>
        <w:t>Mon T-Shirt (</w:t>
      </w:r>
      <w:r>
        <w:rPr>
          <w:rStyle w:val="VerbatimChar"/>
        </w:rPr>
        <w:t>E22_Objet_élaboré_par_l</w:t>
      </w:r>
      <w:r w:rsidR="00E84B0E">
        <w:rPr>
          <w:rStyle w:val="VerbatimChar"/>
        </w:rPr>
        <w:t>’</w:t>
      </w:r>
      <w:r>
        <w:rPr>
          <w:rStyle w:val="VerbatimChar"/>
        </w:rPr>
        <w:t>humain</w:t>
      </w:r>
      <w:r>
        <w:t>) représente l</w:t>
      </w:r>
      <w:r w:rsidR="00E84B0E">
        <w:t>’</w:t>
      </w:r>
      <w:r>
        <w:t>entité visuelle (</w:t>
      </w:r>
      <w:r>
        <w:rPr>
          <w:rStyle w:val="VerbatimChar"/>
        </w:rPr>
        <w:t>P65_représente_l</w:t>
      </w:r>
      <w:r w:rsidR="00E84B0E">
        <w:rPr>
          <w:rStyle w:val="VerbatimChar"/>
        </w:rPr>
        <w:t>’</w:t>
      </w:r>
      <w:r>
        <w:rPr>
          <w:rStyle w:val="VerbatimChar"/>
        </w:rPr>
        <w:t>entité_visuelle</w:t>
      </w:r>
      <w:r>
        <w:t>) Monna Lisa (</w:t>
      </w:r>
      <w:r>
        <w:rPr>
          <w:rStyle w:val="VerbatimChar"/>
        </w:rPr>
        <w:t>E36_Entité_visuelle</w:t>
      </w:r>
      <w:r>
        <w:t>) (fictif)</w:t>
      </w:r>
    </w:p>
    <w:p w14:paraId="4C3BEE1B" w14:textId="77777777" w:rsidR="00065317" w:rsidRDefault="005C7BF7">
      <w:pPr>
        <w:pStyle w:val="FirstParagraph"/>
      </w:pPr>
      <w:r>
        <w:rPr>
          <w:b/>
          <w:bCs/>
        </w:rPr>
        <w:t>Logique</w:t>
      </w:r>
    </w:p>
    <w:p w14:paraId="322A66BD" w14:textId="77777777" w:rsidR="00065317" w:rsidRDefault="005C7BF7">
      <w:pPr>
        <w:pStyle w:val="Corpsdetexte"/>
      </w:pPr>
      <w:r>
        <w:t>P65(x,y) ⇒ E24(x)</w:t>
      </w:r>
    </w:p>
    <w:p w14:paraId="1FB42DD7" w14:textId="77777777" w:rsidR="00065317" w:rsidRDefault="005C7BF7">
      <w:pPr>
        <w:pStyle w:val="Corpsdetexte"/>
      </w:pPr>
      <w:r>
        <w:t>P65(x,y) ⇒ E36(y)</w:t>
      </w:r>
    </w:p>
    <w:p w14:paraId="5E4F4807" w14:textId="77777777" w:rsidR="00065317" w:rsidRDefault="005C7BF7">
      <w:pPr>
        <w:pStyle w:val="Corpsdetexte"/>
      </w:pPr>
      <w:r>
        <w:t>P65(x,y) ⇒ P128(x,y)</w:t>
      </w:r>
    </w:p>
    <w:p w14:paraId="228B13DB" w14:textId="77777777" w:rsidR="00065317" w:rsidRDefault="005C7BF7">
      <w:pPr>
        <w:pStyle w:val="Corpsdetexte"/>
      </w:pPr>
      <w:r>
        <w:rPr>
          <w:b/>
          <w:bCs/>
        </w:rPr>
        <w:t>Propriétés</w:t>
      </w:r>
    </w:p>
    <w:p w14:paraId="4C856DD5" w14:textId="77777777" w:rsidR="00065317" w:rsidRDefault="005C7BF7">
      <w:pPr>
        <w:pStyle w:val="Normalcentr"/>
      </w:pPr>
      <w:r>
        <w:rPr>
          <w:b/>
          <w:bCs/>
          <w:i/>
          <w:iCs/>
        </w:rPr>
        <w:t>Note de traduction</w:t>
      </w:r>
    </w:p>
    <w:p w14:paraId="09A9F252" w14:textId="2D510C62" w:rsidR="00065317" w:rsidRDefault="005C7BF7" w:rsidP="001155E9">
      <w:pPr>
        <w:pStyle w:val="Normalcentr"/>
      </w:pPr>
      <w:r>
        <w:rPr>
          <w:b/>
          <w:bCs/>
          <w:i/>
          <w:iCs/>
        </w:rPr>
        <w:t>Références</w:t>
      </w:r>
    </w:p>
    <w:p w14:paraId="57C1E4A4" w14:textId="0AF50C2A" w:rsidR="00065317" w:rsidRDefault="005C7BF7" w:rsidP="00914F34">
      <w:pPr>
        <w:pStyle w:val="Titre3"/>
      </w:pPr>
      <w:bookmarkStart w:id="382" w:name="_Toc154048876"/>
      <w:bookmarkStart w:id="383" w:name="Xe6624f655d73b0eb09ebc3b78c5e0126e0892c0"/>
      <w:bookmarkEnd w:id="381"/>
      <w:r>
        <w:t>P67 renvoie à (fait l</w:t>
      </w:r>
      <w:r w:rsidR="00E84B0E">
        <w:t>’</w:t>
      </w:r>
      <w:r>
        <w:t>objet d</w:t>
      </w:r>
      <w:r w:rsidR="00E84B0E">
        <w:t>’</w:t>
      </w:r>
      <w:r>
        <w:t>un renvoi par)</w:t>
      </w:r>
      <w:bookmarkEnd w:id="382"/>
    </w:p>
    <w:p w14:paraId="446D51E7" w14:textId="77777777" w:rsidR="00065317" w:rsidRDefault="005C7BF7">
      <w:pPr>
        <w:pStyle w:val="FirstParagraph"/>
      </w:pPr>
      <w:r>
        <w:rPr>
          <w:b/>
          <w:bCs/>
        </w:rPr>
        <w:t>Domaine</w:t>
      </w:r>
    </w:p>
    <w:p w14:paraId="30EBDB18" w14:textId="77777777" w:rsidR="00065317" w:rsidRDefault="005C7BF7">
      <w:pPr>
        <w:pStyle w:val="Corpsdetexte"/>
      </w:pPr>
      <w:r>
        <w:rPr>
          <w:rStyle w:val="VerbatimChar"/>
        </w:rPr>
        <w:t>E89_Objet_propositionnel</w:t>
      </w:r>
    </w:p>
    <w:p w14:paraId="6340E8D4" w14:textId="77777777" w:rsidR="00065317" w:rsidRDefault="005C7BF7">
      <w:pPr>
        <w:pStyle w:val="Corpsdetexte"/>
      </w:pPr>
      <w:r>
        <w:rPr>
          <w:b/>
          <w:bCs/>
        </w:rPr>
        <w:t>Portée</w:t>
      </w:r>
    </w:p>
    <w:p w14:paraId="4C31074C" w14:textId="77777777" w:rsidR="00065317" w:rsidRDefault="005C7BF7">
      <w:pPr>
        <w:pStyle w:val="Corpsdetexte"/>
      </w:pPr>
      <w:r>
        <w:rPr>
          <w:rStyle w:val="VerbatimChar"/>
        </w:rPr>
        <w:t>E1_Entité_CRM</w:t>
      </w:r>
    </w:p>
    <w:p w14:paraId="0FF1D93C" w14:textId="77777777" w:rsidR="00065317" w:rsidRDefault="005C7BF7">
      <w:pPr>
        <w:pStyle w:val="Corpsdetexte"/>
      </w:pPr>
      <w:r>
        <w:rPr>
          <w:b/>
          <w:bCs/>
        </w:rPr>
        <w:t>Sous-propriété de</w:t>
      </w:r>
    </w:p>
    <w:p w14:paraId="4C27987B" w14:textId="77777777" w:rsidR="00065317" w:rsidRDefault="005C7BF7">
      <w:pPr>
        <w:pStyle w:val="Corpsdetexte"/>
      </w:pPr>
      <w:r>
        <w:rPr>
          <w:b/>
          <w:bCs/>
        </w:rPr>
        <w:t>Super-propriété de</w:t>
      </w:r>
    </w:p>
    <w:p w14:paraId="26117DAD" w14:textId="3C925E1F" w:rsidR="00065317" w:rsidRDefault="005C7BF7">
      <w:pPr>
        <w:pStyle w:val="Corpsdetexte"/>
      </w:pPr>
      <w:r>
        <w:rPr>
          <w:rStyle w:val="VerbatimChar"/>
        </w:rPr>
        <w:t>E29_Conceptualisation_ou_procédure</w:t>
      </w:r>
      <w:r>
        <w:t xml:space="preserve">. </w:t>
      </w:r>
      <w:r>
        <w:rPr>
          <w:rStyle w:val="VerbatimChar"/>
        </w:rPr>
        <w:t>P68_prévoit_l</w:t>
      </w:r>
      <w:r w:rsidR="00E84B0E">
        <w:rPr>
          <w:rStyle w:val="VerbatimChar"/>
        </w:rPr>
        <w:t>’</w:t>
      </w:r>
      <w:r>
        <w:rPr>
          <w:rStyle w:val="VerbatimChar"/>
        </w:rPr>
        <w:t>usage_de (usage_prévu_de)</w:t>
      </w:r>
      <w:r>
        <w:t xml:space="preserve"> : </w:t>
      </w:r>
      <w:r>
        <w:rPr>
          <w:rStyle w:val="VerbatimChar"/>
        </w:rPr>
        <w:t>E57_Matériau</w:t>
      </w:r>
    </w:p>
    <w:p w14:paraId="080F2B45" w14:textId="77777777" w:rsidR="00065317" w:rsidRDefault="005C7BF7">
      <w:pPr>
        <w:pStyle w:val="Corpsdetexte"/>
      </w:pPr>
      <w:r>
        <w:rPr>
          <w:rStyle w:val="VerbatimChar"/>
        </w:rPr>
        <w:t>E31_Document</w:t>
      </w:r>
      <w:r>
        <w:t xml:space="preserve">. </w:t>
      </w:r>
      <w:r>
        <w:rPr>
          <w:rStyle w:val="VerbatimChar"/>
        </w:rPr>
        <w:t>P70_documente (est_documenté_dans)</w:t>
      </w:r>
      <w:r>
        <w:t xml:space="preserve"> : </w:t>
      </w:r>
      <w:r>
        <w:rPr>
          <w:rStyle w:val="VerbatimChar"/>
        </w:rPr>
        <w:t>E1_Entité_CRM</w:t>
      </w:r>
    </w:p>
    <w:p w14:paraId="48FBAC3D" w14:textId="77777777" w:rsidR="00065317" w:rsidRDefault="005C7BF7">
      <w:pPr>
        <w:pStyle w:val="Corpsdetexte"/>
      </w:pPr>
      <w:r>
        <w:rPr>
          <w:rStyle w:val="VerbatimChar"/>
        </w:rPr>
        <w:t>E32_Document_de_référence</w:t>
      </w:r>
      <w:r>
        <w:t>.</w:t>
      </w:r>
      <w:r>
        <w:rPr>
          <w:rStyle w:val="VerbatimChar"/>
        </w:rPr>
        <w:t xml:space="preserve"> P71_énumère (est_énuméré_par)</w:t>
      </w:r>
      <w:r>
        <w:t xml:space="preserve"> : </w:t>
      </w:r>
      <w:r>
        <w:rPr>
          <w:rStyle w:val="VerbatimChar"/>
        </w:rPr>
        <w:t>E1_Entité_CRM</w:t>
      </w:r>
    </w:p>
    <w:p w14:paraId="7A0B8682" w14:textId="77777777" w:rsidR="00065317" w:rsidRDefault="005C7BF7">
      <w:pPr>
        <w:pStyle w:val="Corpsdetexte"/>
      </w:pPr>
      <w:r>
        <w:rPr>
          <w:rStyle w:val="VerbatimChar"/>
        </w:rPr>
        <w:t>E89_Objet_propositionnel</w:t>
      </w:r>
      <w:r>
        <w:t xml:space="preserve">. </w:t>
      </w:r>
      <w:r>
        <w:rPr>
          <w:rStyle w:val="VerbatimChar"/>
        </w:rPr>
        <w:t>P129_a_pour_sujet (est_le_sujet_de)</w:t>
      </w:r>
      <w:r>
        <w:t xml:space="preserve"> : </w:t>
      </w:r>
      <w:r>
        <w:rPr>
          <w:rStyle w:val="VerbatimChar"/>
        </w:rPr>
        <w:t>E1_Entité_CRM</w:t>
      </w:r>
    </w:p>
    <w:p w14:paraId="27342E14" w14:textId="77777777" w:rsidR="00065317" w:rsidRDefault="005C7BF7">
      <w:pPr>
        <w:pStyle w:val="Corpsdetexte"/>
      </w:pPr>
      <w:r>
        <w:rPr>
          <w:rStyle w:val="VerbatimChar"/>
        </w:rPr>
        <w:t>E36_Entité_visuelle</w:t>
      </w:r>
      <w:r>
        <w:t>.</w:t>
      </w:r>
      <w:r>
        <w:rPr>
          <w:rStyle w:val="VerbatimChar"/>
        </w:rPr>
        <w:t xml:space="preserve"> P138_représente (est_représenté_par)</w:t>
      </w:r>
      <w:r>
        <w:t xml:space="preserve"> : </w:t>
      </w:r>
      <w:r>
        <w:rPr>
          <w:rStyle w:val="VerbatimChar"/>
        </w:rPr>
        <w:t>E1_Entité_CRM</w:t>
      </w:r>
    </w:p>
    <w:p w14:paraId="17D86AB1" w14:textId="77777777" w:rsidR="00065317" w:rsidRDefault="005C7BF7">
      <w:pPr>
        <w:pStyle w:val="Corpsdetexte"/>
      </w:pPr>
      <w:r>
        <w:rPr>
          <w:b/>
          <w:bCs/>
        </w:rPr>
        <w:t>Quantification</w:t>
      </w:r>
    </w:p>
    <w:p w14:paraId="6481CF55" w14:textId="77777777" w:rsidR="00065317" w:rsidRDefault="005C7BF7">
      <w:pPr>
        <w:pStyle w:val="Corpsdetexte"/>
      </w:pPr>
      <w:r>
        <w:t>plusieurs à plusieurs (0,n:0,n)</w:t>
      </w:r>
    </w:p>
    <w:p w14:paraId="62FBD135" w14:textId="4A891D41" w:rsidR="00065317" w:rsidRDefault="005C7BF7">
      <w:pPr>
        <w:pStyle w:val="Corpsdetexte"/>
      </w:pPr>
      <w:r>
        <w:rPr>
          <w:b/>
          <w:bCs/>
        </w:rPr>
        <w:t>Note d</w:t>
      </w:r>
      <w:r w:rsidR="00E84B0E">
        <w:rPr>
          <w:b/>
          <w:bCs/>
        </w:rPr>
        <w:t>’</w:t>
      </w:r>
      <w:r>
        <w:rPr>
          <w:b/>
          <w:bCs/>
        </w:rPr>
        <w:t>application</w:t>
      </w:r>
    </w:p>
    <w:p w14:paraId="7195DC95" w14:textId="6F91AD9F" w:rsidR="00065317" w:rsidRDefault="005C7BF7">
      <w:pPr>
        <w:pStyle w:val="Corpsdetexte"/>
      </w:pPr>
      <w:r>
        <w:t>Cette propriété documente qu</w:t>
      </w:r>
      <w:r w:rsidR="00E84B0E">
        <w:t>’</w:t>
      </w:r>
      <w:r>
        <w:t xml:space="preserve">une instance de </w:t>
      </w:r>
      <w:r>
        <w:rPr>
          <w:rStyle w:val="VerbatimChar"/>
        </w:rPr>
        <w:t>E89_Objet_propositionnel</w:t>
      </w:r>
      <w:r>
        <w:t xml:space="preserve"> contient un énoncé à propos d</w:t>
      </w:r>
      <w:r w:rsidR="00E84B0E">
        <w:t>’</w:t>
      </w:r>
      <w:r>
        <w:t xml:space="preserve">une instance de </w:t>
      </w:r>
      <w:r>
        <w:rPr>
          <w:rStyle w:val="VerbatimChar"/>
        </w:rPr>
        <w:t>E1_Entité_CRM</w:t>
      </w:r>
      <w:r>
        <w:t>.</w:t>
      </w:r>
      <w:r>
        <w:rPr>
          <w:rStyle w:val="VerbatimChar"/>
        </w:rPr>
        <w:t xml:space="preserve"> 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a comme propriété de propriété </w:t>
      </w:r>
      <w:r>
        <w:rPr>
          <w:rStyle w:val="VerbatimChar"/>
        </w:rPr>
        <w:t>P67.1_a_pour_type</w:t>
      </w:r>
      <w:r>
        <w:t xml:space="preserve"> et cette dernière a pour objet une instance de E55_Type, de manière à permettre une description plus détaillée du type de référence. La propriété</w:t>
      </w:r>
      <w:r>
        <w:rPr>
          <w:rStyle w:val="VerbatimChar"/>
        </w:rPr>
        <w:t xml:space="preserve"> 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diffère de </w:t>
      </w:r>
      <w:r>
        <w:rPr>
          <w:rStyle w:val="VerbatimChar"/>
        </w:rPr>
        <w:t>P129_a_pour_sujet (est_le_sujet_de)</w:t>
      </w:r>
      <w:r>
        <w:t>, qui décrit le ou les sujets principaux de l</w:t>
      </w:r>
      <w:r w:rsidR="00E84B0E">
        <w:t>’</w:t>
      </w:r>
      <w:r>
        <w:t xml:space="preserve">instance de </w:t>
      </w:r>
      <w:r>
        <w:rPr>
          <w:rStyle w:val="VerbatimChar"/>
        </w:rPr>
        <w:t>E89_Objet_propositionnel</w:t>
      </w:r>
      <w:r>
        <w:t>.</w:t>
      </w:r>
    </w:p>
    <w:p w14:paraId="1D3C2369" w14:textId="77777777" w:rsidR="00065317" w:rsidRDefault="005C7BF7">
      <w:pPr>
        <w:pStyle w:val="Corpsdetexte"/>
      </w:pPr>
      <w:r>
        <w:rPr>
          <w:b/>
          <w:bCs/>
        </w:rPr>
        <w:lastRenderedPageBreak/>
        <w:t>Exemples</w:t>
      </w:r>
    </w:p>
    <w:p w14:paraId="2727408C" w14:textId="453793AC" w:rsidR="00065317" w:rsidRDefault="005C7BF7">
      <w:pPr>
        <w:pStyle w:val="Corpsdetexte"/>
      </w:pPr>
      <w:r>
        <w:t>La vente aux enchères sur eBay du 4</w:t>
      </w:r>
      <w:r w:rsidR="00056DCD">
        <w:t> juillet </w:t>
      </w:r>
      <w:r>
        <w:t>2002 (</w:t>
      </w:r>
      <w:r>
        <w:rPr>
          <w:rStyle w:val="VerbatimChar"/>
        </w:rPr>
        <w:t>E73_Objet_informationnel</w:t>
      </w:r>
      <w:r>
        <w:t>) renvoie à (</w:t>
      </w:r>
      <w:r>
        <w:rPr>
          <w:rStyle w:val="VerbatimChar"/>
        </w:rPr>
        <w:t>P67_renvoie_à</w:t>
      </w:r>
      <w:r>
        <w:t>) la coupe en argent 232 (</w:t>
      </w:r>
      <w:r>
        <w:rPr>
          <w:rStyle w:val="VerbatimChar"/>
        </w:rPr>
        <w:t>E22_Objet_élaboré_par_l</w:t>
      </w:r>
      <w:r w:rsidR="00E84B0E">
        <w:rPr>
          <w:rStyle w:val="VerbatimChar"/>
        </w:rPr>
        <w:t>’</w:t>
      </w:r>
      <w:r>
        <w:rPr>
          <w:rStyle w:val="VerbatimChar"/>
        </w:rPr>
        <w:t>humain</w:t>
      </w:r>
      <w:r>
        <w:t>) qui a pour type (</w:t>
      </w:r>
      <w:r>
        <w:rPr>
          <w:rStyle w:val="VerbatimChar"/>
        </w:rPr>
        <w:t>P67.1_a_pour_type</w:t>
      </w:r>
      <w:r>
        <w:t>) article à vendre (</w:t>
      </w:r>
      <w:r>
        <w:rPr>
          <w:rStyle w:val="VerbatimChar"/>
        </w:rPr>
        <w:t>E55_Type</w:t>
      </w:r>
      <w:r>
        <w:t>) (fictif)</w:t>
      </w:r>
    </w:p>
    <w:p w14:paraId="27E406B0" w14:textId="77777777" w:rsidR="00065317" w:rsidRDefault="005C7BF7">
      <w:pPr>
        <w:pStyle w:val="Corpsdetexte"/>
      </w:pPr>
      <w:r>
        <w:rPr>
          <w:b/>
          <w:bCs/>
        </w:rPr>
        <w:t>Logique</w:t>
      </w:r>
    </w:p>
    <w:p w14:paraId="71E160E1" w14:textId="77777777" w:rsidR="00065317" w:rsidRDefault="005C7BF7">
      <w:pPr>
        <w:pStyle w:val="Corpsdetexte"/>
      </w:pPr>
      <w:r>
        <w:t>P67(x,y) ⇒ E89(x)</w:t>
      </w:r>
    </w:p>
    <w:p w14:paraId="6E4E9ADC" w14:textId="77777777" w:rsidR="00065317" w:rsidRDefault="005C7BF7">
      <w:pPr>
        <w:pStyle w:val="Corpsdetexte"/>
      </w:pPr>
      <w:r>
        <w:t>P67(x,y) ⇒ E1(y)</w:t>
      </w:r>
    </w:p>
    <w:p w14:paraId="5897E554" w14:textId="77777777" w:rsidR="00065317" w:rsidRDefault="005C7BF7">
      <w:pPr>
        <w:pStyle w:val="Corpsdetexte"/>
      </w:pPr>
      <w:r>
        <w:t>P67(x,y,z) ⇒ [P67(x,y) ∧ E55(z)]</w:t>
      </w:r>
    </w:p>
    <w:p w14:paraId="5645A7A6" w14:textId="77777777" w:rsidR="00065317" w:rsidRDefault="005C7BF7">
      <w:pPr>
        <w:pStyle w:val="Corpsdetexte"/>
      </w:pPr>
      <w:r>
        <w:rPr>
          <w:b/>
          <w:bCs/>
        </w:rPr>
        <w:t>Propriétés</w:t>
      </w:r>
    </w:p>
    <w:p w14:paraId="493D66DE" w14:textId="77777777" w:rsidR="00065317" w:rsidRDefault="005C7BF7">
      <w:pPr>
        <w:pStyle w:val="Corpsdetexte"/>
      </w:pPr>
      <w:r>
        <w:rPr>
          <w:rStyle w:val="VerbatimChar"/>
        </w:rPr>
        <w:t>P67.1_a_pour_type</w:t>
      </w:r>
      <w:r>
        <w:t xml:space="preserve"> : </w:t>
      </w:r>
      <w:r>
        <w:rPr>
          <w:rStyle w:val="VerbatimChar"/>
        </w:rPr>
        <w:t>E55_Type</w:t>
      </w:r>
    </w:p>
    <w:p w14:paraId="53A02B23" w14:textId="77777777" w:rsidR="00065317" w:rsidRDefault="005C7BF7">
      <w:pPr>
        <w:pStyle w:val="Normalcentr"/>
      </w:pPr>
      <w:r>
        <w:rPr>
          <w:b/>
          <w:bCs/>
          <w:i/>
          <w:iCs/>
        </w:rPr>
        <w:t>Note de traduction</w:t>
      </w:r>
    </w:p>
    <w:p w14:paraId="20BF51FD" w14:textId="1954E97D" w:rsidR="00065317" w:rsidRDefault="005C7BF7" w:rsidP="001155E9">
      <w:pPr>
        <w:pStyle w:val="Normalcentr"/>
      </w:pPr>
      <w:r>
        <w:rPr>
          <w:b/>
          <w:bCs/>
          <w:i/>
          <w:iCs/>
        </w:rPr>
        <w:t>Références</w:t>
      </w:r>
    </w:p>
    <w:p w14:paraId="66B91E64" w14:textId="508A38A3" w:rsidR="00065317" w:rsidRDefault="005C7BF7" w:rsidP="00914F34">
      <w:pPr>
        <w:pStyle w:val="Titre3"/>
      </w:pPr>
      <w:bookmarkStart w:id="384" w:name="_Toc154048877"/>
      <w:bookmarkStart w:id="385" w:name="p68-prevoit-l'usage-de-(usage-prevu-de)"/>
      <w:bookmarkEnd w:id="383"/>
      <w:r>
        <w:t>P68 prévoit l</w:t>
      </w:r>
      <w:r w:rsidR="00E84B0E">
        <w:t>’</w:t>
      </w:r>
      <w:r>
        <w:t>usage de (usage prévu de)</w:t>
      </w:r>
      <w:bookmarkEnd w:id="384"/>
    </w:p>
    <w:p w14:paraId="66CFC71B" w14:textId="77777777" w:rsidR="00065317" w:rsidRDefault="005C7BF7">
      <w:pPr>
        <w:pStyle w:val="FirstParagraph"/>
      </w:pPr>
      <w:r>
        <w:rPr>
          <w:b/>
          <w:bCs/>
        </w:rPr>
        <w:t>Domaine</w:t>
      </w:r>
    </w:p>
    <w:p w14:paraId="4C163C69" w14:textId="77777777" w:rsidR="00065317" w:rsidRDefault="005C7BF7">
      <w:pPr>
        <w:pStyle w:val="Corpsdetexte"/>
      </w:pPr>
      <w:r>
        <w:rPr>
          <w:rStyle w:val="VerbatimChar"/>
        </w:rPr>
        <w:t>E29_Conceptualisation_ou_procédure</w:t>
      </w:r>
    </w:p>
    <w:p w14:paraId="0C186DAD" w14:textId="77777777" w:rsidR="00065317" w:rsidRDefault="005C7BF7">
      <w:pPr>
        <w:pStyle w:val="Corpsdetexte"/>
      </w:pPr>
      <w:r>
        <w:rPr>
          <w:b/>
          <w:bCs/>
        </w:rPr>
        <w:t>Portée</w:t>
      </w:r>
    </w:p>
    <w:p w14:paraId="20343E0C" w14:textId="77777777" w:rsidR="00065317" w:rsidRDefault="005C7BF7">
      <w:pPr>
        <w:pStyle w:val="Corpsdetexte"/>
      </w:pPr>
      <w:r>
        <w:rPr>
          <w:rStyle w:val="VerbatimChar"/>
        </w:rPr>
        <w:t>E57_Matériau</w:t>
      </w:r>
    </w:p>
    <w:p w14:paraId="0F3D0EAE" w14:textId="77777777" w:rsidR="00065317" w:rsidRDefault="005C7BF7">
      <w:pPr>
        <w:pStyle w:val="Corpsdetexte"/>
      </w:pPr>
      <w:r>
        <w:rPr>
          <w:b/>
          <w:bCs/>
        </w:rPr>
        <w:t>Sous-propriété de</w:t>
      </w:r>
    </w:p>
    <w:p w14:paraId="3468E528" w14:textId="7AD26CF9" w:rsidR="00065317" w:rsidRDefault="005C7BF7">
      <w:pPr>
        <w:pStyle w:val="Corpsdetexte"/>
      </w:pPr>
      <w:r>
        <w:rPr>
          <w:rStyle w:val="VerbatimChar"/>
        </w:rPr>
        <w:t>E89_Objet_propositionnel</w:t>
      </w:r>
      <w:r>
        <w:t xml:space="preserve">. </w:t>
      </w: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 </w:t>
      </w:r>
      <w:r>
        <w:rPr>
          <w:rStyle w:val="VerbatimChar"/>
        </w:rPr>
        <w:t>E1_Entité_CRM</w:t>
      </w:r>
    </w:p>
    <w:p w14:paraId="372BEEFF" w14:textId="77777777" w:rsidR="00065317" w:rsidRDefault="005C7BF7">
      <w:pPr>
        <w:pStyle w:val="Corpsdetexte"/>
      </w:pPr>
      <w:r>
        <w:rPr>
          <w:b/>
          <w:bCs/>
        </w:rPr>
        <w:t>Super-propriété de</w:t>
      </w:r>
    </w:p>
    <w:p w14:paraId="2B7C80B5" w14:textId="77777777" w:rsidR="00065317" w:rsidRDefault="005C7BF7">
      <w:pPr>
        <w:pStyle w:val="Corpsdetexte"/>
      </w:pPr>
      <w:r>
        <w:rPr>
          <w:b/>
          <w:bCs/>
        </w:rPr>
        <w:t>Quantification</w:t>
      </w:r>
    </w:p>
    <w:p w14:paraId="626271F3" w14:textId="77777777" w:rsidR="00065317" w:rsidRDefault="005C7BF7">
      <w:pPr>
        <w:pStyle w:val="Corpsdetexte"/>
      </w:pPr>
      <w:r>
        <w:t>plusieurs à plusieurs (0,n:0,n)</w:t>
      </w:r>
    </w:p>
    <w:p w14:paraId="75BA5B14" w14:textId="4F1AF9C4" w:rsidR="00065317" w:rsidRDefault="005C7BF7">
      <w:pPr>
        <w:pStyle w:val="Corpsdetexte"/>
      </w:pPr>
      <w:r>
        <w:rPr>
          <w:b/>
          <w:bCs/>
        </w:rPr>
        <w:t>Note d</w:t>
      </w:r>
      <w:r w:rsidR="00E84B0E">
        <w:rPr>
          <w:b/>
          <w:bCs/>
        </w:rPr>
        <w:t>’</w:t>
      </w:r>
      <w:r>
        <w:rPr>
          <w:b/>
          <w:bCs/>
        </w:rPr>
        <w:t>application</w:t>
      </w:r>
    </w:p>
    <w:p w14:paraId="09450C60" w14:textId="77777777" w:rsidR="00065317" w:rsidRDefault="005C7BF7">
      <w:pPr>
        <w:pStyle w:val="Corpsdetexte"/>
      </w:pPr>
      <w:r>
        <w:t xml:space="preserve">Cette propriété identifie une instance de </w:t>
      </w:r>
      <w:r>
        <w:rPr>
          <w:rStyle w:val="VerbatimChar"/>
        </w:rPr>
        <w:t>E57_Matériau</w:t>
      </w:r>
      <w:r>
        <w:t xml:space="preserve"> prévue pour être utilisée par une instance de </w:t>
      </w:r>
      <w:r>
        <w:rPr>
          <w:rStyle w:val="VerbatimChar"/>
        </w:rPr>
        <w:t>E29_Conceptualisation_ou_procédure</w:t>
      </w:r>
      <w:r>
        <w:t>.</w:t>
      </w:r>
    </w:p>
    <w:p w14:paraId="38F866F6" w14:textId="698E2ABD" w:rsidR="00065317" w:rsidRDefault="005C7BF7">
      <w:pPr>
        <w:pStyle w:val="Corpsdetexte"/>
      </w:pPr>
      <w:r>
        <w:t xml:space="preserve">Les instances de </w:t>
      </w:r>
      <w:r>
        <w:rPr>
          <w:rStyle w:val="VerbatimChar"/>
        </w:rPr>
        <w:t>E29_Conceptualisation_ou_procédure</w:t>
      </w:r>
      <w:r>
        <w:t xml:space="preserve"> prévoient couramment l</w:t>
      </w:r>
      <w:r w:rsidR="00E84B0E">
        <w:t>’</w:t>
      </w:r>
      <w:r>
        <w:t>usage d</w:t>
      </w:r>
      <w:r w:rsidR="00E84B0E">
        <w:t>’</w:t>
      </w:r>
      <w:r>
        <w:t xml:space="preserve">instances particulières de </w:t>
      </w:r>
      <w:r>
        <w:rPr>
          <w:rStyle w:val="VerbatimChar"/>
        </w:rPr>
        <w:t>E57_Matériau</w:t>
      </w:r>
      <w:r>
        <w:t>. La fabrication de briques d</w:t>
      </w:r>
      <w:r w:rsidR="00E84B0E">
        <w:t>’</w:t>
      </w:r>
      <w:r>
        <w:t>adobe, par exemple, nécessite de la paille, de l</w:t>
      </w:r>
      <w:r w:rsidR="00E84B0E">
        <w:t>’</w:t>
      </w:r>
      <w:r>
        <w:t>argile et de l</w:t>
      </w:r>
      <w:r w:rsidR="00E84B0E">
        <w:t>’</w:t>
      </w:r>
      <w:r>
        <w:t xml:space="preserve">eau. La propriété </w:t>
      </w:r>
      <w:r>
        <w:rPr>
          <w:rStyle w:val="VerbatimChar"/>
        </w:rPr>
        <w:t>P68_prévoit_l</w:t>
      </w:r>
      <w:r w:rsidR="00E84B0E">
        <w:rPr>
          <w:rStyle w:val="VerbatimChar"/>
        </w:rPr>
        <w:t>’</w:t>
      </w:r>
      <w:r>
        <w:rPr>
          <w:rStyle w:val="VerbatimChar"/>
        </w:rPr>
        <w:t>usage_de (usage_prévu_de)</w:t>
      </w:r>
      <w:r>
        <w:t xml:space="preserve"> permet de documenter ce fait.</w:t>
      </w:r>
    </w:p>
    <w:p w14:paraId="2C92CC07" w14:textId="6F960BC6" w:rsidR="00065317" w:rsidRDefault="005C7BF7">
      <w:pPr>
        <w:pStyle w:val="Corpsdetexte"/>
      </w:pPr>
      <w:r>
        <w:t>Cette propriété n</w:t>
      </w:r>
      <w:r w:rsidR="00E84B0E">
        <w:t>’</w:t>
      </w:r>
      <w:r>
        <w:t xml:space="preserve">est pas destinée à documenter les instances de </w:t>
      </w:r>
      <w:r>
        <w:rPr>
          <w:rStyle w:val="VerbatimChar"/>
        </w:rPr>
        <w:t>E57_Matériau</w:t>
      </w:r>
      <w:r>
        <w:t xml:space="preserve"> qui ont été utilisées à une occasion particulière, lorsqu</w:t>
      </w:r>
      <w:r w:rsidR="00E84B0E">
        <w:t>’</w:t>
      </w:r>
      <w:r>
        <w:t xml:space="preserve">une instance de </w:t>
      </w:r>
      <w:r>
        <w:rPr>
          <w:rStyle w:val="VerbatimChar"/>
        </w:rPr>
        <w:t>E29_Conceptualisation_ou_procédure</w:t>
      </w:r>
      <w:r>
        <w:t xml:space="preserve"> a été mise en œuvre.</w:t>
      </w:r>
    </w:p>
    <w:p w14:paraId="16A9E829" w14:textId="77777777" w:rsidR="00065317" w:rsidRDefault="005C7BF7">
      <w:pPr>
        <w:pStyle w:val="Corpsdetexte"/>
      </w:pPr>
      <w:r>
        <w:rPr>
          <w:b/>
          <w:bCs/>
        </w:rPr>
        <w:t>Exemples</w:t>
      </w:r>
    </w:p>
    <w:p w14:paraId="0F3C288A" w14:textId="76CD4DED" w:rsidR="00065317" w:rsidRDefault="005C7BF7">
      <w:pPr>
        <w:numPr>
          <w:ilvl w:val="0"/>
          <w:numId w:val="200"/>
        </w:numPr>
      </w:pPr>
      <w:r>
        <w:t>La procédure pour la fabrication du verre sodocalcique (</w:t>
      </w:r>
      <w:r>
        <w:rPr>
          <w:rStyle w:val="VerbatimChar"/>
        </w:rPr>
        <w:t>E29_Conceptualisation_ou_procédure</w:t>
      </w:r>
      <w:r>
        <w:t>) prévoit l</w:t>
      </w:r>
      <w:r w:rsidR="00E84B0E">
        <w:t>’</w:t>
      </w:r>
      <w:r>
        <w:t>usage de (</w:t>
      </w:r>
      <w:r>
        <w:rPr>
          <w:rStyle w:val="VerbatimChar"/>
        </w:rPr>
        <w:t>P68_prévoit_l</w:t>
      </w:r>
      <w:r w:rsidR="00E84B0E">
        <w:rPr>
          <w:rStyle w:val="VerbatimChar"/>
        </w:rPr>
        <w:t>’</w:t>
      </w:r>
      <w:r>
        <w:rPr>
          <w:rStyle w:val="VerbatimChar"/>
        </w:rPr>
        <w:t>usage_de</w:t>
      </w:r>
      <w:r>
        <w:t>) soude (</w:t>
      </w:r>
      <w:r>
        <w:rPr>
          <w:rStyle w:val="VerbatimChar"/>
        </w:rPr>
        <w:t>E57_Matériau</w:t>
      </w:r>
      <w:r>
        <w:t>) (Brooks, 1973)</w:t>
      </w:r>
    </w:p>
    <w:p w14:paraId="11EC0017" w14:textId="77777777" w:rsidR="00065317" w:rsidRDefault="005C7BF7">
      <w:pPr>
        <w:pStyle w:val="FirstParagraph"/>
      </w:pPr>
      <w:r>
        <w:rPr>
          <w:b/>
          <w:bCs/>
        </w:rPr>
        <w:lastRenderedPageBreak/>
        <w:t>Logique</w:t>
      </w:r>
    </w:p>
    <w:p w14:paraId="25CC308C" w14:textId="77777777" w:rsidR="00065317" w:rsidRDefault="005C7BF7">
      <w:pPr>
        <w:pStyle w:val="Corpsdetexte"/>
      </w:pPr>
      <w:r>
        <w:t>P68(x,y) ⇒ E29(x)</w:t>
      </w:r>
    </w:p>
    <w:p w14:paraId="256F3B8F" w14:textId="77777777" w:rsidR="00065317" w:rsidRDefault="005C7BF7">
      <w:pPr>
        <w:pStyle w:val="Corpsdetexte"/>
      </w:pPr>
      <w:r>
        <w:t>P68(x,y) ⇒ E57(y)</w:t>
      </w:r>
    </w:p>
    <w:p w14:paraId="374CA87A" w14:textId="77777777" w:rsidR="00065317" w:rsidRDefault="005C7BF7">
      <w:pPr>
        <w:pStyle w:val="Corpsdetexte"/>
      </w:pPr>
      <w:r>
        <w:t>P68(x,y) ⇒ P67(x,y)</w:t>
      </w:r>
    </w:p>
    <w:p w14:paraId="12E82DC2" w14:textId="77777777" w:rsidR="00065317" w:rsidRDefault="005C7BF7">
      <w:pPr>
        <w:pStyle w:val="Corpsdetexte"/>
      </w:pPr>
      <w:r>
        <w:rPr>
          <w:b/>
          <w:bCs/>
        </w:rPr>
        <w:t>Propriétés</w:t>
      </w:r>
    </w:p>
    <w:p w14:paraId="7030325B" w14:textId="77777777" w:rsidR="00065317" w:rsidRDefault="005C7BF7">
      <w:pPr>
        <w:pStyle w:val="Normalcentr"/>
      </w:pPr>
      <w:r>
        <w:rPr>
          <w:b/>
          <w:bCs/>
          <w:i/>
          <w:iCs/>
        </w:rPr>
        <w:t>Note de traduction</w:t>
      </w:r>
    </w:p>
    <w:p w14:paraId="5FC02035" w14:textId="4251E9C2" w:rsidR="00065317" w:rsidRDefault="005C7BF7" w:rsidP="001155E9">
      <w:pPr>
        <w:pStyle w:val="Normalcentr"/>
      </w:pPr>
      <w:r>
        <w:rPr>
          <w:b/>
          <w:bCs/>
          <w:i/>
          <w:iCs/>
        </w:rPr>
        <w:t>Références</w:t>
      </w:r>
    </w:p>
    <w:p w14:paraId="68A07AC0" w14:textId="77777777" w:rsidR="00065317" w:rsidRDefault="005C7BF7" w:rsidP="00914F34">
      <w:pPr>
        <w:pStyle w:val="Titre3"/>
      </w:pPr>
      <w:bookmarkStart w:id="386" w:name="_Toc154048878"/>
      <w:bookmarkStart w:id="387" w:name="p69-est-associe-a--(est-associe-a)"/>
      <w:bookmarkEnd w:id="385"/>
      <w:r>
        <w:t>P69 est associé à (est associé à)</w:t>
      </w:r>
      <w:bookmarkEnd w:id="386"/>
    </w:p>
    <w:p w14:paraId="6F920E5C" w14:textId="77777777" w:rsidR="00065317" w:rsidRDefault="005C7BF7">
      <w:pPr>
        <w:pStyle w:val="FirstParagraph"/>
      </w:pPr>
      <w:r>
        <w:rPr>
          <w:b/>
          <w:bCs/>
        </w:rPr>
        <w:t>Domaine</w:t>
      </w:r>
    </w:p>
    <w:p w14:paraId="513DCDDE" w14:textId="77777777" w:rsidR="00065317" w:rsidRDefault="005C7BF7">
      <w:pPr>
        <w:pStyle w:val="Corpsdetexte"/>
      </w:pPr>
      <w:r>
        <w:rPr>
          <w:rStyle w:val="VerbatimChar"/>
        </w:rPr>
        <w:t>E29_Conceptualisation_ou_procédure</w:t>
      </w:r>
    </w:p>
    <w:p w14:paraId="4B0F8D99" w14:textId="77777777" w:rsidR="00065317" w:rsidRDefault="005C7BF7">
      <w:pPr>
        <w:pStyle w:val="Corpsdetexte"/>
      </w:pPr>
      <w:r>
        <w:rPr>
          <w:b/>
          <w:bCs/>
        </w:rPr>
        <w:t>Portée</w:t>
      </w:r>
    </w:p>
    <w:p w14:paraId="2EB7F928" w14:textId="77777777" w:rsidR="00065317" w:rsidRDefault="005C7BF7">
      <w:pPr>
        <w:pStyle w:val="Corpsdetexte"/>
      </w:pPr>
      <w:r>
        <w:rPr>
          <w:rStyle w:val="VerbatimChar"/>
        </w:rPr>
        <w:t>E29_Conceptualisation_ou_procédure</w:t>
      </w:r>
    </w:p>
    <w:p w14:paraId="62DE2D73" w14:textId="77777777" w:rsidR="00065317" w:rsidRDefault="005C7BF7">
      <w:pPr>
        <w:pStyle w:val="Corpsdetexte"/>
      </w:pPr>
      <w:r>
        <w:rPr>
          <w:b/>
          <w:bCs/>
        </w:rPr>
        <w:t>Sous-propriété de</w:t>
      </w:r>
    </w:p>
    <w:p w14:paraId="00827E48" w14:textId="77777777" w:rsidR="00065317" w:rsidRDefault="005C7BF7">
      <w:pPr>
        <w:pStyle w:val="Corpsdetexte"/>
      </w:pPr>
      <w:r>
        <w:rPr>
          <w:b/>
          <w:bCs/>
        </w:rPr>
        <w:t>Super-propriété de</w:t>
      </w:r>
    </w:p>
    <w:p w14:paraId="29333A0B" w14:textId="77777777" w:rsidR="00065317" w:rsidRDefault="005C7BF7">
      <w:pPr>
        <w:pStyle w:val="Corpsdetexte"/>
      </w:pPr>
      <w:r>
        <w:rPr>
          <w:b/>
          <w:bCs/>
        </w:rPr>
        <w:t>Quantification</w:t>
      </w:r>
    </w:p>
    <w:p w14:paraId="2D468014" w14:textId="77777777" w:rsidR="00065317" w:rsidRDefault="005C7BF7">
      <w:pPr>
        <w:pStyle w:val="Corpsdetexte"/>
      </w:pPr>
      <w:r>
        <w:t>plusieurs à plusieurs (0,n:0,n)</w:t>
      </w:r>
    </w:p>
    <w:p w14:paraId="04AC5A92" w14:textId="7A15F368" w:rsidR="00065317" w:rsidRDefault="005C7BF7">
      <w:pPr>
        <w:pStyle w:val="Corpsdetexte"/>
      </w:pPr>
      <w:r>
        <w:rPr>
          <w:b/>
          <w:bCs/>
        </w:rPr>
        <w:t>Note d</w:t>
      </w:r>
      <w:r w:rsidR="00E84B0E">
        <w:rPr>
          <w:b/>
          <w:bCs/>
        </w:rPr>
        <w:t>’</w:t>
      </w:r>
      <w:r>
        <w:rPr>
          <w:b/>
          <w:bCs/>
        </w:rPr>
        <w:t>application</w:t>
      </w:r>
    </w:p>
    <w:p w14:paraId="631B3FF5" w14:textId="020C7B63" w:rsidR="00065317" w:rsidRDefault="005C7BF7">
      <w:pPr>
        <w:pStyle w:val="Corpsdetexte"/>
      </w:pPr>
      <w:r>
        <w:t xml:space="preserve">Cette propriété généralise des relations telles que tout-partie, séquence, prérequis, ou inspirées par, entre des instances de </w:t>
      </w:r>
      <w:r>
        <w:rPr>
          <w:rStyle w:val="VerbatimChar"/>
        </w:rPr>
        <w:t>E29_Conceptualisation_ou_procédure</w:t>
      </w:r>
      <w:r>
        <w:t xml:space="preserve">. Toute instance de </w:t>
      </w:r>
      <w:r>
        <w:rPr>
          <w:rStyle w:val="VerbatimChar"/>
        </w:rPr>
        <w:t>E29_Conceptualisation_ou_procédure</w:t>
      </w:r>
      <w:r>
        <w:t xml:space="preserve"> peut être associée à d</w:t>
      </w:r>
      <w:r w:rsidR="00E84B0E">
        <w:t>’</w:t>
      </w:r>
      <w:r>
        <w:t>autres conceptualisations ou procédures. La propriété est considérée comme symétrique, à moins d</w:t>
      </w:r>
      <w:r w:rsidR="00E84B0E">
        <w:t>’</w:t>
      </w:r>
      <w:r>
        <w:t xml:space="preserve">indication contraire via la propriété </w:t>
      </w:r>
      <w:r>
        <w:rPr>
          <w:rStyle w:val="VerbatimChar"/>
        </w:rPr>
        <w:t>P69.1_a_pour_type</w:t>
      </w:r>
      <w:r>
        <w:t>.</w:t>
      </w:r>
    </w:p>
    <w:p w14:paraId="277182F1" w14:textId="1FD6F255" w:rsidR="00065317" w:rsidRDefault="005C7BF7">
      <w:pPr>
        <w:pStyle w:val="Corpsdetexte"/>
      </w:pPr>
      <w:r>
        <w:t>Cette propriété n</w:t>
      </w:r>
      <w:r w:rsidR="00E84B0E">
        <w:t>’</w:t>
      </w:r>
      <w:r>
        <w:t>est pas transitive.</w:t>
      </w:r>
    </w:p>
    <w:p w14:paraId="48B92D1E" w14:textId="7D540DF4" w:rsidR="00065317" w:rsidRDefault="005C7BF7">
      <w:pPr>
        <w:pStyle w:val="Corpsdetexte"/>
      </w:pPr>
      <w:r>
        <w:t xml:space="preserve">Cette propriété comporte une direction. La propriété </w:t>
      </w:r>
      <w:r>
        <w:rPr>
          <w:rStyle w:val="VerbatimChar"/>
        </w:rPr>
        <w:t>P69.1_a_pour_type</w:t>
      </w:r>
      <w:r>
        <w:t xml:space="preserve"> de la propriété </w:t>
      </w:r>
      <w:r>
        <w:rPr>
          <w:rStyle w:val="VerbatimChar"/>
        </w:rPr>
        <w:t>P69_est_associé_à (est_associé_à)</w:t>
      </w:r>
      <w:r>
        <w:t xml:space="preserve"> permet de spécifier la nature de l</w:t>
      </w:r>
      <w:r w:rsidR="00E84B0E">
        <w:t>’</w:t>
      </w:r>
      <w:r>
        <w:t xml:space="preserve">association entre des instances de </w:t>
      </w:r>
      <w:r>
        <w:rPr>
          <w:rStyle w:val="VerbatimChar"/>
        </w:rPr>
        <w:t>E29_Conceptualisation_ou_procédure</w:t>
      </w:r>
      <w:r>
        <w:t xml:space="preserve"> : a pour partie, suit, nécessite, etc.</w:t>
      </w:r>
    </w:p>
    <w:p w14:paraId="0304C260" w14:textId="7E2BA063" w:rsidR="00065317" w:rsidRDefault="005C7BF7">
      <w:pPr>
        <w:pStyle w:val="Corpsdetexte"/>
      </w:pPr>
      <w:r>
        <w:t>Les instances de cette propriété sont considérées symétriques dans l</w:t>
      </w:r>
      <w:r w:rsidR="00E84B0E">
        <w:t>’</w:t>
      </w:r>
      <w:r>
        <w:t xml:space="preserve">éventualité où aucune direction ne serait impartie par la propriété </w:t>
      </w:r>
      <w:r>
        <w:rPr>
          <w:rStyle w:val="VerbatimChar"/>
        </w:rPr>
        <w:t>P69.1_a_pour_type</w:t>
      </w:r>
      <w:r>
        <w:t>.</w:t>
      </w:r>
    </w:p>
    <w:p w14:paraId="68A1949F" w14:textId="3D402B54" w:rsidR="00065317" w:rsidRDefault="005C7BF7">
      <w:pPr>
        <w:pStyle w:val="Corpsdetexte"/>
      </w:pPr>
      <w:r>
        <w:t xml:space="preserve">La propriété </w:t>
      </w:r>
      <w:r>
        <w:rPr>
          <w:rStyle w:val="VerbatimChar"/>
        </w:rPr>
        <w:t>P69_est_associé_à (est_associé_à)</w:t>
      </w:r>
      <w:r>
        <w:t xml:space="preserve"> peut généralement être utilisée pour modéliser la décomposition de la description d</w:t>
      </w:r>
      <w:r w:rsidR="00E84B0E">
        <w:t>’</w:t>
      </w:r>
      <w:r>
        <w:t>un flux de travail complet en une série de procédures séparées.</w:t>
      </w:r>
    </w:p>
    <w:p w14:paraId="19CF7700" w14:textId="77777777" w:rsidR="00065317" w:rsidRDefault="005C7BF7">
      <w:pPr>
        <w:pStyle w:val="Corpsdetexte"/>
      </w:pPr>
      <w:r>
        <w:rPr>
          <w:b/>
          <w:bCs/>
        </w:rPr>
        <w:t>Exemples</w:t>
      </w:r>
    </w:p>
    <w:p w14:paraId="4715004F" w14:textId="3D6EBD27" w:rsidR="00F54917" w:rsidRDefault="005C7BF7">
      <w:pPr>
        <w:numPr>
          <w:ilvl w:val="0"/>
          <w:numId w:val="201"/>
        </w:numPr>
      </w:pPr>
      <w:r>
        <w:t>La procédure pour le soufflage du verre (</w:t>
      </w:r>
      <w:r>
        <w:rPr>
          <w:rStyle w:val="VerbatimChar"/>
        </w:rPr>
        <w:t>E29_Conceptualisation_ou_procédure</w:t>
      </w:r>
      <w:r>
        <w:t>) est associée à (</w:t>
      </w:r>
      <w:r>
        <w:rPr>
          <w:rStyle w:val="VerbatimChar"/>
        </w:rPr>
        <w:t>P69_est_associé_à</w:t>
      </w:r>
      <w:r>
        <w:t>) la procédure pour le chauffage du verre (</w:t>
      </w:r>
      <w:r>
        <w:rPr>
          <w:rStyle w:val="VerbatimChar"/>
        </w:rPr>
        <w:t>E29_Conceptualisation_ou_procédure</w:t>
      </w:r>
      <w:r>
        <w:t>) (Brooks, 1973)</w:t>
      </w:r>
    </w:p>
    <w:p w14:paraId="5D130334" w14:textId="391DDD9F" w:rsidR="00065317" w:rsidRDefault="00F54917" w:rsidP="00F54917">
      <w:pPr>
        <w:spacing w:after="0"/>
      </w:pPr>
      <w:r>
        <w:br w:type="page"/>
      </w:r>
    </w:p>
    <w:p w14:paraId="0BB9B137" w14:textId="04E1A619" w:rsidR="00065317" w:rsidRDefault="005C7BF7">
      <w:pPr>
        <w:numPr>
          <w:ilvl w:val="0"/>
          <w:numId w:val="201"/>
        </w:numPr>
      </w:pPr>
      <w:r>
        <w:lastRenderedPageBreak/>
        <w:t>L</w:t>
      </w:r>
      <w:r w:rsidR="00E84B0E">
        <w:t>’</w:t>
      </w:r>
      <w:r>
        <w:t>ensemble d</w:t>
      </w:r>
      <w:r w:rsidR="00E84B0E">
        <w:t>’</w:t>
      </w:r>
      <w:r>
        <w:t>instructions pour interpréter Macbeth dans la production de Max Reinhardt en 1916 au Deutsches Theater de Berlin (</w:t>
      </w:r>
      <w:r>
        <w:rPr>
          <w:rStyle w:val="VerbatimChar"/>
        </w:rPr>
        <w:t>E29_Conceptualisation_ou_procédure</w:t>
      </w:r>
      <w:r>
        <w:t>) est associé au (</w:t>
      </w:r>
      <w:r>
        <w:rPr>
          <w:rStyle w:val="VerbatimChar"/>
        </w:rPr>
        <w:t>P69_est_associé_à</w:t>
      </w:r>
      <w:r>
        <w:t>) dessin d</w:t>
      </w:r>
      <w:r w:rsidR="00E84B0E">
        <w:t>’</w:t>
      </w:r>
      <w:r>
        <w:t>aménagement de la scène par Ernst Stern reproduit à http://www.glopad.org/pi/fr/record/digdoc/1003814 (</w:t>
      </w:r>
      <w:r>
        <w:rPr>
          <w:rStyle w:val="VerbatimChar"/>
        </w:rPr>
        <w:t>E29_Conceptualisation_ou_procédure</w:t>
      </w:r>
      <w:r>
        <w:t>) a pour type (</w:t>
      </w:r>
      <w:r>
        <w:rPr>
          <w:rStyle w:val="VerbatimChar"/>
        </w:rPr>
        <w:t>P69.1_a_pour_type</w:t>
      </w:r>
      <w:r>
        <w:t>) « a pour partie » (</w:t>
      </w:r>
      <w:r>
        <w:rPr>
          <w:rStyle w:val="VerbatimChar"/>
        </w:rPr>
        <w:t>E55_Type</w:t>
      </w:r>
      <w:r>
        <w:t>)</w:t>
      </w:r>
    </w:p>
    <w:p w14:paraId="6DD04EA3" w14:textId="26487091" w:rsidR="00065317" w:rsidRDefault="005C7BF7">
      <w:pPr>
        <w:numPr>
          <w:ilvl w:val="0"/>
          <w:numId w:val="201"/>
        </w:numPr>
      </w:pPr>
      <w:r>
        <w:t>La préparation d</w:t>
      </w:r>
      <w:r w:rsidR="00E84B0E">
        <w:t>’</w:t>
      </w:r>
      <w:r>
        <w:t>un parchemin (</w:t>
      </w:r>
      <w:r>
        <w:rPr>
          <w:rStyle w:val="VerbatimChar"/>
        </w:rPr>
        <w:t>E29_Conceptualisation_ou_procédure</w:t>
      </w:r>
      <w:r>
        <w:t>) est associée au (</w:t>
      </w:r>
      <w:r>
        <w:rPr>
          <w:rStyle w:val="VerbatimChar"/>
        </w:rPr>
        <w:t>P69_est_associé_à</w:t>
      </w:r>
      <w:r>
        <w:t>) trempage et au raclage de la peau (</w:t>
      </w:r>
      <w:r>
        <w:rPr>
          <w:rStyle w:val="VerbatimChar"/>
        </w:rPr>
        <w:t>E29_Conceptualisation_ou_procédure</w:t>
      </w:r>
      <w:r>
        <w:t>) a pour type (</w:t>
      </w:r>
      <w:r>
        <w:rPr>
          <w:rStyle w:val="VerbatimChar"/>
        </w:rPr>
        <w:t>P69.1_a_pour_type</w:t>
      </w:r>
      <w:r>
        <w:t>) « a pour partie » (</w:t>
      </w:r>
      <w:r>
        <w:rPr>
          <w:rStyle w:val="VerbatimChar"/>
        </w:rPr>
        <w:t>E55_Type</w:t>
      </w:r>
      <w:r>
        <w:t>).</w:t>
      </w:r>
    </w:p>
    <w:p w14:paraId="6B65C43D" w14:textId="6DC477FF" w:rsidR="00065317" w:rsidRDefault="005C7BF7">
      <w:pPr>
        <w:numPr>
          <w:ilvl w:val="0"/>
          <w:numId w:val="201"/>
        </w:numPr>
      </w:pPr>
      <w:r>
        <w:t>L</w:t>
      </w:r>
      <w:r w:rsidR="00E84B0E">
        <w:t>’</w:t>
      </w:r>
      <w:r>
        <w:t>étirement de la peau (</w:t>
      </w:r>
      <w:r>
        <w:rPr>
          <w:rStyle w:val="VerbatimChar"/>
        </w:rPr>
        <w:t>E29_Conceptualisation_ou_procédure</w:t>
      </w:r>
      <w:r>
        <w:t>) est associée au (</w:t>
      </w:r>
      <w:r>
        <w:rPr>
          <w:rStyle w:val="VerbatimChar"/>
        </w:rPr>
        <w:t>P69_est_associé_à</w:t>
      </w:r>
      <w:r>
        <w:t>) trempage et au raclage de la peau (</w:t>
      </w:r>
      <w:r>
        <w:rPr>
          <w:rStyle w:val="VerbatimChar"/>
        </w:rPr>
        <w:t>E29_Conceptualisation_ou_procédure</w:t>
      </w:r>
      <w:r>
        <w:t>) a pour type (</w:t>
      </w:r>
      <w:r>
        <w:rPr>
          <w:rStyle w:val="VerbatimChar"/>
        </w:rPr>
        <w:t>P69.1_a_pour_type</w:t>
      </w:r>
      <w:r>
        <w:t>) « suit » (</w:t>
      </w:r>
      <w:r>
        <w:rPr>
          <w:rStyle w:val="VerbatimChar"/>
        </w:rPr>
        <w:t>E55_Type</w:t>
      </w:r>
      <w:r>
        <w:t>) (Poole &amp; Reed, 1962)</w:t>
      </w:r>
    </w:p>
    <w:p w14:paraId="3A265045" w14:textId="2E7E00A6" w:rsidR="00065317" w:rsidRDefault="005C7BF7">
      <w:pPr>
        <w:numPr>
          <w:ilvl w:val="0"/>
          <w:numId w:val="201"/>
        </w:numPr>
      </w:pPr>
      <w:r>
        <w:t>Le plan de remontage des temples d</w:t>
      </w:r>
      <w:r w:rsidR="00E84B0E">
        <w:t>’</w:t>
      </w:r>
      <w:r>
        <w:t>Abou Simbel (</w:t>
      </w:r>
      <w:r>
        <w:rPr>
          <w:rStyle w:val="VerbatimChar"/>
        </w:rPr>
        <w:t>E29_Conceptualisation_ou_procédure</w:t>
      </w:r>
      <w:r>
        <w:t>) est associé au (</w:t>
      </w:r>
      <w:r>
        <w:rPr>
          <w:rStyle w:val="VerbatimChar"/>
        </w:rPr>
        <w:t>P69_est_associé_à</w:t>
      </w:r>
      <w:r>
        <w:t>) plan pour entreposer et transporter les blocs (</w:t>
      </w:r>
      <w:r>
        <w:rPr>
          <w:rStyle w:val="VerbatimChar"/>
        </w:rPr>
        <w:t>E29_Conceptualisation_ou_procédure</w:t>
      </w:r>
      <w:r>
        <w:t>) a pour type (</w:t>
      </w:r>
      <w:r>
        <w:rPr>
          <w:rStyle w:val="VerbatimChar"/>
        </w:rPr>
        <w:t>P69.1_a_pour_type</w:t>
      </w:r>
      <w:r>
        <w:t>) « suit » (</w:t>
      </w:r>
      <w:r>
        <w:rPr>
          <w:rStyle w:val="VerbatimChar"/>
        </w:rPr>
        <w:t>E55_Type</w:t>
      </w:r>
      <w:r>
        <w:t>) (Loubiere, 1995)</w:t>
      </w:r>
    </w:p>
    <w:p w14:paraId="6AE2477F" w14:textId="77777777" w:rsidR="00065317" w:rsidRDefault="005C7BF7">
      <w:pPr>
        <w:pStyle w:val="FirstParagraph"/>
      </w:pPr>
      <w:r>
        <w:rPr>
          <w:b/>
          <w:bCs/>
        </w:rPr>
        <w:t>Logique</w:t>
      </w:r>
    </w:p>
    <w:p w14:paraId="05DDCA94" w14:textId="77777777" w:rsidR="00065317" w:rsidRDefault="005C7BF7">
      <w:pPr>
        <w:pStyle w:val="Corpsdetexte"/>
      </w:pPr>
      <w:r>
        <w:t>P69(x,y) ⇒ E29(x)</w:t>
      </w:r>
    </w:p>
    <w:p w14:paraId="28B1318F" w14:textId="77777777" w:rsidR="00065317" w:rsidRDefault="005C7BF7">
      <w:pPr>
        <w:pStyle w:val="Corpsdetexte"/>
      </w:pPr>
      <w:r>
        <w:t>P69(x,y) ⇒ E29(y)</w:t>
      </w:r>
    </w:p>
    <w:p w14:paraId="30C711B8" w14:textId="77777777" w:rsidR="00065317" w:rsidRDefault="005C7BF7">
      <w:pPr>
        <w:pStyle w:val="Corpsdetexte"/>
      </w:pPr>
      <w:r>
        <w:t>P69(x,y,z) ⇒ [P69(x,y) ∧ E55(z)]</w:t>
      </w:r>
    </w:p>
    <w:p w14:paraId="5FFF805B" w14:textId="77777777" w:rsidR="00065317" w:rsidRDefault="005C7BF7">
      <w:pPr>
        <w:pStyle w:val="Corpsdetexte"/>
      </w:pPr>
      <w:r>
        <w:rPr>
          <w:b/>
          <w:bCs/>
        </w:rPr>
        <w:t>Propriétés</w:t>
      </w:r>
    </w:p>
    <w:p w14:paraId="67EC0BF5" w14:textId="77777777" w:rsidR="00065317" w:rsidRDefault="005C7BF7">
      <w:pPr>
        <w:pStyle w:val="Corpsdetexte"/>
      </w:pPr>
      <w:r>
        <w:rPr>
          <w:rStyle w:val="VerbatimChar"/>
        </w:rPr>
        <w:t>P69.1_a_pour_type</w:t>
      </w:r>
      <w:r>
        <w:t xml:space="preserve"> : </w:t>
      </w:r>
      <w:r>
        <w:rPr>
          <w:rStyle w:val="VerbatimChar"/>
        </w:rPr>
        <w:t>E55_Type</w:t>
      </w:r>
    </w:p>
    <w:p w14:paraId="65939B3B" w14:textId="77777777" w:rsidR="00065317" w:rsidRDefault="005C7BF7">
      <w:pPr>
        <w:pStyle w:val="Normalcentr"/>
      </w:pPr>
      <w:r>
        <w:rPr>
          <w:b/>
          <w:bCs/>
          <w:i/>
          <w:iCs/>
        </w:rPr>
        <w:t>Note de traduction</w:t>
      </w:r>
    </w:p>
    <w:p w14:paraId="0BD9D4DA" w14:textId="5B8184E0" w:rsidR="00065317" w:rsidRDefault="005C7BF7" w:rsidP="001155E9">
      <w:pPr>
        <w:pStyle w:val="Normalcentr"/>
      </w:pPr>
      <w:r>
        <w:rPr>
          <w:b/>
          <w:bCs/>
          <w:i/>
          <w:iCs/>
        </w:rPr>
        <w:t>Références</w:t>
      </w:r>
    </w:p>
    <w:p w14:paraId="3EC769A4" w14:textId="77777777" w:rsidR="00065317" w:rsidRDefault="005C7BF7" w:rsidP="00914F34">
      <w:pPr>
        <w:pStyle w:val="Titre3"/>
      </w:pPr>
      <w:bookmarkStart w:id="388" w:name="_Toc154048879"/>
      <w:bookmarkStart w:id="389" w:name="p70-documente-(est-documente-dans)"/>
      <w:bookmarkEnd w:id="387"/>
      <w:r>
        <w:t>P70 documente (est documenté dans)</w:t>
      </w:r>
      <w:bookmarkEnd w:id="388"/>
    </w:p>
    <w:p w14:paraId="032C8622" w14:textId="77777777" w:rsidR="00065317" w:rsidRDefault="005C7BF7">
      <w:pPr>
        <w:pStyle w:val="FirstParagraph"/>
      </w:pPr>
      <w:r>
        <w:rPr>
          <w:b/>
          <w:bCs/>
        </w:rPr>
        <w:t>Domaine</w:t>
      </w:r>
    </w:p>
    <w:p w14:paraId="5E2279C0" w14:textId="77777777" w:rsidR="00065317" w:rsidRDefault="005C7BF7">
      <w:pPr>
        <w:pStyle w:val="Corpsdetexte"/>
      </w:pPr>
      <w:r>
        <w:rPr>
          <w:rStyle w:val="VerbatimChar"/>
        </w:rPr>
        <w:t>E31_Document</w:t>
      </w:r>
    </w:p>
    <w:p w14:paraId="6BA5ABD1" w14:textId="77777777" w:rsidR="00065317" w:rsidRDefault="005C7BF7">
      <w:pPr>
        <w:pStyle w:val="Corpsdetexte"/>
      </w:pPr>
      <w:r>
        <w:rPr>
          <w:b/>
          <w:bCs/>
        </w:rPr>
        <w:t>Portée</w:t>
      </w:r>
    </w:p>
    <w:p w14:paraId="4DBD6570" w14:textId="77777777" w:rsidR="00065317" w:rsidRDefault="005C7BF7">
      <w:pPr>
        <w:pStyle w:val="Corpsdetexte"/>
      </w:pPr>
      <w:r>
        <w:rPr>
          <w:rStyle w:val="VerbatimChar"/>
        </w:rPr>
        <w:t>E1_Entité_CRM</w:t>
      </w:r>
    </w:p>
    <w:p w14:paraId="75E964E8" w14:textId="77777777" w:rsidR="00065317" w:rsidRDefault="005C7BF7">
      <w:pPr>
        <w:pStyle w:val="Corpsdetexte"/>
      </w:pPr>
      <w:r>
        <w:rPr>
          <w:b/>
          <w:bCs/>
        </w:rPr>
        <w:t>Sous-propriété de</w:t>
      </w:r>
    </w:p>
    <w:p w14:paraId="15D115B7" w14:textId="7DA69CA7" w:rsidR="00065317" w:rsidRDefault="005C7BF7">
      <w:pPr>
        <w:pStyle w:val="Corpsdetexte"/>
      </w:pPr>
      <w:r>
        <w:rPr>
          <w:rStyle w:val="VerbatimChar"/>
        </w:rPr>
        <w:t>E89_Objet_propositionnel</w:t>
      </w:r>
      <w:r>
        <w:t xml:space="preserve">. </w:t>
      </w: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 </w:t>
      </w:r>
      <w:r>
        <w:rPr>
          <w:rStyle w:val="VerbatimChar"/>
        </w:rPr>
        <w:t>E1_Entité_CRM</w:t>
      </w:r>
    </w:p>
    <w:p w14:paraId="113AC3A8" w14:textId="77777777" w:rsidR="00065317" w:rsidRDefault="005C7BF7">
      <w:pPr>
        <w:pStyle w:val="Corpsdetexte"/>
      </w:pPr>
      <w:r>
        <w:rPr>
          <w:b/>
          <w:bCs/>
        </w:rPr>
        <w:t>Super-propriété de</w:t>
      </w:r>
    </w:p>
    <w:p w14:paraId="1670C406" w14:textId="77777777" w:rsidR="00065317" w:rsidRDefault="005C7BF7">
      <w:pPr>
        <w:pStyle w:val="Corpsdetexte"/>
      </w:pPr>
      <w:r>
        <w:rPr>
          <w:b/>
          <w:bCs/>
        </w:rPr>
        <w:t>Quantification</w:t>
      </w:r>
    </w:p>
    <w:p w14:paraId="7F1CD24C" w14:textId="77777777" w:rsidR="00065317" w:rsidRDefault="005C7BF7">
      <w:pPr>
        <w:pStyle w:val="Corpsdetexte"/>
      </w:pPr>
      <w:r>
        <w:t>plusieurs à plusieurs, nécessaire (1,n:0,n)</w:t>
      </w:r>
    </w:p>
    <w:p w14:paraId="0FBCAFB0" w14:textId="27C83ED1" w:rsidR="00065317" w:rsidRDefault="005C7BF7">
      <w:pPr>
        <w:pStyle w:val="Corpsdetexte"/>
      </w:pPr>
      <w:r>
        <w:rPr>
          <w:b/>
          <w:bCs/>
        </w:rPr>
        <w:t>Note d</w:t>
      </w:r>
      <w:r w:rsidR="00E84B0E">
        <w:rPr>
          <w:b/>
          <w:bCs/>
        </w:rPr>
        <w:t>’</w:t>
      </w:r>
      <w:r>
        <w:rPr>
          <w:b/>
          <w:bCs/>
        </w:rPr>
        <w:t>application</w:t>
      </w:r>
    </w:p>
    <w:p w14:paraId="54ACB300" w14:textId="77777777" w:rsidR="00065317" w:rsidRDefault="005C7BF7">
      <w:pPr>
        <w:pStyle w:val="Corpsdetexte"/>
      </w:pPr>
      <w:r>
        <w:t xml:space="preserve">Cette propriété décrit les entités CRM documentées par des instances de </w:t>
      </w:r>
      <w:r>
        <w:rPr>
          <w:rStyle w:val="VerbatimChar"/>
        </w:rPr>
        <w:t>E31_Document</w:t>
      </w:r>
      <w:r>
        <w:t>.</w:t>
      </w:r>
    </w:p>
    <w:p w14:paraId="005BEC75" w14:textId="21F64869" w:rsidR="00065317" w:rsidRDefault="005C7BF7">
      <w:pPr>
        <w:pStyle w:val="Corpsdetexte"/>
      </w:pPr>
      <w:r>
        <w:lastRenderedPageBreak/>
        <w:t>Des documents peuvent décrire n</w:t>
      </w:r>
      <w:r w:rsidR="00E84B0E">
        <w:t>’</w:t>
      </w:r>
      <w:r>
        <w:t>importe quel type d</w:t>
      </w:r>
      <w:r w:rsidR="00E84B0E">
        <w:t>’</w:t>
      </w:r>
      <w:r>
        <w:t>entité, ce qui explique que la portée de cette propriété soit l</w:t>
      </w:r>
      <w:r w:rsidR="00E84B0E">
        <w:t>’</w:t>
      </w:r>
      <w:r>
        <w:t xml:space="preserve">entité la plus élevée dans la hiérarchie des classes du </w:t>
      </w:r>
      <w:r w:rsidR="00C8288F">
        <w:t>CIDOC CRM</w:t>
      </w:r>
      <w:r>
        <w:t>. Cette propriété doit être utilisée dans les cas où une référence est vue comme contenant des informations à propos de la réalité. Cela peut être à propos d</w:t>
      </w:r>
      <w:r w:rsidR="00E84B0E">
        <w:t>’</w:t>
      </w:r>
      <w:r>
        <w:t>un personnage documentaire, que ce soit dans le sens scientifique ou universitaire ou dans une déclaration d</w:t>
      </w:r>
      <w:r w:rsidR="00E84B0E">
        <w:t>’</w:t>
      </w:r>
      <w:r>
        <w:t>ordre plus général.</w:t>
      </w:r>
    </w:p>
    <w:p w14:paraId="38D9E681" w14:textId="77777777" w:rsidR="009E23E3" w:rsidRDefault="005C7BF7" w:rsidP="009E23E3">
      <w:pPr>
        <w:pStyle w:val="Corpsdetexte"/>
        <w:rPr>
          <w:b/>
          <w:bCs/>
        </w:rPr>
      </w:pPr>
      <w:r>
        <w:rPr>
          <w:b/>
          <w:bCs/>
        </w:rPr>
        <w:t>Exemples</w:t>
      </w:r>
    </w:p>
    <w:p w14:paraId="57E9940E" w14:textId="71432B1D" w:rsidR="00FC2E07" w:rsidRPr="009E23E3" w:rsidRDefault="005C7BF7" w:rsidP="009E23E3">
      <w:pPr>
        <w:pStyle w:val="Corpsdetexte"/>
        <w:numPr>
          <w:ilvl w:val="0"/>
          <w:numId w:val="315"/>
        </w:numPr>
      </w:pPr>
      <w:r>
        <w:t>Le catalogue « Catalogue of the Greek Coins of Arabia, Mesopotamia, and Persia » (</w:t>
      </w:r>
      <w:r>
        <w:rPr>
          <w:rStyle w:val="VerbatimChar"/>
        </w:rPr>
        <w:t>E31_Document</w:t>
      </w:r>
      <w:r>
        <w:t>) documente (</w:t>
      </w:r>
      <w:r>
        <w:rPr>
          <w:rStyle w:val="VerbatimChar"/>
        </w:rPr>
        <w:t>P70_documente</w:t>
      </w:r>
      <w:r>
        <w:t>) une partie de la collection du British Museum (</w:t>
      </w:r>
      <w:r>
        <w:rPr>
          <w:rStyle w:val="VerbatimChar"/>
        </w:rPr>
        <w:t>E78_Collection</w:t>
      </w:r>
      <w:r>
        <w:t>) (British Museum &amp; Hill, 1922)</w:t>
      </w:r>
    </w:p>
    <w:p w14:paraId="040A359E" w14:textId="04A56392" w:rsidR="00065317" w:rsidRDefault="005C7BF7">
      <w:pPr>
        <w:pStyle w:val="FirstParagraph"/>
      </w:pPr>
      <w:r>
        <w:rPr>
          <w:b/>
          <w:bCs/>
        </w:rPr>
        <w:t>Logique</w:t>
      </w:r>
    </w:p>
    <w:p w14:paraId="16B7AC97" w14:textId="77777777" w:rsidR="00065317" w:rsidRDefault="005C7BF7">
      <w:pPr>
        <w:pStyle w:val="Corpsdetexte"/>
      </w:pPr>
      <w:r>
        <w:t>P70(x,y) ⇒ E31(x)</w:t>
      </w:r>
    </w:p>
    <w:p w14:paraId="1F64ED8E" w14:textId="77777777" w:rsidR="00065317" w:rsidRDefault="005C7BF7">
      <w:pPr>
        <w:pStyle w:val="Corpsdetexte"/>
      </w:pPr>
      <w:r>
        <w:t>P70(x,y) ⇒ E1(y)</w:t>
      </w:r>
    </w:p>
    <w:p w14:paraId="7DFA2C1C" w14:textId="77777777" w:rsidR="00065317" w:rsidRDefault="005C7BF7">
      <w:pPr>
        <w:pStyle w:val="Corpsdetexte"/>
      </w:pPr>
      <w:r>
        <w:t>P70(x,y) ⇒ P67(x,y)</w:t>
      </w:r>
    </w:p>
    <w:p w14:paraId="017B31FA" w14:textId="77777777" w:rsidR="00065317" w:rsidRDefault="005C7BF7">
      <w:pPr>
        <w:pStyle w:val="Corpsdetexte"/>
      </w:pPr>
      <w:r>
        <w:rPr>
          <w:b/>
          <w:bCs/>
        </w:rPr>
        <w:t>Propriétés</w:t>
      </w:r>
    </w:p>
    <w:p w14:paraId="6E38E469" w14:textId="77777777" w:rsidR="00065317" w:rsidRDefault="005C7BF7">
      <w:pPr>
        <w:pStyle w:val="Normalcentr"/>
      </w:pPr>
      <w:r>
        <w:rPr>
          <w:b/>
          <w:bCs/>
          <w:i/>
          <w:iCs/>
        </w:rPr>
        <w:t>Note de traduction</w:t>
      </w:r>
    </w:p>
    <w:p w14:paraId="179F90E0" w14:textId="4AF150B0" w:rsidR="00065317" w:rsidRDefault="005C7BF7">
      <w:pPr>
        <w:pStyle w:val="Normalcentr"/>
      </w:pPr>
      <w:r>
        <w:t xml:space="preserve">La phrase « This property describes the CRM Entities documented as instances of E31 Document » a été traduit par « cette propriété décrit les entités CRM documentées par des instances de </w:t>
      </w:r>
      <w:r>
        <w:rPr>
          <w:rStyle w:val="VerbatimChar"/>
        </w:rPr>
        <w:t>E31_Document</w:t>
      </w:r>
      <w:r>
        <w:t> » car il semble s</w:t>
      </w:r>
      <w:r w:rsidR="00E84B0E">
        <w:t>’</w:t>
      </w:r>
      <w:r>
        <w:t>agir d</w:t>
      </w:r>
      <w:r w:rsidR="00E84B0E">
        <w:t>’</w:t>
      </w:r>
      <w:r>
        <w:t xml:space="preserve">une erreur dans la version originale. En effet, la propriété </w:t>
      </w:r>
      <w:r>
        <w:rPr>
          <w:rStyle w:val="VerbatimChar"/>
        </w:rPr>
        <w:t>P70_documente (est_documenté_dans)</w:t>
      </w:r>
      <w:r>
        <w:t xml:space="preserve"> ne décrit pas des entités qui sont des instances de </w:t>
      </w:r>
      <w:r>
        <w:rPr>
          <w:rStyle w:val="VerbatimChar"/>
        </w:rPr>
        <w:t>E31_Document</w:t>
      </w:r>
      <w:r>
        <w:t xml:space="preserve">, mais des entités qui sont mentionnées dans des instances de </w:t>
      </w:r>
      <w:r>
        <w:rPr>
          <w:rStyle w:val="VerbatimChar"/>
        </w:rPr>
        <w:t>E31_Document</w:t>
      </w:r>
      <w:r>
        <w:t xml:space="preserve"> ou, en d</w:t>
      </w:r>
      <w:r w:rsidR="00E84B0E">
        <w:t>’</w:t>
      </w:r>
      <w:r>
        <w:t xml:space="preserve">autres termes, qui sont documentés par des instances de </w:t>
      </w:r>
      <w:r>
        <w:rPr>
          <w:rStyle w:val="VerbatimChar"/>
        </w:rPr>
        <w:t>E31_Document</w:t>
      </w:r>
      <w:r>
        <w:t>.</w:t>
      </w:r>
    </w:p>
    <w:p w14:paraId="24BD2913" w14:textId="12D37792" w:rsidR="00065317" w:rsidRDefault="005C7BF7" w:rsidP="001155E9">
      <w:pPr>
        <w:pStyle w:val="Normalcentr"/>
      </w:pPr>
      <w:r>
        <w:rPr>
          <w:b/>
          <w:bCs/>
          <w:i/>
          <w:iCs/>
        </w:rPr>
        <w:t>Références</w:t>
      </w:r>
    </w:p>
    <w:p w14:paraId="07DD79EC" w14:textId="77777777" w:rsidR="00065317" w:rsidRDefault="005C7BF7" w:rsidP="00914F34">
      <w:pPr>
        <w:pStyle w:val="Titre3"/>
      </w:pPr>
      <w:bookmarkStart w:id="390" w:name="_Toc154048880"/>
      <w:bookmarkStart w:id="391" w:name="p71-enumere-(est-enumere-par)"/>
      <w:bookmarkEnd w:id="389"/>
      <w:r>
        <w:t>P71 énumère (est énuméré par)</w:t>
      </w:r>
      <w:bookmarkEnd w:id="390"/>
    </w:p>
    <w:p w14:paraId="569B192A" w14:textId="77777777" w:rsidR="00065317" w:rsidRDefault="005C7BF7">
      <w:pPr>
        <w:pStyle w:val="FirstParagraph"/>
      </w:pPr>
      <w:r>
        <w:rPr>
          <w:b/>
          <w:bCs/>
        </w:rPr>
        <w:t>Domaine</w:t>
      </w:r>
    </w:p>
    <w:p w14:paraId="17215693" w14:textId="77777777" w:rsidR="00065317" w:rsidRDefault="005C7BF7">
      <w:pPr>
        <w:pStyle w:val="Corpsdetexte"/>
      </w:pPr>
      <w:r>
        <w:rPr>
          <w:rStyle w:val="VerbatimChar"/>
        </w:rPr>
        <w:t>E32_Document_de_référence</w:t>
      </w:r>
    </w:p>
    <w:p w14:paraId="7502F19B" w14:textId="77777777" w:rsidR="00065317" w:rsidRDefault="005C7BF7">
      <w:pPr>
        <w:pStyle w:val="Corpsdetexte"/>
      </w:pPr>
      <w:r>
        <w:rPr>
          <w:b/>
          <w:bCs/>
        </w:rPr>
        <w:t>Portée</w:t>
      </w:r>
    </w:p>
    <w:p w14:paraId="0CFBCDF5" w14:textId="77777777" w:rsidR="00065317" w:rsidRDefault="005C7BF7">
      <w:pPr>
        <w:pStyle w:val="Corpsdetexte"/>
      </w:pPr>
      <w:r>
        <w:rPr>
          <w:rStyle w:val="VerbatimChar"/>
        </w:rPr>
        <w:t>E1_Entité_CRM</w:t>
      </w:r>
    </w:p>
    <w:p w14:paraId="3318F337" w14:textId="77777777" w:rsidR="00065317" w:rsidRDefault="005C7BF7">
      <w:pPr>
        <w:pStyle w:val="Corpsdetexte"/>
      </w:pPr>
      <w:r>
        <w:rPr>
          <w:b/>
          <w:bCs/>
        </w:rPr>
        <w:t>Sous-propriété de</w:t>
      </w:r>
    </w:p>
    <w:p w14:paraId="5F375C32" w14:textId="6AA3C010" w:rsidR="00065317" w:rsidRDefault="005C7BF7">
      <w:pPr>
        <w:pStyle w:val="Corpsdetexte"/>
      </w:pPr>
      <w:r>
        <w:rPr>
          <w:rStyle w:val="VerbatimChar"/>
        </w:rPr>
        <w:t>E89_Objet_propositionnel</w:t>
      </w:r>
      <w:r>
        <w:t xml:space="preserve">. </w:t>
      </w: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 </w:t>
      </w:r>
      <w:r>
        <w:rPr>
          <w:rStyle w:val="VerbatimChar"/>
        </w:rPr>
        <w:t>E1_Entité_CRM</w:t>
      </w:r>
    </w:p>
    <w:p w14:paraId="69D8D47C" w14:textId="77777777" w:rsidR="00065317" w:rsidRDefault="005C7BF7">
      <w:pPr>
        <w:pStyle w:val="Corpsdetexte"/>
      </w:pPr>
      <w:r>
        <w:rPr>
          <w:b/>
          <w:bCs/>
        </w:rPr>
        <w:t>Super-propriété de</w:t>
      </w:r>
    </w:p>
    <w:p w14:paraId="3E5C8F95" w14:textId="77777777" w:rsidR="00065317" w:rsidRDefault="005C7BF7">
      <w:pPr>
        <w:pStyle w:val="Corpsdetexte"/>
      </w:pPr>
      <w:r>
        <w:rPr>
          <w:b/>
          <w:bCs/>
        </w:rPr>
        <w:t>Quantification</w:t>
      </w:r>
    </w:p>
    <w:p w14:paraId="7FFD2E9A" w14:textId="77777777" w:rsidR="00065317" w:rsidRDefault="005C7BF7">
      <w:pPr>
        <w:pStyle w:val="Corpsdetexte"/>
      </w:pPr>
      <w:r>
        <w:t>plusieurs à plusieurs (0,n:0,n)</w:t>
      </w:r>
    </w:p>
    <w:p w14:paraId="2EF1C43B" w14:textId="144FA4D7" w:rsidR="00065317" w:rsidRDefault="005C7BF7">
      <w:pPr>
        <w:pStyle w:val="Corpsdetexte"/>
      </w:pPr>
      <w:r>
        <w:rPr>
          <w:b/>
          <w:bCs/>
        </w:rPr>
        <w:t>Note d</w:t>
      </w:r>
      <w:r w:rsidR="00E84B0E">
        <w:rPr>
          <w:b/>
          <w:bCs/>
        </w:rPr>
        <w:t>’</w:t>
      </w:r>
      <w:r>
        <w:rPr>
          <w:b/>
          <w:bCs/>
        </w:rPr>
        <w:t>application</w:t>
      </w:r>
    </w:p>
    <w:p w14:paraId="0C01CFB2" w14:textId="559EC89F" w:rsidR="00065317" w:rsidRDefault="005C7BF7">
      <w:pPr>
        <w:pStyle w:val="Corpsdetexte"/>
      </w:pPr>
      <w:r>
        <w:t xml:space="preserve">Cette propriété associe une instance de </w:t>
      </w:r>
      <w:r>
        <w:rPr>
          <w:rStyle w:val="VerbatimChar"/>
        </w:rPr>
        <w:t>E32_Document_de_référence</w:t>
      </w:r>
      <w:r>
        <w:t xml:space="preserve"> à une instance de </w:t>
      </w:r>
      <w:r>
        <w:rPr>
          <w:rStyle w:val="VerbatimChar"/>
        </w:rPr>
        <w:t>E1_Entité_CRM</w:t>
      </w:r>
      <w:r>
        <w:t xml:space="preserve"> énumérée </w:t>
      </w:r>
      <w:r w:rsidR="00806228">
        <w:t xml:space="preserve">aux </w:t>
      </w:r>
      <w:r>
        <w:t>fins de référence.</w:t>
      </w:r>
    </w:p>
    <w:p w14:paraId="3013CB61" w14:textId="77777777" w:rsidR="00F54917" w:rsidRDefault="00F54917">
      <w:pPr>
        <w:spacing w:after="0"/>
        <w:rPr>
          <w:b/>
          <w:bCs/>
        </w:rPr>
      </w:pPr>
      <w:r>
        <w:rPr>
          <w:b/>
          <w:bCs/>
        </w:rPr>
        <w:br w:type="page"/>
      </w:r>
    </w:p>
    <w:p w14:paraId="3C89A559" w14:textId="49CBF21B" w:rsidR="00065317" w:rsidRDefault="005C7BF7">
      <w:pPr>
        <w:pStyle w:val="Corpsdetexte"/>
      </w:pPr>
      <w:r>
        <w:rPr>
          <w:b/>
          <w:bCs/>
        </w:rPr>
        <w:lastRenderedPageBreak/>
        <w:t>Exemples</w:t>
      </w:r>
    </w:p>
    <w:p w14:paraId="07991E54" w14:textId="77777777" w:rsidR="00065317" w:rsidRDefault="005C7BF7">
      <w:pPr>
        <w:numPr>
          <w:ilvl w:val="0"/>
          <w:numId w:val="203"/>
        </w:numPr>
      </w:pPr>
      <w:r>
        <w:t>Le Art &amp; Architecture Thesaurus (</w:t>
      </w:r>
      <w:r>
        <w:rPr>
          <w:rStyle w:val="VerbatimChar"/>
        </w:rPr>
        <w:t>E32_Document_de_référence</w:t>
      </w:r>
      <w:r>
        <w:t>) énumère (</w:t>
      </w:r>
      <w:r>
        <w:rPr>
          <w:rStyle w:val="VerbatimChar"/>
        </w:rPr>
        <w:t>P71_énumère</w:t>
      </w:r>
      <w:r>
        <w:t>) des alcazars (</w:t>
      </w:r>
      <w:r>
        <w:rPr>
          <w:rStyle w:val="VerbatimChar"/>
        </w:rPr>
        <w:t>E55_Type</w:t>
      </w:r>
      <w:r>
        <w:t>) (http://vocab.getty.edu/page/aat/300006897)</w:t>
      </w:r>
    </w:p>
    <w:p w14:paraId="182D2B93" w14:textId="77777777" w:rsidR="00065317" w:rsidRDefault="005C7BF7">
      <w:pPr>
        <w:pStyle w:val="FirstParagraph"/>
      </w:pPr>
      <w:r>
        <w:rPr>
          <w:b/>
          <w:bCs/>
        </w:rPr>
        <w:t>Logique</w:t>
      </w:r>
    </w:p>
    <w:p w14:paraId="17ED5C94" w14:textId="77777777" w:rsidR="00065317" w:rsidRDefault="005C7BF7">
      <w:pPr>
        <w:pStyle w:val="Corpsdetexte"/>
      </w:pPr>
      <w:r>
        <w:t>P71(x,y) ⇒ E32(x)</w:t>
      </w:r>
    </w:p>
    <w:p w14:paraId="080559C2" w14:textId="77777777" w:rsidR="00065317" w:rsidRDefault="005C7BF7">
      <w:pPr>
        <w:pStyle w:val="Corpsdetexte"/>
      </w:pPr>
      <w:r>
        <w:t>P71(x,y) ⇒ E1(y)</w:t>
      </w:r>
    </w:p>
    <w:p w14:paraId="50511F99" w14:textId="77777777" w:rsidR="00065317" w:rsidRDefault="005C7BF7">
      <w:pPr>
        <w:pStyle w:val="Corpsdetexte"/>
      </w:pPr>
      <w:r>
        <w:t>P71(x,y) ⇒ P67(x,y)</w:t>
      </w:r>
    </w:p>
    <w:p w14:paraId="53360C4B" w14:textId="77777777" w:rsidR="00065317" w:rsidRDefault="005C7BF7">
      <w:pPr>
        <w:pStyle w:val="Corpsdetexte"/>
      </w:pPr>
      <w:r>
        <w:rPr>
          <w:b/>
          <w:bCs/>
        </w:rPr>
        <w:t>Propriétés</w:t>
      </w:r>
    </w:p>
    <w:p w14:paraId="5B827FAC" w14:textId="77777777" w:rsidR="00065317" w:rsidRDefault="005C7BF7">
      <w:pPr>
        <w:pStyle w:val="Normalcentr"/>
      </w:pPr>
      <w:r>
        <w:rPr>
          <w:b/>
          <w:bCs/>
          <w:i/>
          <w:iCs/>
        </w:rPr>
        <w:t>Note de traduction</w:t>
      </w:r>
    </w:p>
    <w:p w14:paraId="27D7A4C8" w14:textId="47835886" w:rsidR="00065317" w:rsidRDefault="005C7BF7" w:rsidP="001155E9">
      <w:pPr>
        <w:pStyle w:val="Normalcentr"/>
      </w:pPr>
      <w:r>
        <w:rPr>
          <w:b/>
          <w:bCs/>
          <w:i/>
          <w:iCs/>
        </w:rPr>
        <w:t>Références</w:t>
      </w:r>
    </w:p>
    <w:p w14:paraId="16D94D19" w14:textId="77777777" w:rsidR="00065317" w:rsidRDefault="005C7BF7" w:rsidP="00914F34">
      <w:pPr>
        <w:pStyle w:val="Titre3"/>
      </w:pPr>
      <w:bookmarkStart w:id="392" w:name="_Toc154048881"/>
      <w:bookmarkStart w:id="393" w:name="p72-a-pour-langue-(est-la-langue-de)"/>
      <w:bookmarkEnd w:id="391"/>
      <w:r>
        <w:t>P72 a pour langue (est la langue de)</w:t>
      </w:r>
      <w:bookmarkEnd w:id="392"/>
    </w:p>
    <w:p w14:paraId="296F73A7" w14:textId="77777777" w:rsidR="00065317" w:rsidRDefault="005C7BF7">
      <w:pPr>
        <w:pStyle w:val="FirstParagraph"/>
      </w:pPr>
      <w:r>
        <w:rPr>
          <w:b/>
          <w:bCs/>
        </w:rPr>
        <w:t>Domaine</w:t>
      </w:r>
    </w:p>
    <w:p w14:paraId="33B490A8" w14:textId="77777777" w:rsidR="00065317" w:rsidRDefault="005C7BF7">
      <w:pPr>
        <w:pStyle w:val="Corpsdetexte"/>
      </w:pPr>
      <w:r>
        <w:rPr>
          <w:rStyle w:val="VerbatimChar"/>
        </w:rPr>
        <w:t>E33_Objet_linguistique</w:t>
      </w:r>
    </w:p>
    <w:p w14:paraId="311E3F58" w14:textId="77777777" w:rsidR="00065317" w:rsidRDefault="005C7BF7">
      <w:pPr>
        <w:pStyle w:val="Corpsdetexte"/>
      </w:pPr>
      <w:r>
        <w:rPr>
          <w:b/>
          <w:bCs/>
        </w:rPr>
        <w:t>Portée</w:t>
      </w:r>
    </w:p>
    <w:p w14:paraId="7070E34A" w14:textId="77777777" w:rsidR="00065317" w:rsidRDefault="005C7BF7">
      <w:pPr>
        <w:pStyle w:val="Corpsdetexte"/>
      </w:pPr>
      <w:r>
        <w:rPr>
          <w:rStyle w:val="VerbatimChar"/>
        </w:rPr>
        <w:t>E56_Langue</w:t>
      </w:r>
    </w:p>
    <w:p w14:paraId="35CC834C" w14:textId="77777777" w:rsidR="00065317" w:rsidRDefault="005C7BF7">
      <w:pPr>
        <w:pStyle w:val="Corpsdetexte"/>
      </w:pPr>
      <w:r>
        <w:rPr>
          <w:b/>
          <w:bCs/>
        </w:rPr>
        <w:t>Sous-propriété de</w:t>
      </w:r>
    </w:p>
    <w:p w14:paraId="01D5C65E" w14:textId="77777777" w:rsidR="00065317" w:rsidRDefault="005C7BF7">
      <w:pPr>
        <w:pStyle w:val="Corpsdetexte"/>
      </w:pPr>
      <w:r>
        <w:rPr>
          <w:b/>
          <w:bCs/>
        </w:rPr>
        <w:t>Super-propriété de</w:t>
      </w:r>
    </w:p>
    <w:p w14:paraId="0127A9C4" w14:textId="77777777" w:rsidR="00065317" w:rsidRDefault="005C7BF7">
      <w:pPr>
        <w:pStyle w:val="Corpsdetexte"/>
      </w:pPr>
      <w:r>
        <w:rPr>
          <w:b/>
          <w:bCs/>
        </w:rPr>
        <w:t>Quantification</w:t>
      </w:r>
    </w:p>
    <w:p w14:paraId="69A87EB9" w14:textId="77777777" w:rsidR="00065317" w:rsidRDefault="005C7BF7">
      <w:pPr>
        <w:pStyle w:val="Corpsdetexte"/>
      </w:pPr>
      <w:r>
        <w:t>plusieurs à plusieurs, nécessaire (1,n:0,n)</w:t>
      </w:r>
    </w:p>
    <w:p w14:paraId="00126ABA" w14:textId="41A73525" w:rsidR="00065317" w:rsidRDefault="005C7BF7">
      <w:pPr>
        <w:pStyle w:val="Corpsdetexte"/>
      </w:pPr>
      <w:r>
        <w:rPr>
          <w:b/>
          <w:bCs/>
        </w:rPr>
        <w:t>Note d</w:t>
      </w:r>
      <w:r w:rsidR="00E84B0E">
        <w:rPr>
          <w:b/>
          <w:bCs/>
        </w:rPr>
        <w:t>’</w:t>
      </w:r>
      <w:r>
        <w:rPr>
          <w:b/>
          <w:bCs/>
        </w:rPr>
        <w:t>application</w:t>
      </w:r>
    </w:p>
    <w:p w14:paraId="5D951B0A" w14:textId="77777777" w:rsidR="00065317" w:rsidRDefault="005C7BF7">
      <w:pPr>
        <w:pStyle w:val="Corpsdetexte"/>
      </w:pPr>
      <w:r>
        <w:t xml:space="preserve">Cette propriété associe une ou plusieurs instances de </w:t>
      </w:r>
      <w:r>
        <w:rPr>
          <w:rStyle w:val="VerbatimChar"/>
        </w:rPr>
        <w:t>E33_Objet_linguistique</w:t>
      </w:r>
      <w:r>
        <w:t xml:space="preserve"> à une instance de </w:t>
      </w:r>
      <w:r>
        <w:rPr>
          <w:rStyle w:val="VerbatimChar"/>
        </w:rPr>
        <w:t>E56_Langue</w:t>
      </w:r>
      <w:r>
        <w:t xml:space="preserve"> dans laquelle elles sont au moins partiellement exprimées.</w:t>
      </w:r>
    </w:p>
    <w:p w14:paraId="3C3B34B0" w14:textId="77777777" w:rsidR="00065317" w:rsidRDefault="005C7BF7">
      <w:pPr>
        <w:pStyle w:val="Corpsdetexte"/>
      </w:pPr>
      <w:r>
        <w:t>Les objets linguistiques sont composés dans une ou plusieurs langues humaines. Cette propriété permet la documentation de ces langues.</w:t>
      </w:r>
    </w:p>
    <w:p w14:paraId="46611430" w14:textId="77777777" w:rsidR="00065317" w:rsidRDefault="005C7BF7">
      <w:pPr>
        <w:pStyle w:val="Corpsdetexte"/>
      </w:pPr>
      <w:r>
        <w:rPr>
          <w:b/>
          <w:bCs/>
        </w:rPr>
        <w:t>Exemples</w:t>
      </w:r>
    </w:p>
    <w:p w14:paraId="15503D85" w14:textId="33ED092E" w:rsidR="00065317" w:rsidRDefault="005C7BF7">
      <w:pPr>
        <w:numPr>
          <w:ilvl w:val="0"/>
          <w:numId w:val="204"/>
        </w:numPr>
      </w:pPr>
      <w:r>
        <w:t>La Déclaration d</w:t>
      </w:r>
      <w:r w:rsidR="00E84B0E">
        <w:t>’</w:t>
      </w:r>
      <w:r>
        <w:t>indépendance des États-Unis (</w:t>
      </w:r>
      <w:r>
        <w:rPr>
          <w:rStyle w:val="VerbatimChar"/>
        </w:rPr>
        <w:t>E33_Objet_linguistique</w:t>
      </w:r>
      <w:r>
        <w:t>) a pour langue (</w:t>
      </w:r>
      <w:r>
        <w:rPr>
          <w:rStyle w:val="VerbatimChar"/>
        </w:rPr>
        <w:t>P72_a_pour_langue</w:t>
      </w:r>
      <w:r>
        <w:t>) l</w:t>
      </w:r>
      <w:r w:rsidR="00E84B0E">
        <w:t>’</w:t>
      </w:r>
      <w:r>
        <w:t>anglais du XVIII</w:t>
      </w:r>
      <w:r>
        <w:rPr>
          <w:vertAlign w:val="superscript"/>
        </w:rPr>
        <w:t>e</w:t>
      </w:r>
      <w:r w:rsidR="00056DCD">
        <w:t> siècle </w:t>
      </w:r>
      <w:r>
        <w:t>(</w:t>
      </w:r>
      <w:r>
        <w:rPr>
          <w:rStyle w:val="VerbatimChar"/>
        </w:rPr>
        <w:t>E56_Langue</w:t>
      </w:r>
      <w:r>
        <w:t>) (Perley, 2017)</w:t>
      </w:r>
    </w:p>
    <w:p w14:paraId="4254E71D" w14:textId="77777777" w:rsidR="00065317" w:rsidRDefault="005C7BF7">
      <w:pPr>
        <w:pStyle w:val="FirstParagraph"/>
      </w:pPr>
      <w:r>
        <w:rPr>
          <w:b/>
          <w:bCs/>
        </w:rPr>
        <w:t>Logique</w:t>
      </w:r>
    </w:p>
    <w:p w14:paraId="4E332E88" w14:textId="77777777" w:rsidR="00065317" w:rsidRDefault="005C7BF7">
      <w:pPr>
        <w:pStyle w:val="Corpsdetexte"/>
      </w:pPr>
      <w:r>
        <w:t>P72(x,y) ⇒ E33(x)</w:t>
      </w:r>
    </w:p>
    <w:p w14:paraId="1C8CFFEF" w14:textId="77777777" w:rsidR="00065317" w:rsidRDefault="005C7BF7">
      <w:pPr>
        <w:pStyle w:val="Corpsdetexte"/>
      </w:pPr>
      <w:r>
        <w:t>P72(x,y) ⇒ E56(y)</w:t>
      </w:r>
    </w:p>
    <w:p w14:paraId="68433635" w14:textId="77777777" w:rsidR="00065317" w:rsidRDefault="005C7BF7">
      <w:pPr>
        <w:pStyle w:val="Corpsdetexte"/>
      </w:pPr>
      <w:r>
        <w:rPr>
          <w:b/>
          <w:bCs/>
        </w:rPr>
        <w:t>Propriétés</w:t>
      </w:r>
    </w:p>
    <w:p w14:paraId="75838CE8" w14:textId="77777777" w:rsidR="00065317" w:rsidRDefault="005C7BF7">
      <w:pPr>
        <w:pStyle w:val="Normalcentr"/>
      </w:pPr>
      <w:r>
        <w:rPr>
          <w:b/>
          <w:bCs/>
          <w:i/>
          <w:iCs/>
        </w:rPr>
        <w:t>Note de traduction</w:t>
      </w:r>
    </w:p>
    <w:p w14:paraId="66FA8074" w14:textId="14E7E194" w:rsidR="00065317" w:rsidRDefault="005C7BF7" w:rsidP="001155E9">
      <w:pPr>
        <w:pStyle w:val="Normalcentr"/>
      </w:pPr>
      <w:r>
        <w:rPr>
          <w:b/>
          <w:bCs/>
          <w:i/>
          <w:iCs/>
        </w:rPr>
        <w:t>Références</w:t>
      </w:r>
    </w:p>
    <w:p w14:paraId="331EC9FE" w14:textId="77777777" w:rsidR="00065317" w:rsidRDefault="005C7BF7" w:rsidP="00914F34">
      <w:pPr>
        <w:pStyle w:val="Titre3"/>
      </w:pPr>
      <w:bookmarkStart w:id="394" w:name="_Toc154048882"/>
      <w:bookmarkStart w:id="395" w:name="Xd4496035f859f1f4962b6b275b47ca3d7505ce9"/>
      <w:bookmarkEnd w:id="393"/>
      <w:r>
        <w:lastRenderedPageBreak/>
        <w:t>P73 a pour traduction (est traduction de)</w:t>
      </w:r>
      <w:bookmarkEnd w:id="394"/>
    </w:p>
    <w:p w14:paraId="3F37E5AC" w14:textId="77777777" w:rsidR="00065317" w:rsidRDefault="005C7BF7">
      <w:pPr>
        <w:pStyle w:val="FirstParagraph"/>
      </w:pPr>
      <w:r>
        <w:rPr>
          <w:b/>
          <w:bCs/>
        </w:rPr>
        <w:t>Domaine</w:t>
      </w:r>
    </w:p>
    <w:p w14:paraId="5E72CD80" w14:textId="77777777" w:rsidR="00065317" w:rsidRDefault="005C7BF7">
      <w:pPr>
        <w:pStyle w:val="Corpsdetexte"/>
      </w:pPr>
      <w:r>
        <w:rPr>
          <w:rStyle w:val="VerbatimChar"/>
        </w:rPr>
        <w:t>E33_Objet_linguistique</w:t>
      </w:r>
    </w:p>
    <w:p w14:paraId="7542956B" w14:textId="77777777" w:rsidR="00065317" w:rsidRDefault="005C7BF7">
      <w:pPr>
        <w:pStyle w:val="Corpsdetexte"/>
      </w:pPr>
      <w:r>
        <w:rPr>
          <w:b/>
          <w:bCs/>
        </w:rPr>
        <w:t>Portée</w:t>
      </w:r>
    </w:p>
    <w:p w14:paraId="0F0AB30E" w14:textId="1EC59687" w:rsidR="00FC2E07" w:rsidRDefault="005C7BF7">
      <w:pPr>
        <w:pStyle w:val="Corpsdetexte"/>
        <w:rPr>
          <w:b/>
          <w:bCs/>
        </w:rPr>
      </w:pPr>
      <w:r>
        <w:rPr>
          <w:rStyle w:val="VerbatimChar"/>
        </w:rPr>
        <w:t>E33_Objet_linguistique</w:t>
      </w:r>
    </w:p>
    <w:p w14:paraId="25293008" w14:textId="36E1C9E2" w:rsidR="00065317" w:rsidRDefault="005C7BF7">
      <w:pPr>
        <w:pStyle w:val="Corpsdetexte"/>
      </w:pPr>
      <w:r>
        <w:rPr>
          <w:b/>
          <w:bCs/>
        </w:rPr>
        <w:t>Sous-propriété de</w:t>
      </w:r>
    </w:p>
    <w:p w14:paraId="38247062" w14:textId="1D2C6F85" w:rsidR="00065317" w:rsidRDefault="005C7BF7">
      <w:pPr>
        <w:pStyle w:val="Corpsdetexte"/>
      </w:pPr>
      <w:r>
        <w:rPr>
          <w:rStyle w:val="VerbatimChar"/>
        </w:rPr>
        <w:t>E70_Chose</w:t>
      </w:r>
      <w:r>
        <w:t xml:space="preserve">. </w:t>
      </w:r>
      <w:r>
        <w:rPr>
          <w:rStyle w:val="VerbatimChar"/>
        </w:rPr>
        <w:t>P130i_a_les_caractéristiques_aussi_présentes_sur (présente_les_caractéristiques_de)</w:t>
      </w:r>
      <w:r>
        <w:t xml:space="preserve"> : </w:t>
      </w:r>
      <w:r>
        <w:rPr>
          <w:rStyle w:val="VerbatimChar"/>
        </w:rPr>
        <w:t>E70_Chose</w:t>
      </w:r>
    </w:p>
    <w:p w14:paraId="68F83265" w14:textId="77777777" w:rsidR="00065317" w:rsidRDefault="005C7BF7">
      <w:pPr>
        <w:pStyle w:val="Corpsdetexte"/>
      </w:pPr>
      <w:r>
        <w:rPr>
          <w:b/>
          <w:bCs/>
        </w:rPr>
        <w:t>Super-propriété de</w:t>
      </w:r>
    </w:p>
    <w:p w14:paraId="14B241E2" w14:textId="77777777" w:rsidR="00065317" w:rsidRDefault="005C7BF7">
      <w:pPr>
        <w:pStyle w:val="Corpsdetexte"/>
      </w:pPr>
      <w:r>
        <w:rPr>
          <w:b/>
          <w:bCs/>
        </w:rPr>
        <w:t>Quantification</w:t>
      </w:r>
    </w:p>
    <w:p w14:paraId="159631E1" w14:textId="77777777" w:rsidR="00065317" w:rsidRDefault="005C7BF7">
      <w:pPr>
        <w:pStyle w:val="Corpsdetexte"/>
      </w:pPr>
      <w:r>
        <w:t>plusieurs à plusieurs (0,n:0,n)</w:t>
      </w:r>
    </w:p>
    <w:p w14:paraId="3E042FBF" w14:textId="26974BF1" w:rsidR="00065317" w:rsidRDefault="005C7BF7">
      <w:pPr>
        <w:pStyle w:val="Corpsdetexte"/>
      </w:pPr>
      <w:r>
        <w:rPr>
          <w:b/>
          <w:bCs/>
        </w:rPr>
        <w:t>Note d</w:t>
      </w:r>
      <w:r w:rsidR="00E84B0E">
        <w:rPr>
          <w:b/>
          <w:bCs/>
        </w:rPr>
        <w:t>’</w:t>
      </w:r>
      <w:r>
        <w:rPr>
          <w:b/>
          <w:bCs/>
        </w:rPr>
        <w:t>application</w:t>
      </w:r>
    </w:p>
    <w:p w14:paraId="41A89644" w14:textId="77777777" w:rsidR="00065317" w:rsidRDefault="005C7BF7">
      <w:pPr>
        <w:pStyle w:val="Corpsdetexte"/>
      </w:pPr>
      <w:r>
        <w:t xml:space="preserve">Cette propriété lie une instance de </w:t>
      </w:r>
      <w:r>
        <w:rPr>
          <w:rStyle w:val="VerbatimChar"/>
        </w:rPr>
        <w:t>E33_Objet_linguistique</w:t>
      </w:r>
      <w:r>
        <w:t xml:space="preserve"> (A) à une autre instance de </w:t>
      </w:r>
      <w:r>
        <w:rPr>
          <w:rStyle w:val="VerbatimChar"/>
        </w:rPr>
        <w:t>E33_Objet_linguistique</w:t>
      </w:r>
      <w:r>
        <w:t xml:space="preserve"> (B) qui est la traduction de A.</w:t>
      </w:r>
    </w:p>
    <w:p w14:paraId="7B998D69" w14:textId="67D34B1C" w:rsidR="00065317" w:rsidRDefault="005C7BF7">
      <w:pPr>
        <w:pStyle w:val="Corpsdetexte"/>
      </w:pPr>
      <w:r>
        <w:t xml:space="preserve">Quand une instance de </w:t>
      </w:r>
      <w:r>
        <w:rPr>
          <w:rStyle w:val="VerbatimChar"/>
        </w:rPr>
        <w:t>E33_Objet_linguistique</w:t>
      </w:r>
      <w:r>
        <w:t xml:space="preserve"> est traduite dans une nouvelle langue, une nouvelle instance de </w:t>
      </w:r>
      <w:r>
        <w:rPr>
          <w:rStyle w:val="VerbatimChar"/>
        </w:rPr>
        <w:t>E33_Objet_linguistique</w:t>
      </w:r>
      <w:r>
        <w:t xml:space="preserve"> est créée, bien qu</w:t>
      </w:r>
      <w:r w:rsidR="00E84B0E">
        <w:t>’</w:t>
      </w:r>
      <w:r>
        <w:t>il s</w:t>
      </w:r>
      <w:r w:rsidR="00E84B0E">
        <w:t>’</w:t>
      </w:r>
      <w:r>
        <w:t>agisse de deux objets linguistiques conceptuellement semblables.</w:t>
      </w:r>
    </w:p>
    <w:p w14:paraId="4CD2E5C3" w14:textId="77777777" w:rsidR="00065317" w:rsidRDefault="005C7BF7">
      <w:pPr>
        <w:pStyle w:val="Corpsdetexte"/>
      </w:pPr>
      <w:r>
        <w:t>Cette propriété est asymétrique.</w:t>
      </w:r>
    </w:p>
    <w:p w14:paraId="51C543FA" w14:textId="77777777" w:rsidR="00065317" w:rsidRDefault="005C7BF7">
      <w:pPr>
        <w:pStyle w:val="Corpsdetexte"/>
      </w:pPr>
      <w:r>
        <w:rPr>
          <w:b/>
          <w:bCs/>
        </w:rPr>
        <w:t>Exemples</w:t>
      </w:r>
    </w:p>
    <w:p w14:paraId="17CDBB5E" w14:textId="0524066E" w:rsidR="00065317" w:rsidRDefault="005C7BF7">
      <w:pPr>
        <w:numPr>
          <w:ilvl w:val="0"/>
          <w:numId w:val="205"/>
        </w:numPr>
      </w:pPr>
      <w:r>
        <w:rPr>
          <w:i/>
          <w:iCs/>
        </w:rPr>
        <w:t>Les Baigneurs</w:t>
      </w:r>
      <w:r>
        <w:t xml:space="preserve"> (</w:t>
      </w:r>
      <w:r>
        <w:rPr>
          <w:rStyle w:val="VerbatimChar"/>
        </w:rPr>
        <w:t>E33_Objet_linguistique</w:t>
      </w:r>
      <w:r>
        <w:t>) a pour traduction (</w:t>
      </w:r>
      <w:r>
        <w:rPr>
          <w:rStyle w:val="VerbatimChar"/>
        </w:rPr>
        <w:t>P73_a_pour_traduction</w:t>
      </w:r>
      <w:r>
        <w:t xml:space="preserve">) </w:t>
      </w:r>
      <w:r>
        <w:rPr>
          <w:i/>
          <w:iCs/>
        </w:rPr>
        <w:t>The Bathers</w:t>
      </w:r>
      <w:r>
        <w:t xml:space="preserve"> (</w:t>
      </w:r>
      <w:r>
        <w:rPr>
          <w:rStyle w:val="VerbatimChar"/>
        </w:rPr>
        <w:t>E33_Objet_linguistique</w:t>
      </w:r>
      <w:r>
        <w:t>) (Spiers &amp; Surenne, 1854)</w:t>
      </w:r>
    </w:p>
    <w:p w14:paraId="4A99CE0E" w14:textId="77777777" w:rsidR="00065317" w:rsidRDefault="005C7BF7">
      <w:pPr>
        <w:pStyle w:val="FirstParagraph"/>
      </w:pPr>
      <w:r>
        <w:rPr>
          <w:b/>
          <w:bCs/>
        </w:rPr>
        <w:t>Logique</w:t>
      </w:r>
    </w:p>
    <w:p w14:paraId="0982BED0" w14:textId="77777777" w:rsidR="00065317" w:rsidRDefault="005C7BF7">
      <w:pPr>
        <w:pStyle w:val="Corpsdetexte"/>
      </w:pPr>
      <w:r>
        <w:t>P73(x,y) ⇒ E33(x)</w:t>
      </w:r>
    </w:p>
    <w:p w14:paraId="77DEEF3A" w14:textId="77777777" w:rsidR="00065317" w:rsidRDefault="005C7BF7">
      <w:pPr>
        <w:pStyle w:val="Corpsdetexte"/>
      </w:pPr>
      <w:r>
        <w:t>P73(x,y) ⇒ E33(y)</w:t>
      </w:r>
    </w:p>
    <w:p w14:paraId="3E8C70B7" w14:textId="77777777" w:rsidR="00065317" w:rsidRDefault="005C7BF7">
      <w:pPr>
        <w:pStyle w:val="Corpsdetexte"/>
      </w:pPr>
      <w:r>
        <w:t>P73(x,y) ⇒ P130i(x,y)</w:t>
      </w:r>
    </w:p>
    <w:p w14:paraId="2CCD0502" w14:textId="77777777" w:rsidR="00065317" w:rsidRDefault="005C7BF7">
      <w:pPr>
        <w:pStyle w:val="Corpsdetexte"/>
      </w:pPr>
      <w:r>
        <w:t>P73(x,y) ⇒ ¬P73(y,x)</w:t>
      </w:r>
    </w:p>
    <w:p w14:paraId="5045E01D" w14:textId="77777777" w:rsidR="00065317" w:rsidRDefault="005C7BF7">
      <w:pPr>
        <w:pStyle w:val="Corpsdetexte"/>
      </w:pPr>
      <w:r>
        <w:rPr>
          <w:b/>
          <w:bCs/>
        </w:rPr>
        <w:t>Propriétés</w:t>
      </w:r>
    </w:p>
    <w:p w14:paraId="23B38FD4" w14:textId="77777777" w:rsidR="00065317" w:rsidRDefault="005C7BF7">
      <w:pPr>
        <w:pStyle w:val="Normalcentr"/>
      </w:pPr>
      <w:r>
        <w:rPr>
          <w:b/>
          <w:bCs/>
          <w:i/>
          <w:iCs/>
        </w:rPr>
        <w:t>Note de traduction</w:t>
      </w:r>
    </w:p>
    <w:p w14:paraId="612949F7" w14:textId="4CBEF6D1" w:rsidR="00065317" w:rsidRDefault="005C7BF7" w:rsidP="001155E9">
      <w:pPr>
        <w:pStyle w:val="Normalcentr"/>
      </w:pPr>
      <w:r>
        <w:rPr>
          <w:b/>
          <w:bCs/>
          <w:i/>
          <w:iCs/>
        </w:rPr>
        <w:t>Références</w:t>
      </w:r>
    </w:p>
    <w:p w14:paraId="08077096" w14:textId="77777777" w:rsidR="00065317" w:rsidRDefault="005C7BF7" w:rsidP="00914F34">
      <w:pPr>
        <w:pStyle w:val="Titre3"/>
      </w:pPr>
      <w:bookmarkStart w:id="396" w:name="_Toc154048883"/>
      <w:bookmarkStart w:id="397" w:name="Xaa2402ccc4ec60c98227b931a786bc8c5f331d8"/>
      <w:bookmarkEnd w:id="395"/>
      <w:r>
        <w:t>P74 a pour résidence actuelle ou antérieure (est la résidence actuelle ou antérieure de)</w:t>
      </w:r>
      <w:bookmarkEnd w:id="396"/>
    </w:p>
    <w:p w14:paraId="2076D487" w14:textId="77777777" w:rsidR="00065317" w:rsidRDefault="005C7BF7">
      <w:pPr>
        <w:pStyle w:val="FirstParagraph"/>
      </w:pPr>
      <w:r>
        <w:rPr>
          <w:b/>
          <w:bCs/>
        </w:rPr>
        <w:t>Domaine</w:t>
      </w:r>
    </w:p>
    <w:p w14:paraId="09C41510" w14:textId="77777777" w:rsidR="00065317" w:rsidRDefault="005C7BF7">
      <w:pPr>
        <w:pStyle w:val="Corpsdetexte"/>
      </w:pPr>
      <w:r>
        <w:rPr>
          <w:rStyle w:val="VerbatimChar"/>
        </w:rPr>
        <w:t>E39_Actant</w:t>
      </w:r>
    </w:p>
    <w:p w14:paraId="4268CE5F" w14:textId="77777777" w:rsidR="00065317" w:rsidRDefault="005C7BF7">
      <w:pPr>
        <w:pStyle w:val="Corpsdetexte"/>
      </w:pPr>
      <w:r>
        <w:rPr>
          <w:b/>
          <w:bCs/>
        </w:rPr>
        <w:lastRenderedPageBreak/>
        <w:t>Portée</w:t>
      </w:r>
    </w:p>
    <w:p w14:paraId="49C1D7E5" w14:textId="77777777" w:rsidR="00065317" w:rsidRDefault="005C7BF7">
      <w:pPr>
        <w:pStyle w:val="Corpsdetexte"/>
      </w:pPr>
      <w:r>
        <w:rPr>
          <w:rStyle w:val="VerbatimChar"/>
        </w:rPr>
        <w:t>E53_Lieu</w:t>
      </w:r>
    </w:p>
    <w:p w14:paraId="2C844DAD" w14:textId="77777777" w:rsidR="00065317" w:rsidRDefault="005C7BF7">
      <w:pPr>
        <w:pStyle w:val="Corpsdetexte"/>
      </w:pPr>
      <w:r>
        <w:rPr>
          <w:b/>
          <w:bCs/>
        </w:rPr>
        <w:t>Sous-propriété de</w:t>
      </w:r>
    </w:p>
    <w:p w14:paraId="63413987" w14:textId="550F7DED" w:rsidR="00FC2E07" w:rsidRDefault="005C7BF7">
      <w:pPr>
        <w:pStyle w:val="Corpsdetexte"/>
        <w:rPr>
          <w:b/>
          <w:bCs/>
        </w:rPr>
      </w:pPr>
      <w:r>
        <w:rPr>
          <w:b/>
          <w:bCs/>
        </w:rPr>
        <w:t>Super-propriété de</w:t>
      </w:r>
    </w:p>
    <w:p w14:paraId="4969A201" w14:textId="2883CC4C" w:rsidR="00065317" w:rsidRDefault="005C7BF7">
      <w:pPr>
        <w:pStyle w:val="Corpsdetexte"/>
      </w:pPr>
      <w:r>
        <w:rPr>
          <w:b/>
          <w:bCs/>
        </w:rPr>
        <w:t>Quantification</w:t>
      </w:r>
    </w:p>
    <w:p w14:paraId="7478CE70" w14:textId="77777777" w:rsidR="00065317" w:rsidRDefault="005C7BF7">
      <w:pPr>
        <w:pStyle w:val="Corpsdetexte"/>
      </w:pPr>
      <w:r>
        <w:t>plusieurs à plusieurs (0,n:0,n)</w:t>
      </w:r>
    </w:p>
    <w:p w14:paraId="599482DE" w14:textId="7222EE8D" w:rsidR="00065317" w:rsidRDefault="005C7BF7">
      <w:pPr>
        <w:pStyle w:val="Corpsdetexte"/>
      </w:pPr>
      <w:r>
        <w:rPr>
          <w:b/>
          <w:bCs/>
        </w:rPr>
        <w:t>Note d</w:t>
      </w:r>
      <w:r w:rsidR="00E84B0E">
        <w:rPr>
          <w:b/>
          <w:bCs/>
        </w:rPr>
        <w:t>’</w:t>
      </w:r>
      <w:r>
        <w:rPr>
          <w:b/>
          <w:bCs/>
        </w:rPr>
        <w:t>application</w:t>
      </w:r>
    </w:p>
    <w:p w14:paraId="316D52F2" w14:textId="7CEE6BFC" w:rsidR="00065317" w:rsidRDefault="005C7BF7">
      <w:pPr>
        <w:pStyle w:val="Corpsdetexte"/>
      </w:pPr>
      <w:r>
        <w:t xml:space="preserve">Cette propriété décrit le lieu de résidence actuel ou antérieur (par une instance de </w:t>
      </w:r>
      <w:r>
        <w:rPr>
          <w:rStyle w:val="VerbatimChar"/>
        </w:rPr>
        <w:t>E53_Lieu</w:t>
      </w:r>
      <w:r>
        <w:t>) d</w:t>
      </w:r>
      <w:r w:rsidR="00E84B0E">
        <w:t>’</w:t>
      </w:r>
      <w:r>
        <w:t xml:space="preserve">une instance de </w:t>
      </w:r>
      <w:r>
        <w:rPr>
          <w:rStyle w:val="VerbatimChar"/>
        </w:rPr>
        <w:t>E39_Actant</w:t>
      </w:r>
      <w:r>
        <w:t>.</w:t>
      </w:r>
    </w:p>
    <w:p w14:paraId="4A13CEA7" w14:textId="755BE153" w:rsidR="00065317" w:rsidRDefault="005C7BF7">
      <w:pPr>
        <w:pStyle w:val="Corpsdetexte"/>
      </w:pPr>
      <w:r>
        <w:t>La résidence peut être le lieu où réside l</w:t>
      </w:r>
      <w:r w:rsidR="00E84B0E">
        <w:t>’</w:t>
      </w:r>
      <w:r>
        <w:t>actant ou une adresse légale lui étant associée, et ce, peu importe sa nature.</w:t>
      </w:r>
    </w:p>
    <w:p w14:paraId="74EBB41B" w14:textId="77777777" w:rsidR="00065317" w:rsidRDefault="005C7BF7">
      <w:pPr>
        <w:pStyle w:val="Corpsdetexte"/>
      </w:pPr>
      <w:r>
        <w:rPr>
          <w:b/>
          <w:bCs/>
        </w:rPr>
        <w:t>Exemples</w:t>
      </w:r>
    </w:p>
    <w:p w14:paraId="11696F0A" w14:textId="77777777" w:rsidR="00065317" w:rsidRDefault="005C7BF7">
      <w:pPr>
        <w:pStyle w:val="Corpsdetexte"/>
      </w:pPr>
      <w:r>
        <w:t>La reine Elizabeth II (</w:t>
      </w:r>
      <w:r>
        <w:rPr>
          <w:rStyle w:val="VerbatimChar"/>
        </w:rPr>
        <w:t>E39_Actant</w:t>
      </w:r>
      <w:r>
        <w:t>) a pour résidence actuelle ou antérieure (</w:t>
      </w:r>
      <w:r>
        <w:rPr>
          <w:rStyle w:val="VerbatimChar"/>
        </w:rPr>
        <w:t>P74_a_pour_résidence_actuelle_ou_antérieure</w:t>
      </w:r>
      <w:r>
        <w:t>) le palais de Buckingham (</w:t>
      </w:r>
      <w:r>
        <w:rPr>
          <w:rStyle w:val="VerbatimChar"/>
        </w:rPr>
        <w:t>E53_Lieu</w:t>
      </w:r>
      <w:r>
        <w:t>) (Robinson, 2000)</w:t>
      </w:r>
    </w:p>
    <w:p w14:paraId="14D59699" w14:textId="77777777" w:rsidR="00065317" w:rsidRDefault="005C7BF7">
      <w:pPr>
        <w:pStyle w:val="Corpsdetexte"/>
      </w:pPr>
      <w:r>
        <w:rPr>
          <w:b/>
          <w:bCs/>
        </w:rPr>
        <w:t>Logique</w:t>
      </w:r>
    </w:p>
    <w:p w14:paraId="60FF1564" w14:textId="77777777" w:rsidR="00065317" w:rsidRDefault="005C7BF7">
      <w:pPr>
        <w:pStyle w:val="Corpsdetexte"/>
      </w:pPr>
      <w:r>
        <w:t>P74(x,y) ⇒ E39(x)</w:t>
      </w:r>
    </w:p>
    <w:p w14:paraId="34E484CE" w14:textId="77777777" w:rsidR="00065317" w:rsidRDefault="005C7BF7">
      <w:pPr>
        <w:pStyle w:val="Corpsdetexte"/>
      </w:pPr>
      <w:r>
        <w:t>P74(x,y) ⇒ E53(y)</w:t>
      </w:r>
    </w:p>
    <w:p w14:paraId="3DC7A6C2" w14:textId="77777777" w:rsidR="00065317" w:rsidRDefault="005C7BF7">
      <w:pPr>
        <w:pStyle w:val="Corpsdetexte"/>
      </w:pPr>
      <w:r>
        <w:rPr>
          <w:b/>
          <w:bCs/>
        </w:rPr>
        <w:t>Propriétés</w:t>
      </w:r>
    </w:p>
    <w:p w14:paraId="2F5524BD" w14:textId="77777777" w:rsidR="00065317" w:rsidRDefault="005C7BF7">
      <w:pPr>
        <w:pStyle w:val="Normalcentr"/>
      </w:pPr>
      <w:r>
        <w:rPr>
          <w:b/>
          <w:bCs/>
          <w:i/>
          <w:iCs/>
        </w:rPr>
        <w:t>Note de traduction</w:t>
      </w:r>
    </w:p>
    <w:p w14:paraId="740502F5" w14:textId="4E5ECA4F" w:rsidR="00065317" w:rsidRDefault="005C7BF7" w:rsidP="001155E9">
      <w:pPr>
        <w:pStyle w:val="Normalcentr"/>
      </w:pPr>
      <w:r>
        <w:rPr>
          <w:b/>
          <w:bCs/>
          <w:i/>
          <w:iCs/>
        </w:rPr>
        <w:t>Références</w:t>
      </w:r>
    </w:p>
    <w:p w14:paraId="7F4F6CDB" w14:textId="77777777" w:rsidR="00065317" w:rsidRDefault="005C7BF7" w:rsidP="00914F34">
      <w:pPr>
        <w:pStyle w:val="Titre3"/>
      </w:pPr>
      <w:bookmarkStart w:id="398" w:name="_Toc154048884"/>
      <w:bookmarkStart w:id="399" w:name="p75-possede-(est-possede-par)"/>
      <w:bookmarkEnd w:id="397"/>
      <w:r>
        <w:t>P75 possède (est possédé par)</w:t>
      </w:r>
      <w:bookmarkEnd w:id="398"/>
    </w:p>
    <w:p w14:paraId="25101781" w14:textId="77777777" w:rsidR="00065317" w:rsidRDefault="005C7BF7">
      <w:pPr>
        <w:pStyle w:val="FirstParagraph"/>
      </w:pPr>
      <w:r>
        <w:rPr>
          <w:b/>
          <w:bCs/>
        </w:rPr>
        <w:t>Domaine</w:t>
      </w:r>
    </w:p>
    <w:p w14:paraId="756272C5" w14:textId="77777777" w:rsidR="00065317" w:rsidRDefault="005C7BF7">
      <w:pPr>
        <w:pStyle w:val="Corpsdetexte"/>
      </w:pPr>
      <w:r>
        <w:rPr>
          <w:rStyle w:val="VerbatimChar"/>
        </w:rPr>
        <w:t>E39_Actant</w:t>
      </w:r>
    </w:p>
    <w:p w14:paraId="5CD9F7A2" w14:textId="77777777" w:rsidR="00065317" w:rsidRDefault="005C7BF7">
      <w:pPr>
        <w:pStyle w:val="Corpsdetexte"/>
      </w:pPr>
      <w:r>
        <w:rPr>
          <w:b/>
          <w:bCs/>
        </w:rPr>
        <w:t>Portée</w:t>
      </w:r>
    </w:p>
    <w:p w14:paraId="30FDFCA9" w14:textId="77777777" w:rsidR="00065317" w:rsidRDefault="005C7BF7">
      <w:pPr>
        <w:pStyle w:val="Corpsdetexte"/>
      </w:pPr>
      <w:r>
        <w:rPr>
          <w:rStyle w:val="VerbatimChar"/>
        </w:rPr>
        <w:t>E30_Droit</w:t>
      </w:r>
    </w:p>
    <w:p w14:paraId="1AD2AE12" w14:textId="77777777" w:rsidR="00065317" w:rsidRDefault="005C7BF7">
      <w:pPr>
        <w:pStyle w:val="Corpsdetexte"/>
      </w:pPr>
      <w:r>
        <w:rPr>
          <w:b/>
          <w:bCs/>
        </w:rPr>
        <w:t>Sous-propriété de</w:t>
      </w:r>
    </w:p>
    <w:p w14:paraId="1F6CB7BE" w14:textId="77777777" w:rsidR="00065317" w:rsidRDefault="005C7BF7">
      <w:pPr>
        <w:pStyle w:val="Corpsdetexte"/>
      </w:pPr>
      <w:r>
        <w:rPr>
          <w:b/>
          <w:bCs/>
        </w:rPr>
        <w:t>Super-propriété de</w:t>
      </w:r>
    </w:p>
    <w:p w14:paraId="28D1A747" w14:textId="77777777" w:rsidR="00065317" w:rsidRDefault="005C7BF7">
      <w:pPr>
        <w:pStyle w:val="Corpsdetexte"/>
      </w:pPr>
      <w:r>
        <w:rPr>
          <w:b/>
          <w:bCs/>
        </w:rPr>
        <w:t>Quantification</w:t>
      </w:r>
    </w:p>
    <w:p w14:paraId="0E0B0B90" w14:textId="77777777" w:rsidR="00065317" w:rsidRDefault="005C7BF7">
      <w:pPr>
        <w:pStyle w:val="Corpsdetexte"/>
      </w:pPr>
      <w:r>
        <w:t>plusieurs à plusieurs (0,n:0,n)</w:t>
      </w:r>
    </w:p>
    <w:p w14:paraId="58C752B3" w14:textId="1460E090" w:rsidR="00065317" w:rsidRDefault="005C7BF7">
      <w:pPr>
        <w:pStyle w:val="Corpsdetexte"/>
      </w:pPr>
      <w:r>
        <w:rPr>
          <w:b/>
          <w:bCs/>
        </w:rPr>
        <w:t>Note d</w:t>
      </w:r>
      <w:r w:rsidR="00E84B0E">
        <w:rPr>
          <w:b/>
          <w:bCs/>
        </w:rPr>
        <w:t>’</w:t>
      </w:r>
      <w:r>
        <w:rPr>
          <w:b/>
          <w:bCs/>
        </w:rPr>
        <w:t>application</w:t>
      </w:r>
    </w:p>
    <w:p w14:paraId="71BC907D" w14:textId="343F4F0B" w:rsidR="00065317" w:rsidRDefault="005C7BF7">
      <w:pPr>
        <w:pStyle w:val="Corpsdetexte"/>
      </w:pPr>
      <w:r>
        <w:t xml:space="preserve">Cette propriété associe une instance de </w:t>
      </w:r>
      <w:r>
        <w:rPr>
          <w:rStyle w:val="VerbatimChar"/>
        </w:rPr>
        <w:t>E39_Actant</w:t>
      </w:r>
      <w:r>
        <w:t xml:space="preserve"> à une instance de </w:t>
      </w:r>
      <w:r>
        <w:rPr>
          <w:rStyle w:val="VerbatimChar"/>
        </w:rPr>
        <w:t>E30_Droit</w:t>
      </w:r>
      <w:r>
        <w:t xml:space="preserve"> sur laquelle l</w:t>
      </w:r>
      <w:r w:rsidR="00E84B0E">
        <w:t>’</w:t>
      </w:r>
      <w:r>
        <w:t>actant détient ou a détenu une revendication légale.</w:t>
      </w:r>
    </w:p>
    <w:p w14:paraId="6A000817" w14:textId="77777777" w:rsidR="00065317" w:rsidRDefault="005C7BF7">
      <w:pPr>
        <w:pStyle w:val="Corpsdetexte"/>
      </w:pPr>
      <w:r>
        <w:rPr>
          <w:b/>
          <w:bCs/>
        </w:rPr>
        <w:lastRenderedPageBreak/>
        <w:t>Exemples</w:t>
      </w:r>
    </w:p>
    <w:p w14:paraId="1E433DCA" w14:textId="12B0560D" w:rsidR="00065317" w:rsidRDefault="005C7BF7">
      <w:pPr>
        <w:numPr>
          <w:ilvl w:val="0"/>
          <w:numId w:val="206"/>
        </w:numPr>
      </w:pPr>
      <w:r>
        <w:t>Mich</w:t>
      </w:r>
      <w:r w:rsidR="00B40400">
        <w:t>ae</w:t>
      </w:r>
      <w:r>
        <w:t>l Jackson (</w:t>
      </w:r>
      <w:r>
        <w:rPr>
          <w:rStyle w:val="VerbatimChar"/>
        </w:rPr>
        <w:t>E21_Personne</w:t>
      </w:r>
      <w:r>
        <w:t>) possède (</w:t>
      </w:r>
      <w:r>
        <w:rPr>
          <w:rStyle w:val="VerbatimChar"/>
        </w:rPr>
        <w:t>P75_possède</w:t>
      </w:r>
      <w:r>
        <w:t>) les droits de propriété intellectuelle sur le fond de catalogue des Beatles (</w:t>
      </w:r>
      <w:r>
        <w:rPr>
          <w:rStyle w:val="VerbatimChar"/>
        </w:rPr>
        <w:t>E30_Droit</w:t>
      </w:r>
      <w:r>
        <w:t>) (Raga, 2016)</w:t>
      </w:r>
    </w:p>
    <w:p w14:paraId="14A62349" w14:textId="5848D98A" w:rsidR="00065317" w:rsidRDefault="005C7BF7">
      <w:pPr>
        <w:pStyle w:val="FirstParagraph"/>
      </w:pPr>
      <w:r>
        <w:rPr>
          <w:b/>
          <w:bCs/>
        </w:rPr>
        <w:t>Logique</w:t>
      </w:r>
    </w:p>
    <w:p w14:paraId="44A46423" w14:textId="77777777" w:rsidR="00065317" w:rsidRDefault="005C7BF7">
      <w:pPr>
        <w:pStyle w:val="Corpsdetexte"/>
      </w:pPr>
      <w:r>
        <w:t>P75(x,y) ⇒ E39(x)</w:t>
      </w:r>
    </w:p>
    <w:p w14:paraId="71A26A87" w14:textId="77777777" w:rsidR="00065317" w:rsidRDefault="005C7BF7">
      <w:pPr>
        <w:pStyle w:val="Corpsdetexte"/>
      </w:pPr>
      <w:r>
        <w:t>P75(x,y) ⇒ E30(y)</w:t>
      </w:r>
    </w:p>
    <w:p w14:paraId="7EDDB8BF" w14:textId="77777777" w:rsidR="00065317" w:rsidRDefault="005C7BF7">
      <w:pPr>
        <w:pStyle w:val="Corpsdetexte"/>
      </w:pPr>
      <w:r>
        <w:rPr>
          <w:b/>
          <w:bCs/>
        </w:rPr>
        <w:t>Propriétés</w:t>
      </w:r>
    </w:p>
    <w:p w14:paraId="1B057365" w14:textId="77777777" w:rsidR="00065317" w:rsidRDefault="005C7BF7">
      <w:pPr>
        <w:pStyle w:val="Normalcentr"/>
      </w:pPr>
      <w:r>
        <w:rPr>
          <w:b/>
          <w:bCs/>
          <w:i/>
          <w:iCs/>
        </w:rPr>
        <w:t>Note de traduction</w:t>
      </w:r>
    </w:p>
    <w:p w14:paraId="3B28B4D8" w14:textId="77777777" w:rsidR="00065317" w:rsidRDefault="005C7BF7">
      <w:pPr>
        <w:pStyle w:val="Normalcentr"/>
      </w:pPr>
      <w:r>
        <w:t>Tel que suggéré par Termium Plus, la traduction la plus adéquate du terme « back catalogue » est « fond de catalogue ».</w:t>
      </w:r>
    </w:p>
    <w:p w14:paraId="23AEA36E" w14:textId="77777777" w:rsidR="00065317" w:rsidRDefault="005C7BF7">
      <w:pPr>
        <w:pStyle w:val="Normalcentr"/>
      </w:pPr>
      <w:r>
        <w:rPr>
          <w:b/>
          <w:bCs/>
          <w:i/>
          <w:iCs/>
        </w:rPr>
        <w:t>Références</w:t>
      </w:r>
    </w:p>
    <w:p w14:paraId="7DC06815" w14:textId="19B6264D" w:rsidR="00065317" w:rsidRDefault="005C7BF7">
      <w:pPr>
        <w:pStyle w:val="Normalcentr"/>
      </w:pPr>
      <w:r>
        <w:t xml:space="preserve">Termium. « back catalogue ». Dans </w:t>
      </w:r>
      <w:r>
        <w:rPr>
          <w:i/>
          <w:iCs/>
        </w:rPr>
        <w:t>Termium Plus</w:t>
      </w:r>
      <w:r>
        <w:t>. Ottawa, CA-ON: Gouvernement du Canada, 8</w:t>
      </w:r>
      <w:r w:rsidR="00056DCD">
        <w:t> octobre </w:t>
      </w:r>
      <w:r>
        <w:t>2009.</w:t>
      </w:r>
      <w:hyperlink r:id="rId244" w:anchor="resultrecs">
        <w:r>
          <w:rPr>
            <w:rStyle w:val="Lienhypertexte"/>
          </w:rPr>
          <w:t xml:space="preserve"> </w:t>
        </w:r>
      </w:hyperlink>
      <w:hyperlink r:id="rId245" w:anchor="resultrecs">
        <w:r>
          <w:rPr>
            <w:rStyle w:val="Lienhypertexte"/>
          </w:rPr>
          <w:t>https://www.btb.termiumplus.gc.ca/tpv2alpha/alpha-fra.html?lang=fra&amp;i=1&amp;srchtxt=back+catalogue&amp;index=alt&amp;codom2nd_wet=1#resultrecs</w:t>
        </w:r>
      </w:hyperlink>
      <w:r>
        <w:t>.</w:t>
      </w:r>
    </w:p>
    <w:p w14:paraId="5965E583" w14:textId="77777777" w:rsidR="00065317" w:rsidRDefault="005C7BF7" w:rsidP="00914F34">
      <w:pPr>
        <w:pStyle w:val="Titre3"/>
      </w:pPr>
      <w:bookmarkStart w:id="400" w:name="_Toc154048885"/>
      <w:bookmarkStart w:id="401" w:name="X8e92547920e7ec3a1176f6d90af536a3a7ffb1b"/>
      <w:bookmarkEnd w:id="399"/>
      <w:r>
        <w:t>P76 a pour coordonnées (permet de contacter)</w:t>
      </w:r>
      <w:bookmarkEnd w:id="400"/>
    </w:p>
    <w:p w14:paraId="3522C468" w14:textId="77777777" w:rsidR="00065317" w:rsidRDefault="005C7BF7">
      <w:pPr>
        <w:pStyle w:val="FirstParagraph"/>
      </w:pPr>
      <w:r>
        <w:rPr>
          <w:b/>
          <w:bCs/>
        </w:rPr>
        <w:t>Domaine</w:t>
      </w:r>
    </w:p>
    <w:p w14:paraId="11D5A040" w14:textId="77777777" w:rsidR="00065317" w:rsidRDefault="005C7BF7">
      <w:pPr>
        <w:pStyle w:val="Corpsdetexte"/>
      </w:pPr>
      <w:r>
        <w:rPr>
          <w:rStyle w:val="VerbatimChar"/>
        </w:rPr>
        <w:t>E39_Actant</w:t>
      </w:r>
    </w:p>
    <w:p w14:paraId="4B718241" w14:textId="77777777" w:rsidR="00065317" w:rsidRDefault="005C7BF7">
      <w:pPr>
        <w:pStyle w:val="Corpsdetexte"/>
      </w:pPr>
      <w:r>
        <w:rPr>
          <w:b/>
          <w:bCs/>
        </w:rPr>
        <w:t>Portée</w:t>
      </w:r>
    </w:p>
    <w:p w14:paraId="5C9ECAA2" w14:textId="77777777" w:rsidR="00065317" w:rsidRDefault="005C7BF7">
      <w:pPr>
        <w:pStyle w:val="Corpsdetexte"/>
      </w:pPr>
      <w:r>
        <w:rPr>
          <w:rStyle w:val="VerbatimChar"/>
        </w:rPr>
        <w:t>E41_Appellation</w:t>
      </w:r>
    </w:p>
    <w:p w14:paraId="52D08C95" w14:textId="77777777" w:rsidR="00065317" w:rsidRDefault="005C7BF7">
      <w:pPr>
        <w:pStyle w:val="Corpsdetexte"/>
      </w:pPr>
      <w:r>
        <w:rPr>
          <w:b/>
          <w:bCs/>
        </w:rPr>
        <w:t>Sous-propriété de</w:t>
      </w:r>
    </w:p>
    <w:p w14:paraId="25AE00E7" w14:textId="77777777" w:rsidR="00065317" w:rsidRDefault="005C7BF7">
      <w:pPr>
        <w:pStyle w:val="Corpsdetexte"/>
      </w:pPr>
      <w:r>
        <w:rPr>
          <w:b/>
          <w:bCs/>
        </w:rPr>
        <w:t>Super-propriété de</w:t>
      </w:r>
    </w:p>
    <w:p w14:paraId="1F65706B" w14:textId="77777777" w:rsidR="00065317" w:rsidRDefault="005C7BF7">
      <w:pPr>
        <w:pStyle w:val="Corpsdetexte"/>
      </w:pPr>
      <w:r>
        <w:rPr>
          <w:b/>
          <w:bCs/>
        </w:rPr>
        <w:t>Quantification</w:t>
      </w:r>
    </w:p>
    <w:p w14:paraId="11966BD3" w14:textId="77777777" w:rsidR="00065317" w:rsidRDefault="005C7BF7">
      <w:pPr>
        <w:pStyle w:val="Corpsdetexte"/>
      </w:pPr>
      <w:r>
        <w:t>plusieurs à plusieurs (0,n:0,n)</w:t>
      </w:r>
    </w:p>
    <w:p w14:paraId="52B344E9" w14:textId="4B75605A" w:rsidR="00065317" w:rsidRDefault="005C7BF7">
      <w:pPr>
        <w:pStyle w:val="Corpsdetexte"/>
      </w:pPr>
      <w:r>
        <w:rPr>
          <w:b/>
          <w:bCs/>
        </w:rPr>
        <w:t>Note d</w:t>
      </w:r>
      <w:r w:rsidR="00E84B0E">
        <w:rPr>
          <w:b/>
          <w:bCs/>
        </w:rPr>
        <w:t>’</w:t>
      </w:r>
      <w:r>
        <w:rPr>
          <w:b/>
          <w:bCs/>
        </w:rPr>
        <w:t>application</w:t>
      </w:r>
    </w:p>
    <w:p w14:paraId="42676E85" w14:textId="644DEE21" w:rsidR="00065317" w:rsidRDefault="005C7BF7">
      <w:pPr>
        <w:pStyle w:val="Corpsdetexte"/>
      </w:pPr>
      <w:r>
        <w:t xml:space="preserve">Cette propriété associe une instance de </w:t>
      </w:r>
      <w:r>
        <w:rPr>
          <w:rStyle w:val="VerbatimChar"/>
        </w:rPr>
        <w:t>E39_Actant</w:t>
      </w:r>
      <w:r>
        <w:t xml:space="preserve"> à une instance de </w:t>
      </w:r>
      <w:r>
        <w:rPr>
          <w:rStyle w:val="VerbatimChar"/>
        </w:rPr>
        <w:t>E41_Appellation</w:t>
      </w:r>
      <w:r>
        <w:t xml:space="preserve"> qu</w:t>
      </w:r>
      <w:r w:rsidR="00E84B0E">
        <w:t>’</w:t>
      </w:r>
      <w:r>
        <w:t>un service de communication utilise pour adresser des communications directes à cet actant, comme une adresse de courrier électronique, un numéro de télécopieur ou une adresse postale.</w:t>
      </w:r>
    </w:p>
    <w:p w14:paraId="1507AFEC" w14:textId="77777777" w:rsidR="00065317" w:rsidRDefault="005C7BF7">
      <w:pPr>
        <w:pStyle w:val="Corpsdetexte"/>
      </w:pPr>
      <w:r>
        <w:rPr>
          <w:b/>
          <w:bCs/>
        </w:rPr>
        <w:t>Exemples</w:t>
      </w:r>
    </w:p>
    <w:p w14:paraId="62F4AEC6" w14:textId="77777777" w:rsidR="00065317" w:rsidRDefault="005C7BF7">
      <w:pPr>
        <w:numPr>
          <w:ilvl w:val="0"/>
          <w:numId w:val="207"/>
        </w:numPr>
      </w:pPr>
      <w:r>
        <w:t>Le groupe de bibliothèques de recherche (</w:t>
      </w:r>
      <w:r>
        <w:rPr>
          <w:rStyle w:val="VerbatimChar"/>
        </w:rPr>
        <w:t>E74_Groupe</w:t>
      </w:r>
      <w:r>
        <w:t>) a pour coordonnées (</w:t>
      </w:r>
      <w:r>
        <w:rPr>
          <w:rStyle w:val="VerbatimChar"/>
        </w:rPr>
        <w:t>P76_a_pour_coordonnées</w:t>
      </w:r>
      <w:r>
        <w:t>) « bl.ric@rlg.org » (</w:t>
      </w:r>
      <w:r>
        <w:rPr>
          <w:rStyle w:val="VerbatimChar"/>
        </w:rPr>
        <w:t>E41_Appellation</w:t>
      </w:r>
      <w:r>
        <w:t>)</w:t>
      </w:r>
    </w:p>
    <w:p w14:paraId="5FE1CB0D" w14:textId="77777777" w:rsidR="00065317" w:rsidRDefault="005C7BF7">
      <w:pPr>
        <w:pStyle w:val="FirstParagraph"/>
      </w:pPr>
      <w:r>
        <w:rPr>
          <w:b/>
          <w:bCs/>
        </w:rPr>
        <w:t>Logique</w:t>
      </w:r>
    </w:p>
    <w:p w14:paraId="7437ABDA" w14:textId="77777777" w:rsidR="00065317" w:rsidRDefault="005C7BF7">
      <w:pPr>
        <w:pStyle w:val="Corpsdetexte"/>
      </w:pPr>
      <w:r>
        <w:t>P76(x,y) ⇒ E39(x)</w:t>
      </w:r>
    </w:p>
    <w:p w14:paraId="16C8CD3F" w14:textId="77777777" w:rsidR="00065317" w:rsidRDefault="005C7BF7">
      <w:pPr>
        <w:pStyle w:val="Corpsdetexte"/>
      </w:pPr>
      <w:r>
        <w:t>P76(x,y) ⇒ E41(y)</w:t>
      </w:r>
    </w:p>
    <w:p w14:paraId="3076B7E3" w14:textId="77777777" w:rsidR="00065317" w:rsidRDefault="005C7BF7">
      <w:pPr>
        <w:pStyle w:val="Corpsdetexte"/>
      </w:pPr>
      <w:r>
        <w:rPr>
          <w:b/>
          <w:bCs/>
        </w:rPr>
        <w:t>Propriétés</w:t>
      </w:r>
    </w:p>
    <w:p w14:paraId="52DC9071" w14:textId="77777777" w:rsidR="00F54917" w:rsidRDefault="00F54917">
      <w:pPr>
        <w:spacing w:after="0"/>
        <w:rPr>
          <w:b/>
          <w:bCs/>
          <w:i/>
          <w:iCs/>
          <w:sz w:val="22"/>
        </w:rPr>
      </w:pPr>
      <w:r>
        <w:rPr>
          <w:b/>
          <w:bCs/>
          <w:i/>
          <w:iCs/>
        </w:rPr>
        <w:br w:type="page"/>
      </w:r>
    </w:p>
    <w:p w14:paraId="55795CAD" w14:textId="026E0C5A" w:rsidR="00065317" w:rsidRDefault="005C7BF7">
      <w:pPr>
        <w:pStyle w:val="Normalcentr"/>
      </w:pPr>
      <w:r>
        <w:rPr>
          <w:b/>
          <w:bCs/>
          <w:i/>
          <w:iCs/>
        </w:rPr>
        <w:lastRenderedPageBreak/>
        <w:t>Note de traduction</w:t>
      </w:r>
    </w:p>
    <w:p w14:paraId="129CDE33" w14:textId="2584110B" w:rsidR="00065317" w:rsidRDefault="005C7BF7" w:rsidP="001155E9">
      <w:pPr>
        <w:pStyle w:val="Normalcentr"/>
      </w:pPr>
      <w:r>
        <w:rPr>
          <w:b/>
          <w:bCs/>
          <w:i/>
          <w:iCs/>
        </w:rPr>
        <w:t>Références</w:t>
      </w:r>
    </w:p>
    <w:p w14:paraId="27050340" w14:textId="77777777" w:rsidR="00065317" w:rsidRDefault="005C7BF7" w:rsidP="00914F34">
      <w:pPr>
        <w:pStyle w:val="Titre3"/>
      </w:pPr>
      <w:bookmarkStart w:id="402" w:name="_Toc154048886"/>
      <w:bookmarkStart w:id="403" w:name="p79-a-son-debut-qualifie-par"/>
      <w:bookmarkEnd w:id="401"/>
      <w:r>
        <w:t>P79 a son début qualifié par</w:t>
      </w:r>
      <w:bookmarkEnd w:id="402"/>
    </w:p>
    <w:p w14:paraId="065A74FC" w14:textId="77777777" w:rsidR="00065317" w:rsidRDefault="005C7BF7">
      <w:pPr>
        <w:pStyle w:val="FirstParagraph"/>
      </w:pPr>
      <w:r>
        <w:rPr>
          <w:b/>
          <w:bCs/>
        </w:rPr>
        <w:t>Domaine</w:t>
      </w:r>
    </w:p>
    <w:p w14:paraId="5746AD01" w14:textId="77777777" w:rsidR="00065317" w:rsidRDefault="005C7BF7">
      <w:pPr>
        <w:pStyle w:val="Corpsdetexte"/>
      </w:pPr>
      <w:r>
        <w:rPr>
          <w:rStyle w:val="VerbatimChar"/>
        </w:rPr>
        <w:t>E52_Intervalle_temporel</w:t>
      </w:r>
    </w:p>
    <w:p w14:paraId="4D67E7D0" w14:textId="77777777" w:rsidR="00065317" w:rsidRDefault="005C7BF7">
      <w:pPr>
        <w:pStyle w:val="Corpsdetexte"/>
      </w:pPr>
      <w:r>
        <w:rPr>
          <w:b/>
          <w:bCs/>
        </w:rPr>
        <w:t>Portée</w:t>
      </w:r>
    </w:p>
    <w:p w14:paraId="2634F859" w14:textId="77777777" w:rsidR="00065317" w:rsidRDefault="005C7BF7">
      <w:pPr>
        <w:pStyle w:val="Corpsdetexte"/>
      </w:pPr>
      <w:r>
        <w:rPr>
          <w:rStyle w:val="VerbatimChar"/>
        </w:rPr>
        <w:t>E62_Chaîne_de_caractères</w:t>
      </w:r>
    </w:p>
    <w:p w14:paraId="59282361" w14:textId="77777777" w:rsidR="00065317" w:rsidRDefault="005C7BF7">
      <w:pPr>
        <w:pStyle w:val="Corpsdetexte"/>
      </w:pPr>
      <w:r>
        <w:rPr>
          <w:b/>
          <w:bCs/>
        </w:rPr>
        <w:t>Sous-propriété de</w:t>
      </w:r>
    </w:p>
    <w:p w14:paraId="73E23127" w14:textId="77777777" w:rsidR="00065317" w:rsidRDefault="005C7BF7">
      <w:pPr>
        <w:pStyle w:val="Corpsdetexte"/>
      </w:pPr>
      <w:r>
        <w:rPr>
          <w:rStyle w:val="VerbatimChar"/>
        </w:rPr>
        <w:t>E1_Entité_CRM</w:t>
      </w:r>
      <w:r>
        <w:t xml:space="preserve">. </w:t>
      </w:r>
      <w:r>
        <w:rPr>
          <w:rStyle w:val="VerbatimChar"/>
        </w:rPr>
        <w:t>P3_a_pour_note</w:t>
      </w:r>
      <w:r>
        <w:t xml:space="preserve"> : </w:t>
      </w:r>
      <w:r>
        <w:rPr>
          <w:rStyle w:val="VerbatimChar"/>
        </w:rPr>
        <w:t>E62_Chaîne_de_caractères</w:t>
      </w:r>
    </w:p>
    <w:p w14:paraId="47849B1B" w14:textId="77777777" w:rsidR="00065317" w:rsidRDefault="005C7BF7">
      <w:pPr>
        <w:pStyle w:val="Corpsdetexte"/>
      </w:pPr>
      <w:r>
        <w:rPr>
          <w:b/>
          <w:bCs/>
        </w:rPr>
        <w:t>Super-propriété de</w:t>
      </w:r>
    </w:p>
    <w:p w14:paraId="453F310D" w14:textId="77777777" w:rsidR="00065317" w:rsidRDefault="005C7BF7">
      <w:pPr>
        <w:pStyle w:val="Corpsdetexte"/>
      </w:pPr>
      <w:r>
        <w:rPr>
          <w:b/>
          <w:bCs/>
        </w:rPr>
        <w:t>Quantification</w:t>
      </w:r>
    </w:p>
    <w:p w14:paraId="24499C30" w14:textId="77777777" w:rsidR="00065317" w:rsidRDefault="005C7BF7">
      <w:pPr>
        <w:pStyle w:val="Corpsdetexte"/>
      </w:pPr>
      <w:r>
        <w:t>plusieurs à un (0,1:0,n)</w:t>
      </w:r>
    </w:p>
    <w:p w14:paraId="36F99675" w14:textId="7226A29D" w:rsidR="00065317" w:rsidRDefault="005C7BF7">
      <w:pPr>
        <w:pStyle w:val="Corpsdetexte"/>
      </w:pPr>
      <w:r>
        <w:rPr>
          <w:b/>
          <w:bCs/>
        </w:rPr>
        <w:t>Note d</w:t>
      </w:r>
      <w:r w:rsidR="00E84B0E">
        <w:rPr>
          <w:b/>
          <w:bCs/>
        </w:rPr>
        <w:t>’</w:t>
      </w:r>
      <w:r>
        <w:rPr>
          <w:b/>
          <w:bCs/>
        </w:rPr>
        <w:t>application</w:t>
      </w:r>
    </w:p>
    <w:p w14:paraId="200DE91D" w14:textId="568E8C64" w:rsidR="00065317" w:rsidRDefault="005C7BF7">
      <w:pPr>
        <w:pStyle w:val="Corpsdetexte"/>
      </w:pPr>
      <w:r>
        <w:t xml:space="preserve">Cette propriété associe une instance de </w:t>
      </w:r>
      <w:r>
        <w:rPr>
          <w:rStyle w:val="VerbatimChar"/>
        </w:rPr>
        <w:t>E52_Intervalle_temporel</w:t>
      </w:r>
      <w:r>
        <w:t xml:space="preserve"> à une note détaillant les opinions et justifications savantes ou scientifiques sur la certitude, la précision, les sources, etc. du début [</w:t>
      </w:r>
      <w:r w:rsidR="00AF51A3">
        <w:t xml:space="preserve">n.d.t. </w:t>
      </w:r>
      <w:r>
        <w:t>de cet intervalle de temps]. Ces notes peuvent être utilisées pour élaborer des arguments à propos des contraintes ou pour donner des explications concernant des alternatives.</w:t>
      </w:r>
    </w:p>
    <w:p w14:paraId="50B4B282" w14:textId="77777777" w:rsidR="00065317" w:rsidRDefault="005C7BF7">
      <w:pPr>
        <w:pStyle w:val="Corpsdetexte"/>
      </w:pPr>
      <w:r>
        <w:rPr>
          <w:b/>
          <w:bCs/>
        </w:rPr>
        <w:t>Exemples</w:t>
      </w:r>
    </w:p>
    <w:p w14:paraId="3F310F2D" w14:textId="7D721F83" w:rsidR="00065317" w:rsidRDefault="005C7BF7">
      <w:pPr>
        <w:numPr>
          <w:ilvl w:val="0"/>
          <w:numId w:val="208"/>
        </w:numPr>
      </w:pPr>
      <w:r>
        <w:t>L</w:t>
      </w:r>
      <w:r w:rsidR="00E84B0E">
        <w:t>’</w:t>
      </w:r>
      <w:r>
        <w:t>intervalle de temps de l</w:t>
      </w:r>
      <w:r w:rsidR="00E84B0E">
        <w:t>’</w:t>
      </w:r>
      <w:r>
        <w:t>Holocène (</w:t>
      </w:r>
      <w:r>
        <w:rPr>
          <w:rStyle w:val="VerbatimChar"/>
        </w:rPr>
        <w:t>E52_Intervalle_temporel</w:t>
      </w:r>
      <w:r>
        <w:t>) a son début qualifié par (</w:t>
      </w:r>
      <w:r>
        <w:rPr>
          <w:rStyle w:val="VerbatimChar"/>
        </w:rPr>
        <w:t>P79_a_son_début_qualifié_par</w:t>
      </w:r>
      <w:r>
        <w:t>) « La définition formelle et la datation du GSSP (GlobalStratotype Section and Point) pour la base de l</w:t>
      </w:r>
      <w:r w:rsidR="00E84B0E">
        <w:t>’</w:t>
      </w:r>
      <w:r>
        <w:t>Holocène en utilisant la carotte de glace du Gr</w:t>
      </w:r>
      <w:r w:rsidR="00F52177">
        <w:t>oe</w:t>
      </w:r>
      <w:r>
        <w:t>nland NGRIP et des enregistrements auxiliaires sélectionnés » (</w:t>
      </w:r>
      <w:r>
        <w:rPr>
          <w:rStyle w:val="VerbatimChar"/>
        </w:rPr>
        <w:t>E62_Chaîne_de_caractères</w:t>
      </w:r>
      <w:r>
        <w:t>) (Walker &amp; al, 2009)</w:t>
      </w:r>
    </w:p>
    <w:p w14:paraId="5820050B" w14:textId="77777777" w:rsidR="00065317" w:rsidRDefault="005C7BF7">
      <w:pPr>
        <w:pStyle w:val="FirstParagraph"/>
      </w:pPr>
      <w:r>
        <w:rPr>
          <w:b/>
          <w:bCs/>
        </w:rPr>
        <w:t>Logique</w:t>
      </w:r>
    </w:p>
    <w:p w14:paraId="5F6E4CB6" w14:textId="77777777" w:rsidR="00065317" w:rsidRDefault="005C7BF7">
      <w:pPr>
        <w:pStyle w:val="Corpsdetexte"/>
      </w:pPr>
      <w:r>
        <w:t>P79(x,y) ⇒ E52(x)</w:t>
      </w:r>
    </w:p>
    <w:p w14:paraId="2581DA87" w14:textId="77777777" w:rsidR="00065317" w:rsidRDefault="005C7BF7">
      <w:pPr>
        <w:pStyle w:val="Corpsdetexte"/>
      </w:pPr>
      <w:r>
        <w:t>P79(x,y) ⇒ E62(y)</w:t>
      </w:r>
    </w:p>
    <w:p w14:paraId="01A942EA" w14:textId="77777777" w:rsidR="00065317" w:rsidRDefault="005C7BF7">
      <w:pPr>
        <w:pStyle w:val="Corpsdetexte"/>
      </w:pPr>
      <w:r>
        <w:t>P79(x,y) ⇒ P3(x,y)</w:t>
      </w:r>
    </w:p>
    <w:p w14:paraId="5578C4A0" w14:textId="77777777" w:rsidR="00065317" w:rsidRDefault="005C7BF7">
      <w:pPr>
        <w:pStyle w:val="Corpsdetexte"/>
      </w:pPr>
      <w:r>
        <w:rPr>
          <w:b/>
          <w:bCs/>
        </w:rPr>
        <w:t>Propriétés</w:t>
      </w:r>
    </w:p>
    <w:p w14:paraId="151C221E" w14:textId="77777777" w:rsidR="00065317" w:rsidRDefault="005C7BF7">
      <w:pPr>
        <w:pStyle w:val="Normalcentr"/>
      </w:pPr>
      <w:r>
        <w:rPr>
          <w:b/>
          <w:bCs/>
          <w:i/>
          <w:iCs/>
        </w:rPr>
        <w:t>Note de traduction</w:t>
      </w:r>
    </w:p>
    <w:p w14:paraId="73559EBB" w14:textId="1B985D82" w:rsidR="00065317" w:rsidRDefault="005C7BF7">
      <w:pPr>
        <w:pStyle w:val="Normalcentr"/>
      </w:pPr>
      <w:r>
        <w:t>La traduction de la citation en exemple (Walker</w:t>
      </w:r>
      <w:r w:rsidR="009E23E3">
        <w:t xml:space="preserve"> </w:t>
      </w:r>
      <w:r>
        <w:t>&amp; al</w:t>
      </w:r>
      <w:r w:rsidR="009F0F64">
        <w:t>,</w:t>
      </w:r>
      <w:r>
        <w:t xml:space="preserve"> 2009) est une traduction libre.</w:t>
      </w:r>
    </w:p>
    <w:p w14:paraId="31A5FB8A" w14:textId="35ACB76A" w:rsidR="00065317" w:rsidRDefault="005C7BF7" w:rsidP="001155E9">
      <w:pPr>
        <w:pStyle w:val="Normalcentr"/>
      </w:pPr>
      <w:r>
        <w:rPr>
          <w:b/>
          <w:bCs/>
          <w:i/>
          <w:iCs/>
        </w:rPr>
        <w:t>Références</w:t>
      </w:r>
    </w:p>
    <w:p w14:paraId="47AF9B06" w14:textId="77777777" w:rsidR="00065317" w:rsidRDefault="005C7BF7" w:rsidP="00914F34">
      <w:pPr>
        <w:pStyle w:val="Titre3"/>
      </w:pPr>
      <w:bookmarkStart w:id="404" w:name="_Toc154048887"/>
      <w:bookmarkStart w:id="405" w:name="p80-a-sa-fin-qualifiee-par"/>
      <w:bookmarkEnd w:id="403"/>
      <w:r>
        <w:t>P80 a sa fin qualifiée par</w:t>
      </w:r>
      <w:bookmarkEnd w:id="404"/>
    </w:p>
    <w:p w14:paraId="36DB105E" w14:textId="77777777" w:rsidR="00065317" w:rsidRDefault="005C7BF7">
      <w:pPr>
        <w:pStyle w:val="FirstParagraph"/>
      </w:pPr>
      <w:r>
        <w:rPr>
          <w:b/>
          <w:bCs/>
        </w:rPr>
        <w:t>Domaine</w:t>
      </w:r>
    </w:p>
    <w:p w14:paraId="1BE5378B" w14:textId="3E05243E" w:rsidR="00FC2E07" w:rsidRDefault="005C7BF7">
      <w:pPr>
        <w:pStyle w:val="Corpsdetexte"/>
        <w:rPr>
          <w:b/>
          <w:bCs/>
        </w:rPr>
      </w:pPr>
      <w:r>
        <w:rPr>
          <w:rStyle w:val="VerbatimChar"/>
        </w:rPr>
        <w:t>E52_Intervalle_temporel</w:t>
      </w:r>
    </w:p>
    <w:p w14:paraId="30987AD5" w14:textId="75215C77" w:rsidR="00065317" w:rsidRDefault="005C7BF7">
      <w:pPr>
        <w:pStyle w:val="Corpsdetexte"/>
      </w:pPr>
      <w:r>
        <w:rPr>
          <w:b/>
          <w:bCs/>
        </w:rPr>
        <w:lastRenderedPageBreak/>
        <w:t>Portée</w:t>
      </w:r>
    </w:p>
    <w:p w14:paraId="64AD1258" w14:textId="77777777" w:rsidR="00065317" w:rsidRDefault="005C7BF7">
      <w:pPr>
        <w:pStyle w:val="Corpsdetexte"/>
      </w:pPr>
      <w:r>
        <w:rPr>
          <w:rStyle w:val="VerbatimChar"/>
        </w:rPr>
        <w:t>E62_Chaîne_de_caractères</w:t>
      </w:r>
    </w:p>
    <w:p w14:paraId="5EA5B96C" w14:textId="77777777" w:rsidR="00065317" w:rsidRDefault="005C7BF7">
      <w:pPr>
        <w:pStyle w:val="Corpsdetexte"/>
      </w:pPr>
      <w:r>
        <w:rPr>
          <w:b/>
          <w:bCs/>
        </w:rPr>
        <w:t>Sous-propriété de</w:t>
      </w:r>
    </w:p>
    <w:p w14:paraId="16C73CF4" w14:textId="77777777" w:rsidR="00065317" w:rsidRDefault="005C7BF7">
      <w:pPr>
        <w:pStyle w:val="Corpsdetexte"/>
      </w:pPr>
      <w:r>
        <w:rPr>
          <w:rStyle w:val="VerbatimChar"/>
        </w:rPr>
        <w:t>E1_Entité_CRM</w:t>
      </w:r>
      <w:r>
        <w:t xml:space="preserve">. </w:t>
      </w:r>
      <w:r>
        <w:rPr>
          <w:rStyle w:val="VerbatimChar"/>
        </w:rPr>
        <w:t>P3_a_pour_note</w:t>
      </w:r>
      <w:r>
        <w:t xml:space="preserve"> : </w:t>
      </w:r>
      <w:r>
        <w:rPr>
          <w:rStyle w:val="VerbatimChar"/>
        </w:rPr>
        <w:t>E62_Chaîne_de_caractères</w:t>
      </w:r>
    </w:p>
    <w:p w14:paraId="747A1283" w14:textId="77777777" w:rsidR="00065317" w:rsidRDefault="005C7BF7">
      <w:pPr>
        <w:pStyle w:val="Corpsdetexte"/>
      </w:pPr>
      <w:r>
        <w:rPr>
          <w:b/>
          <w:bCs/>
        </w:rPr>
        <w:t>Super-propriété de</w:t>
      </w:r>
    </w:p>
    <w:p w14:paraId="0A251C6F" w14:textId="77777777" w:rsidR="00065317" w:rsidRDefault="005C7BF7">
      <w:pPr>
        <w:pStyle w:val="Corpsdetexte"/>
      </w:pPr>
      <w:r>
        <w:rPr>
          <w:b/>
          <w:bCs/>
        </w:rPr>
        <w:t>Quantification</w:t>
      </w:r>
    </w:p>
    <w:p w14:paraId="4CC09714" w14:textId="77777777" w:rsidR="00065317" w:rsidRDefault="005C7BF7">
      <w:pPr>
        <w:pStyle w:val="Corpsdetexte"/>
      </w:pPr>
      <w:r>
        <w:t>plusieurs à un (0,1:0,n)</w:t>
      </w:r>
    </w:p>
    <w:p w14:paraId="1370C26B" w14:textId="3487D84E" w:rsidR="00065317" w:rsidRDefault="005C7BF7">
      <w:pPr>
        <w:pStyle w:val="Corpsdetexte"/>
      </w:pPr>
      <w:r>
        <w:rPr>
          <w:b/>
          <w:bCs/>
        </w:rPr>
        <w:t>Note d</w:t>
      </w:r>
      <w:r w:rsidR="00E84B0E">
        <w:rPr>
          <w:b/>
          <w:bCs/>
        </w:rPr>
        <w:t>’</w:t>
      </w:r>
      <w:r>
        <w:rPr>
          <w:b/>
          <w:bCs/>
        </w:rPr>
        <w:t>application</w:t>
      </w:r>
    </w:p>
    <w:p w14:paraId="67DF48C7" w14:textId="77777777" w:rsidR="00065317" w:rsidRDefault="005C7BF7">
      <w:pPr>
        <w:pStyle w:val="Corpsdetexte"/>
      </w:pPr>
      <w:r>
        <w:t xml:space="preserve">Cette propriété associe une instance de </w:t>
      </w:r>
      <w:r>
        <w:rPr>
          <w:rStyle w:val="VerbatimChar"/>
        </w:rPr>
        <w:t>E52_Intervalle_temporel</w:t>
      </w:r>
      <w:r>
        <w:t xml:space="preserve"> à une note détaillant les opinions et justifications savantes ou scientifiques sur la certitude, la précision, les sources, etc. de la fin de cet intervalle de temps. Cette propriété peut également être utilisée pour décrire des arguments délimitant des dates possibles et pour distinguer les raisons des dates alternatives.</w:t>
      </w:r>
    </w:p>
    <w:p w14:paraId="7BF7E630" w14:textId="77777777" w:rsidR="00065317" w:rsidRDefault="005C7BF7">
      <w:pPr>
        <w:pStyle w:val="Corpsdetexte"/>
      </w:pPr>
      <w:r>
        <w:rPr>
          <w:b/>
          <w:bCs/>
        </w:rPr>
        <w:t>Exemples</w:t>
      </w:r>
    </w:p>
    <w:p w14:paraId="7046AEDA" w14:textId="5CFC2C8F" w:rsidR="00065317" w:rsidRDefault="005C7BF7">
      <w:pPr>
        <w:numPr>
          <w:ilvl w:val="0"/>
          <w:numId w:val="209"/>
        </w:numPr>
      </w:pPr>
      <w:r>
        <w:t>L</w:t>
      </w:r>
      <w:r w:rsidR="00E84B0E">
        <w:t>’</w:t>
      </w:r>
      <w:r>
        <w:t>intervalle de temps de l</w:t>
      </w:r>
      <w:r w:rsidR="00E84B0E">
        <w:t>’</w:t>
      </w:r>
      <w:r>
        <w:t>Holocène (</w:t>
      </w:r>
      <w:r>
        <w:rPr>
          <w:rStyle w:val="VerbatimChar"/>
        </w:rPr>
        <w:t>E52_Intervalle_temporel</w:t>
      </w:r>
      <w:r>
        <w:t>) a sa fin qualifiée par (</w:t>
      </w:r>
      <w:r>
        <w:rPr>
          <w:rStyle w:val="VerbatimChar"/>
        </w:rPr>
        <w:t>P80_a_sa_fin_qualifiée_par</w:t>
      </w:r>
      <w:r>
        <w:t>) « toujours en cours » (</w:t>
      </w:r>
      <w:r>
        <w:rPr>
          <w:rStyle w:val="VerbatimChar"/>
        </w:rPr>
        <w:t>E62_Chaîne_de_caractères</w:t>
      </w:r>
      <w:r>
        <w:t xml:space="preserve">) (Walker </w:t>
      </w:r>
      <w:r w:rsidR="009E23E3">
        <w:t xml:space="preserve">&amp; </w:t>
      </w:r>
      <w:r>
        <w:t>al, 2009)</w:t>
      </w:r>
    </w:p>
    <w:p w14:paraId="62AEE54B" w14:textId="77777777" w:rsidR="00065317" w:rsidRDefault="005C7BF7">
      <w:pPr>
        <w:pStyle w:val="FirstParagraph"/>
      </w:pPr>
      <w:r>
        <w:rPr>
          <w:b/>
          <w:bCs/>
        </w:rPr>
        <w:t>Logique</w:t>
      </w:r>
    </w:p>
    <w:p w14:paraId="6A9F5113" w14:textId="77777777" w:rsidR="00065317" w:rsidRDefault="005C7BF7">
      <w:pPr>
        <w:pStyle w:val="Corpsdetexte"/>
      </w:pPr>
      <w:r>
        <w:t xml:space="preserve">P80(x,y) ⇒ E52(x) </w:t>
      </w:r>
    </w:p>
    <w:p w14:paraId="7CF63624" w14:textId="77777777" w:rsidR="00065317" w:rsidRDefault="005C7BF7">
      <w:pPr>
        <w:pStyle w:val="Corpsdetexte"/>
      </w:pPr>
      <w:r>
        <w:t>P80(x,y) ⇒ E62(y)</w:t>
      </w:r>
    </w:p>
    <w:p w14:paraId="0C880708" w14:textId="77777777" w:rsidR="00065317" w:rsidRDefault="005C7BF7">
      <w:pPr>
        <w:pStyle w:val="Corpsdetexte"/>
      </w:pPr>
      <w:r>
        <w:t>P80(x,y) ⇒ P3(x,y)</w:t>
      </w:r>
    </w:p>
    <w:p w14:paraId="59826C6F" w14:textId="77777777" w:rsidR="00065317" w:rsidRDefault="005C7BF7">
      <w:pPr>
        <w:pStyle w:val="Corpsdetexte"/>
      </w:pPr>
      <w:r>
        <w:rPr>
          <w:b/>
          <w:bCs/>
        </w:rPr>
        <w:t>Propriétés</w:t>
      </w:r>
    </w:p>
    <w:p w14:paraId="7B86D6CE" w14:textId="77777777" w:rsidR="00065317" w:rsidRDefault="005C7BF7">
      <w:pPr>
        <w:pStyle w:val="Normalcentr"/>
      </w:pPr>
      <w:r>
        <w:rPr>
          <w:b/>
          <w:bCs/>
          <w:i/>
          <w:iCs/>
        </w:rPr>
        <w:t>Note de traduction</w:t>
      </w:r>
    </w:p>
    <w:p w14:paraId="30675535" w14:textId="664C23FB" w:rsidR="00065317" w:rsidRDefault="005C7BF7" w:rsidP="001155E9">
      <w:pPr>
        <w:pStyle w:val="Normalcentr"/>
      </w:pPr>
      <w:r>
        <w:rPr>
          <w:b/>
          <w:bCs/>
          <w:i/>
          <w:iCs/>
        </w:rPr>
        <w:t>Références</w:t>
      </w:r>
    </w:p>
    <w:p w14:paraId="073CA74D" w14:textId="77777777" w:rsidR="00065317" w:rsidRDefault="005C7BF7" w:rsidP="00914F34">
      <w:pPr>
        <w:pStyle w:val="Titre3"/>
      </w:pPr>
      <w:bookmarkStart w:id="406" w:name="_Toc154048888"/>
      <w:bookmarkStart w:id="407" w:name="p81-a-couvert"/>
      <w:bookmarkEnd w:id="405"/>
      <w:r>
        <w:t>P81 a couvert</w:t>
      </w:r>
      <w:bookmarkEnd w:id="406"/>
    </w:p>
    <w:p w14:paraId="3CEAEEAB" w14:textId="77777777" w:rsidR="00065317" w:rsidRDefault="005C7BF7">
      <w:pPr>
        <w:pStyle w:val="FirstParagraph"/>
      </w:pPr>
      <w:r>
        <w:rPr>
          <w:b/>
          <w:bCs/>
        </w:rPr>
        <w:t>Domaine</w:t>
      </w:r>
    </w:p>
    <w:p w14:paraId="1BD2EAB8" w14:textId="77777777" w:rsidR="00065317" w:rsidRDefault="005C7BF7">
      <w:pPr>
        <w:pStyle w:val="Corpsdetexte"/>
      </w:pPr>
      <w:r>
        <w:rPr>
          <w:rStyle w:val="VerbatimChar"/>
        </w:rPr>
        <w:t>E52_Intervalle_temporel</w:t>
      </w:r>
    </w:p>
    <w:p w14:paraId="05834B19" w14:textId="77777777" w:rsidR="00065317" w:rsidRDefault="005C7BF7">
      <w:pPr>
        <w:pStyle w:val="Corpsdetexte"/>
      </w:pPr>
      <w:r>
        <w:rPr>
          <w:b/>
          <w:bCs/>
        </w:rPr>
        <w:t>Portée</w:t>
      </w:r>
    </w:p>
    <w:p w14:paraId="18E49EAE" w14:textId="77777777" w:rsidR="00065317" w:rsidRDefault="005C7BF7">
      <w:pPr>
        <w:pStyle w:val="Corpsdetexte"/>
      </w:pPr>
      <w:r>
        <w:rPr>
          <w:rStyle w:val="VerbatimChar"/>
        </w:rPr>
        <w:t>E61_Primitive_temporelle</w:t>
      </w:r>
    </w:p>
    <w:p w14:paraId="15A82D37" w14:textId="77777777" w:rsidR="00065317" w:rsidRDefault="005C7BF7">
      <w:pPr>
        <w:pStyle w:val="Corpsdetexte"/>
      </w:pPr>
      <w:r>
        <w:rPr>
          <w:b/>
          <w:bCs/>
        </w:rPr>
        <w:t>Sous-propriété de</w:t>
      </w:r>
    </w:p>
    <w:p w14:paraId="6FDB4CB4" w14:textId="77777777" w:rsidR="00065317" w:rsidRDefault="005C7BF7">
      <w:pPr>
        <w:pStyle w:val="Corpsdetexte"/>
      </w:pPr>
      <w:r>
        <w:rPr>
          <w:b/>
          <w:bCs/>
        </w:rPr>
        <w:t>Super-propriété de</w:t>
      </w:r>
    </w:p>
    <w:p w14:paraId="4B1A784C" w14:textId="77777777" w:rsidR="00065317" w:rsidRDefault="005C7BF7">
      <w:pPr>
        <w:pStyle w:val="Corpsdetexte"/>
      </w:pPr>
      <w:r>
        <w:rPr>
          <w:b/>
          <w:bCs/>
        </w:rPr>
        <w:t>Quantification</w:t>
      </w:r>
    </w:p>
    <w:p w14:paraId="5185CC75" w14:textId="77777777" w:rsidR="00065317" w:rsidRDefault="005C7BF7">
      <w:pPr>
        <w:pStyle w:val="Corpsdetexte"/>
      </w:pPr>
      <w:r>
        <w:t>plusieurs à un, nécessaire (1,1:0,n)</w:t>
      </w:r>
    </w:p>
    <w:p w14:paraId="36FCC231" w14:textId="77777777" w:rsidR="00F54917" w:rsidRDefault="00F54917">
      <w:pPr>
        <w:spacing w:after="0"/>
        <w:rPr>
          <w:b/>
          <w:bCs/>
        </w:rPr>
      </w:pPr>
      <w:r>
        <w:rPr>
          <w:b/>
          <w:bCs/>
        </w:rPr>
        <w:br w:type="page"/>
      </w:r>
    </w:p>
    <w:p w14:paraId="15017DF9" w14:textId="729E1E49" w:rsidR="00065317" w:rsidRDefault="005C7BF7">
      <w:pPr>
        <w:pStyle w:val="Corpsdetexte"/>
      </w:pPr>
      <w:r>
        <w:rPr>
          <w:b/>
          <w:bCs/>
        </w:rPr>
        <w:lastRenderedPageBreak/>
        <w:t>Note d</w:t>
      </w:r>
      <w:r w:rsidR="00E84B0E">
        <w:rPr>
          <w:b/>
          <w:bCs/>
        </w:rPr>
        <w:t>’</w:t>
      </w:r>
      <w:r>
        <w:rPr>
          <w:b/>
          <w:bCs/>
        </w:rPr>
        <w:t>application</w:t>
      </w:r>
    </w:p>
    <w:p w14:paraId="754A6849" w14:textId="657EBDA5" w:rsidR="00065317" w:rsidRDefault="005C7BF7">
      <w:pPr>
        <w:pStyle w:val="Corpsdetexte"/>
      </w:pPr>
      <w:r>
        <w:t xml:space="preserve">Cette propriété associe une instance de </w:t>
      </w:r>
      <w:r>
        <w:rPr>
          <w:rStyle w:val="VerbatimChar"/>
        </w:rPr>
        <w:t>E52_Intervalle_temporel</w:t>
      </w:r>
      <w:r>
        <w:t xml:space="preserve"> à une instance de </w:t>
      </w:r>
      <w:r>
        <w:rPr>
          <w:rStyle w:val="VerbatimChar"/>
        </w:rPr>
        <w:t>E61_Primitive_temporelle</w:t>
      </w:r>
      <w:r>
        <w:t xml:space="preserve"> qui spécifie une période minimale de temps couverte par l</w:t>
      </w:r>
      <w:r w:rsidR="00E84B0E">
        <w:t>’</w:t>
      </w:r>
      <w:r>
        <w:t>intervalle en question. Puisque les intervalles temporels peuvent ne pas avoir d</w:t>
      </w:r>
      <w:r w:rsidR="00E84B0E">
        <w:t>’</w:t>
      </w:r>
      <w:r>
        <w:t xml:space="preserve">étendue précisément connue, le </w:t>
      </w:r>
      <w:r w:rsidR="00C8288F">
        <w:t>CIDOC CRM</w:t>
      </w:r>
      <w:r>
        <w:t xml:space="preserve"> permet les énoncés portant sur les étendues minimale et maximale d</w:t>
      </w:r>
      <w:r w:rsidR="00E84B0E">
        <w:t>’</w:t>
      </w:r>
      <w:r>
        <w:t>un intervalle. Cette propriété permet donc l</w:t>
      </w:r>
      <w:r w:rsidR="00E84B0E">
        <w:t>’</w:t>
      </w:r>
      <w:r>
        <w:t>assignation d</w:t>
      </w:r>
      <w:r w:rsidR="00E84B0E">
        <w:t>’</w:t>
      </w:r>
      <w:r>
        <w:t xml:space="preserve">une valeur de </w:t>
      </w:r>
      <w:r>
        <w:rPr>
          <w:rStyle w:val="VerbatimChar"/>
        </w:rPr>
        <w:t>E61_Primitive_temporelle</w:t>
      </w:r>
      <w:r>
        <w:t xml:space="preserve"> comme étendue temporelle minimale (c.-à-d. comme limite temporelle interne).</w:t>
      </w:r>
    </w:p>
    <w:p w14:paraId="428FA684" w14:textId="5135BEA3" w:rsidR="00065317" w:rsidRDefault="005C7BF7">
      <w:pPr>
        <w:pStyle w:val="Corpsdetexte"/>
      </w:pPr>
      <w:r>
        <w:t xml:space="preserve">Les primitives temporelles sont traitées par le </w:t>
      </w:r>
      <w:r w:rsidR="00C8288F">
        <w:t>CIDOC CRM</w:t>
      </w:r>
      <w:r>
        <w:t xml:space="preserve"> comme des intervalles de temps spécifiques à des systèmes ou à des applications; elles ne font pas l</w:t>
      </w:r>
      <w:r w:rsidR="00E84B0E">
        <w:t>’</w:t>
      </w:r>
      <w:r>
        <w:t>objet d</w:t>
      </w:r>
      <w:r w:rsidR="00E84B0E">
        <w:t>’</w:t>
      </w:r>
      <w:r>
        <w:t>analyses supplémentaires.</w:t>
      </w:r>
    </w:p>
    <w:p w14:paraId="1BF3E24F" w14:textId="120D3CA3" w:rsidR="00065317" w:rsidRDefault="005C7BF7">
      <w:pPr>
        <w:pStyle w:val="Corpsdetexte"/>
      </w:pPr>
      <w:r>
        <w:t>Si différentes sources justifient des étendues minimales différentes sans pour autant se contredire, l</w:t>
      </w:r>
      <w:r w:rsidR="00E84B0E">
        <w:t>’</w:t>
      </w:r>
      <w:r>
        <w:t>intervalle le plus petit incluant l</w:t>
      </w:r>
      <w:r w:rsidR="00E84B0E">
        <w:t>’</w:t>
      </w:r>
      <w:r>
        <w:t xml:space="preserve">intégralité de ces étendues constitue la meilleure estimation. </w:t>
      </w:r>
      <w:r w:rsidR="00714434">
        <w:t>Cela</w:t>
      </w:r>
      <w:r>
        <w:t xml:space="preserve"> devrait être pris en compte lors de l</w:t>
      </w:r>
      <w:r w:rsidR="00E84B0E">
        <w:t>’</w:t>
      </w:r>
      <w:r>
        <w:t>intégration de l</w:t>
      </w:r>
      <w:r w:rsidR="00E84B0E">
        <w:t>’</w:t>
      </w:r>
      <w:r>
        <w:t>information.</w:t>
      </w:r>
    </w:p>
    <w:p w14:paraId="763DA7B2" w14:textId="77777777" w:rsidR="00065317" w:rsidRDefault="005C7BF7">
      <w:pPr>
        <w:pStyle w:val="Corpsdetexte"/>
      </w:pPr>
      <w:r>
        <w:rPr>
          <w:b/>
          <w:bCs/>
        </w:rPr>
        <w:t>Exemples</w:t>
      </w:r>
    </w:p>
    <w:p w14:paraId="36573DF1" w14:textId="03EB4BD3" w:rsidR="00065317" w:rsidRDefault="005C7BF7">
      <w:pPr>
        <w:numPr>
          <w:ilvl w:val="0"/>
          <w:numId w:val="210"/>
        </w:numPr>
      </w:pPr>
      <w:r>
        <w:t>L</w:t>
      </w:r>
      <w:r w:rsidR="00E84B0E">
        <w:t>’</w:t>
      </w:r>
      <w:r>
        <w:t xml:space="preserve">intervalle temporel du développement du </w:t>
      </w:r>
      <w:r w:rsidR="00C8288F">
        <w:t>CIDOC CRM</w:t>
      </w:r>
      <w:r>
        <w:t xml:space="preserve"> (</w:t>
      </w:r>
      <w:r>
        <w:rPr>
          <w:rStyle w:val="VerbatimChar"/>
        </w:rPr>
        <w:t>E52_Intervalle_temporel</w:t>
      </w:r>
      <w:r>
        <w:t>) a couvert (</w:t>
      </w:r>
      <w:r>
        <w:rPr>
          <w:rStyle w:val="VerbatimChar"/>
        </w:rPr>
        <w:t>P81_a_couvert</w:t>
      </w:r>
      <w:r>
        <w:t>) les années 1996 à 2003 (</w:t>
      </w:r>
      <w:r>
        <w:rPr>
          <w:rStyle w:val="VerbatimChar"/>
        </w:rPr>
        <w:t>E61_Primitive_temporelle</w:t>
      </w:r>
      <w:r>
        <w:t>) (</w:t>
      </w:r>
      <w:r w:rsidR="003C7A4A">
        <w:t>Doerr</w:t>
      </w:r>
      <w:r>
        <w:t>, 2003)</w:t>
      </w:r>
    </w:p>
    <w:p w14:paraId="4BF01E24" w14:textId="136A65A8" w:rsidR="00065317" w:rsidRDefault="005C7BF7">
      <w:pPr>
        <w:numPr>
          <w:ilvl w:val="0"/>
          <w:numId w:val="210"/>
        </w:numPr>
      </w:pPr>
      <w:r>
        <w:t>L</w:t>
      </w:r>
      <w:r w:rsidR="00E84B0E">
        <w:t>’</w:t>
      </w:r>
      <w:r>
        <w:t>intervalle temporel de la guerre de Trente Ans (</w:t>
      </w:r>
      <w:r>
        <w:rPr>
          <w:rStyle w:val="VerbatimChar"/>
        </w:rPr>
        <w:t>E52_Intervalle_temporel</w:t>
      </w:r>
      <w:r>
        <w:t>) a couvert (</w:t>
      </w:r>
      <w:r>
        <w:rPr>
          <w:rStyle w:val="VerbatimChar"/>
        </w:rPr>
        <w:t>P81_a_couvert</w:t>
      </w:r>
      <w:r>
        <w:t>) la période allant du 23</w:t>
      </w:r>
      <w:r w:rsidR="00056DCD">
        <w:t> mai </w:t>
      </w:r>
      <w:r>
        <w:t>1618 EC au 24</w:t>
      </w:r>
      <w:r w:rsidR="00056DCD">
        <w:t> octobre </w:t>
      </w:r>
      <w:r>
        <w:t>1648 EC (</w:t>
      </w:r>
      <w:r>
        <w:rPr>
          <w:rStyle w:val="VerbatimChar"/>
        </w:rPr>
        <w:t>E61_Primitive_temporelle</w:t>
      </w:r>
      <w:r>
        <w:t>) (Bonney, 2014)</w:t>
      </w:r>
    </w:p>
    <w:p w14:paraId="55C131E1" w14:textId="31CC6FC2" w:rsidR="00065317" w:rsidRDefault="005C7BF7">
      <w:pPr>
        <w:numPr>
          <w:ilvl w:val="0"/>
          <w:numId w:val="210"/>
        </w:numPr>
      </w:pPr>
      <w:r>
        <w:t>L</w:t>
      </w:r>
      <w:r w:rsidR="00E84B0E">
        <w:t>’</w:t>
      </w:r>
      <w:r>
        <w:t>intervalle temporel de la Première Période Intermédiaire de l</w:t>
      </w:r>
      <w:r w:rsidR="00E84B0E">
        <w:t>’</w:t>
      </w:r>
      <w:r>
        <w:t>Égypte antique (de la VII</w:t>
      </w:r>
      <w:r>
        <w:rPr>
          <w:vertAlign w:val="superscript"/>
        </w:rPr>
        <w:t>e</w:t>
      </w:r>
      <w:r>
        <w:t xml:space="preserve"> à la X</w:t>
      </w:r>
      <w:r>
        <w:rPr>
          <w:vertAlign w:val="superscript"/>
        </w:rPr>
        <w:t>e</w:t>
      </w:r>
      <w:r>
        <w:t xml:space="preserve"> dynastie) (</w:t>
      </w:r>
      <w:r>
        <w:rPr>
          <w:rStyle w:val="VerbatimChar"/>
        </w:rPr>
        <w:t>E52_Intervalle_temporel</w:t>
      </w:r>
      <w:r>
        <w:t>) a couvert (</w:t>
      </w:r>
      <w:r>
        <w:rPr>
          <w:rStyle w:val="VerbatimChar"/>
        </w:rPr>
        <w:t>P81_a_couvert</w:t>
      </w:r>
      <w:r>
        <w:t>) les années 2181 AEC à 2160 AEC (</w:t>
      </w:r>
      <w:r>
        <w:rPr>
          <w:rStyle w:val="VerbatimChar"/>
        </w:rPr>
        <w:t>E61_Primitive_temporelle</w:t>
      </w:r>
      <w:r>
        <w:t>) (Reid, 1993)</w:t>
      </w:r>
    </w:p>
    <w:p w14:paraId="6FA366AB" w14:textId="20DBF4A3" w:rsidR="00065317" w:rsidRDefault="005C7BF7">
      <w:pPr>
        <w:pStyle w:val="FirstParagraph"/>
      </w:pPr>
      <w:r>
        <w:t>[</w:t>
      </w:r>
      <w:r w:rsidR="00714434">
        <w:t>Cela</w:t>
      </w:r>
      <w:r>
        <w:t xml:space="preserve"> décrit le consensus minimal entre deux dates conflictuelles : James Henry Breasted situe la Première Période Intermédiaire de l</w:t>
      </w:r>
      <w:r w:rsidR="00E84B0E">
        <w:t>’</w:t>
      </w:r>
      <w:r>
        <w:t>Égypte antique (de la VII</w:t>
      </w:r>
      <w:r>
        <w:rPr>
          <w:vertAlign w:val="superscript"/>
        </w:rPr>
        <w:t>e</w:t>
      </w:r>
      <w:r>
        <w:t xml:space="preserve"> à la X</w:t>
      </w:r>
      <w:r>
        <w:rPr>
          <w:vertAlign w:val="superscript"/>
        </w:rPr>
        <w:t>e</w:t>
      </w:r>
      <w:r>
        <w:t xml:space="preserve"> dynastie) de 2475 AEC à 2160 AEC dans son ouvrage </w:t>
      </w:r>
      <w:r>
        <w:rPr>
          <w:i/>
          <w:iCs/>
        </w:rPr>
        <w:t>Ancient Records</w:t>
      </w:r>
      <w:r>
        <w:t xml:space="preserve"> publié pour la première fois en 1906 (volume 1, sections 58-75) (Breasted, 1906). Ian Shaw, quant à lui, date cette même période de 2181 AEC à 2125 AEC dans son ouvrage </w:t>
      </w:r>
      <w:r>
        <w:rPr>
          <w:i/>
          <w:iCs/>
        </w:rPr>
        <w:t>Oxford History of Ancient Egypt</w:t>
      </w:r>
      <w:r>
        <w:t xml:space="preserve"> publié en 2000 (p. 479-483) (Shaw, 2000)].</w:t>
      </w:r>
    </w:p>
    <w:p w14:paraId="6AA69778" w14:textId="77777777" w:rsidR="00065317" w:rsidRDefault="005C7BF7">
      <w:pPr>
        <w:pStyle w:val="Corpsdetexte"/>
      </w:pPr>
      <w:r>
        <w:rPr>
          <w:b/>
          <w:bCs/>
        </w:rPr>
        <w:t>Logique</w:t>
      </w:r>
    </w:p>
    <w:p w14:paraId="140DBF6C" w14:textId="77777777" w:rsidR="00065317" w:rsidRDefault="005C7BF7">
      <w:pPr>
        <w:pStyle w:val="Corpsdetexte"/>
      </w:pPr>
      <w:r>
        <w:t>P81(x,y) ⇒ E52(x)</w:t>
      </w:r>
    </w:p>
    <w:p w14:paraId="6E754A21" w14:textId="77777777" w:rsidR="00065317" w:rsidRDefault="005C7BF7">
      <w:pPr>
        <w:pStyle w:val="Corpsdetexte"/>
      </w:pPr>
      <w:r>
        <w:t>P81(x,y) ⇒ E61(y)</w:t>
      </w:r>
    </w:p>
    <w:p w14:paraId="24A9C129" w14:textId="77777777" w:rsidR="00065317" w:rsidRDefault="005C7BF7">
      <w:pPr>
        <w:pStyle w:val="Corpsdetexte"/>
      </w:pPr>
      <w:r>
        <w:rPr>
          <w:b/>
          <w:bCs/>
        </w:rPr>
        <w:t>Propriétés</w:t>
      </w:r>
    </w:p>
    <w:p w14:paraId="1F640E66" w14:textId="77777777" w:rsidR="00065317" w:rsidRDefault="005C7BF7">
      <w:pPr>
        <w:pStyle w:val="Normalcentr"/>
      </w:pPr>
      <w:r>
        <w:rPr>
          <w:b/>
          <w:bCs/>
          <w:i/>
          <w:iCs/>
        </w:rPr>
        <w:t>Note de traduction</w:t>
      </w:r>
    </w:p>
    <w:p w14:paraId="5C8923FD" w14:textId="2E1BD76D" w:rsidR="00065317" w:rsidRDefault="005C7BF7">
      <w:pPr>
        <w:pStyle w:val="Normalcentr"/>
      </w:pPr>
      <w:r>
        <w:t>La traduction de « First Intermediate Period of Ancient Egypt » (« Première Période Intermédiaire de l</w:t>
      </w:r>
      <w:r w:rsidR="00E84B0E">
        <w:t>’</w:t>
      </w:r>
      <w:r>
        <w:t>Égypte antique ») est issue de l</w:t>
      </w:r>
      <w:r w:rsidR="00E84B0E">
        <w:t>’</w:t>
      </w:r>
      <w:r>
        <w:t xml:space="preserve">ouvrage de Nicolas-Christophe Grimal </w:t>
      </w:r>
      <w:r>
        <w:rPr>
          <w:i/>
          <w:iCs/>
        </w:rPr>
        <w:t>Histoire de l</w:t>
      </w:r>
      <w:r w:rsidR="00E84B0E">
        <w:rPr>
          <w:i/>
          <w:iCs/>
        </w:rPr>
        <w:t>’</w:t>
      </w:r>
      <w:r>
        <w:rPr>
          <w:i/>
          <w:iCs/>
        </w:rPr>
        <w:t>Égypte ancienne</w:t>
      </w:r>
      <w:r>
        <w:t>.</w:t>
      </w:r>
    </w:p>
    <w:p w14:paraId="14367EF3" w14:textId="77777777" w:rsidR="00065317" w:rsidRDefault="005C7BF7">
      <w:pPr>
        <w:pStyle w:val="Normalcentr"/>
      </w:pPr>
      <w:r>
        <w:rPr>
          <w:b/>
          <w:bCs/>
          <w:i/>
          <w:iCs/>
        </w:rPr>
        <w:t>Références</w:t>
      </w:r>
    </w:p>
    <w:p w14:paraId="09B0E22F" w14:textId="73BE8290" w:rsidR="00065317" w:rsidRDefault="005C7BF7">
      <w:pPr>
        <w:pStyle w:val="Normalcentr"/>
      </w:pPr>
      <w:r>
        <w:t xml:space="preserve">Grimal, Nicolas-Christophe. </w:t>
      </w:r>
      <w:r>
        <w:rPr>
          <w:i/>
          <w:iCs/>
        </w:rPr>
        <w:t>Histoire de l</w:t>
      </w:r>
      <w:r w:rsidR="00E84B0E">
        <w:rPr>
          <w:i/>
          <w:iCs/>
        </w:rPr>
        <w:t>’</w:t>
      </w:r>
      <w:r>
        <w:rPr>
          <w:i/>
          <w:iCs/>
        </w:rPr>
        <w:t>Égypte ancienne</w:t>
      </w:r>
      <w:r>
        <w:t>. Paris</w:t>
      </w:r>
      <w:r w:rsidR="001155E9">
        <w:t> </w:t>
      </w:r>
      <w:r>
        <w:t>: Fayard, 1988.</w:t>
      </w:r>
    </w:p>
    <w:p w14:paraId="61E1D780" w14:textId="77777777" w:rsidR="00065317" w:rsidRDefault="005C7BF7" w:rsidP="00914F34">
      <w:pPr>
        <w:pStyle w:val="Titre3"/>
      </w:pPr>
      <w:bookmarkStart w:id="408" w:name="_Toc154048889"/>
      <w:bookmarkStart w:id="409" w:name="p82-a-eu-lieu-durant"/>
      <w:bookmarkEnd w:id="407"/>
      <w:r>
        <w:t>P82 a eu lieu durant</w:t>
      </w:r>
      <w:bookmarkEnd w:id="408"/>
    </w:p>
    <w:p w14:paraId="30152CB5" w14:textId="77777777" w:rsidR="00065317" w:rsidRDefault="005C7BF7">
      <w:pPr>
        <w:pStyle w:val="FirstParagraph"/>
      </w:pPr>
      <w:r>
        <w:rPr>
          <w:b/>
          <w:bCs/>
        </w:rPr>
        <w:t>Domaine</w:t>
      </w:r>
    </w:p>
    <w:p w14:paraId="1EA92655" w14:textId="3144C644" w:rsidR="00FC2E07" w:rsidRDefault="005C7BF7">
      <w:pPr>
        <w:pStyle w:val="Corpsdetexte"/>
        <w:rPr>
          <w:b/>
          <w:bCs/>
        </w:rPr>
      </w:pPr>
      <w:r>
        <w:rPr>
          <w:rStyle w:val="VerbatimChar"/>
        </w:rPr>
        <w:t>E52_Intervalle_temporel</w:t>
      </w:r>
    </w:p>
    <w:p w14:paraId="768C42F4" w14:textId="77777777" w:rsidR="00F54917" w:rsidRDefault="00F54917">
      <w:pPr>
        <w:spacing w:after="0"/>
        <w:rPr>
          <w:b/>
          <w:bCs/>
        </w:rPr>
      </w:pPr>
      <w:r>
        <w:rPr>
          <w:b/>
          <w:bCs/>
        </w:rPr>
        <w:br w:type="page"/>
      </w:r>
    </w:p>
    <w:p w14:paraId="1ACF3B85" w14:textId="19B2AC64" w:rsidR="00065317" w:rsidRDefault="005C7BF7">
      <w:pPr>
        <w:pStyle w:val="Corpsdetexte"/>
      </w:pPr>
      <w:r>
        <w:rPr>
          <w:b/>
          <w:bCs/>
        </w:rPr>
        <w:lastRenderedPageBreak/>
        <w:t>Portée</w:t>
      </w:r>
    </w:p>
    <w:p w14:paraId="1B2B0DA6" w14:textId="77777777" w:rsidR="00065317" w:rsidRDefault="005C7BF7">
      <w:pPr>
        <w:pStyle w:val="Corpsdetexte"/>
      </w:pPr>
      <w:r>
        <w:rPr>
          <w:rStyle w:val="VerbatimChar"/>
        </w:rPr>
        <w:t>E61_Primitive_temporelle</w:t>
      </w:r>
    </w:p>
    <w:p w14:paraId="5DB752D9" w14:textId="77777777" w:rsidR="00065317" w:rsidRDefault="005C7BF7">
      <w:pPr>
        <w:pStyle w:val="Corpsdetexte"/>
      </w:pPr>
      <w:r>
        <w:rPr>
          <w:b/>
          <w:bCs/>
        </w:rPr>
        <w:t>Sous-propriété de</w:t>
      </w:r>
    </w:p>
    <w:p w14:paraId="5CF23BDA" w14:textId="77777777" w:rsidR="00065317" w:rsidRDefault="005C7BF7">
      <w:pPr>
        <w:pStyle w:val="Corpsdetexte"/>
      </w:pPr>
      <w:r>
        <w:rPr>
          <w:b/>
          <w:bCs/>
        </w:rPr>
        <w:t>Super-propriété de</w:t>
      </w:r>
    </w:p>
    <w:p w14:paraId="53EEFF0C" w14:textId="77777777" w:rsidR="00065317" w:rsidRDefault="005C7BF7">
      <w:pPr>
        <w:pStyle w:val="Corpsdetexte"/>
      </w:pPr>
      <w:r>
        <w:rPr>
          <w:b/>
          <w:bCs/>
        </w:rPr>
        <w:t>Quantification</w:t>
      </w:r>
    </w:p>
    <w:p w14:paraId="12BB5BEF" w14:textId="77777777" w:rsidR="00065317" w:rsidRDefault="005C7BF7">
      <w:pPr>
        <w:pStyle w:val="Corpsdetexte"/>
      </w:pPr>
      <w:r>
        <w:t>plusieurs à plusieurs, nécessaire (1,1:0,n)</w:t>
      </w:r>
    </w:p>
    <w:p w14:paraId="38C29ADE" w14:textId="1E10E5E0" w:rsidR="00065317" w:rsidRDefault="005C7BF7">
      <w:pPr>
        <w:pStyle w:val="Corpsdetexte"/>
      </w:pPr>
      <w:r>
        <w:rPr>
          <w:b/>
          <w:bCs/>
        </w:rPr>
        <w:t>Note d</w:t>
      </w:r>
      <w:r w:rsidR="00E84B0E">
        <w:rPr>
          <w:b/>
          <w:bCs/>
        </w:rPr>
        <w:t>’</w:t>
      </w:r>
      <w:r>
        <w:rPr>
          <w:b/>
          <w:bCs/>
        </w:rPr>
        <w:t>application</w:t>
      </w:r>
    </w:p>
    <w:p w14:paraId="1CBC1596" w14:textId="28F4E99D" w:rsidR="00065317" w:rsidRDefault="005C7BF7">
      <w:pPr>
        <w:pStyle w:val="Corpsdetexte"/>
      </w:pPr>
      <w:r>
        <w:t xml:space="preserve">Cette propriété décrit la période de temps maximale contenant une instance de </w:t>
      </w:r>
      <w:r>
        <w:rPr>
          <w:rStyle w:val="VerbatimChar"/>
        </w:rPr>
        <w:t>E52_Intervalle_temporel</w:t>
      </w:r>
      <w:r>
        <w:t>. Puisque les intervalles temporels peuvent ne pas avoir d</w:t>
      </w:r>
      <w:r w:rsidR="00E84B0E">
        <w:t>’</w:t>
      </w:r>
      <w:r>
        <w:t xml:space="preserve">étendue précisément connue, le </w:t>
      </w:r>
      <w:r w:rsidR="00C8288F">
        <w:t>CIDOC CRM</w:t>
      </w:r>
      <w:r>
        <w:t xml:space="preserve"> permet les énoncés portant sur les étendues minimale et maximale d</w:t>
      </w:r>
      <w:r w:rsidR="00E84B0E">
        <w:t>’</w:t>
      </w:r>
      <w:r>
        <w:t>un intervalle. Cette propriété permet donc l</w:t>
      </w:r>
      <w:r w:rsidR="00E84B0E">
        <w:t>’</w:t>
      </w:r>
      <w:r>
        <w:t>assignation d</w:t>
      </w:r>
      <w:r w:rsidR="00E84B0E">
        <w:t>’</w:t>
      </w:r>
      <w:r>
        <w:t xml:space="preserve">une valeur de </w:t>
      </w:r>
      <w:r>
        <w:rPr>
          <w:rStyle w:val="VerbatimChar"/>
        </w:rPr>
        <w:t>E61_Primitive_temporelle</w:t>
      </w:r>
      <w:r>
        <w:t xml:space="preserve"> comme étendue temporelle maximale (c.-à-d. comme limite temporelle externe).</w:t>
      </w:r>
    </w:p>
    <w:p w14:paraId="7694D449" w14:textId="293DBEDB" w:rsidR="00065317" w:rsidRDefault="005C7BF7">
      <w:pPr>
        <w:pStyle w:val="Corpsdetexte"/>
      </w:pPr>
      <w:r>
        <w:t xml:space="preserve">Les primitives temporelles sont traitées par le </w:t>
      </w:r>
      <w:r w:rsidR="00C8288F">
        <w:t>CIDOC CRM</w:t>
      </w:r>
      <w:r>
        <w:t xml:space="preserve"> comme des intervalles de temps spécifiques à des systèmes ou à des applications; elles ne font pas l</w:t>
      </w:r>
      <w:r w:rsidR="00E84B0E">
        <w:t>’</w:t>
      </w:r>
      <w:r>
        <w:t>objet d</w:t>
      </w:r>
      <w:r w:rsidR="00E84B0E">
        <w:t>’</w:t>
      </w:r>
      <w:r>
        <w:t>analyses supplémentaires.</w:t>
      </w:r>
    </w:p>
    <w:p w14:paraId="46A0E895" w14:textId="3676E942" w:rsidR="00065317" w:rsidRDefault="005C7BF7">
      <w:pPr>
        <w:pStyle w:val="Corpsdetexte"/>
      </w:pPr>
      <w:r>
        <w:t>Si différentes sources justifient des étendues maximales différentes sans pour autant se contredire, l</w:t>
      </w:r>
      <w:r w:rsidR="00E84B0E">
        <w:t>’</w:t>
      </w:r>
      <w:r>
        <w:t xml:space="preserve">intersection de ces étendues constitue la meilleure estimation. </w:t>
      </w:r>
      <w:r w:rsidR="00714434">
        <w:t>Cela</w:t>
      </w:r>
      <w:r>
        <w:t xml:space="preserve"> devrait être pris en compte lors de l</w:t>
      </w:r>
      <w:r w:rsidR="00E84B0E">
        <w:t>’</w:t>
      </w:r>
      <w:r>
        <w:t>intégration de l</w:t>
      </w:r>
      <w:r w:rsidR="00E84B0E">
        <w:t>’</w:t>
      </w:r>
      <w:r>
        <w:t>information.</w:t>
      </w:r>
    </w:p>
    <w:p w14:paraId="260783E8" w14:textId="77777777" w:rsidR="00065317" w:rsidRDefault="005C7BF7">
      <w:pPr>
        <w:pStyle w:val="Corpsdetexte"/>
      </w:pPr>
      <w:r>
        <w:rPr>
          <w:b/>
          <w:bCs/>
        </w:rPr>
        <w:t>Exemples</w:t>
      </w:r>
    </w:p>
    <w:p w14:paraId="095C24B7" w14:textId="3E802E00" w:rsidR="00065317" w:rsidRDefault="005C7BF7">
      <w:pPr>
        <w:numPr>
          <w:ilvl w:val="0"/>
          <w:numId w:val="211"/>
        </w:numPr>
      </w:pPr>
      <w:r>
        <w:t>L</w:t>
      </w:r>
      <w:r w:rsidR="00E84B0E">
        <w:t>’</w:t>
      </w:r>
      <w:r>
        <w:t xml:space="preserve">intervalle temporel du développement du </w:t>
      </w:r>
      <w:r w:rsidR="00C8288F">
        <w:t>CIDOC CRM</w:t>
      </w:r>
      <w:r>
        <w:t xml:space="preserve"> (</w:t>
      </w:r>
      <w:r>
        <w:rPr>
          <w:rStyle w:val="VerbatimChar"/>
        </w:rPr>
        <w:t>E52_Intervalle_temporel</w:t>
      </w:r>
      <w:r>
        <w:t>) a eu lieu à un moment entre (</w:t>
      </w:r>
      <w:r>
        <w:rPr>
          <w:rStyle w:val="VerbatimChar"/>
        </w:rPr>
        <w:t>P82_a_eu_lieu_durant</w:t>
      </w:r>
      <w:r>
        <w:t>) « 1992 et l</w:t>
      </w:r>
      <w:r w:rsidR="00E84B0E">
        <w:t>’</w:t>
      </w:r>
      <w:r>
        <w:t>infini » (</w:t>
      </w:r>
      <w:r>
        <w:rPr>
          <w:rStyle w:val="VerbatimChar"/>
        </w:rPr>
        <w:t>E61_Primitive_temporelle</w:t>
      </w:r>
      <w:r>
        <w:t>) (</w:t>
      </w:r>
      <w:r w:rsidR="003C7A4A">
        <w:t>Doerr</w:t>
      </w:r>
      <w:r>
        <w:t>, 2003)</w:t>
      </w:r>
    </w:p>
    <w:p w14:paraId="2EF93442" w14:textId="596DF24D" w:rsidR="00065317" w:rsidRDefault="005C7BF7">
      <w:pPr>
        <w:numPr>
          <w:ilvl w:val="0"/>
          <w:numId w:val="211"/>
        </w:numPr>
      </w:pPr>
      <w:r>
        <w:t>L</w:t>
      </w:r>
      <w:r w:rsidR="00E84B0E">
        <w:t>’</w:t>
      </w:r>
      <w:r>
        <w:t>intervalle temporel de la Bataille de Teutobourg (</w:t>
      </w:r>
      <w:r>
        <w:rPr>
          <w:rStyle w:val="VerbatimChar"/>
        </w:rPr>
        <w:t>E52_Intervalle_temporel</w:t>
      </w:r>
      <w:r>
        <w:t>) a eu lieu à un moment durant (</w:t>
      </w:r>
      <w:r>
        <w:rPr>
          <w:rStyle w:val="VerbatimChar"/>
        </w:rPr>
        <w:t>P82_a_eu_lieu_durant</w:t>
      </w:r>
      <w:r>
        <w:t>) le mois de</w:t>
      </w:r>
      <w:r w:rsidR="00056DCD">
        <w:t> septembre </w:t>
      </w:r>
      <w:r>
        <w:t>de l</w:t>
      </w:r>
      <w:r w:rsidR="00E84B0E">
        <w:t>’</w:t>
      </w:r>
      <w:r>
        <w:t>an 9 EC (</w:t>
      </w:r>
      <w:r>
        <w:rPr>
          <w:rStyle w:val="VerbatimChar"/>
        </w:rPr>
        <w:t>E61_Primitive_temporelle</w:t>
      </w:r>
      <w:r>
        <w:t xml:space="preserve">) (Andrews </w:t>
      </w:r>
      <w:r w:rsidR="009E23E3">
        <w:t xml:space="preserve">&amp; </w:t>
      </w:r>
      <w:r>
        <w:t>Kesteven, 1977)</w:t>
      </w:r>
    </w:p>
    <w:p w14:paraId="29568F29" w14:textId="5000470F" w:rsidR="00065317" w:rsidRDefault="005C7BF7">
      <w:pPr>
        <w:numPr>
          <w:ilvl w:val="0"/>
          <w:numId w:val="211"/>
        </w:numPr>
      </w:pPr>
      <w:r>
        <w:t>L</w:t>
      </w:r>
      <w:r w:rsidR="00E84B0E">
        <w:t>’</w:t>
      </w:r>
      <w:r>
        <w:t>intervalle temporel du décès de Toutânkhamon (</w:t>
      </w:r>
      <w:r>
        <w:rPr>
          <w:rStyle w:val="VerbatimChar"/>
        </w:rPr>
        <w:t>E52_Intervalle_temporel</w:t>
      </w:r>
      <w:r>
        <w:t>) a eu lieu à un moment entre (</w:t>
      </w:r>
      <w:r>
        <w:rPr>
          <w:rStyle w:val="VerbatimChar"/>
        </w:rPr>
        <w:t>P82_a_eu_lieu_durant</w:t>
      </w:r>
      <w:r>
        <w:t>) les mois de</w:t>
      </w:r>
      <w:r w:rsidR="00056DCD">
        <w:t> décembre </w:t>
      </w:r>
      <w:r>
        <w:t>1324 AEC et</w:t>
      </w:r>
      <w:r w:rsidR="00056DCD">
        <w:t> février </w:t>
      </w:r>
      <w:r>
        <w:t>1323 AEC (</w:t>
      </w:r>
      <w:r>
        <w:rPr>
          <w:rStyle w:val="VerbatimChar"/>
        </w:rPr>
        <w:t>E61_Primitive_temporelle</w:t>
      </w:r>
      <w:r>
        <w:t>) (Murdoch, 2003)</w:t>
      </w:r>
    </w:p>
    <w:p w14:paraId="78BEE0CC" w14:textId="0ADF588E" w:rsidR="00065317" w:rsidRDefault="005C7BF7">
      <w:pPr>
        <w:numPr>
          <w:ilvl w:val="0"/>
          <w:numId w:val="211"/>
        </w:numPr>
      </w:pPr>
      <w:r>
        <w:t>L</w:t>
      </w:r>
      <w:r w:rsidR="00E84B0E">
        <w:t>’</w:t>
      </w:r>
      <w:r>
        <w:t>intervalle temporel de la première Période intermédiaire de l</w:t>
      </w:r>
      <w:r w:rsidR="00E84B0E">
        <w:t>’</w:t>
      </w:r>
      <w:r>
        <w:t>Égypte antique (de la VII</w:t>
      </w:r>
      <w:r>
        <w:rPr>
          <w:vertAlign w:val="superscript"/>
        </w:rPr>
        <w:t>e</w:t>
      </w:r>
      <w:r>
        <w:t xml:space="preserve"> à la X</w:t>
      </w:r>
      <w:r>
        <w:rPr>
          <w:vertAlign w:val="superscript"/>
        </w:rPr>
        <w:t>e</w:t>
      </w:r>
      <w:r w:rsidR="000768F3">
        <w:t> </w:t>
      </w:r>
      <w:r>
        <w:t>dynastie) (</w:t>
      </w:r>
      <w:r>
        <w:rPr>
          <w:rStyle w:val="VerbatimChar"/>
        </w:rPr>
        <w:t>E52_Intervalle_temporel</w:t>
      </w:r>
      <w:r>
        <w:t>) a eu lieu à un moment durant (</w:t>
      </w:r>
      <w:r>
        <w:rPr>
          <w:rStyle w:val="VerbatimChar"/>
        </w:rPr>
        <w:t>P82_a_eu_lieu_durant</w:t>
      </w:r>
      <w:r>
        <w:t>) la période allant des années 2475 AEC à 2125 AEC (</w:t>
      </w:r>
      <w:r>
        <w:rPr>
          <w:rStyle w:val="VerbatimChar"/>
        </w:rPr>
        <w:t>E61_Primitive_temporelle</w:t>
      </w:r>
      <w:r>
        <w:t>) (Reid, 1993)</w:t>
      </w:r>
    </w:p>
    <w:p w14:paraId="4DC2E832" w14:textId="77777777" w:rsidR="00065317" w:rsidRDefault="005C7BF7">
      <w:pPr>
        <w:pStyle w:val="FirstParagraph"/>
      </w:pPr>
      <w:r>
        <w:rPr>
          <w:b/>
          <w:bCs/>
        </w:rPr>
        <w:t>Logique</w:t>
      </w:r>
    </w:p>
    <w:p w14:paraId="4952AA31" w14:textId="77777777" w:rsidR="00065317" w:rsidRDefault="005C7BF7">
      <w:pPr>
        <w:pStyle w:val="Corpsdetexte"/>
      </w:pPr>
      <w:r>
        <w:t>P82(x,y) ⇒ E52(x)</w:t>
      </w:r>
    </w:p>
    <w:p w14:paraId="03580673" w14:textId="77777777" w:rsidR="00065317" w:rsidRDefault="005C7BF7">
      <w:pPr>
        <w:pStyle w:val="Corpsdetexte"/>
      </w:pPr>
      <w:r>
        <w:t>P82(x,y) ⇒ E61(y)</w:t>
      </w:r>
    </w:p>
    <w:p w14:paraId="62FC2BCA" w14:textId="77777777" w:rsidR="00065317" w:rsidRDefault="005C7BF7">
      <w:pPr>
        <w:pStyle w:val="Corpsdetexte"/>
      </w:pPr>
      <w:r>
        <w:rPr>
          <w:b/>
          <w:bCs/>
        </w:rPr>
        <w:t>Propriétés</w:t>
      </w:r>
    </w:p>
    <w:p w14:paraId="7F28BF31" w14:textId="77777777" w:rsidR="00065317" w:rsidRDefault="005C7BF7">
      <w:pPr>
        <w:pStyle w:val="Normalcentr"/>
      </w:pPr>
      <w:r>
        <w:rPr>
          <w:b/>
          <w:bCs/>
          <w:i/>
          <w:iCs/>
        </w:rPr>
        <w:t>Note de traduction</w:t>
      </w:r>
    </w:p>
    <w:p w14:paraId="098FA6D1" w14:textId="3554EF51" w:rsidR="00FC2E07" w:rsidRDefault="005C7BF7" w:rsidP="00C97359">
      <w:pPr>
        <w:pStyle w:val="Normalcentr"/>
        <w:rPr>
          <w:b/>
          <w:bCs/>
          <w:i/>
          <w:iCs/>
        </w:rPr>
      </w:pPr>
      <w:r>
        <w:t>La traduction de « First Intermediate Period of Ancient Egypt » (« Première Période Intermédiaire de l</w:t>
      </w:r>
      <w:r w:rsidR="00E84B0E">
        <w:t>’</w:t>
      </w:r>
      <w:r>
        <w:t>Égypte antique »)</w:t>
      </w:r>
      <w:r w:rsidR="00806228">
        <w:t xml:space="preserve"> </w:t>
      </w:r>
      <w:r>
        <w:t>est issue de l</w:t>
      </w:r>
      <w:r w:rsidR="00E84B0E">
        <w:t>’</w:t>
      </w:r>
      <w:r>
        <w:t xml:space="preserve">ouvrage de Nicolas-Christophe Grimal </w:t>
      </w:r>
      <w:r>
        <w:rPr>
          <w:i/>
          <w:iCs/>
        </w:rPr>
        <w:t>Histoire de l</w:t>
      </w:r>
      <w:r w:rsidR="00E84B0E">
        <w:rPr>
          <w:i/>
          <w:iCs/>
        </w:rPr>
        <w:t>’</w:t>
      </w:r>
      <w:r>
        <w:rPr>
          <w:i/>
          <w:iCs/>
        </w:rPr>
        <w:t>Égypte ancienne</w:t>
      </w:r>
      <w:r>
        <w:t>.</w:t>
      </w:r>
    </w:p>
    <w:p w14:paraId="35E9D7E8" w14:textId="77777777" w:rsidR="00F54917" w:rsidRDefault="00F54917">
      <w:pPr>
        <w:spacing w:after="0"/>
        <w:rPr>
          <w:b/>
          <w:bCs/>
          <w:i/>
          <w:iCs/>
          <w:sz w:val="22"/>
        </w:rPr>
      </w:pPr>
      <w:r>
        <w:rPr>
          <w:b/>
          <w:bCs/>
          <w:i/>
          <w:iCs/>
        </w:rPr>
        <w:br w:type="page"/>
      </w:r>
    </w:p>
    <w:p w14:paraId="645C5D48" w14:textId="7DF1878B" w:rsidR="00065317" w:rsidRDefault="005C7BF7">
      <w:pPr>
        <w:pStyle w:val="Normalcentr"/>
      </w:pPr>
      <w:r>
        <w:rPr>
          <w:b/>
          <w:bCs/>
          <w:i/>
          <w:iCs/>
        </w:rPr>
        <w:lastRenderedPageBreak/>
        <w:t>Références</w:t>
      </w:r>
    </w:p>
    <w:p w14:paraId="46736D38" w14:textId="5281DC0D" w:rsidR="00065317" w:rsidRDefault="005C7BF7">
      <w:pPr>
        <w:pStyle w:val="Normalcentr"/>
      </w:pPr>
      <w:r>
        <w:t xml:space="preserve">Grimal, Nicolas-Christophe. </w:t>
      </w:r>
      <w:r>
        <w:rPr>
          <w:i/>
          <w:iCs/>
        </w:rPr>
        <w:t>Histoire de l</w:t>
      </w:r>
      <w:r w:rsidR="00E84B0E">
        <w:rPr>
          <w:i/>
          <w:iCs/>
        </w:rPr>
        <w:t>’</w:t>
      </w:r>
      <w:r>
        <w:rPr>
          <w:i/>
          <w:iCs/>
        </w:rPr>
        <w:t>Égypte ancienne</w:t>
      </w:r>
      <w:r>
        <w:t>. Paris: Fayard, 1988.</w:t>
      </w:r>
    </w:p>
    <w:p w14:paraId="5531E3EB" w14:textId="4F4A9E51" w:rsidR="00065317" w:rsidRDefault="005C7BF7" w:rsidP="00914F34">
      <w:pPr>
        <w:pStyle w:val="Titre3"/>
      </w:pPr>
      <w:bookmarkStart w:id="410" w:name="_Toc154048890"/>
      <w:bookmarkStart w:id="411" w:name="p86-sinsere-dans-(contient)"/>
      <w:bookmarkEnd w:id="409"/>
      <w:r>
        <w:t>P86 s</w:t>
      </w:r>
      <w:r w:rsidR="00E84B0E">
        <w:t>’</w:t>
      </w:r>
      <w:r>
        <w:t>insère dans (contient)</w:t>
      </w:r>
      <w:bookmarkEnd w:id="410"/>
    </w:p>
    <w:p w14:paraId="7601A1C2" w14:textId="77777777" w:rsidR="00065317" w:rsidRDefault="005C7BF7">
      <w:pPr>
        <w:pStyle w:val="FirstParagraph"/>
      </w:pPr>
      <w:r>
        <w:rPr>
          <w:b/>
          <w:bCs/>
        </w:rPr>
        <w:t>Domaine</w:t>
      </w:r>
    </w:p>
    <w:p w14:paraId="37A78531" w14:textId="77777777" w:rsidR="00065317" w:rsidRDefault="005C7BF7">
      <w:pPr>
        <w:pStyle w:val="Corpsdetexte"/>
      </w:pPr>
      <w:r>
        <w:rPr>
          <w:rStyle w:val="VerbatimChar"/>
        </w:rPr>
        <w:t>E52_Intervalle_temporel</w:t>
      </w:r>
    </w:p>
    <w:p w14:paraId="30AD6A11" w14:textId="77777777" w:rsidR="00065317" w:rsidRDefault="005C7BF7">
      <w:pPr>
        <w:pStyle w:val="Corpsdetexte"/>
      </w:pPr>
      <w:r>
        <w:rPr>
          <w:b/>
          <w:bCs/>
        </w:rPr>
        <w:t>Portée</w:t>
      </w:r>
    </w:p>
    <w:p w14:paraId="07CAC9AC" w14:textId="77777777" w:rsidR="00065317" w:rsidRDefault="005C7BF7">
      <w:pPr>
        <w:pStyle w:val="Corpsdetexte"/>
      </w:pPr>
      <w:r>
        <w:rPr>
          <w:rStyle w:val="VerbatimChar"/>
        </w:rPr>
        <w:t>E52_Intervalle_temporel</w:t>
      </w:r>
    </w:p>
    <w:p w14:paraId="09A78781" w14:textId="77777777" w:rsidR="00065317" w:rsidRDefault="005C7BF7">
      <w:pPr>
        <w:pStyle w:val="Corpsdetexte"/>
      </w:pPr>
      <w:r>
        <w:rPr>
          <w:b/>
          <w:bCs/>
        </w:rPr>
        <w:t>Sous-propriété de</w:t>
      </w:r>
    </w:p>
    <w:p w14:paraId="7B06264B" w14:textId="77777777" w:rsidR="00065317" w:rsidRDefault="005C7BF7">
      <w:pPr>
        <w:pStyle w:val="Corpsdetexte"/>
      </w:pPr>
      <w:r>
        <w:rPr>
          <w:b/>
          <w:bCs/>
        </w:rPr>
        <w:t>Super-propriété de</w:t>
      </w:r>
    </w:p>
    <w:p w14:paraId="35F8018F" w14:textId="77777777" w:rsidR="00065317" w:rsidRDefault="005C7BF7">
      <w:pPr>
        <w:pStyle w:val="Corpsdetexte"/>
      </w:pPr>
      <w:r>
        <w:rPr>
          <w:b/>
          <w:bCs/>
        </w:rPr>
        <w:t>Quantification</w:t>
      </w:r>
    </w:p>
    <w:p w14:paraId="06609D99" w14:textId="77777777" w:rsidR="00065317" w:rsidRDefault="005C7BF7">
      <w:pPr>
        <w:pStyle w:val="Corpsdetexte"/>
      </w:pPr>
      <w:r>
        <w:t>plusieurs à plusieurs (0,n:0,n)</w:t>
      </w:r>
    </w:p>
    <w:p w14:paraId="438AB778" w14:textId="653F5EFE" w:rsidR="00065317" w:rsidRDefault="005C7BF7">
      <w:pPr>
        <w:pStyle w:val="Corpsdetexte"/>
      </w:pPr>
      <w:r>
        <w:rPr>
          <w:b/>
          <w:bCs/>
        </w:rPr>
        <w:t>Note d</w:t>
      </w:r>
      <w:r w:rsidR="00E84B0E">
        <w:rPr>
          <w:b/>
          <w:bCs/>
        </w:rPr>
        <w:t>’</w:t>
      </w:r>
      <w:r>
        <w:rPr>
          <w:b/>
          <w:bCs/>
        </w:rPr>
        <w:t>application</w:t>
      </w:r>
    </w:p>
    <w:p w14:paraId="3BAD5BF9" w14:textId="74E5F508" w:rsidR="00065317" w:rsidRDefault="005C7BF7">
      <w:pPr>
        <w:pStyle w:val="Corpsdetexte"/>
      </w:pPr>
      <w:r>
        <w:t>Cette propriété décrit la relation d</w:t>
      </w:r>
      <w:r w:rsidR="00E84B0E">
        <w:t>’</w:t>
      </w:r>
      <w:r>
        <w:t xml:space="preserve">inclusion entre deux instances de </w:t>
      </w:r>
      <w:r>
        <w:rPr>
          <w:rStyle w:val="VerbatimChar"/>
        </w:rPr>
        <w:t>E52_Intervalle_temporel</w:t>
      </w:r>
      <w:r>
        <w:t>.</w:t>
      </w:r>
    </w:p>
    <w:p w14:paraId="04AE3015" w14:textId="3E668626" w:rsidR="00065317" w:rsidRDefault="005C7BF7">
      <w:pPr>
        <w:pStyle w:val="Corpsdetexte"/>
      </w:pPr>
      <w:r>
        <w:t>Cette propriété soutient l</w:t>
      </w:r>
      <w:r w:rsidR="00E84B0E">
        <w:t>’</w:t>
      </w:r>
      <w:r>
        <w:t>idée que l</w:t>
      </w:r>
      <w:r w:rsidR="00E84B0E">
        <w:t>’</w:t>
      </w:r>
      <w:r>
        <w:t>étendue temporelle d</w:t>
      </w:r>
      <w:r w:rsidR="00E84B0E">
        <w:t>’</w:t>
      </w:r>
      <w:r>
        <w:t xml:space="preserve">une instance de </w:t>
      </w:r>
      <w:r>
        <w:rPr>
          <w:rStyle w:val="VerbatimChar"/>
        </w:rPr>
        <w:t>E52_Intervalle_temporel</w:t>
      </w:r>
      <w:r>
        <w:t xml:space="preserve"> s</w:t>
      </w:r>
      <w:r w:rsidR="00E84B0E">
        <w:t>’</w:t>
      </w:r>
      <w:r>
        <w:t>insère dans l</w:t>
      </w:r>
      <w:r w:rsidR="00E84B0E">
        <w:t>’</w:t>
      </w:r>
      <w:r>
        <w:t>étendue temporelle d</w:t>
      </w:r>
      <w:r w:rsidR="00E84B0E">
        <w:t>’</w:t>
      </w:r>
      <w:r>
        <w:t xml:space="preserve">une autre instance de </w:t>
      </w:r>
      <w:r>
        <w:rPr>
          <w:rStyle w:val="VerbatimChar"/>
        </w:rPr>
        <w:t>E52_Intervalle_temporel</w:t>
      </w:r>
      <w:r>
        <w:t xml:space="preserve">. La propriété </w:t>
      </w:r>
      <w:r>
        <w:rPr>
          <w:rStyle w:val="VerbatimChar"/>
        </w:rPr>
        <w:t>P86_s</w:t>
      </w:r>
      <w:r w:rsidR="00E84B0E">
        <w:rPr>
          <w:rStyle w:val="VerbatimChar"/>
        </w:rPr>
        <w:t>’</w:t>
      </w:r>
      <w:r>
        <w:rPr>
          <w:rStyle w:val="VerbatimChar"/>
        </w:rPr>
        <w:t>insère_dans (contient)</w:t>
      </w:r>
      <w:r>
        <w:t xml:space="preserve"> ne traite que de l</w:t>
      </w:r>
      <w:r w:rsidR="00E84B0E">
        <w:t>’</w:t>
      </w:r>
      <w:r>
        <w:t>inclusion temporelle, et n</w:t>
      </w:r>
      <w:r w:rsidR="00E84B0E">
        <w:t>’</w:t>
      </w:r>
      <w:r>
        <w:t xml:space="preserve">implique aucun lien contextuel entre les deux instances de </w:t>
      </w:r>
      <w:r>
        <w:rPr>
          <w:rStyle w:val="VerbatimChar"/>
        </w:rPr>
        <w:t>E52_Intervalle_temporel</w:t>
      </w:r>
      <w:r>
        <w:t>.</w:t>
      </w:r>
    </w:p>
    <w:p w14:paraId="29775A31" w14:textId="77777777" w:rsidR="00065317" w:rsidRDefault="005C7BF7">
      <w:pPr>
        <w:pStyle w:val="Corpsdetexte"/>
      </w:pPr>
      <w:r>
        <w:t>Cette propriété est transitive et réflexive.</w:t>
      </w:r>
    </w:p>
    <w:p w14:paraId="62CBC4FE" w14:textId="77777777" w:rsidR="00065317" w:rsidRDefault="005C7BF7">
      <w:pPr>
        <w:pStyle w:val="Corpsdetexte"/>
      </w:pPr>
      <w:r>
        <w:rPr>
          <w:b/>
          <w:bCs/>
        </w:rPr>
        <w:t>Exemples</w:t>
      </w:r>
    </w:p>
    <w:p w14:paraId="3E513125" w14:textId="736657B2" w:rsidR="00065317" w:rsidRDefault="005C7BF7">
      <w:pPr>
        <w:numPr>
          <w:ilvl w:val="0"/>
          <w:numId w:val="212"/>
        </w:numPr>
      </w:pPr>
      <w:r>
        <w:t>L</w:t>
      </w:r>
      <w:r w:rsidR="00E84B0E">
        <w:t>’</w:t>
      </w:r>
      <w:r>
        <w:t>intervalle temporel de la mission lunaire Apollo 11 (</w:t>
      </w:r>
      <w:r>
        <w:rPr>
          <w:rStyle w:val="VerbatimChar"/>
        </w:rPr>
        <w:t>E52_Intervalle_temporel</w:t>
      </w:r>
      <w:r>
        <w:t>) s</w:t>
      </w:r>
      <w:r w:rsidR="00E84B0E">
        <w:t>’</w:t>
      </w:r>
      <w:r>
        <w:t>insère dans (</w:t>
      </w:r>
      <w:r>
        <w:rPr>
          <w:rStyle w:val="VerbatimChar"/>
        </w:rPr>
        <w:t>P86_s</w:t>
      </w:r>
      <w:r w:rsidR="00E84B0E">
        <w:rPr>
          <w:rStyle w:val="VerbatimChar"/>
        </w:rPr>
        <w:t>’</w:t>
      </w:r>
      <w:r>
        <w:rPr>
          <w:rStyle w:val="VerbatimChar"/>
        </w:rPr>
        <w:t>insère_dans</w:t>
      </w:r>
      <w:r>
        <w:t>) le règne de la reine Elizabeth II (</w:t>
      </w:r>
      <w:r>
        <w:rPr>
          <w:rStyle w:val="VerbatimChar"/>
        </w:rPr>
        <w:t>E52_Intervalle_temporel</w:t>
      </w:r>
      <w:r>
        <w:t>) (Riley, 2009) (Robinson, 2000)</w:t>
      </w:r>
    </w:p>
    <w:p w14:paraId="4BD72F5C" w14:textId="77777777" w:rsidR="00065317" w:rsidRDefault="005C7BF7">
      <w:pPr>
        <w:pStyle w:val="FirstParagraph"/>
      </w:pPr>
      <w:r>
        <w:rPr>
          <w:b/>
          <w:bCs/>
        </w:rPr>
        <w:t>Logique</w:t>
      </w:r>
    </w:p>
    <w:p w14:paraId="1940AAE0" w14:textId="77777777" w:rsidR="00065317" w:rsidRDefault="005C7BF7">
      <w:pPr>
        <w:pStyle w:val="Corpsdetexte"/>
      </w:pPr>
      <w:r>
        <w:t>P86(x,y) ⇒ E52(x)</w:t>
      </w:r>
    </w:p>
    <w:p w14:paraId="60E80DAB" w14:textId="77777777" w:rsidR="00065317" w:rsidRDefault="005C7BF7">
      <w:pPr>
        <w:pStyle w:val="Corpsdetexte"/>
      </w:pPr>
      <w:r>
        <w:t>P86(x,y) ⇒ E52(y)</w:t>
      </w:r>
    </w:p>
    <w:p w14:paraId="41613F19" w14:textId="77777777" w:rsidR="00065317" w:rsidRDefault="005C7BF7">
      <w:pPr>
        <w:pStyle w:val="Corpsdetexte"/>
      </w:pPr>
      <w:r>
        <w:t>[P86(x,y) ∧ P86(y,z)] ⇒ P86(x,z)</w:t>
      </w:r>
    </w:p>
    <w:p w14:paraId="4ABE8417" w14:textId="77777777" w:rsidR="00065317" w:rsidRDefault="005C7BF7">
      <w:pPr>
        <w:pStyle w:val="Corpsdetexte"/>
      </w:pPr>
      <w:r>
        <w:t>P86(x,x)</w:t>
      </w:r>
    </w:p>
    <w:p w14:paraId="09DE3050" w14:textId="77777777" w:rsidR="00065317" w:rsidRDefault="005C7BF7">
      <w:pPr>
        <w:pStyle w:val="Corpsdetexte"/>
      </w:pPr>
      <w:r>
        <w:rPr>
          <w:b/>
          <w:bCs/>
        </w:rPr>
        <w:t>Propriétés</w:t>
      </w:r>
    </w:p>
    <w:p w14:paraId="2BF02B41" w14:textId="77777777" w:rsidR="00065317" w:rsidRDefault="005C7BF7">
      <w:pPr>
        <w:pStyle w:val="Normalcentr"/>
      </w:pPr>
      <w:r>
        <w:rPr>
          <w:b/>
          <w:bCs/>
          <w:i/>
          <w:iCs/>
        </w:rPr>
        <w:t>Note de traduction</w:t>
      </w:r>
    </w:p>
    <w:p w14:paraId="2FAF2197" w14:textId="0C2985E8" w:rsidR="00065317" w:rsidRDefault="005C7BF7" w:rsidP="00806228">
      <w:pPr>
        <w:pStyle w:val="Normalcentr"/>
      </w:pPr>
      <w:r>
        <w:rPr>
          <w:b/>
          <w:bCs/>
          <w:i/>
          <w:iCs/>
        </w:rPr>
        <w:t>Références</w:t>
      </w:r>
    </w:p>
    <w:p w14:paraId="6CA87B4A" w14:textId="6BCC62D0" w:rsidR="00065317" w:rsidRDefault="005C7BF7" w:rsidP="00914F34">
      <w:pPr>
        <w:pStyle w:val="Titre3"/>
      </w:pPr>
      <w:bookmarkStart w:id="412" w:name="_Toc154048891"/>
      <w:bookmarkStart w:id="413" w:name="p89-s'insere-dans-(contient)"/>
      <w:bookmarkEnd w:id="411"/>
      <w:r>
        <w:t>P89 s</w:t>
      </w:r>
      <w:r w:rsidR="00E84B0E">
        <w:t>’</w:t>
      </w:r>
      <w:r>
        <w:t>insère dans (contient)</w:t>
      </w:r>
      <w:bookmarkEnd w:id="412"/>
    </w:p>
    <w:p w14:paraId="168EB322" w14:textId="77777777" w:rsidR="00065317" w:rsidRDefault="005C7BF7">
      <w:pPr>
        <w:pStyle w:val="FirstParagraph"/>
      </w:pPr>
      <w:r>
        <w:rPr>
          <w:b/>
          <w:bCs/>
        </w:rPr>
        <w:t>Domaine</w:t>
      </w:r>
    </w:p>
    <w:p w14:paraId="7B7ACC88" w14:textId="77777777" w:rsidR="00065317" w:rsidRDefault="005C7BF7">
      <w:pPr>
        <w:pStyle w:val="Corpsdetexte"/>
      </w:pPr>
      <w:r>
        <w:rPr>
          <w:rStyle w:val="VerbatimChar"/>
        </w:rPr>
        <w:t>E53_Lieu</w:t>
      </w:r>
    </w:p>
    <w:p w14:paraId="31056B8D" w14:textId="77777777" w:rsidR="00065317" w:rsidRDefault="005C7BF7">
      <w:pPr>
        <w:pStyle w:val="Corpsdetexte"/>
      </w:pPr>
      <w:r>
        <w:rPr>
          <w:b/>
          <w:bCs/>
        </w:rPr>
        <w:lastRenderedPageBreak/>
        <w:t>Portée</w:t>
      </w:r>
    </w:p>
    <w:p w14:paraId="37FBDAA9" w14:textId="77777777" w:rsidR="00065317" w:rsidRDefault="005C7BF7">
      <w:pPr>
        <w:pStyle w:val="Corpsdetexte"/>
      </w:pPr>
      <w:r>
        <w:rPr>
          <w:rStyle w:val="VerbatimChar"/>
        </w:rPr>
        <w:t>E53_Lieu</w:t>
      </w:r>
    </w:p>
    <w:p w14:paraId="54006873" w14:textId="77777777" w:rsidR="00065317" w:rsidRDefault="005C7BF7">
      <w:pPr>
        <w:pStyle w:val="Corpsdetexte"/>
      </w:pPr>
      <w:r>
        <w:rPr>
          <w:b/>
          <w:bCs/>
        </w:rPr>
        <w:t>Sous-propriété de</w:t>
      </w:r>
    </w:p>
    <w:p w14:paraId="2EB3E290" w14:textId="77777777" w:rsidR="00065317" w:rsidRDefault="005C7BF7">
      <w:pPr>
        <w:pStyle w:val="Corpsdetexte"/>
      </w:pPr>
      <w:r>
        <w:rPr>
          <w:b/>
          <w:bCs/>
        </w:rPr>
        <w:t>Super-propriété de</w:t>
      </w:r>
    </w:p>
    <w:p w14:paraId="46077F89" w14:textId="77777777" w:rsidR="00065317" w:rsidRDefault="005C7BF7">
      <w:pPr>
        <w:pStyle w:val="Corpsdetexte"/>
      </w:pPr>
      <w:r>
        <w:rPr>
          <w:b/>
          <w:bCs/>
        </w:rPr>
        <w:t>Quantification</w:t>
      </w:r>
    </w:p>
    <w:p w14:paraId="28B480B7" w14:textId="77777777" w:rsidR="00065317" w:rsidRDefault="005C7BF7">
      <w:pPr>
        <w:pStyle w:val="Corpsdetexte"/>
      </w:pPr>
      <w:r>
        <w:t>plusieurs à plusieurs, nécessaire, dépendant (1,n:0,n)</w:t>
      </w:r>
    </w:p>
    <w:p w14:paraId="2FBAAD12" w14:textId="2D53EE92" w:rsidR="00065317" w:rsidRDefault="005C7BF7">
      <w:pPr>
        <w:pStyle w:val="Corpsdetexte"/>
      </w:pPr>
      <w:r>
        <w:rPr>
          <w:b/>
          <w:bCs/>
        </w:rPr>
        <w:t>Note d</w:t>
      </w:r>
      <w:r w:rsidR="00E84B0E">
        <w:rPr>
          <w:b/>
          <w:bCs/>
        </w:rPr>
        <w:t>’</w:t>
      </w:r>
      <w:r>
        <w:rPr>
          <w:b/>
          <w:bCs/>
        </w:rPr>
        <w:t>application</w:t>
      </w:r>
    </w:p>
    <w:p w14:paraId="278E550C" w14:textId="5183DD40" w:rsidR="00065317" w:rsidRDefault="005C7BF7">
      <w:pPr>
        <w:pStyle w:val="Corpsdetexte"/>
      </w:pPr>
      <w:r>
        <w:t xml:space="preserve">Cette propriété identifie une instance de </w:t>
      </w:r>
      <w:r>
        <w:rPr>
          <w:rStyle w:val="VerbatimChar"/>
        </w:rPr>
        <w:t>E53_Lieu</w:t>
      </w:r>
      <w:r>
        <w:t xml:space="preserve"> qui s</w:t>
      </w:r>
      <w:r w:rsidR="00E84B0E">
        <w:t>’</w:t>
      </w:r>
      <w:r>
        <w:t>insère complètement dans l</w:t>
      </w:r>
      <w:r w:rsidR="00E84B0E">
        <w:t>’</w:t>
      </w:r>
      <w:r>
        <w:t>étendue d</w:t>
      </w:r>
      <w:r w:rsidR="00E84B0E">
        <w:t>’</w:t>
      </w:r>
      <w:r>
        <w:t xml:space="preserve">une autre instance de </w:t>
      </w:r>
      <w:r>
        <w:rPr>
          <w:rStyle w:val="VerbatimChar"/>
        </w:rPr>
        <w:t>E53_Lieu</w:t>
      </w:r>
      <w:r>
        <w:t>.</w:t>
      </w:r>
    </w:p>
    <w:p w14:paraId="1A61681B" w14:textId="7BED6B28" w:rsidR="00065317" w:rsidRDefault="005C7BF7">
      <w:pPr>
        <w:pStyle w:val="Corpsdetexte"/>
      </w:pPr>
      <w:r>
        <w:t>Cette propriété ne concerne que le confinement d</w:t>
      </w:r>
      <w:r w:rsidR="00E84B0E">
        <w:t>’</w:t>
      </w:r>
      <w:r>
        <w:t>un lieu dans un autre, et n</w:t>
      </w:r>
      <w:r w:rsidR="00E84B0E">
        <w:t>’</w:t>
      </w:r>
      <w:r>
        <w:t>implique aucune relation entre les choses présentes dans ces lieux ou les phénomènes s</w:t>
      </w:r>
      <w:r w:rsidR="00E84B0E">
        <w:t>’</w:t>
      </w:r>
      <w:r>
        <w:t>y produisant.</w:t>
      </w:r>
    </w:p>
    <w:p w14:paraId="25E396DF" w14:textId="77777777" w:rsidR="00065317" w:rsidRDefault="005C7BF7">
      <w:pPr>
        <w:pStyle w:val="Corpsdetexte"/>
      </w:pPr>
      <w:r>
        <w:t>Cette propriété est transitive et réflexive.</w:t>
      </w:r>
    </w:p>
    <w:p w14:paraId="271FB24B" w14:textId="77777777" w:rsidR="00065317" w:rsidRDefault="005C7BF7">
      <w:pPr>
        <w:pStyle w:val="Corpsdetexte"/>
      </w:pPr>
      <w:r>
        <w:rPr>
          <w:b/>
          <w:bCs/>
        </w:rPr>
        <w:t>Exemples</w:t>
      </w:r>
    </w:p>
    <w:p w14:paraId="0607B374" w14:textId="3F8C2173" w:rsidR="00065317" w:rsidRDefault="005C7BF7">
      <w:pPr>
        <w:numPr>
          <w:ilvl w:val="0"/>
          <w:numId w:val="213"/>
        </w:numPr>
      </w:pPr>
      <w:r>
        <w:t>Le lieu couvert par le site du patrimoine mondial Stonehenge (</w:t>
      </w:r>
      <w:r>
        <w:rPr>
          <w:rStyle w:val="VerbatimChar"/>
        </w:rPr>
        <w:t>E53_Lieu</w:t>
      </w:r>
      <w:r>
        <w:t>) s</w:t>
      </w:r>
      <w:r w:rsidR="00E84B0E">
        <w:t>’</w:t>
      </w:r>
      <w:r>
        <w:t>insère dans (</w:t>
      </w:r>
      <w:r>
        <w:rPr>
          <w:rStyle w:val="VerbatimChar"/>
        </w:rPr>
        <w:t>P89_s</w:t>
      </w:r>
      <w:r w:rsidR="00E84B0E">
        <w:rPr>
          <w:rStyle w:val="VerbatimChar"/>
        </w:rPr>
        <w:t>’</w:t>
      </w:r>
      <w:r>
        <w:rPr>
          <w:rStyle w:val="VerbatimChar"/>
        </w:rPr>
        <w:t>insère_dans</w:t>
      </w:r>
      <w:r>
        <w:t>) l</w:t>
      </w:r>
      <w:r w:rsidR="00E84B0E">
        <w:t>’</w:t>
      </w:r>
      <w:r>
        <w:t>espace de Salisbury Plain (</w:t>
      </w:r>
      <w:r>
        <w:rPr>
          <w:rStyle w:val="VerbatimChar"/>
        </w:rPr>
        <w:t>E53_Lieu</w:t>
      </w:r>
      <w:r>
        <w:t>) (Pryor, 2016)</w:t>
      </w:r>
    </w:p>
    <w:p w14:paraId="707C1233" w14:textId="77777777" w:rsidR="00065317" w:rsidRDefault="005C7BF7">
      <w:pPr>
        <w:pStyle w:val="FirstParagraph"/>
      </w:pPr>
      <w:r>
        <w:rPr>
          <w:b/>
          <w:bCs/>
        </w:rPr>
        <w:t>Logique</w:t>
      </w:r>
    </w:p>
    <w:p w14:paraId="62D31D0B" w14:textId="77777777" w:rsidR="00065317" w:rsidRDefault="005C7BF7">
      <w:pPr>
        <w:pStyle w:val="Corpsdetexte"/>
      </w:pPr>
      <w:r>
        <w:t>P89(x,y) ⇒ E53(x)</w:t>
      </w:r>
    </w:p>
    <w:p w14:paraId="580E2C33" w14:textId="77777777" w:rsidR="00065317" w:rsidRDefault="005C7BF7">
      <w:pPr>
        <w:pStyle w:val="Corpsdetexte"/>
      </w:pPr>
      <w:r>
        <w:t>P89(x,y) ⇒ E53(y)</w:t>
      </w:r>
    </w:p>
    <w:p w14:paraId="32C28E60" w14:textId="77777777" w:rsidR="00065317" w:rsidRDefault="005C7BF7">
      <w:pPr>
        <w:pStyle w:val="Corpsdetexte"/>
      </w:pPr>
      <w:r>
        <w:t>[P89(x,y) ∧ P89(y,z)] ⇒ P89(x,z)</w:t>
      </w:r>
    </w:p>
    <w:p w14:paraId="6CDCB74A" w14:textId="77777777" w:rsidR="00065317" w:rsidRDefault="005C7BF7">
      <w:pPr>
        <w:pStyle w:val="Corpsdetexte"/>
      </w:pPr>
      <w:r>
        <w:t>P89(x,x)</w:t>
      </w:r>
    </w:p>
    <w:p w14:paraId="6A70777C" w14:textId="77777777" w:rsidR="00065317" w:rsidRDefault="005C7BF7">
      <w:pPr>
        <w:pStyle w:val="Corpsdetexte"/>
      </w:pPr>
      <w:r>
        <w:rPr>
          <w:b/>
          <w:bCs/>
        </w:rPr>
        <w:t>Propriétés</w:t>
      </w:r>
    </w:p>
    <w:p w14:paraId="77A4B592" w14:textId="77777777" w:rsidR="00065317" w:rsidRDefault="005C7BF7">
      <w:pPr>
        <w:pStyle w:val="Normalcentr"/>
      </w:pPr>
      <w:r>
        <w:rPr>
          <w:b/>
          <w:bCs/>
          <w:i/>
          <w:iCs/>
        </w:rPr>
        <w:t>Note de traduction</w:t>
      </w:r>
    </w:p>
    <w:p w14:paraId="39D00E33" w14:textId="3002D0C7" w:rsidR="00065317" w:rsidRDefault="005C7BF7" w:rsidP="00806228">
      <w:pPr>
        <w:pStyle w:val="Normalcentr"/>
      </w:pPr>
      <w:r>
        <w:rPr>
          <w:b/>
          <w:bCs/>
          <w:i/>
          <w:iCs/>
        </w:rPr>
        <w:t>Références</w:t>
      </w:r>
    </w:p>
    <w:p w14:paraId="7DBD8467" w14:textId="77777777" w:rsidR="00065317" w:rsidRDefault="005C7BF7" w:rsidP="00914F34">
      <w:pPr>
        <w:pStyle w:val="Titre3"/>
      </w:pPr>
      <w:bookmarkStart w:id="414" w:name="_Toc154048892"/>
      <w:bookmarkStart w:id="415" w:name="p90-a-pour-valeur"/>
      <w:bookmarkEnd w:id="413"/>
      <w:r>
        <w:t>P90 a pour valeur</w:t>
      </w:r>
      <w:bookmarkEnd w:id="414"/>
    </w:p>
    <w:p w14:paraId="6A8D675D" w14:textId="77777777" w:rsidR="00065317" w:rsidRDefault="005C7BF7">
      <w:pPr>
        <w:pStyle w:val="FirstParagraph"/>
      </w:pPr>
      <w:r>
        <w:rPr>
          <w:b/>
          <w:bCs/>
        </w:rPr>
        <w:t>Domaine</w:t>
      </w:r>
    </w:p>
    <w:p w14:paraId="4DC3560B" w14:textId="77777777" w:rsidR="00065317" w:rsidRDefault="005C7BF7">
      <w:pPr>
        <w:pStyle w:val="Corpsdetexte"/>
      </w:pPr>
      <w:r>
        <w:rPr>
          <w:rStyle w:val="VerbatimChar"/>
        </w:rPr>
        <w:t>E54_Dimension</w:t>
      </w:r>
    </w:p>
    <w:p w14:paraId="59C8B61E" w14:textId="77777777" w:rsidR="00065317" w:rsidRDefault="005C7BF7">
      <w:pPr>
        <w:pStyle w:val="Corpsdetexte"/>
      </w:pPr>
      <w:r>
        <w:rPr>
          <w:b/>
          <w:bCs/>
        </w:rPr>
        <w:t>Portée</w:t>
      </w:r>
    </w:p>
    <w:p w14:paraId="03FF79BD" w14:textId="77777777" w:rsidR="00065317" w:rsidRDefault="005C7BF7">
      <w:pPr>
        <w:pStyle w:val="Corpsdetexte"/>
      </w:pPr>
      <w:r>
        <w:rPr>
          <w:rStyle w:val="VerbatimChar"/>
        </w:rPr>
        <w:t>E60_Nombre</w:t>
      </w:r>
    </w:p>
    <w:p w14:paraId="7AEDFD28" w14:textId="77777777" w:rsidR="00065317" w:rsidRDefault="005C7BF7">
      <w:pPr>
        <w:pStyle w:val="Corpsdetexte"/>
      </w:pPr>
      <w:r>
        <w:rPr>
          <w:b/>
          <w:bCs/>
        </w:rPr>
        <w:t>Sous-propriété de</w:t>
      </w:r>
    </w:p>
    <w:p w14:paraId="1715DBE6" w14:textId="77777777" w:rsidR="00065317" w:rsidRDefault="005C7BF7">
      <w:pPr>
        <w:pStyle w:val="Corpsdetexte"/>
      </w:pPr>
      <w:r>
        <w:rPr>
          <w:b/>
          <w:bCs/>
        </w:rPr>
        <w:t>Super-propriété de</w:t>
      </w:r>
    </w:p>
    <w:p w14:paraId="3CA1BD7A" w14:textId="77777777" w:rsidR="00065317" w:rsidRDefault="005C7BF7">
      <w:pPr>
        <w:pStyle w:val="Corpsdetexte"/>
      </w:pPr>
      <w:r>
        <w:rPr>
          <w:b/>
          <w:bCs/>
        </w:rPr>
        <w:t>Quantification</w:t>
      </w:r>
    </w:p>
    <w:p w14:paraId="23EED0A2" w14:textId="77777777" w:rsidR="00065317" w:rsidRDefault="005C7BF7">
      <w:pPr>
        <w:pStyle w:val="Corpsdetexte"/>
      </w:pPr>
      <w:r>
        <w:t>plusieurs à un, nécessaire (1,1:0,n)</w:t>
      </w:r>
    </w:p>
    <w:p w14:paraId="1BC68C21" w14:textId="6273C183" w:rsidR="00065317" w:rsidRDefault="005C7BF7">
      <w:pPr>
        <w:pStyle w:val="Corpsdetexte"/>
      </w:pPr>
      <w:r>
        <w:rPr>
          <w:b/>
          <w:bCs/>
        </w:rPr>
        <w:lastRenderedPageBreak/>
        <w:t>Note d</w:t>
      </w:r>
      <w:r w:rsidR="00E84B0E">
        <w:rPr>
          <w:b/>
          <w:bCs/>
        </w:rPr>
        <w:t>’</w:t>
      </w:r>
      <w:r>
        <w:rPr>
          <w:b/>
          <w:bCs/>
        </w:rPr>
        <w:t>application</w:t>
      </w:r>
    </w:p>
    <w:p w14:paraId="2AFA8716" w14:textId="0B3AB23D" w:rsidR="00065317" w:rsidRDefault="005C7BF7">
      <w:pPr>
        <w:pStyle w:val="Corpsdetexte"/>
      </w:pPr>
      <w:r>
        <w:t xml:space="preserve">Cette propriété permet à une instance de </w:t>
      </w:r>
      <w:r>
        <w:rPr>
          <w:rStyle w:val="VerbatimChar"/>
        </w:rPr>
        <w:t>E54_Dimension</w:t>
      </w:r>
      <w:r>
        <w:t xml:space="preserve"> d</w:t>
      </w:r>
      <w:r w:rsidR="00E84B0E">
        <w:t>’</w:t>
      </w:r>
      <w:r>
        <w:t xml:space="preserve">être approximée par une instance de </w:t>
      </w:r>
      <w:r>
        <w:rPr>
          <w:rStyle w:val="VerbatimChar"/>
        </w:rPr>
        <w:t>E60_Nombre</w:t>
      </w:r>
      <w:r>
        <w:t>.</w:t>
      </w:r>
    </w:p>
    <w:p w14:paraId="681D1A33" w14:textId="77777777" w:rsidR="00065317" w:rsidRDefault="005C7BF7">
      <w:pPr>
        <w:pStyle w:val="Corpsdetexte"/>
      </w:pPr>
      <w:r>
        <w:rPr>
          <w:b/>
          <w:bCs/>
        </w:rPr>
        <w:t>Exemples</w:t>
      </w:r>
    </w:p>
    <w:p w14:paraId="3F83141C" w14:textId="77101E4F" w:rsidR="00065317" w:rsidRDefault="005C7BF7">
      <w:pPr>
        <w:numPr>
          <w:ilvl w:val="0"/>
          <w:numId w:val="214"/>
        </w:numPr>
      </w:pPr>
      <w:r>
        <w:t>Hauteur de la coupe en argent « 232 » (</w:t>
      </w:r>
      <w:r>
        <w:rPr>
          <w:rStyle w:val="VerbatimChar"/>
        </w:rPr>
        <w:t>E54_Dimension</w:t>
      </w:r>
      <w:r>
        <w:t>) a pour valeur (</w:t>
      </w:r>
      <w:r>
        <w:rPr>
          <w:rStyle w:val="VerbatimChar"/>
        </w:rPr>
        <w:t>P90_a_pour_valeur</w:t>
      </w:r>
      <w:r>
        <w:t>) 226 (</w:t>
      </w:r>
      <w:r>
        <w:rPr>
          <w:rStyle w:val="VerbatimChar"/>
        </w:rPr>
        <w:t>E60_Nombre</w:t>
      </w:r>
      <w:r>
        <w:t>) (fictif)</w:t>
      </w:r>
    </w:p>
    <w:p w14:paraId="22A73A22" w14:textId="1884F2E6" w:rsidR="00065317" w:rsidRDefault="005C7BF7">
      <w:pPr>
        <w:numPr>
          <w:ilvl w:val="0"/>
          <w:numId w:val="214"/>
        </w:numPr>
      </w:pPr>
      <w:r>
        <w:t>Le prix d</w:t>
      </w:r>
      <w:r w:rsidR="00E84B0E">
        <w:t>’</w:t>
      </w:r>
      <w:r>
        <w:t>adjudication par Christie</w:t>
      </w:r>
      <w:r w:rsidR="00E84B0E">
        <w:t>’</w:t>
      </w:r>
      <w:r>
        <w:t>s de l</w:t>
      </w:r>
      <w:r w:rsidR="00E84B0E">
        <w:t>’</w:t>
      </w:r>
      <w:r>
        <w:t xml:space="preserve">œuvre peinte </w:t>
      </w:r>
      <w:r>
        <w:rPr>
          <w:i/>
          <w:iCs/>
        </w:rPr>
        <w:t>Vase avec quinze tournesols</w:t>
      </w:r>
      <w:r>
        <w:t xml:space="preserve"> (</w:t>
      </w:r>
      <w:r>
        <w:rPr>
          <w:rStyle w:val="VerbatimChar"/>
        </w:rPr>
        <w:t>E97_Valeur_monétaire</w:t>
      </w:r>
      <w:r>
        <w:t>) a pour valeur (</w:t>
      </w:r>
      <w:r>
        <w:rPr>
          <w:rStyle w:val="VerbatimChar"/>
        </w:rPr>
        <w:t>P90_a_pour_valeur</w:t>
      </w:r>
      <w:r>
        <w:t>) 24 750 000 (</w:t>
      </w:r>
      <w:r>
        <w:rPr>
          <w:rStyle w:val="VerbatimChar"/>
        </w:rPr>
        <w:t>E60_Nombre</w:t>
      </w:r>
      <w:r>
        <w:t>)</w:t>
      </w:r>
    </w:p>
    <w:p w14:paraId="046DFA87" w14:textId="77777777" w:rsidR="00065317" w:rsidRDefault="005C7BF7">
      <w:pPr>
        <w:pStyle w:val="FirstParagraph"/>
      </w:pPr>
      <w:r>
        <w:rPr>
          <w:b/>
          <w:bCs/>
        </w:rPr>
        <w:t>Logique</w:t>
      </w:r>
    </w:p>
    <w:p w14:paraId="0A30CE29" w14:textId="77777777" w:rsidR="00065317" w:rsidRDefault="005C7BF7">
      <w:pPr>
        <w:pStyle w:val="Corpsdetexte"/>
      </w:pPr>
      <w:r>
        <w:t>P90(x,y) ⇒ E54(x)</w:t>
      </w:r>
    </w:p>
    <w:p w14:paraId="0D61A874" w14:textId="77777777" w:rsidR="00065317" w:rsidRDefault="005C7BF7">
      <w:pPr>
        <w:pStyle w:val="Corpsdetexte"/>
      </w:pPr>
      <w:r>
        <w:t>P90(x,y) ⇒ E60(y)</w:t>
      </w:r>
    </w:p>
    <w:p w14:paraId="76882E66" w14:textId="77777777" w:rsidR="00065317" w:rsidRDefault="005C7BF7">
      <w:pPr>
        <w:pStyle w:val="Corpsdetexte"/>
      </w:pPr>
      <w:r>
        <w:rPr>
          <w:b/>
          <w:bCs/>
        </w:rPr>
        <w:t>Propriétés</w:t>
      </w:r>
    </w:p>
    <w:p w14:paraId="6168EB19" w14:textId="77777777" w:rsidR="00065317" w:rsidRDefault="005C7BF7">
      <w:pPr>
        <w:pStyle w:val="Normalcentr"/>
      </w:pPr>
      <w:r>
        <w:rPr>
          <w:b/>
          <w:bCs/>
          <w:i/>
          <w:iCs/>
        </w:rPr>
        <w:t>Note de traduction</w:t>
      </w:r>
    </w:p>
    <w:p w14:paraId="31FF2CD9" w14:textId="4067A97F" w:rsidR="00065317" w:rsidRDefault="005C7BF7" w:rsidP="00806228">
      <w:pPr>
        <w:pStyle w:val="Normalcentr"/>
      </w:pPr>
      <w:r>
        <w:rPr>
          <w:b/>
          <w:bCs/>
          <w:i/>
          <w:iCs/>
        </w:rPr>
        <w:t>Références</w:t>
      </w:r>
    </w:p>
    <w:p w14:paraId="25685521" w14:textId="746759FE" w:rsidR="00065317" w:rsidRDefault="005C7BF7" w:rsidP="00914F34">
      <w:pPr>
        <w:pStyle w:val="Titre3"/>
      </w:pPr>
      <w:bookmarkStart w:id="416" w:name="_Toc154048893"/>
      <w:bookmarkStart w:id="417" w:name="X1b225df679e95f3b23607fb54f5eb2b8a46e40a"/>
      <w:bookmarkEnd w:id="415"/>
      <w:r>
        <w:t>P91 a pour unité de mesure (est l</w:t>
      </w:r>
      <w:r w:rsidR="00E84B0E">
        <w:t>’</w:t>
      </w:r>
      <w:r>
        <w:t>unité de mesure de)</w:t>
      </w:r>
      <w:bookmarkEnd w:id="416"/>
    </w:p>
    <w:p w14:paraId="2E9693BA" w14:textId="77777777" w:rsidR="00065317" w:rsidRDefault="005C7BF7">
      <w:pPr>
        <w:pStyle w:val="FirstParagraph"/>
      </w:pPr>
      <w:r>
        <w:rPr>
          <w:b/>
          <w:bCs/>
        </w:rPr>
        <w:t>Domaine</w:t>
      </w:r>
    </w:p>
    <w:p w14:paraId="61AE1E03" w14:textId="77777777" w:rsidR="00065317" w:rsidRDefault="005C7BF7">
      <w:pPr>
        <w:pStyle w:val="Corpsdetexte"/>
      </w:pPr>
      <w:r>
        <w:rPr>
          <w:rStyle w:val="VerbatimChar"/>
        </w:rPr>
        <w:t>E54_Dimension</w:t>
      </w:r>
    </w:p>
    <w:p w14:paraId="6FC231F4" w14:textId="77777777" w:rsidR="00065317" w:rsidRDefault="005C7BF7">
      <w:pPr>
        <w:pStyle w:val="Corpsdetexte"/>
      </w:pPr>
      <w:r>
        <w:rPr>
          <w:b/>
          <w:bCs/>
        </w:rPr>
        <w:t>Portée</w:t>
      </w:r>
    </w:p>
    <w:p w14:paraId="080347D1" w14:textId="77777777" w:rsidR="00065317" w:rsidRDefault="005C7BF7">
      <w:pPr>
        <w:pStyle w:val="Corpsdetexte"/>
      </w:pPr>
      <w:r>
        <w:rPr>
          <w:rStyle w:val="VerbatimChar"/>
        </w:rPr>
        <w:t>E58_Unité_de_mesure</w:t>
      </w:r>
    </w:p>
    <w:p w14:paraId="00E6DF3E" w14:textId="77777777" w:rsidR="00065317" w:rsidRDefault="005C7BF7">
      <w:pPr>
        <w:pStyle w:val="Corpsdetexte"/>
      </w:pPr>
      <w:r>
        <w:rPr>
          <w:b/>
          <w:bCs/>
        </w:rPr>
        <w:t>Sous-propriété de</w:t>
      </w:r>
    </w:p>
    <w:p w14:paraId="340EF77C" w14:textId="77777777" w:rsidR="00065317" w:rsidRDefault="005C7BF7">
      <w:pPr>
        <w:pStyle w:val="Corpsdetexte"/>
      </w:pPr>
      <w:r>
        <w:rPr>
          <w:b/>
          <w:bCs/>
        </w:rPr>
        <w:t>Super-propriété de</w:t>
      </w:r>
    </w:p>
    <w:p w14:paraId="3D391F19" w14:textId="28AC793E" w:rsidR="00065317" w:rsidRDefault="005C7BF7">
      <w:pPr>
        <w:pStyle w:val="Corpsdetexte"/>
      </w:pPr>
      <w:r>
        <w:rPr>
          <w:rStyle w:val="VerbatimChar"/>
        </w:rPr>
        <w:t>E97_Valeur_monétaire</w:t>
      </w:r>
      <w:r>
        <w:t xml:space="preserve">. </w:t>
      </w:r>
      <w:r>
        <w:rPr>
          <w:rStyle w:val="VerbatimChar"/>
        </w:rPr>
        <w:t>P180_a_pour_unité_monétaire (était_l</w:t>
      </w:r>
      <w:r w:rsidR="00E84B0E">
        <w:rPr>
          <w:rStyle w:val="VerbatimChar"/>
        </w:rPr>
        <w:t>’</w:t>
      </w:r>
      <w:r>
        <w:rPr>
          <w:rStyle w:val="VerbatimChar"/>
        </w:rPr>
        <w:t>unité_monétaire_de)</w:t>
      </w:r>
      <w:r>
        <w:t xml:space="preserve"> : </w:t>
      </w:r>
      <w:r>
        <w:rPr>
          <w:rStyle w:val="VerbatimChar"/>
        </w:rPr>
        <w:t>E98_Unité_monétaire</w:t>
      </w:r>
    </w:p>
    <w:p w14:paraId="536AD943" w14:textId="77777777" w:rsidR="00065317" w:rsidRDefault="005C7BF7">
      <w:pPr>
        <w:pStyle w:val="Corpsdetexte"/>
      </w:pPr>
      <w:r>
        <w:rPr>
          <w:b/>
          <w:bCs/>
        </w:rPr>
        <w:t>Quantification</w:t>
      </w:r>
    </w:p>
    <w:p w14:paraId="451DB2F6" w14:textId="77777777" w:rsidR="00065317" w:rsidRDefault="005C7BF7">
      <w:pPr>
        <w:pStyle w:val="Corpsdetexte"/>
      </w:pPr>
      <w:r>
        <w:t>plusieurs à un, nécessaire (1,1:0,n)</w:t>
      </w:r>
    </w:p>
    <w:p w14:paraId="1F67561E" w14:textId="41D734AA" w:rsidR="00065317" w:rsidRDefault="005C7BF7">
      <w:pPr>
        <w:pStyle w:val="Corpsdetexte"/>
      </w:pPr>
      <w:r>
        <w:rPr>
          <w:b/>
          <w:bCs/>
        </w:rPr>
        <w:t>Note d</w:t>
      </w:r>
      <w:r w:rsidR="00E84B0E">
        <w:rPr>
          <w:b/>
          <w:bCs/>
        </w:rPr>
        <w:t>’</w:t>
      </w:r>
      <w:r>
        <w:rPr>
          <w:b/>
          <w:bCs/>
        </w:rPr>
        <w:t>application</w:t>
      </w:r>
    </w:p>
    <w:p w14:paraId="542EC2EB" w14:textId="63DE3D15" w:rsidR="00FC2E07" w:rsidRDefault="005C7BF7">
      <w:pPr>
        <w:pStyle w:val="Corpsdetexte"/>
        <w:rPr>
          <w:b/>
          <w:bCs/>
        </w:rPr>
      </w:pPr>
      <w:r>
        <w:t>Cette propriété indique le type d</w:t>
      </w:r>
      <w:r w:rsidR="00E84B0E">
        <w:t>’</w:t>
      </w:r>
      <w:r>
        <w:t xml:space="preserve">unité dans lequel une instance de </w:t>
      </w:r>
      <w:r>
        <w:rPr>
          <w:rStyle w:val="VerbatimChar"/>
        </w:rPr>
        <w:t>E54_Dimension</w:t>
      </w:r>
      <w:r>
        <w:t xml:space="preserve"> a été exprimée.</w:t>
      </w:r>
    </w:p>
    <w:p w14:paraId="1F99C8AC" w14:textId="286F62D1" w:rsidR="00065317" w:rsidRDefault="005C7BF7">
      <w:pPr>
        <w:pStyle w:val="Corpsdetexte"/>
      </w:pPr>
      <w:r>
        <w:rPr>
          <w:b/>
          <w:bCs/>
        </w:rPr>
        <w:t>Exemples</w:t>
      </w:r>
    </w:p>
    <w:p w14:paraId="69B42BA0" w14:textId="77777777" w:rsidR="00065317" w:rsidRDefault="005C7BF7">
      <w:pPr>
        <w:numPr>
          <w:ilvl w:val="0"/>
          <w:numId w:val="215"/>
        </w:numPr>
      </w:pPr>
      <w:r>
        <w:t>Hauteur de la coupe en argent « 232 » (</w:t>
      </w:r>
      <w:r>
        <w:rPr>
          <w:rStyle w:val="VerbatimChar"/>
        </w:rPr>
        <w:t>E54_Dimension</w:t>
      </w:r>
      <w:r>
        <w:t>) a pour unité de mesure (</w:t>
      </w:r>
      <w:r>
        <w:rPr>
          <w:rStyle w:val="VerbatimChar"/>
        </w:rPr>
        <w:t>P91_a_pour_unité_de_mesure</w:t>
      </w:r>
      <w:r>
        <w:t>) mm (</w:t>
      </w:r>
      <w:r>
        <w:rPr>
          <w:rStyle w:val="VerbatimChar"/>
        </w:rPr>
        <w:t>E58_Unité_de_mesure</w:t>
      </w:r>
      <w:r>
        <w:t>) (fictif)</w:t>
      </w:r>
    </w:p>
    <w:p w14:paraId="3FFA7B5B" w14:textId="77777777" w:rsidR="00065317" w:rsidRDefault="005C7BF7">
      <w:pPr>
        <w:pStyle w:val="FirstParagraph"/>
      </w:pPr>
      <w:r>
        <w:rPr>
          <w:b/>
          <w:bCs/>
        </w:rPr>
        <w:t>Logique</w:t>
      </w:r>
    </w:p>
    <w:p w14:paraId="075B30EC" w14:textId="77777777" w:rsidR="00065317" w:rsidRDefault="005C7BF7">
      <w:pPr>
        <w:pStyle w:val="Corpsdetexte"/>
      </w:pPr>
      <w:r>
        <w:t>P91(x,y) ⇒ E54(x)</w:t>
      </w:r>
    </w:p>
    <w:p w14:paraId="50707F90" w14:textId="77777777" w:rsidR="00065317" w:rsidRDefault="005C7BF7">
      <w:pPr>
        <w:pStyle w:val="Corpsdetexte"/>
      </w:pPr>
      <w:r>
        <w:t>P91(x,y) ⇒ E58(y)</w:t>
      </w:r>
    </w:p>
    <w:p w14:paraId="06DA8923" w14:textId="77777777" w:rsidR="00065317" w:rsidRDefault="005C7BF7">
      <w:pPr>
        <w:pStyle w:val="Corpsdetexte"/>
      </w:pPr>
      <w:r>
        <w:rPr>
          <w:b/>
          <w:bCs/>
        </w:rPr>
        <w:lastRenderedPageBreak/>
        <w:t>Propriétés</w:t>
      </w:r>
    </w:p>
    <w:p w14:paraId="08CBC4AE" w14:textId="77777777" w:rsidR="00065317" w:rsidRDefault="005C7BF7">
      <w:pPr>
        <w:pStyle w:val="Normalcentr"/>
      </w:pPr>
      <w:r>
        <w:rPr>
          <w:b/>
          <w:bCs/>
          <w:i/>
          <w:iCs/>
        </w:rPr>
        <w:t>Note de traduction</w:t>
      </w:r>
    </w:p>
    <w:p w14:paraId="501803AA" w14:textId="5FDA4790" w:rsidR="00065317" w:rsidRDefault="005C7BF7" w:rsidP="00806228">
      <w:pPr>
        <w:pStyle w:val="Normalcentr"/>
      </w:pPr>
      <w:r>
        <w:rPr>
          <w:b/>
          <w:bCs/>
          <w:i/>
          <w:iCs/>
        </w:rPr>
        <w:t>Références</w:t>
      </w:r>
    </w:p>
    <w:p w14:paraId="44517C0E" w14:textId="77777777" w:rsidR="00065317" w:rsidRDefault="005C7BF7" w:rsidP="00914F34">
      <w:pPr>
        <w:pStyle w:val="Titre3"/>
      </w:pPr>
      <w:bookmarkStart w:id="418" w:name="_Toc154048894"/>
      <w:bookmarkStart w:id="419" w:name="Xc993002f634fcc2936e03e136025b8f517f2c2e"/>
      <w:bookmarkEnd w:id="417"/>
      <w:r>
        <w:t>P92 a fait exister (a commencé à exister par)</w:t>
      </w:r>
      <w:bookmarkEnd w:id="418"/>
    </w:p>
    <w:p w14:paraId="05110320" w14:textId="77777777" w:rsidR="00065317" w:rsidRDefault="005C7BF7">
      <w:pPr>
        <w:pStyle w:val="FirstParagraph"/>
      </w:pPr>
      <w:r>
        <w:rPr>
          <w:b/>
          <w:bCs/>
        </w:rPr>
        <w:t>Domaine</w:t>
      </w:r>
    </w:p>
    <w:p w14:paraId="78B19486" w14:textId="7B16564E" w:rsidR="00065317" w:rsidRDefault="005C7BF7">
      <w:pPr>
        <w:pStyle w:val="Corpsdetexte"/>
      </w:pPr>
      <w:r>
        <w:rPr>
          <w:rStyle w:val="VerbatimChar"/>
        </w:rPr>
        <w:t>E63_Début_d</w:t>
      </w:r>
      <w:r w:rsidR="00E84B0E">
        <w:rPr>
          <w:rStyle w:val="VerbatimChar"/>
        </w:rPr>
        <w:t>’</w:t>
      </w:r>
      <w:r>
        <w:rPr>
          <w:rStyle w:val="VerbatimChar"/>
        </w:rPr>
        <w:t>existence</w:t>
      </w:r>
    </w:p>
    <w:p w14:paraId="4F9BD7D5" w14:textId="77777777" w:rsidR="00065317" w:rsidRDefault="005C7BF7">
      <w:pPr>
        <w:pStyle w:val="Corpsdetexte"/>
      </w:pPr>
      <w:r>
        <w:rPr>
          <w:b/>
          <w:bCs/>
        </w:rPr>
        <w:t>Portée</w:t>
      </w:r>
    </w:p>
    <w:p w14:paraId="28B3E9A9" w14:textId="77777777" w:rsidR="00065317" w:rsidRDefault="005C7BF7">
      <w:pPr>
        <w:pStyle w:val="Corpsdetexte"/>
      </w:pPr>
      <w:r>
        <w:rPr>
          <w:rStyle w:val="VerbatimChar"/>
        </w:rPr>
        <w:t>E77_Entité_persistante</w:t>
      </w:r>
    </w:p>
    <w:p w14:paraId="1917C5B9" w14:textId="77777777" w:rsidR="00065317" w:rsidRDefault="005C7BF7">
      <w:pPr>
        <w:pStyle w:val="Corpsdetexte"/>
      </w:pPr>
      <w:r>
        <w:rPr>
          <w:b/>
          <w:bCs/>
        </w:rPr>
        <w:t>Sous-propriété de</w:t>
      </w:r>
    </w:p>
    <w:p w14:paraId="40090F11" w14:textId="77777777" w:rsidR="00065317" w:rsidRDefault="005C7BF7">
      <w:pPr>
        <w:pStyle w:val="Corpsdetexte"/>
      </w:pPr>
      <w:r>
        <w:rPr>
          <w:rStyle w:val="VerbatimChar"/>
        </w:rPr>
        <w:t>E5_Évènement</w:t>
      </w:r>
      <w:r>
        <w:t xml:space="preserve">. </w:t>
      </w:r>
      <w:r>
        <w:rPr>
          <w:rStyle w:val="VerbatimChar"/>
        </w:rPr>
        <w:t>P12_a_eu_lieu_en_présence_de (a_été_présent_à)</w:t>
      </w:r>
      <w:r>
        <w:t xml:space="preserve"> : </w:t>
      </w:r>
      <w:r>
        <w:rPr>
          <w:rStyle w:val="VerbatimChar"/>
        </w:rPr>
        <w:t>E77_Entité_persistante</w:t>
      </w:r>
    </w:p>
    <w:p w14:paraId="3693D63E" w14:textId="77777777" w:rsidR="00065317" w:rsidRDefault="005C7BF7">
      <w:pPr>
        <w:pStyle w:val="Corpsdetexte"/>
      </w:pPr>
      <w:r>
        <w:rPr>
          <w:b/>
          <w:bCs/>
        </w:rPr>
        <w:t>Super-propriété de</w:t>
      </w:r>
    </w:p>
    <w:p w14:paraId="608EE4E9" w14:textId="77777777" w:rsidR="00065317" w:rsidRDefault="005C7BF7">
      <w:pPr>
        <w:pStyle w:val="Corpsdetexte"/>
      </w:pPr>
      <w:r>
        <w:rPr>
          <w:rStyle w:val="VerbatimChar"/>
        </w:rPr>
        <w:t>E65_Création</w:t>
      </w:r>
      <w:r>
        <w:t xml:space="preserve">. </w:t>
      </w:r>
      <w:r>
        <w:rPr>
          <w:rStyle w:val="VerbatimChar"/>
        </w:rPr>
        <w:t>P94_a_créé (a_été_créé_par)</w:t>
      </w:r>
      <w:r>
        <w:t xml:space="preserve"> : </w:t>
      </w:r>
      <w:r>
        <w:rPr>
          <w:rStyle w:val="VerbatimChar"/>
        </w:rPr>
        <w:t>E28_Objet_conceptuel</w:t>
      </w:r>
    </w:p>
    <w:p w14:paraId="64F0970F" w14:textId="77777777" w:rsidR="00065317" w:rsidRDefault="005C7BF7">
      <w:pPr>
        <w:pStyle w:val="Corpsdetexte"/>
      </w:pPr>
      <w:r>
        <w:rPr>
          <w:rStyle w:val="VerbatimChar"/>
        </w:rPr>
        <w:t>E66_Formation</w:t>
      </w:r>
      <w:r>
        <w:t xml:space="preserve">. </w:t>
      </w:r>
      <w:r>
        <w:rPr>
          <w:rStyle w:val="VerbatimChar"/>
        </w:rPr>
        <w:t>P95_a_fondé (a_été_fondé_par)</w:t>
      </w:r>
      <w:r>
        <w:t xml:space="preserve"> : </w:t>
      </w:r>
      <w:r>
        <w:rPr>
          <w:rStyle w:val="VerbatimChar"/>
        </w:rPr>
        <w:t>E74_Groupe</w:t>
      </w:r>
    </w:p>
    <w:p w14:paraId="7CE0012C" w14:textId="77777777" w:rsidR="00065317" w:rsidRDefault="005C7BF7">
      <w:pPr>
        <w:pStyle w:val="Corpsdetexte"/>
      </w:pPr>
      <w:r>
        <w:rPr>
          <w:rStyle w:val="VerbatimChar"/>
        </w:rPr>
        <w:t>E67_Naissance</w:t>
      </w:r>
      <w:r>
        <w:t xml:space="preserve">. </w:t>
      </w:r>
      <w:r>
        <w:rPr>
          <w:rStyle w:val="VerbatimChar"/>
        </w:rPr>
        <w:t>P98_a_donné_vie_à (est_né)</w:t>
      </w:r>
      <w:r>
        <w:t xml:space="preserve"> : </w:t>
      </w:r>
      <w:r>
        <w:rPr>
          <w:rStyle w:val="VerbatimChar"/>
        </w:rPr>
        <w:t>E21_Personne</w:t>
      </w:r>
    </w:p>
    <w:p w14:paraId="3899F650" w14:textId="66FC5000" w:rsidR="00065317" w:rsidRDefault="005C7BF7">
      <w:pPr>
        <w:pStyle w:val="Corpsdetexte"/>
      </w:pPr>
      <w:r>
        <w:rPr>
          <w:rStyle w:val="VerbatimChar"/>
        </w:rPr>
        <w:t>E12_Production</w:t>
      </w:r>
      <w:r>
        <w:t xml:space="preserve">. </w:t>
      </w:r>
      <w:r>
        <w:rPr>
          <w:rStyle w:val="VerbatimChar"/>
        </w:rPr>
        <w:t>P108_a_produit (a_été_produit_par)</w:t>
      </w:r>
      <w:r>
        <w:t xml:space="preserve"> : </w:t>
      </w:r>
      <w:r>
        <w:rPr>
          <w:rStyle w:val="VerbatimChar"/>
        </w:rPr>
        <w:t>E24_Chose_matérielle_élaborée_par_l</w:t>
      </w:r>
      <w:r w:rsidR="00E84B0E">
        <w:rPr>
          <w:rStyle w:val="VerbatimChar"/>
        </w:rPr>
        <w:t>’</w:t>
      </w:r>
      <w:r>
        <w:rPr>
          <w:rStyle w:val="VerbatimChar"/>
        </w:rPr>
        <w:t>humain</w:t>
      </w:r>
    </w:p>
    <w:p w14:paraId="058B2253" w14:textId="77777777" w:rsidR="00065317" w:rsidRDefault="005C7BF7">
      <w:pPr>
        <w:pStyle w:val="Corpsdetexte"/>
      </w:pPr>
      <w:r>
        <w:rPr>
          <w:rStyle w:val="VerbatimChar"/>
        </w:rPr>
        <w:t>E81_Transformation</w:t>
      </w:r>
      <w:r>
        <w:t xml:space="preserve">. </w:t>
      </w:r>
      <w:r>
        <w:rPr>
          <w:rStyle w:val="VerbatimChar"/>
        </w:rPr>
        <w:t>P123_a_eu_pour_résultat (a_résulté_de)</w:t>
      </w:r>
      <w:r>
        <w:t xml:space="preserve"> : </w:t>
      </w:r>
      <w:r>
        <w:rPr>
          <w:rStyle w:val="VerbatimChar"/>
        </w:rPr>
        <w:t>E18_Chose_matérielle</w:t>
      </w:r>
    </w:p>
    <w:p w14:paraId="45B073AA" w14:textId="77777777" w:rsidR="00065317" w:rsidRDefault="005C7BF7">
      <w:pPr>
        <w:pStyle w:val="Corpsdetexte"/>
      </w:pPr>
      <w:r>
        <w:rPr>
          <w:b/>
          <w:bCs/>
        </w:rPr>
        <w:t>Quantification</w:t>
      </w:r>
    </w:p>
    <w:p w14:paraId="1D520C5D" w14:textId="77777777" w:rsidR="00065317" w:rsidRDefault="005C7BF7">
      <w:pPr>
        <w:pStyle w:val="Corpsdetexte"/>
      </w:pPr>
      <w:r>
        <w:t>un à plusieurs, nécessaire, dépendant (1,n:1,1)</w:t>
      </w:r>
    </w:p>
    <w:p w14:paraId="6FB109D3" w14:textId="2F37D53B" w:rsidR="00065317" w:rsidRDefault="005C7BF7">
      <w:pPr>
        <w:pStyle w:val="Corpsdetexte"/>
      </w:pPr>
      <w:r>
        <w:rPr>
          <w:b/>
          <w:bCs/>
        </w:rPr>
        <w:t>Note d</w:t>
      </w:r>
      <w:r w:rsidR="00E84B0E">
        <w:rPr>
          <w:b/>
          <w:bCs/>
        </w:rPr>
        <w:t>’</w:t>
      </w:r>
      <w:r>
        <w:rPr>
          <w:b/>
          <w:bCs/>
        </w:rPr>
        <w:t>application</w:t>
      </w:r>
    </w:p>
    <w:p w14:paraId="75D2CCC6" w14:textId="5BAA0EE6" w:rsidR="00065317" w:rsidRDefault="005C7BF7">
      <w:pPr>
        <w:pStyle w:val="Corpsdetexte"/>
      </w:pPr>
      <w:r>
        <w:t xml:space="preserve">Cette propriété lie une instance de </w:t>
      </w:r>
      <w:r>
        <w:rPr>
          <w:rStyle w:val="VerbatimChar"/>
        </w:rPr>
        <w:t>E63_Début_d</w:t>
      </w:r>
      <w:r w:rsidR="00E84B0E">
        <w:rPr>
          <w:rStyle w:val="VerbatimChar"/>
        </w:rPr>
        <w:t>’</w:t>
      </w:r>
      <w:r>
        <w:rPr>
          <w:rStyle w:val="VerbatimChar"/>
        </w:rPr>
        <w:t>existence</w:t>
      </w:r>
      <w:r>
        <w:t xml:space="preserve"> à une instance de </w:t>
      </w:r>
      <w:r>
        <w:rPr>
          <w:rStyle w:val="VerbatimChar"/>
        </w:rPr>
        <w:t>E77_Entité_persistante</w:t>
      </w:r>
      <w:r>
        <w:t xml:space="preserve"> ayant été mise au monde par la première.</w:t>
      </w:r>
    </w:p>
    <w:p w14:paraId="2AB5A7D8" w14:textId="75AC93B7" w:rsidR="00FC2E07" w:rsidRDefault="005C7BF7">
      <w:pPr>
        <w:pStyle w:val="Corpsdetexte"/>
        <w:rPr>
          <w:b/>
          <w:bCs/>
        </w:rPr>
      </w:pPr>
      <w:r>
        <w:t>Elle permet d</w:t>
      </w:r>
      <w:r w:rsidR="00E84B0E">
        <w:t>’</w:t>
      </w:r>
      <w:r>
        <w:t xml:space="preserve">associer un « début » à une instance documentée de </w:t>
      </w:r>
      <w:r>
        <w:rPr>
          <w:rStyle w:val="VerbatimChar"/>
        </w:rPr>
        <w:t>E77_Entité_persistante</w:t>
      </w:r>
      <w:r>
        <w:t xml:space="preserve">, c.-à-d. à une instance de </w:t>
      </w:r>
      <w:r>
        <w:rPr>
          <w:rStyle w:val="VerbatimChar"/>
        </w:rPr>
        <w:t>E70_Chose</w:t>
      </w:r>
      <w:r>
        <w:t xml:space="preserve">, </w:t>
      </w:r>
      <w:r>
        <w:rPr>
          <w:rStyle w:val="VerbatimChar"/>
        </w:rPr>
        <w:t>E72_Objet_juridique</w:t>
      </w:r>
      <w:r>
        <w:t xml:space="preserve">, </w:t>
      </w:r>
      <w:r>
        <w:rPr>
          <w:rStyle w:val="VerbatimChar"/>
        </w:rPr>
        <w:t>E39_Actant</w:t>
      </w:r>
      <w:r>
        <w:t xml:space="preserve">, </w:t>
      </w:r>
      <w:r>
        <w:rPr>
          <w:rStyle w:val="VerbatimChar"/>
        </w:rPr>
        <w:t>E41_Appellation</w:t>
      </w:r>
      <w:r>
        <w:t xml:space="preserve"> ou </w:t>
      </w:r>
      <w:r>
        <w:rPr>
          <w:rStyle w:val="VerbatimChar"/>
        </w:rPr>
        <w:t>E55_Type</w:t>
      </w:r>
      <w:r>
        <w:t>, par exemple.</w:t>
      </w:r>
    </w:p>
    <w:p w14:paraId="25529C72" w14:textId="38D050B9" w:rsidR="00065317" w:rsidRDefault="005C7BF7">
      <w:pPr>
        <w:pStyle w:val="Corpsdetexte"/>
      </w:pPr>
      <w:r>
        <w:rPr>
          <w:b/>
          <w:bCs/>
        </w:rPr>
        <w:t>Exemples</w:t>
      </w:r>
    </w:p>
    <w:p w14:paraId="6D48922F" w14:textId="77777777" w:rsidR="00065317" w:rsidRDefault="005C7BF7">
      <w:pPr>
        <w:numPr>
          <w:ilvl w:val="0"/>
          <w:numId w:val="216"/>
        </w:numPr>
      </w:pPr>
      <w:r>
        <w:t>La naissance de Mozart (</w:t>
      </w:r>
      <w:r>
        <w:rPr>
          <w:rStyle w:val="VerbatimChar"/>
        </w:rPr>
        <w:t>E67_Naissance</w:t>
      </w:r>
      <w:r>
        <w:t>) a fait exister (</w:t>
      </w:r>
      <w:r>
        <w:rPr>
          <w:rStyle w:val="VerbatimChar"/>
        </w:rPr>
        <w:t>P92_a_fait_exister</w:t>
      </w:r>
      <w:r>
        <w:t>) Mozart (</w:t>
      </w:r>
      <w:r>
        <w:rPr>
          <w:rStyle w:val="VerbatimChar"/>
        </w:rPr>
        <w:t>E21_Personne</w:t>
      </w:r>
      <w:r>
        <w:t>) (Deutsch, 1965)</w:t>
      </w:r>
    </w:p>
    <w:p w14:paraId="141D0DF0" w14:textId="77777777" w:rsidR="00065317" w:rsidRDefault="005C7BF7">
      <w:pPr>
        <w:pStyle w:val="FirstParagraph"/>
      </w:pPr>
      <w:r>
        <w:rPr>
          <w:b/>
          <w:bCs/>
        </w:rPr>
        <w:t>Logique</w:t>
      </w:r>
    </w:p>
    <w:p w14:paraId="39AC6337" w14:textId="77777777" w:rsidR="00065317" w:rsidRDefault="005C7BF7">
      <w:pPr>
        <w:pStyle w:val="Corpsdetexte"/>
      </w:pPr>
      <w:r>
        <w:t>P92(x,y) ⇒ E63(x)</w:t>
      </w:r>
    </w:p>
    <w:p w14:paraId="25670335" w14:textId="77777777" w:rsidR="00065317" w:rsidRDefault="005C7BF7">
      <w:pPr>
        <w:pStyle w:val="Corpsdetexte"/>
      </w:pPr>
      <w:r>
        <w:t>P92(x,y) ⇒ E77(y)</w:t>
      </w:r>
    </w:p>
    <w:p w14:paraId="7BF2D401" w14:textId="77777777" w:rsidR="00065317" w:rsidRDefault="005C7BF7">
      <w:pPr>
        <w:pStyle w:val="Corpsdetexte"/>
      </w:pPr>
      <w:r>
        <w:t>P92(x,y) ⇒ P12(x,y)</w:t>
      </w:r>
    </w:p>
    <w:p w14:paraId="2DBC1CB5" w14:textId="77777777" w:rsidR="00065317" w:rsidRDefault="005C7BF7">
      <w:pPr>
        <w:pStyle w:val="Corpsdetexte"/>
      </w:pPr>
      <w:r>
        <w:rPr>
          <w:b/>
          <w:bCs/>
        </w:rPr>
        <w:t>Propriétés</w:t>
      </w:r>
    </w:p>
    <w:p w14:paraId="6D9132A8" w14:textId="77777777" w:rsidR="00F54917" w:rsidRDefault="00F54917">
      <w:pPr>
        <w:spacing w:after="0"/>
        <w:rPr>
          <w:b/>
          <w:bCs/>
          <w:i/>
          <w:iCs/>
          <w:sz w:val="22"/>
        </w:rPr>
      </w:pPr>
      <w:r>
        <w:rPr>
          <w:b/>
          <w:bCs/>
          <w:i/>
          <w:iCs/>
        </w:rPr>
        <w:br w:type="page"/>
      </w:r>
    </w:p>
    <w:p w14:paraId="24A6066D" w14:textId="670CB539" w:rsidR="00065317" w:rsidRDefault="005C7BF7">
      <w:pPr>
        <w:pStyle w:val="Normalcentr"/>
      </w:pPr>
      <w:r>
        <w:rPr>
          <w:b/>
          <w:bCs/>
          <w:i/>
          <w:iCs/>
        </w:rPr>
        <w:lastRenderedPageBreak/>
        <w:t>Note de traduction</w:t>
      </w:r>
    </w:p>
    <w:p w14:paraId="180536B4" w14:textId="78ABCA17" w:rsidR="00065317" w:rsidRDefault="005C7BF7" w:rsidP="00806228">
      <w:pPr>
        <w:pStyle w:val="Normalcentr"/>
      </w:pPr>
      <w:r>
        <w:rPr>
          <w:b/>
          <w:bCs/>
          <w:i/>
          <w:iCs/>
        </w:rPr>
        <w:t>Références</w:t>
      </w:r>
    </w:p>
    <w:p w14:paraId="1B106338" w14:textId="6D0EB106" w:rsidR="00065317" w:rsidRDefault="005C7BF7" w:rsidP="00914F34">
      <w:pPr>
        <w:pStyle w:val="Titre3"/>
      </w:pPr>
      <w:bookmarkStart w:id="420" w:name="_Toc154048895"/>
      <w:bookmarkStart w:id="421" w:name="X3958fb23a48a3e29a9fe5709d7e3123d7c8394d"/>
      <w:bookmarkEnd w:id="419"/>
      <w:r>
        <w:t>P93 a mis fin à l</w:t>
      </w:r>
      <w:r w:rsidR="00E84B0E">
        <w:t>’</w:t>
      </w:r>
      <w:r>
        <w:t>existence de (a cessé d</w:t>
      </w:r>
      <w:r w:rsidR="00E84B0E">
        <w:t>’</w:t>
      </w:r>
      <w:r>
        <w:t>exister par)</w:t>
      </w:r>
      <w:bookmarkEnd w:id="420"/>
    </w:p>
    <w:p w14:paraId="5EBB2E4A" w14:textId="77777777" w:rsidR="00065317" w:rsidRDefault="005C7BF7">
      <w:pPr>
        <w:pStyle w:val="FirstParagraph"/>
      </w:pPr>
      <w:r>
        <w:rPr>
          <w:b/>
          <w:bCs/>
        </w:rPr>
        <w:t>Domaine</w:t>
      </w:r>
    </w:p>
    <w:p w14:paraId="4DEBA9A5" w14:textId="08064267" w:rsidR="00065317" w:rsidRDefault="005C7BF7">
      <w:pPr>
        <w:pStyle w:val="Corpsdetexte"/>
      </w:pPr>
      <w:r>
        <w:rPr>
          <w:rStyle w:val="VerbatimChar"/>
        </w:rPr>
        <w:t>E64_Fin_d</w:t>
      </w:r>
      <w:r w:rsidR="00E84B0E">
        <w:rPr>
          <w:rStyle w:val="VerbatimChar"/>
        </w:rPr>
        <w:t>’</w:t>
      </w:r>
      <w:r>
        <w:rPr>
          <w:rStyle w:val="VerbatimChar"/>
        </w:rPr>
        <w:t>existence</w:t>
      </w:r>
    </w:p>
    <w:p w14:paraId="64D7F3D5" w14:textId="77777777" w:rsidR="00065317" w:rsidRDefault="005C7BF7">
      <w:pPr>
        <w:pStyle w:val="Corpsdetexte"/>
      </w:pPr>
      <w:r>
        <w:rPr>
          <w:b/>
          <w:bCs/>
        </w:rPr>
        <w:t>Portée</w:t>
      </w:r>
    </w:p>
    <w:p w14:paraId="4BB22ADD" w14:textId="77777777" w:rsidR="00065317" w:rsidRDefault="005C7BF7">
      <w:pPr>
        <w:pStyle w:val="Corpsdetexte"/>
      </w:pPr>
      <w:r>
        <w:rPr>
          <w:rStyle w:val="VerbatimChar"/>
        </w:rPr>
        <w:t>E77_Entité_persistante</w:t>
      </w:r>
    </w:p>
    <w:p w14:paraId="0D233D20" w14:textId="77777777" w:rsidR="00065317" w:rsidRDefault="005C7BF7">
      <w:pPr>
        <w:pStyle w:val="Corpsdetexte"/>
      </w:pPr>
      <w:r>
        <w:rPr>
          <w:b/>
          <w:bCs/>
        </w:rPr>
        <w:t>Sous-propriété de</w:t>
      </w:r>
    </w:p>
    <w:p w14:paraId="1BECAA20" w14:textId="77777777" w:rsidR="00065317" w:rsidRDefault="005C7BF7">
      <w:pPr>
        <w:pStyle w:val="Corpsdetexte"/>
      </w:pPr>
      <w:r>
        <w:rPr>
          <w:rStyle w:val="VerbatimChar"/>
        </w:rPr>
        <w:t>E5_Évènement</w:t>
      </w:r>
      <w:r>
        <w:t xml:space="preserve">. </w:t>
      </w:r>
      <w:r>
        <w:rPr>
          <w:rStyle w:val="VerbatimChar"/>
        </w:rPr>
        <w:t>P12_a_eu_lieu_en_présence_de (a_été_présent_à)</w:t>
      </w:r>
      <w:r>
        <w:t xml:space="preserve"> : </w:t>
      </w:r>
      <w:r>
        <w:rPr>
          <w:rStyle w:val="VerbatimChar"/>
        </w:rPr>
        <w:t>E77_Entité_persistante</w:t>
      </w:r>
    </w:p>
    <w:p w14:paraId="61475BA0" w14:textId="77777777" w:rsidR="00065317" w:rsidRDefault="005C7BF7">
      <w:pPr>
        <w:pStyle w:val="Corpsdetexte"/>
      </w:pPr>
      <w:r>
        <w:rPr>
          <w:b/>
          <w:bCs/>
        </w:rPr>
        <w:t>Super-propriété de</w:t>
      </w:r>
    </w:p>
    <w:p w14:paraId="0992E657" w14:textId="77777777" w:rsidR="00065317" w:rsidRDefault="005C7BF7">
      <w:pPr>
        <w:pStyle w:val="Corpsdetexte"/>
      </w:pPr>
      <w:r>
        <w:rPr>
          <w:rStyle w:val="VerbatimChar"/>
        </w:rPr>
        <w:t>E6_Destruction</w:t>
      </w:r>
      <w:r>
        <w:t xml:space="preserve">. </w:t>
      </w:r>
      <w:r>
        <w:rPr>
          <w:rStyle w:val="VerbatimChar"/>
        </w:rPr>
        <w:t>P13_a_détruit (a_été_détruit_par)</w:t>
      </w:r>
      <w:r>
        <w:t xml:space="preserve"> : </w:t>
      </w:r>
      <w:r>
        <w:rPr>
          <w:rStyle w:val="VerbatimChar"/>
        </w:rPr>
        <w:t>E18_Chose_matérielle</w:t>
      </w:r>
    </w:p>
    <w:p w14:paraId="639B4995" w14:textId="77777777" w:rsidR="00065317" w:rsidRDefault="005C7BF7">
      <w:pPr>
        <w:pStyle w:val="Corpsdetexte"/>
      </w:pPr>
      <w:r>
        <w:rPr>
          <w:rStyle w:val="VerbatimChar"/>
        </w:rPr>
        <w:t>E68_Dissolution</w:t>
      </w:r>
      <w:r>
        <w:t xml:space="preserve">. </w:t>
      </w:r>
      <w:r>
        <w:rPr>
          <w:rStyle w:val="VerbatimChar"/>
        </w:rPr>
        <w:t>P99_a_dissous (a_été_dissous_par)</w:t>
      </w:r>
      <w:r>
        <w:t xml:space="preserve"> : </w:t>
      </w:r>
      <w:r>
        <w:rPr>
          <w:rStyle w:val="VerbatimChar"/>
        </w:rPr>
        <w:t>E74_Groupe</w:t>
      </w:r>
    </w:p>
    <w:p w14:paraId="5762B8E3" w14:textId="77777777" w:rsidR="00065317" w:rsidRDefault="005C7BF7">
      <w:pPr>
        <w:pStyle w:val="Corpsdetexte"/>
      </w:pPr>
      <w:r>
        <w:rPr>
          <w:rStyle w:val="VerbatimChar"/>
        </w:rPr>
        <w:t>E69_Mort</w:t>
      </w:r>
      <w:r>
        <w:t xml:space="preserve">. </w:t>
      </w:r>
      <w:r>
        <w:rPr>
          <w:rStyle w:val="VerbatimChar"/>
        </w:rPr>
        <w:t>P100_a_été_la_mort_de (est_mort_par)</w:t>
      </w:r>
      <w:r>
        <w:t xml:space="preserve"> : </w:t>
      </w:r>
      <w:r>
        <w:rPr>
          <w:rStyle w:val="VerbatimChar"/>
        </w:rPr>
        <w:t>E21_Personne</w:t>
      </w:r>
    </w:p>
    <w:p w14:paraId="015BBB8E" w14:textId="77777777" w:rsidR="00065317" w:rsidRDefault="005C7BF7">
      <w:pPr>
        <w:pStyle w:val="Corpsdetexte"/>
      </w:pPr>
      <w:r>
        <w:rPr>
          <w:rStyle w:val="VerbatimChar"/>
        </w:rPr>
        <w:t>E81_Transformation</w:t>
      </w:r>
      <w:r>
        <w:t xml:space="preserve">. </w:t>
      </w:r>
      <w:r>
        <w:rPr>
          <w:rStyle w:val="VerbatimChar"/>
        </w:rPr>
        <w:t>P124_a_transformé (a_été_transformé_par)</w:t>
      </w:r>
      <w:r>
        <w:t xml:space="preserve"> : </w:t>
      </w:r>
      <w:r>
        <w:rPr>
          <w:rStyle w:val="VerbatimChar"/>
        </w:rPr>
        <w:t>E18_Chose_matérielle</w:t>
      </w:r>
    </w:p>
    <w:p w14:paraId="3736D6F5" w14:textId="77777777" w:rsidR="00065317" w:rsidRDefault="005C7BF7">
      <w:pPr>
        <w:pStyle w:val="Corpsdetexte"/>
      </w:pPr>
      <w:r>
        <w:rPr>
          <w:b/>
          <w:bCs/>
        </w:rPr>
        <w:t>Quantification</w:t>
      </w:r>
    </w:p>
    <w:p w14:paraId="4DE13A77" w14:textId="77777777" w:rsidR="00065317" w:rsidRDefault="005C7BF7">
      <w:pPr>
        <w:pStyle w:val="Corpsdetexte"/>
      </w:pPr>
      <w:r>
        <w:t>un à plusieurs, nécessaire (1,n:0,1)</w:t>
      </w:r>
    </w:p>
    <w:p w14:paraId="548CB4C8" w14:textId="4C679FBB" w:rsidR="00065317" w:rsidRDefault="005C7BF7">
      <w:pPr>
        <w:pStyle w:val="Corpsdetexte"/>
      </w:pPr>
      <w:r>
        <w:rPr>
          <w:b/>
          <w:bCs/>
        </w:rPr>
        <w:t>Note d</w:t>
      </w:r>
      <w:r w:rsidR="00E84B0E">
        <w:rPr>
          <w:b/>
          <w:bCs/>
        </w:rPr>
        <w:t>’</w:t>
      </w:r>
      <w:r>
        <w:rPr>
          <w:b/>
          <w:bCs/>
        </w:rPr>
        <w:t>application</w:t>
      </w:r>
    </w:p>
    <w:p w14:paraId="3500366C" w14:textId="61E58909" w:rsidR="00065317" w:rsidRDefault="005C7BF7">
      <w:pPr>
        <w:pStyle w:val="Corpsdetexte"/>
      </w:pPr>
      <w:r>
        <w:t xml:space="preserve">Cette propriété lie une instance de </w:t>
      </w:r>
      <w:r>
        <w:rPr>
          <w:rStyle w:val="VerbatimChar"/>
        </w:rPr>
        <w:t>E64_Fin_d</w:t>
      </w:r>
      <w:r w:rsidR="00E84B0E">
        <w:rPr>
          <w:rStyle w:val="VerbatimChar"/>
        </w:rPr>
        <w:t>’</w:t>
      </w:r>
      <w:r>
        <w:rPr>
          <w:rStyle w:val="VerbatimChar"/>
        </w:rPr>
        <w:t>existence</w:t>
      </w:r>
      <w:r>
        <w:t xml:space="preserve"> à l</w:t>
      </w:r>
      <w:r w:rsidR="00E84B0E">
        <w:t>’</w:t>
      </w:r>
      <w:r>
        <w:t xml:space="preserve">instance de </w:t>
      </w:r>
      <w:r>
        <w:rPr>
          <w:rStyle w:val="VerbatimChar"/>
        </w:rPr>
        <w:t>E77_Entité_persistante</w:t>
      </w:r>
      <w:r>
        <w:t xml:space="preserve"> qu</w:t>
      </w:r>
      <w:r w:rsidR="00E84B0E">
        <w:t>’</w:t>
      </w:r>
      <w:r>
        <w:t>elle a fait cesser d</w:t>
      </w:r>
      <w:r w:rsidR="00E84B0E">
        <w:t>’</w:t>
      </w:r>
      <w:r>
        <w:t>exister.</w:t>
      </w:r>
    </w:p>
    <w:p w14:paraId="643497F0" w14:textId="27FC4880" w:rsidR="00065317" w:rsidRDefault="005C7BF7">
      <w:pPr>
        <w:pStyle w:val="Corpsdetexte"/>
      </w:pPr>
      <w:r>
        <w:t>Dans le cas des choses immatérielles, il est considéré que l</w:t>
      </w:r>
      <w:r w:rsidR="00E84B0E">
        <w:t>’</w:t>
      </w:r>
      <w:r>
        <w:t xml:space="preserve">instance de </w:t>
      </w:r>
      <w:r>
        <w:rPr>
          <w:rStyle w:val="VerbatimChar"/>
        </w:rPr>
        <w:t>E64_Fin_d</w:t>
      </w:r>
      <w:r w:rsidR="00E84B0E">
        <w:rPr>
          <w:rStyle w:val="VerbatimChar"/>
        </w:rPr>
        <w:t>’</w:t>
      </w:r>
      <w:r>
        <w:rPr>
          <w:rStyle w:val="VerbatimChar"/>
        </w:rPr>
        <w:t>existence</w:t>
      </w:r>
      <w:r>
        <w:t xml:space="preserve"> a lieu au moment de la destruction du dernier support physique.</w:t>
      </w:r>
    </w:p>
    <w:p w14:paraId="50B5AFB3" w14:textId="11F8F002" w:rsidR="00065317" w:rsidRDefault="005C7BF7">
      <w:pPr>
        <w:pStyle w:val="Corpsdetexte"/>
      </w:pPr>
      <w:r>
        <w:t>Cette propriété permet d</w:t>
      </w:r>
      <w:r w:rsidR="00E84B0E">
        <w:t>’</w:t>
      </w:r>
      <w:r>
        <w:t xml:space="preserve">associer une « fin » à une instance documentée de </w:t>
      </w:r>
      <w:r>
        <w:rPr>
          <w:rStyle w:val="VerbatimChar"/>
        </w:rPr>
        <w:t>E77_Entité_persistante</w:t>
      </w:r>
      <w:r>
        <w:t xml:space="preserve">, c.-à-d. à une instance de </w:t>
      </w:r>
      <w:r>
        <w:rPr>
          <w:rStyle w:val="VerbatimChar"/>
        </w:rPr>
        <w:t>E70_Chose</w:t>
      </w:r>
      <w:r>
        <w:t xml:space="preserve">, </w:t>
      </w:r>
      <w:r>
        <w:rPr>
          <w:rStyle w:val="VerbatimChar"/>
        </w:rPr>
        <w:t>E72_Objet_juridique</w:t>
      </w:r>
      <w:r>
        <w:t xml:space="preserve">, </w:t>
      </w:r>
      <w:r>
        <w:rPr>
          <w:rStyle w:val="VerbatimChar"/>
        </w:rPr>
        <w:t>E39_Actant</w:t>
      </w:r>
      <w:r>
        <w:t xml:space="preserve">, </w:t>
      </w:r>
      <w:r>
        <w:rPr>
          <w:rStyle w:val="VerbatimChar"/>
        </w:rPr>
        <w:t>E41_Appellation</w:t>
      </w:r>
      <w:r>
        <w:t xml:space="preserve"> ou </w:t>
      </w:r>
      <w:r>
        <w:rPr>
          <w:rStyle w:val="VerbatimChar"/>
        </w:rPr>
        <w:t>E55_Type</w:t>
      </w:r>
      <w:r>
        <w:t>.</w:t>
      </w:r>
    </w:p>
    <w:p w14:paraId="652233E0" w14:textId="12273311" w:rsidR="00065317" w:rsidRDefault="005C7BF7">
      <w:pPr>
        <w:pStyle w:val="Corpsdetexte"/>
      </w:pPr>
      <w:r>
        <w:t xml:space="preserve">La durée de vie maximale de nombreuses instances de </w:t>
      </w:r>
      <w:r>
        <w:rPr>
          <w:rStyle w:val="VerbatimChar"/>
        </w:rPr>
        <w:t>E77_Entité_persistante</w:t>
      </w:r>
      <w:r>
        <w:t xml:space="preserve"> étant connue, il est possible d</w:t>
      </w:r>
      <w:r w:rsidR="00E84B0E">
        <w:t>’</w:t>
      </w:r>
      <w:r>
        <w:t>inférer qu</w:t>
      </w:r>
      <w:r w:rsidR="00E84B0E">
        <w:t>’</w:t>
      </w:r>
      <w:r>
        <w:t>elles doivent avoir cessé d</w:t>
      </w:r>
      <w:r w:rsidR="00E84B0E">
        <w:t>’</w:t>
      </w:r>
      <w:r>
        <w:t>exister. Dans ce cas, l</w:t>
      </w:r>
      <w:r w:rsidR="00E84B0E">
        <w:t>’</w:t>
      </w:r>
      <w:r>
        <w:t xml:space="preserve">instance de </w:t>
      </w:r>
      <w:r>
        <w:rPr>
          <w:rStyle w:val="VerbatimChar"/>
        </w:rPr>
        <w:t>E64_Fin_d</w:t>
      </w:r>
      <w:r w:rsidR="00E84B0E">
        <w:rPr>
          <w:rStyle w:val="VerbatimChar"/>
        </w:rPr>
        <w:t>’</w:t>
      </w:r>
      <w:r>
        <w:rPr>
          <w:rStyle w:val="VerbatimChar"/>
        </w:rPr>
        <w:t>existence</w:t>
      </w:r>
      <w:r>
        <w:t xml:space="preserve"> est présumée et elle peut être aussi imperceptible que l</w:t>
      </w:r>
      <w:r w:rsidR="00E84B0E">
        <w:t>’</w:t>
      </w:r>
      <w:r>
        <w:t>oubli par le dernier représentant d</w:t>
      </w:r>
      <w:r w:rsidR="00E84B0E">
        <w:t>’</w:t>
      </w:r>
      <w:r>
        <w:t>une nation autochtone d</w:t>
      </w:r>
      <w:r w:rsidR="00E84B0E">
        <w:t>’</w:t>
      </w:r>
      <w:r>
        <w:t>un savoir secret.</w:t>
      </w:r>
    </w:p>
    <w:p w14:paraId="6C2D0E03" w14:textId="77777777" w:rsidR="00065317" w:rsidRDefault="005C7BF7">
      <w:pPr>
        <w:pStyle w:val="Corpsdetexte"/>
      </w:pPr>
      <w:r>
        <w:rPr>
          <w:b/>
          <w:bCs/>
        </w:rPr>
        <w:t>Exemples</w:t>
      </w:r>
    </w:p>
    <w:p w14:paraId="177F69AD" w14:textId="03DB2BB0" w:rsidR="00065317" w:rsidRDefault="005C7BF7">
      <w:pPr>
        <w:numPr>
          <w:ilvl w:val="0"/>
          <w:numId w:val="217"/>
        </w:numPr>
      </w:pPr>
      <w:r>
        <w:t>La mort de Mozart (</w:t>
      </w:r>
      <w:r>
        <w:rPr>
          <w:rStyle w:val="VerbatimChar"/>
        </w:rPr>
        <w:t>E69_Mort</w:t>
      </w:r>
      <w:r>
        <w:t>) a mis fin à l</w:t>
      </w:r>
      <w:r w:rsidR="00E84B0E">
        <w:t>’</w:t>
      </w:r>
      <w:r>
        <w:t>existence de (</w:t>
      </w:r>
      <w:r>
        <w:rPr>
          <w:rStyle w:val="VerbatimChar"/>
        </w:rPr>
        <w:t>P93_a_mis_fin_à_l</w:t>
      </w:r>
      <w:r w:rsidR="00E84B0E">
        <w:rPr>
          <w:rStyle w:val="VerbatimChar"/>
        </w:rPr>
        <w:t>’</w:t>
      </w:r>
      <w:r>
        <w:rPr>
          <w:rStyle w:val="VerbatimChar"/>
        </w:rPr>
        <w:t>existence_de</w:t>
      </w:r>
      <w:r>
        <w:t>) Mozart (</w:t>
      </w:r>
      <w:r>
        <w:rPr>
          <w:rStyle w:val="VerbatimChar"/>
        </w:rPr>
        <w:t>E21_Personne</w:t>
      </w:r>
      <w:r>
        <w:t>) (Deutsch, 1965)</w:t>
      </w:r>
    </w:p>
    <w:p w14:paraId="0E05CA92" w14:textId="77777777" w:rsidR="00065317" w:rsidRDefault="005C7BF7">
      <w:pPr>
        <w:pStyle w:val="FirstParagraph"/>
      </w:pPr>
      <w:r>
        <w:rPr>
          <w:b/>
          <w:bCs/>
        </w:rPr>
        <w:t>Logique</w:t>
      </w:r>
    </w:p>
    <w:p w14:paraId="0F3909C6" w14:textId="77777777" w:rsidR="00065317" w:rsidRDefault="005C7BF7">
      <w:pPr>
        <w:pStyle w:val="Corpsdetexte"/>
      </w:pPr>
      <w:r>
        <w:t>P93(x,y) ⇒ E64(x)</w:t>
      </w:r>
    </w:p>
    <w:p w14:paraId="1A38B664" w14:textId="77777777" w:rsidR="00065317" w:rsidRDefault="005C7BF7">
      <w:pPr>
        <w:pStyle w:val="Corpsdetexte"/>
      </w:pPr>
      <w:r>
        <w:t>P93(x,y) ⇒ E77(y)</w:t>
      </w:r>
    </w:p>
    <w:p w14:paraId="0CB9DC6B" w14:textId="77777777" w:rsidR="00065317" w:rsidRDefault="005C7BF7">
      <w:pPr>
        <w:pStyle w:val="Corpsdetexte"/>
      </w:pPr>
      <w:r>
        <w:t>P93(x,y) ⇒ P12(x,y)</w:t>
      </w:r>
    </w:p>
    <w:p w14:paraId="5149B04A" w14:textId="77777777" w:rsidR="00065317" w:rsidRDefault="005C7BF7">
      <w:pPr>
        <w:pStyle w:val="Corpsdetexte"/>
      </w:pPr>
      <w:r>
        <w:rPr>
          <w:b/>
          <w:bCs/>
        </w:rPr>
        <w:lastRenderedPageBreak/>
        <w:t>Propriétés</w:t>
      </w:r>
    </w:p>
    <w:p w14:paraId="12FCE24C" w14:textId="77777777" w:rsidR="00065317" w:rsidRDefault="005C7BF7">
      <w:pPr>
        <w:pStyle w:val="Normalcentr"/>
      </w:pPr>
      <w:r>
        <w:rPr>
          <w:b/>
          <w:bCs/>
          <w:i/>
          <w:iCs/>
        </w:rPr>
        <w:t>Note de traduction</w:t>
      </w:r>
    </w:p>
    <w:p w14:paraId="431742D5" w14:textId="7174C2DF" w:rsidR="00065317" w:rsidRDefault="005C7BF7" w:rsidP="00806228">
      <w:pPr>
        <w:pStyle w:val="Normalcentr"/>
      </w:pPr>
      <w:r>
        <w:rPr>
          <w:b/>
          <w:bCs/>
          <w:i/>
          <w:iCs/>
        </w:rPr>
        <w:t>Références</w:t>
      </w:r>
    </w:p>
    <w:p w14:paraId="6E6BBB78" w14:textId="77777777" w:rsidR="00065317" w:rsidRDefault="005C7BF7" w:rsidP="00914F34">
      <w:pPr>
        <w:pStyle w:val="Titre3"/>
      </w:pPr>
      <w:bookmarkStart w:id="422" w:name="_Toc154048896"/>
      <w:bookmarkStart w:id="423" w:name="p94-a-cree-(a-ete-cree-par)"/>
      <w:bookmarkEnd w:id="421"/>
      <w:r>
        <w:t>P94 a créé (a été créé par)</w:t>
      </w:r>
      <w:bookmarkEnd w:id="422"/>
    </w:p>
    <w:p w14:paraId="3603DF7C" w14:textId="77777777" w:rsidR="00065317" w:rsidRDefault="005C7BF7">
      <w:pPr>
        <w:pStyle w:val="FirstParagraph"/>
      </w:pPr>
      <w:r>
        <w:rPr>
          <w:b/>
          <w:bCs/>
        </w:rPr>
        <w:t>Domaine</w:t>
      </w:r>
    </w:p>
    <w:p w14:paraId="4DA1594F" w14:textId="77777777" w:rsidR="00065317" w:rsidRDefault="005C7BF7">
      <w:pPr>
        <w:pStyle w:val="Corpsdetexte"/>
      </w:pPr>
      <w:r>
        <w:rPr>
          <w:rStyle w:val="VerbatimChar"/>
        </w:rPr>
        <w:t>E65_Création</w:t>
      </w:r>
    </w:p>
    <w:p w14:paraId="41EC0D8E" w14:textId="77777777" w:rsidR="00065317" w:rsidRDefault="005C7BF7">
      <w:pPr>
        <w:pStyle w:val="Corpsdetexte"/>
      </w:pPr>
      <w:r>
        <w:rPr>
          <w:b/>
          <w:bCs/>
        </w:rPr>
        <w:t>Portée</w:t>
      </w:r>
    </w:p>
    <w:p w14:paraId="17D0E2F8" w14:textId="77777777" w:rsidR="00065317" w:rsidRDefault="005C7BF7">
      <w:pPr>
        <w:pStyle w:val="Corpsdetexte"/>
      </w:pPr>
      <w:r>
        <w:rPr>
          <w:rStyle w:val="VerbatimChar"/>
        </w:rPr>
        <w:t>E28_Objet_conceptuel</w:t>
      </w:r>
    </w:p>
    <w:p w14:paraId="43A00A87" w14:textId="77777777" w:rsidR="00065317" w:rsidRDefault="005C7BF7">
      <w:pPr>
        <w:pStyle w:val="Corpsdetexte"/>
      </w:pPr>
      <w:r>
        <w:rPr>
          <w:b/>
          <w:bCs/>
        </w:rPr>
        <w:t>Sous-propriété de</w:t>
      </w:r>
    </w:p>
    <w:p w14:paraId="6DC0ACFD" w14:textId="301F7C3E" w:rsidR="00065317" w:rsidRDefault="005C7BF7">
      <w:pPr>
        <w:pStyle w:val="Corpsdetexte"/>
      </w:pPr>
      <w:r>
        <w:rPr>
          <w:rStyle w:val="VerbatimChar"/>
        </w:rPr>
        <w:t>E63_Début_d</w:t>
      </w:r>
      <w:r w:rsidR="00E84B0E">
        <w:rPr>
          <w:rStyle w:val="VerbatimChar"/>
        </w:rPr>
        <w:t>’</w:t>
      </w:r>
      <w:r>
        <w:rPr>
          <w:rStyle w:val="VerbatimChar"/>
        </w:rPr>
        <w:t>existence</w:t>
      </w:r>
      <w:r>
        <w:t xml:space="preserve">. </w:t>
      </w:r>
      <w:r>
        <w:rPr>
          <w:rStyle w:val="VerbatimChar"/>
        </w:rPr>
        <w:t>P92_a_fait_exister (a_commencé_à_exister_par)</w:t>
      </w:r>
      <w:r>
        <w:t xml:space="preserve"> : </w:t>
      </w:r>
      <w:r>
        <w:rPr>
          <w:rStyle w:val="VerbatimChar"/>
        </w:rPr>
        <w:t>E77_Entité_persistante</w:t>
      </w:r>
    </w:p>
    <w:p w14:paraId="13B95ED9" w14:textId="77777777" w:rsidR="00065317" w:rsidRDefault="005C7BF7">
      <w:pPr>
        <w:pStyle w:val="Corpsdetexte"/>
      </w:pPr>
      <w:r>
        <w:rPr>
          <w:b/>
          <w:bCs/>
        </w:rPr>
        <w:t>Super-propriété de</w:t>
      </w:r>
    </w:p>
    <w:p w14:paraId="497864E7" w14:textId="77777777" w:rsidR="00065317" w:rsidRDefault="005C7BF7">
      <w:pPr>
        <w:pStyle w:val="Corpsdetexte"/>
      </w:pPr>
      <w:r>
        <w:rPr>
          <w:rStyle w:val="VerbatimChar"/>
        </w:rPr>
        <w:t>E83_Création_de_type</w:t>
      </w:r>
      <w:r>
        <w:t xml:space="preserve">. </w:t>
      </w:r>
      <w:r>
        <w:rPr>
          <w:rStyle w:val="VerbatimChar"/>
        </w:rPr>
        <w:t>P135_a_créé_le_type (a_été_créé_par)</w:t>
      </w:r>
      <w:r>
        <w:t xml:space="preserve"> : </w:t>
      </w:r>
      <w:r>
        <w:rPr>
          <w:rStyle w:val="VerbatimChar"/>
        </w:rPr>
        <w:t>E55_Type</w:t>
      </w:r>
    </w:p>
    <w:p w14:paraId="2AC3C2FE" w14:textId="77777777" w:rsidR="00065317" w:rsidRDefault="005C7BF7">
      <w:pPr>
        <w:pStyle w:val="Corpsdetexte"/>
      </w:pPr>
      <w:r>
        <w:rPr>
          <w:b/>
          <w:bCs/>
        </w:rPr>
        <w:t>Quantification</w:t>
      </w:r>
    </w:p>
    <w:p w14:paraId="331C5248" w14:textId="77777777" w:rsidR="00065317" w:rsidRDefault="005C7BF7">
      <w:pPr>
        <w:pStyle w:val="Corpsdetexte"/>
      </w:pPr>
      <w:r>
        <w:t>un à plusieurs, nécessaire, dépendant (1,n:1,1)</w:t>
      </w:r>
    </w:p>
    <w:p w14:paraId="608D5CFC" w14:textId="432D3AB6" w:rsidR="00065317" w:rsidRDefault="005C7BF7">
      <w:pPr>
        <w:pStyle w:val="Corpsdetexte"/>
      </w:pPr>
      <w:r>
        <w:rPr>
          <w:b/>
          <w:bCs/>
        </w:rPr>
        <w:t>Note d</w:t>
      </w:r>
      <w:r w:rsidR="00E84B0E">
        <w:rPr>
          <w:b/>
          <w:bCs/>
        </w:rPr>
        <w:t>’</w:t>
      </w:r>
      <w:r>
        <w:rPr>
          <w:b/>
          <w:bCs/>
        </w:rPr>
        <w:t>application</w:t>
      </w:r>
    </w:p>
    <w:p w14:paraId="2A351EAB" w14:textId="572BE4BC" w:rsidR="00065317" w:rsidRDefault="005C7BF7">
      <w:pPr>
        <w:pStyle w:val="Corpsdetexte"/>
      </w:pPr>
      <w:r>
        <w:t xml:space="preserve">Cette propriété lie une instance de </w:t>
      </w:r>
      <w:r>
        <w:rPr>
          <w:rStyle w:val="VerbatimChar"/>
        </w:rPr>
        <w:t>E65_Création</w:t>
      </w:r>
      <w:r>
        <w:t xml:space="preserve"> à une instance de </w:t>
      </w:r>
      <w:r>
        <w:rPr>
          <w:rStyle w:val="VerbatimChar"/>
        </w:rPr>
        <w:t>E28_Objet_conceptuel</w:t>
      </w:r>
      <w:r>
        <w:t xml:space="preserve"> qu</w:t>
      </w:r>
      <w:r w:rsidR="00E84B0E">
        <w:t>’</w:t>
      </w:r>
      <w:r>
        <w:t>elle a créé.</w:t>
      </w:r>
    </w:p>
    <w:p w14:paraId="42EE171C" w14:textId="1D51744E" w:rsidR="00FC2E07" w:rsidRDefault="005C7BF7">
      <w:pPr>
        <w:pStyle w:val="Corpsdetexte"/>
        <w:rPr>
          <w:b/>
          <w:bCs/>
        </w:rPr>
      </w:pPr>
      <w:r>
        <w:t>Elle représente l</w:t>
      </w:r>
      <w:r w:rsidR="00E84B0E">
        <w:t>’</w:t>
      </w:r>
      <w:r>
        <w:t>acte de concevoir le contenu intellectuel de l</w:t>
      </w:r>
      <w:r w:rsidR="00E84B0E">
        <w:t>’</w:t>
      </w:r>
      <w:r>
        <w:t xml:space="preserve">instance de </w:t>
      </w:r>
      <w:r>
        <w:rPr>
          <w:rStyle w:val="VerbatimChar"/>
        </w:rPr>
        <w:t>E28_Objet_conceptuel</w:t>
      </w:r>
      <w:r>
        <w:t xml:space="preserve"> [</w:t>
      </w:r>
      <w:r w:rsidR="00AF51A3">
        <w:t xml:space="preserve">n.d.t. </w:t>
      </w:r>
      <w:r>
        <w:t>créé par l</w:t>
      </w:r>
      <w:r w:rsidR="00E84B0E">
        <w:t>’</w:t>
      </w:r>
      <w:r>
        <w:t xml:space="preserve">instance de </w:t>
      </w:r>
      <w:r>
        <w:rPr>
          <w:rStyle w:val="VerbatimChar"/>
        </w:rPr>
        <w:t>E65_Création</w:t>
      </w:r>
      <w:r>
        <w:t>]. Cette propriété ne représente pas l</w:t>
      </w:r>
      <w:r w:rsidR="00E84B0E">
        <w:t>’</w:t>
      </w:r>
      <w:r>
        <w:t xml:space="preserve">acte de créer le premier support physique de cette instance de </w:t>
      </w:r>
      <w:r>
        <w:rPr>
          <w:rStyle w:val="VerbatimChar"/>
        </w:rPr>
        <w:t>E28_Objet_conceptuel</w:t>
      </w:r>
      <w:r>
        <w:t>. Par exemple, elle réfère à la composition d</w:t>
      </w:r>
      <w:r w:rsidR="00E84B0E">
        <w:t>’</w:t>
      </w:r>
      <w:r>
        <w:t>un poème, et non pas sa rédaction sur papier.</w:t>
      </w:r>
    </w:p>
    <w:p w14:paraId="67617B8D" w14:textId="5912D7CF" w:rsidR="00065317" w:rsidRDefault="005C7BF7">
      <w:pPr>
        <w:pStyle w:val="Corpsdetexte"/>
      </w:pPr>
      <w:r>
        <w:rPr>
          <w:b/>
          <w:bCs/>
        </w:rPr>
        <w:t>Exemples</w:t>
      </w:r>
    </w:p>
    <w:p w14:paraId="21CDBC1F" w14:textId="77777777" w:rsidR="00065317" w:rsidRDefault="005C7BF7">
      <w:pPr>
        <w:numPr>
          <w:ilvl w:val="0"/>
          <w:numId w:val="218"/>
        </w:numPr>
      </w:pPr>
      <w:r>
        <w:t xml:space="preserve">La composition de </w:t>
      </w:r>
      <w:r>
        <w:rPr>
          <w:i/>
          <w:iCs/>
        </w:rPr>
        <w:t>The Four Friends</w:t>
      </w:r>
      <w:r>
        <w:t xml:space="preserve"> par A. A. Milne (</w:t>
      </w:r>
      <w:r>
        <w:rPr>
          <w:rStyle w:val="VerbatimChar"/>
        </w:rPr>
        <w:t>E65_Création</w:t>
      </w:r>
      <w:r>
        <w:t>) a créé (</w:t>
      </w:r>
      <w:r>
        <w:rPr>
          <w:rStyle w:val="VerbatimChar"/>
        </w:rPr>
        <w:t>P94_a_créé</w:t>
      </w:r>
      <w:r>
        <w:t xml:space="preserve">) </w:t>
      </w:r>
      <w:r>
        <w:rPr>
          <w:i/>
          <w:iCs/>
        </w:rPr>
        <w:t>The Four Friends</w:t>
      </w:r>
      <w:r>
        <w:t xml:space="preserve"> par A. A. Milne (</w:t>
      </w:r>
      <w:r>
        <w:rPr>
          <w:rStyle w:val="VerbatimChar"/>
        </w:rPr>
        <w:t>E33_Objet_linguistique</w:t>
      </w:r>
      <w:r>
        <w:t>) (Milne, 2012)</w:t>
      </w:r>
    </w:p>
    <w:p w14:paraId="6CB6BA50" w14:textId="77777777" w:rsidR="00065317" w:rsidRDefault="005C7BF7">
      <w:pPr>
        <w:pStyle w:val="FirstParagraph"/>
      </w:pPr>
      <w:r>
        <w:rPr>
          <w:b/>
          <w:bCs/>
        </w:rPr>
        <w:t>Logique</w:t>
      </w:r>
    </w:p>
    <w:p w14:paraId="39169316" w14:textId="77777777" w:rsidR="00065317" w:rsidRDefault="005C7BF7">
      <w:pPr>
        <w:pStyle w:val="Corpsdetexte"/>
      </w:pPr>
      <w:r>
        <w:t>P94(x,y) ⇒ E65(x)</w:t>
      </w:r>
    </w:p>
    <w:p w14:paraId="32158EEE" w14:textId="77777777" w:rsidR="00065317" w:rsidRDefault="005C7BF7">
      <w:pPr>
        <w:pStyle w:val="Corpsdetexte"/>
      </w:pPr>
      <w:r>
        <w:t>P94(x,y) ⇒ E28(y)</w:t>
      </w:r>
    </w:p>
    <w:p w14:paraId="0019156F" w14:textId="77777777" w:rsidR="00065317" w:rsidRDefault="005C7BF7">
      <w:pPr>
        <w:pStyle w:val="Corpsdetexte"/>
      </w:pPr>
      <w:r>
        <w:t>P94(x,y) ⇒ P92(x,y)</w:t>
      </w:r>
    </w:p>
    <w:p w14:paraId="5D57F60D" w14:textId="77777777" w:rsidR="00065317" w:rsidRDefault="005C7BF7">
      <w:pPr>
        <w:pStyle w:val="Corpsdetexte"/>
      </w:pPr>
      <w:r>
        <w:rPr>
          <w:b/>
          <w:bCs/>
        </w:rPr>
        <w:t>Propriétés</w:t>
      </w:r>
    </w:p>
    <w:p w14:paraId="12872971" w14:textId="77777777" w:rsidR="00065317" w:rsidRDefault="005C7BF7">
      <w:pPr>
        <w:pStyle w:val="Normalcentr"/>
      </w:pPr>
      <w:r>
        <w:rPr>
          <w:b/>
          <w:bCs/>
          <w:i/>
          <w:iCs/>
        </w:rPr>
        <w:t>Note de traduction</w:t>
      </w:r>
    </w:p>
    <w:p w14:paraId="49BC3C0A" w14:textId="58E78F74" w:rsidR="00065317" w:rsidRDefault="005C7BF7" w:rsidP="00806228">
      <w:pPr>
        <w:pStyle w:val="Normalcentr"/>
      </w:pPr>
      <w:r>
        <w:rPr>
          <w:b/>
          <w:bCs/>
          <w:i/>
          <w:iCs/>
        </w:rPr>
        <w:t>Références</w:t>
      </w:r>
    </w:p>
    <w:p w14:paraId="2719C6BD" w14:textId="77777777" w:rsidR="00F54917" w:rsidRDefault="00F54917">
      <w:pPr>
        <w:spacing w:after="0"/>
        <w:rPr>
          <w:rFonts w:eastAsiaTheme="majorEastAsia" w:cstheme="majorBidi"/>
          <w:b/>
          <w:bCs/>
          <w:color w:val="000000"/>
          <w:sz w:val="28"/>
          <w:szCs w:val="28"/>
        </w:rPr>
      </w:pPr>
      <w:bookmarkStart w:id="424" w:name="p95-a-fonde-(a-ete-fonde-par)"/>
      <w:bookmarkEnd w:id="423"/>
      <w:r>
        <w:br w:type="page"/>
      </w:r>
    </w:p>
    <w:p w14:paraId="55582579" w14:textId="765146E5" w:rsidR="00065317" w:rsidRDefault="005C7BF7" w:rsidP="00914F34">
      <w:pPr>
        <w:pStyle w:val="Titre3"/>
      </w:pPr>
      <w:bookmarkStart w:id="425" w:name="_Toc154048897"/>
      <w:r>
        <w:lastRenderedPageBreak/>
        <w:t>P95 a fondé (a été fondé par)</w:t>
      </w:r>
      <w:bookmarkEnd w:id="425"/>
    </w:p>
    <w:p w14:paraId="31A264A1" w14:textId="77777777" w:rsidR="00065317" w:rsidRDefault="005C7BF7">
      <w:pPr>
        <w:pStyle w:val="FirstParagraph"/>
      </w:pPr>
      <w:r>
        <w:rPr>
          <w:b/>
          <w:bCs/>
        </w:rPr>
        <w:t>Domaine</w:t>
      </w:r>
    </w:p>
    <w:p w14:paraId="3DFB4DE1" w14:textId="77777777" w:rsidR="00065317" w:rsidRDefault="005C7BF7">
      <w:pPr>
        <w:pStyle w:val="Corpsdetexte"/>
      </w:pPr>
      <w:r>
        <w:rPr>
          <w:rStyle w:val="VerbatimChar"/>
        </w:rPr>
        <w:t>E66_Formation</w:t>
      </w:r>
    </w:p>
    <w:p w14:paraId="6CE77EF6" w14:textId="77777777" w:rsidR="00065317" w:rsidRDefault="005C7BF7">
      <w:pPr>
        <w:pStyle w:val="Corpsdetexte"/>
      </w:pPr>
      <w:r>
        <w:rPr>
          <w:b/>
          <w:bCs/>
        </w:rPr>
        <w:t>Portée</w:t>
      </w:r>
    </w:p>
    <w:p w14:paraId="07FE957D" w14:textId="77777777" w:rsidR="00065317" w:rsidRDefault="005C7BF7">
      <w:pPr>
        <w:pStyle w:val="Corpsdetexte"/>
      </w:pPr>
      <w:r>
        <w:rPr>
          <w:rStyle w:val="VerbatimChar"/>
        </w:rPr>
        <w:t>E74_Groupe</w:t>
      </w:r>
    </w:p>
    <w:p w14:paraId="4CB98219" w14:textId="77777777" w:rsidR="00065317" w:rsidRDefault="005C7BF7">
      <w:pPr>
        <w:pStyle w:val="Corpsdetexte"/>
      </w:pPr>
      <w:r>
        <w:rPr>
          <w:b/>
          <w:bCs/>
        </w:rPr>
        <w:t>Sous-propriété de</w:t>
      </w:r>
    </w:p>
    <w:p w14:paraId="03C0E0F0" w14:textId="0D415AC5" w:rsidR="00065317" w:rsidRDefault="005C7BF7">
      <w:pPr>
        <w:pStyle w:val="Corpsdetexte"/>
      </w:pPr>
      <w:r>
        <w:rPr>
          <w:rStyle w:val="VerbatimChar"/>
        </w:rPr>
        <w:t>E63_Début_d</w:t>
      </w:r>
      <w:r w:rsidR="00E84B0E">
        <w:rPr>
          <w:rStyle w:val="VerbatimChar"/>
        </w:rPr>
        <w:t>’</w:t>
      </w:r>
      <w:r>
        <w:rPr>
          <w:rStyle w:val="VerbatimChar"/>
        </w:rPr>
        <w:t>existence</w:t>
      </w:r>
      <w:r>
        <w:t xml:space="preserve">. </w:t>
      </w:r>
      <w:r>
        <w:rPr>
          <w:rStyle w:val="VerbatimChar"/>
        </w:rPr>
        <w:t>P92_a_fait_exister (a_commencé_à_exister_par)</w:t>
      </w:r>
      <w:r>
        <w:t xml:space="preserve"> : </w:t>
      </w:r>
      <w:r>
        <w:rPr>
          <w:rStyle w:val="VerbatimChar"/>
        </w:rPr>
        <w:t>E77_Entité_persistante</w:t>
      </w:r>
    </w:p>
    <w:p w14:paraId="1982013A" w14:textId="77777777" w:rsidR="00065317" w:rsidRDefault="005C7BF7">
      <w:pPr>
        <w:pStyle w:val="Corpsdetexte"/>
      </w:pPr>
      <w:r>
        <w:rPr>
          <w:b/>
          <w:bCs/>
        </w:rPr>
        <w:t>Super-propriété de</w:t>
      </w:r>
    </w:p>
    <w:p w14:paraId="2B75BDBA" w14:textId="77777777" w:rsidR="00065317" w:rsidRDefault="005C7BF7">
      <w:pPr>
        <w:pStyle w:val="Corpsdetexte"/>
      </w:pPr>
      <w:r>
        <w:rPr>
          <w:b/>
          <w:bCs/>
        </w:rPr>
        <w:t>Quantification</w:t>
      </w:r>
    </w:p>
    <w:p w14:paraId="5EFC5020" w14:textId="77777777" w:rsidR="00065317" w:rsidRDefault="005C7BF7">
      <w:pPr>
        <w:pStyle w:val="Corpsdetexte"/>
      </w:pPr>
      <w:r>
        <w:t>un à plusieurs, nécessaire, dépendant (1,n:1,1)</w:t>
      </w:r>
    </w:p>
    <w:p w14:paraId="109AC760" w14:textId="0D3DA3EB" w:rsidR="00065317" w:rsidRDefault="005C7BF7">
      <w:pPr>
        <w:pStyle w:val="Corpsdetexte"/>
      </w:pPr>
      <w:r>
        <w:rPr>
          <w:b/>
          <w:bCs/>
        </w:rPr>
        <w:t>Note d</w:t>
      </w:r>
      <w:r w:rsidR="00E84B0E">
        <w:rPr>
          <w:b/>
          <w:bCs/>
        </w:rPr>
        <w:t>’</w:t>
      </w:r>
      <w:r>
        <w:rPr>
          <w:b/>
          <w:bCs/>
        </w:rPr>
        <w:t>application</w:t>
      </w:r>
    </w:p>
    <w:p w14:paraId="1CDF68FF" w14:textId="3E3E879F" w:rsidR="00065317" w:rsidRDefault="005C7BF7">
      <w:pPr>
        <w:pStyle w:val="Corpsdetexte"/>
      </w:pPr>
      <w:r>
        <w:t xml:space="preserve">Cette propriété lie une instance de </w:t>
      </w:r>
      <w:r>
        <w:rPr>
          <w:rStyle w:val="VerbatimChar"/>
        </w:rPr>
        <w:t>E66_Formation</w:t>
      </w:r>
      <w:r>
        <w:t xml:space="preserve"> à l</w:t>
      </w:r>
      <w:r w:rsidR="00E84B0E">
        <w:t>’</w:t>
      </w:r>
      <w:r>
        <w:t xml:space="preserve">instance de </w:t>
      </w:r>
      <w:r>
        <w:rPr>
          <w:rStyle w:val="VerbatimChar"/>
        </w:rPr>
        <w:t>E74_Groupe</w:t>
      </w:r>
      <w:r>
        <w:t xml:space="preserve"> qu</w:t>
      </w:r>
      <w:r w:rsidR="00E84B0E">
        <w:t>’</w:t>
      </w:r>
      <w:r>
        <w:t>elle a fondée.</w:t>
      </w:r>
    </w:p>
    <w:p w14:paraId="41CBBE2D" w14:textId="77777777" w:rsidR="00065317" w:rsidRDefault="005C7BF7">
      <w:pPr>
        <w:pStyle w:val="Corpsdetexte"/>
      </w:pPr>
      <w:r>
        <w:rPr>
          <w:b/>
          <w:bCs/>
        </w:rPr>
        <w:t>Exemples</w:t>
      </w:r>
    </w:p>
    <w:p w14:paraId="404B9F63" w14:textId="3F8A63CB" w:rsidR="00065317" w:rsidRDefault="005C7BF7">
      <w:pPr>
        <w:numPr>
          <w:ilvl w:val="0"/>
          <w:numId w:val="219"/>
        </w:numPr>
      </w:pPr>
      <w:r>
        <w:t>La formation du Groupe d</w:t>
      </w:r>
      <w:r w:rsidR="00E84B0E">
        <w:t>’</w:t>
      </w:r>
      <w:r>
        <w:t>intérêt spécial CRM lors de la réunion du conseil d</w:t>
      </w:r>
      <w:r w:rsidR="00E84B0E">
        <w:t>’</w:t>
      </w:r>
      <w:r>
        <w:t>administration du CIDOC en</w:t>
      </w:r>
      <w:r w:rsidR="00056DCD">
        <w:t> août </w:t>
      </w:r>
      <w:r>
        <w:t>2000 (</w:t>
      </w:r>
      <w:r>
        <w:rPr>
          <w:rStyle w:val="VerbatimChar"/>
        </w:rPr>
        <w:t>E66_Formation</w:t>
      </w:r>
      <w:r>
        <w:t>) a fondé (</w:t>
      </w:r>
      <w:r>
        <w:rPr>
          <w:rStyle w:val="VerbatimChar"/>
        </w:rPr>
        <w:t>P95_a_fondé</w:t>
      </w:r>
      <w:r>
        <w:t>) le Groupe d</w:t>
      </w:r>
      <w:r w:rsidR="00E84B0E">
        <w:t>’</w:t>
      </w:r>
      <w:r>
        <w:t>intérêt spécial CRM (</w:t>
      </w:r>
      <w:r>
        <w:rPr>
          <w:rStyle w:val="VerbatimChar"/>
        </w:rPr>
        <w:t>E74_Groupe</w:t>
      </w:r>
      <w:r>
        <w:t>)</w:t>
      </w:r>
    </w:p>
    <w:p w14:paraId="302E670B" w14:textId="77777777" w:rsidR="00065317" w:rsidRDefault="005C7BF7">
      <w:pPr>
        <w:pStyle w:val="FirstParagraph"/>
      </w:pPr>
      <w:r>
        <w:rPr>
          <w:b/>
          <w:bCs/>
        </w:rPr>
        <w:t>Logique</w:t>
      </w:r>
    </w:p>
    <w:p w14:paraId="7F33CECF" w14:textId="77777777" w:rsidR="00065317" w:rsidRDefault="005C7BF7">
      <w:pPr>
        <w:pStyle w:val="Corpsdetexte"/>
      </w:pPr>
      <w:r>
        <w:t>P95(x,y) ⇒ E66(x)</w:t>
      </w:r>
    </w:p>
    <w:p w14:paraId="0191D5C9" w14:textId="77777777" w:rsidR="00065317" w:rsidRDefault="005C7BF7">
      <w:pPr>
        <w:pStyle w:val="Corpsdetexte"/>
      </w:pPr>
      <w:r>
        <w:t>P95(x,y) ⇒ E74(y)</w:t>
      </w:r>
    </w:p>
    <w:p w14:paraId="52C339CA" w14:textId="77777777" w:rsidR="00065317" w:rsidRDefault="005C7BF7">
      <w:pPr>
        <w:pStyle w:val="Corpsdetexte"/>
      </w:pPr>
      <w:r>
        <w:t>P95(x,y) ⇒ P92(x,y)</w:t>
      </w:r>
    </w:p>
    <w:p w14:paraId="268CD5F3" w14:textId="77777777" w:rsidR="00065317" w:rsidRDefault="005C7BF7">
      <w:pPr>
        <w:pStyle w:val="Corpsdetexte"/>
      </w:pPr>
      <w:r>
        <w:rPr>
          <w:b/>
          <w:bCs/>
        </w:rPr>
        <w:t>Propriétés</w:t>
      </w:r>
    </w:p>
    <w:p w14:paraId="03F888DF" w14:textId="77777777" w:rsidR="00065317" w:rsidRDefault="005C7BF7">
      <w:pPr>
        <w:pStyle w:val="Normalcentr"/>
      </w:pPr>
      <w:r>
        <w:rPr>
          <w:b/>
          <w:bCs/>
          <w:i/>
          <w:iCs/>
        </w:rPr>
        <w:t>Note de traduction</w:t>
      </w:r>
    </w:p>
    <w:p w14:paraId="70A79253" w14:textId="46773B0B" w:rsidR="00065317" w:rsidRDefault="005C7BF7">
      <w:pPr>
        <w:pStyle w:val="Normalcentr"/>
      </w:pPr>
      <w:r>
        <w:t>L</w:t>
      </w:r>
      <w:r w:rsidR="00E84B0E">
        <w:t>’</w:t>
      </w:r>
      <w:r>
        <w:t>acronyme « SIG » a été remplacé par l</w:t>
      </w:r>
      <w:r w:rsidR="00E84B0E">
        <w:t>’</w:t>
      </w:r>
      <w:r>
        <w:t>appellation complète « Groupe d</w:t>
      </w:r>
      <w:r w:rsidR="00E84B0E">
        <w:t>’</w:t>
      </w:r>
      <w:r>
        <w:t xml:space="preserve">intérêt spécial » </w:t>
      </w:r>
      <w:r w:rsidR="00806228">
        <w:t>aux</w:t>
      </w:r>
      <w:r>
        <w:t xml:space="preserve"> fins de cohérence avec la mention plus loin dans l</w:t>
      </w:r>
      <w:r w:rsidR="00E84B0E">
        <w:t>’</w:t>
      </w:r>
      <w:r>
        <w:t>exemple.</w:t>
      </w:r>
    </w:p>
    <w:p w14:paraId="4F5FC8BE" w14:textId="6720F008" w:rsidR="00065317" w:rsidRDefault="005C7BF7" w:rsidP="00806228">
      <w:pPr>
        <w:pStyle w:val="Normalcentr"/>
      </w:pPr>
      <w:r>
        <w:rPr>
          <w:b/>
          <w:bCs/>
          <w:i/>
          <w:iCs/>
        </w:rPr>
        <w:t>Références</w:t>
      </w:r>
    </w:p>
    <w:p w14:paraId="28A50415" w14:textId="77777777" w:rsidR="00065317" w:rsidRDefault="005C7BF7" w:rsidP="00914F34">
      <w:pPr>
        <w:pStyle w:val="Titre3"/>
      </w:pPr>
      <w:bookmarkStart w:id="426" w:name="_Toc154048898"/>
      <w:bookmarkStart w:id="427" w:name="p96-de-mere-(a-donne-naissance-a)"/>
      <w:bookmarkEnd w:id="424"/>
      <w:r>
        <w:t>P96 de mère (a donné naissance à)</w:t>
      </w:r>
      <w:bookmarkEnd w:id="426"/>
    </w:p>
    <w:p w14:paraId="5D9A520C" w14:textId="77777777" w:rsidR="00065317" w:rsidRDefault="005C7BF7">
      <w:pPr>
        <w:pStyle w:val="FirstParagraph"/>
      </w:pPr>
      <w:r>
        <w:rPr>
          <w:b/>
          <w:bCs/>
        </w:rPr>
        <w:t>Domaine</w:t>
      </w:r>
    </w:p>
    <w:p w14:paraId="044A8DF3" w14:textId="77777777" w:rsidR="00065317" w:rsidRDefault="005C7BF7">
      <w:pPr>
        <w:pStyle w:val="Corpsdetexte"/>
      </w:pPr>
      <w:r>
        <w:rPr>
          <w:rStyle w:val="VerbatimChar"/>
        </w:rPr>
        <w:t>E67_Naissance</w:t>
      </w:r>
    </w:p>
    <w:p w14:paraId="3B3452DC" w14:textId="77777777" w:rsidR="00065317" w:rsidRDefault="005C7BF7">
      <w:pPr>
        <w:pStyle w:val="Corpsdetexte"/>
      </w:pPr>
      <w:r>
        <w:rPr>
          <w:b/>
          <w:bCs/>
        </w:rPr>
        <w:t>Portée</w:t>
      </w:r>
    </w:p>
    <w:p w14:paraId="615B8282" w14:textId="77777777" w:rsidR="00065317" w:rsidRDefault="005C7BF7">
      <w:pPr>
        <w:pStyle w:val="Corpsdetexte"/>
      </w:pPr>
      <w:r>
        <w:rPr>
          <w:rStyle w:val="VerbatimChar"/>
        </w:rPr>
        <w:t>E21_Personne</w:t>
      </w:r>
    </w:p>
    <w:p w14:paraId="0EAAA519" w14:textId="77777777" w:rsidR="00065317" w:rsidRDefault="005C7BF7">
      <w:pPr>
        <w:pStyle w:val="Corpsdetexte"/>
      </w:pPr>
      <w:r>
        <w:rPr>
          <w:b/>
          <w:bCs/>
        </w:rPr>
        <w:t>Sous-propriété de</w:t>
      </w:r>
    </w:p>
    <w:p w14:paraId="438C6AD3" w14:textId="77777777" w:rsidR="00065317" w:rsidRDefault="005C7BF7">
      <w:pPr>
        <w:pStyle w:val="Corpsdetexte"/>
      </w:pPr>
      <w:r>
        <w:rPr>
          <w:rStyle w:val="VerbatimChar"/>
        </w:rPr>
        <w:t>E5_Évènement</w:t>
      </w:r>
      <w:r>
        <w:t xml:space="preserve">. </w:t>
      </w:r>
      <w:r>
        <w:rPr>
          <w:rStyle w:val="VerbatimChar"/>
        </w:rPr>
        <w:t>P11_a_eu_pour_actant_participant (a_participé_à)</w:t>
      </w:r>
      <w:r>
        <w:t xml:space="preserve"> : </w:t>
      </w:r>
      <w:r>
        <w:rPr>
          <w:rStyle w:val="VerbatimChar"/>
        </w:rPr>
        <w:t>E39_Actant</w:t>
      </w:r>
    </w:p>
    <w:p w14:paraId="7CEB0A13" w14:textId="77777777" w:rsidR="00065317" w:rsidRDefault="005C7BF7">
      <w:pPr>
        <w:pStyle w:val="Corpsdetexte"/>
      </w:pPr>
      <w:r>
        <w:rPr>
          <w:b/>
          <w:bCs/>
        </w:rPr>
        <w:lastRenderedPageBreak/>
        <w:t>Super-propriété de</w:t>
      </w:r>
    </w:p>
    <w:p w14:paraId="5FEE6A8B" w14:textId="77777777" w:rsidR="00065317" w:rsidRDefault="005C7BF7">
      <w:pPr>
        <w:pStyle w:val="Corpsdetexte"/>
      </w:pPr>
      <w:r>
        <w:rPr>
          <w:b/>
          <w:bCs/>
        </w:rPr>
        <w:t>Quantification</w:t>
      </w:r>
    </w:p>
    <w:p w14:paraId="587A4936" w14:textId="77777777" w:rsidR="00065317" w:rsidRDefault="005C7BF7">
      <w:pPr>
        <w:pStyle w:val="Corpsdetexte"/>
      </w:pPr>
      <w:r>
        <w:t>plusieurs à un, nécessaire (1,1:0,n)</w:t>
      </w:r>
    </w:p>
    <w:p w14:paraId="665779FA" w14:textId="415ABF60" w:rsidR="00065317" w:rsidRDefault="005C7BF7">
      <w:pPr>
        <w:pStyle w:val="Corpsdetexte"/>
      </w:pPr>
      <w:r>
        <w:rPr>
          <w:b/>
          <w:bCs/>
        </w:rPr>
        <w:t>Note d</w:t>
      </w:r>
      <w:r w:rsidR="00E84B0E">
        <w:rPr>
          <w:b/>
          <w:bCs/>
        </w:rPr>
        <w:t>’</w:t>
      </w:r>
      <w:r>
        <w:rPr>
          <w:b/>
          <w:bCs/>
        </w:rPr>
        <w:t>application</w:t>
      </w:r>
    </w:p>
    <w:p w14:paraId="44EF5219" w14:textId="77777777" w:rsidR="00065317" w:rsidRDefault="005C7BF7">
      <w:pPr>
        <w:pStyle w:val="Corpsdetexte"/>
      </w:pPr>
      <w:r>
        <w:t xml:space="preserve">Cette propriété lie une instance de </w:t>
      </w:r>
      <w:r>
        <w:rPr>
          <w:rStyle w:val="VerbatimChar"/>
        </w:rPr>
        <w:t>E67_Naissance</w:t>
      </w:r>
      <w:r>
        <w:t xml:space="preserve"> à une instance de </w:t>
      </w:r>
      <w:r>
        <w:rPr>
          <w:rStyle w:val="VerbatimChar"/>
        </w:rPr>
        <w:t>E21_Personne</w:t>
      </w:r>
      <w:r>
        <w:t xml:space="preserve"> dans le rôle de la mère donnant naissance.</w:t>
      </w:r>
    </w:p>
    <w:p w14:paraId="2C2D609A" w14:textId="2102CC7B" w:rsidR="00065317" w:rsidRDefault="005C7BF7">
      <w:pPr>
        <w:pStyle w:val="Corpsdetexte"/>
      </w:pPr>
      <w:r>
        <w:t xml:space="preserve">À noter que les pères biologiques ne sont pas nécessairement des participants à la naissance (voir </w:t>
      </w:r>
      <w:r>
        <w:rPr>
          <w:rStyle w:val="VerbatimChar"/>
        </w:rPr>
        <w:t>P97_de_père (a_été_le_père_pour)</w:t>
      </w:r>
      <w:r>
        <w:t>). L</w:t>
      </w:r>
      <w:r w:rsidR="00E84B0E">
        <w:t>’</w:t>
      </w:r>
      <w:r>
        <w:t xml:space="preserve">instance de </w:t>
      </w:r>
      <w:r>
        <w:rPr>
          <w:rStyle w:val="VerbatimChar"/>
        </w:rPr>
        <w:t>E21_Personne</w:t>
      </w:r>
      <w:r>
        <w:t xml:space="preserve"> en train de naître est liée à l</w:t>
      </w:r>
      <w:r w:rsidR="00E84B0E">
        <w:t>’</w:t>
      </w:r>
      <w:r>
        <w:t xml:space="preserve">instance de </w:t>
      </w:r>
      <w:r>
        <w:rPr>
          <w:rStyle w:val="VerbatimChar"/>
        </w:rPr>
        <w:t>E67_Naissance</w:t>
      </w:r>
      <w:r>
        <w:t xml:space="preserve"> par la propriété </w:t>
      </w:r>
      <w:r>
        <w:rPr>
          <w:rStyle w:val="VerbatimChar"/>
        </w:rPr>
        <w:t>P98_a_donné_vie_à (est_né)</w:t>
      </w:r>
      <w:r>
        <w:t>.</w:t>
      </w:r>
    </w:p>
    <w:p w14:paraId="63DFAD6A" w14:textId="75A55758" w:rsidR="00065317" w:rsidRDefault="005C7BF7">
      <w:pPr>
        <w:pStyle w:val="Corpsdetexte"/>
      </w:pPr>
      <w:r>
        <w:t>[</w:t>
      </w:r>
      <w:r w:rsidR="00AF51A3">
        <w:t xml:space="preserve">n.d.t. </w:t>
      </w:r>
      <w:r>
        <w:t>La propriété P96_de_mère (a_donné_naissance_à)] n</w:t>
      </w:r>
      <w:r w:rsidR="00E84B0E">
        <w:t>’</w:t>
      </w:r>
      <w:r>
        <w:t>est pas destinée à être utilisée dans le contexte de l</w:t>
      </w:r>
      <w:r w:rsidR="00E84B0E">
        <w:t>’</w:t>
      </w:r>
      <w:r>
        <w:t>histoire naturelle à l</w:t>
      </w:r>
      <w:r w:rsidR="00E84B0E">
        <w:t>’</w:t>
      </w:r>
      <w:r>
        <w:t>exception des personnes. Il n</w:t>
      </w:r>
      <w:r w:rsidR="00E84B0E">
        <w:t>’</w:t>
      </w:r>
      <w:r>
        <w:t>y a pas de méthode explicite pour modéliser la conception et la gestation à moins d</w:t>
      </w:r>
      <w:r w:rsidR="00E84B0E">
        <w:t>’</w:t>
      </w:r>
      <w:r>
        <w:t>utiliser des extensions.</w:t>
      </w:r>
    </w:p>
    <w:p w14:paraId="170CA190" w14:textId="77777777" w:rsidR="00065317" w:rsidRDefault="005C7BF7">
      <w:pPr>
        <w:pStyle w:val="Corpsdetexte"/>
      </w:pPr>
      <w:r>
        <w:rPr>
          <w:b/>
          <w:bCs/>
        </w:rPr>
        <w:t>Exemples</w:t>
      </w:r>
    </w:p>
    <w:p w14:paraId="5A9ED3EC" w14:textId="77777777" w:rsidR="00065317" w:rsidRDefault="005C7BF7">
      <w:pPr>
        <w:numPr>
          <w:ilvl w:val="0"/>
          <w:numId w:val="220"/>
        </w:numPr>
      </w:pPr>
      <w:r>
        <w:t>La naissance de la reine Elizabeth II (</w:t>
      </w:r>
      <w:r>
        <w:rPr>
          <w:rStyle w:val="VerbatimChar"/>
        </w:rPr>
        <w:t>E67_Naissance</w:t>
      </w:r>
      <w:r>
        <w:t>) par sa mère (</w:t>
      </w:r>
      <w:r>
        <w:rPr>
          <w:rStyle w:val="VerbatimChar"/>
        </w:rPr>
        <w:t>P96_de_mère</w:t>
      </w:r>
      <w:r>
        <w:t>) Sa Majesté la reine Elizabeth, la Reine Mère (</w:t>
      </w:r>
      <w:r>
        <w:rPr>
          <w:rStyle w:val="VerbatimChar"/>
        </w:rPr>
        <w:t>E21_Personne</w:t>
      </w:r>
      <w:r>
        <w:t>) (Parker, 2002)</w:t>
      </w:r>
    </w:p>
    <w:p w14:paraId="1A34F0EF" w14:textId="77777777" w:rsidR="00065317" w:rsidRDefault="005C7BF7">
      <w:pPr>
        <w:pStyle w:val="FirstParagraph"/>
      </w:pPr>
      <w:r>
        <w:rPr>
          <w:b/>
          <w:bCs/>
        </w:rPr>
        <w:t>Logique</w:t>
      </w:r>
    </w:p>
    <w:p w14:paraId="7C0BBF63" w14:textId="77777777" w:rsidR="00065317" w:rsidRDefault="005C7BF7">
      <w:pPr>
        <w:pStyle w:val="Corpsdetexte"/>
      </w:pPr>
      <w:r>
        <w:t>P96(x,y) ⇒ E67(x)</w:t>
      </w:r>
    </w:p>
    <w:p w14:paraId="69BA2C81" w14:textId="77777777" w:rsidR="00065317" w:rsidRDefault="005C7BF7">
      <w:pPr>
        <w:pStyle w:val="Corpsdetexte"/>
      </w:pPr>
      <w:r>
        <w:t>P96(x,y) ⇒ E21(y)</w:t>
      </w:r>
    </w:p>
    <w:p w14:paraId="264A2E4D" w14:textId="77777777" w:rsidR="00065317" w:rsidRDefault="005C7BF7">
      <w:pPr>
        <w:pStyle w:val="Corpsdetexte"/>
      </w:pPr>
      <w:r>
        <w:t>P96(x,y) ⇒ P11(x,y)</w:t>
      </w:r>
    </w:p>
    <w:p w14:paraId="06DF06DC" w14:textId="77777777" w:rsidR="00065317" w:rsidRDefault="005C7BF7">
      <w:pPr>
        <w:pStyle w:val="Corpsdetexte"/>
      </w:pPr>
      <w:r>
        <w:rPr>
          <w:b/>
          <w:bCs/>
        </w:rPr>
        <w:t>Propriétés</w:t>
      </w:r>
    </w:p>
    <w:p w14:paraId="3516D2F4" w14:textId="77777777" w:rsidR="00065317" w:rsidRDefault="005C7BF7">
      <w:pPr>
        <w:pStyle w:val="Normalcentr"/>
      </w:pPr>
      <w:r>
        <w:rPr>
          <w:b/>
          <w:bCs/>
          <w:i/>
          <w:iCs/>
        </w:rPr>
        <w:t>Note de traduction</w:t>
      </w:r>
    </w:p>
    <w:p w14:paraId="47A7BAD9" w14:textId="53E08D33" w:rsidR="00065317" w:rsidRDefault="005C7BF7">
      <w:pPr>
        <w:pStyle w:val="Normalcentr"/>
      </w:pPr>
      <w:r>
        <w:t>Une erreur s</w:t>
      </w:r>
      <w:r w:rsidR="00E84B0E">
        <w:t>’</w:t>
      </w:r>
      <w:r>
        <w:t>est glissée dans la version anglophone, au deuxième paragraphe; on devrait lire « The instance of E21 Person [...] » et non pas « The instance of P21 Person [...] ».</w:t>
      </w:r>
    </w:p>
    <w:p w14:paraId="14E63928" w14:textId="6314AF25" w:rsidR="00065317" w:rsidRDefault="005C7BF7" w:rsidP="007F3F36">
      <w:pPr>
        <w:pStyle w:val="Normalcentr"/>
      </w:pPr>
      <w:r>
        <w:rPr>
          <w:b/>
          <w:bCs/>
          <w:i/>
          <w:iCs/>
        </w:rPr>
        <w:t>Références</w:t>
      </w:r>
    </w:p>
    <w:p w14:paraId="5F2B7B3C" w14:textId="77777777" w:rsidR="00065317" w:rsidRDefault="005C7BF7" w:rsidP="00914F34">
      <w:pPr>
        <w:pStyle w:val="Titre3"/>
      </w:pPr>
      <w:bookmarkStart w:id="428" w:name="_Toc154048899"/>
      <w:bookmarkStart w:id="429" w:name="p97-de-pere-(a-ete-le-pere-pour)"/>
      <w:bookmarkEnd w:id="427"/>
      <w:r>
        <w:t>P97 de père (a été le père pour)</w:t>
      </w:r>
      <w:bookmarkEnd w:id="428"/>
    </w:p>
    <w:p w14:paraId="2223A67C" w14:textId="77777777" w:rsidR="00065317" w:rsidRDefault="005C7BF7">
      <w:pPr>
        <w:pStyle w:val="FirstParagraph"/>
      </w:pPr>
      <w:r>
        <w:rPr>
          <w:b/>
          <w:bCs/>
        </w:rPr>
        <w:t>Domaine</w:t>
      </w:r>
    </w:p>
    <w:p w14:paraId="4CB695EC" w14:textId="77777777" w:rsidR="00065317" w:rsidRDefault="005C7BF7">
      <w:pPr>
        <w:pStyle w:val="Corpsdetexte"/>
      </w:pPr>
      <w:r>
        <w:rPr>
          <w:rStyle w:val="VerbatimChar"/>
        </w:rPr>
        <w:t>E67_Naissance</w:t>
      </w:r>
    </w:p>
    <w:p w14:paraId="13A26564" w14:textId="77777777" w:rsidR="00065317" w:rsidRDefault="005C7BF7">
      <w:pPr>
        <w:pStyle w:val="Corpsdetexte"/>
      </w:pPr>
      <w:r>
        <w:rPr>
          <w:b/>
          <w:bCs/>
        </w:rPr>
        <w:t>Portée</w:t>
      </w:r>
    </w:p>
    <w:p w14:paraId="58185AF5" w14:textId="77777777" w:rsidR="00065317" w:rsidRDefault="005C7BF7">
      <w:pPr>
        <w:pStyle w:val="Corpsdetexte"/>
      </w:pPr>
      <w:r>
        <w:rPr>
          <w:rStyle w:val="VerbatimChar"/>
        </w:rPr>
        <w:t>E21_Personne</w:t>
      </w:r>
    </w:p>
    <w:p w14:paraId="39665A99" w14:textId="77777777" w:rsidR="00065317" w:rsidRDefault="005C7BF7">
      <w:pPr>
        <w:pStyle w:val="Corpsdetexte"/>
      </w:pPr>
      <w:r>
        <w:rPr>
          <w:b/>
          <w:bCs/>
        </w:rPr>
        <w:t>Sous-propriété de</w:t>
      </w:r>
    </w:p>
    <w:p w14:paraId="26AE6125" w14:textId="77777777" w:rsidR="00065317" w:rsidRDefault="005C7BF7">
      <w:pPr>
        <w:pStyle w:val="Corpsdetexte"/>
      </w:pPr>
      <w:r>
        <w:rPr>
          <w:b/>
          <w:bCs/>
        </w:rPr>
        <w:t>Super-propriété de</w:t>
      </w:r>
    </w:p>
    <w:p w14:paraId="0AD19FD0" w14:textId="77777777" w:rsidR="00065317" w:rsidRDefault="005C7BF7">
      <w:pPr>
        <w:pStyle w:val="Corpsdetexte"/>
      </w:pPr>
      <w:r>
        <w:rPr>
          <w:b/>
          <w:bCs/>
        </w:rPr>
        <w:t>Quantification</w:t>
      </w:r>
    </w:p>
    <w:p w14:paraId="26EC9A19" w14:textId="77777777" w:rsidR="00065317" w:rsidRDefault="005C7BF7">
      <w:pPr>
        <w:pStyle w:val="Corpsdetexte"/>
      </w:pPr>
      <w:r>
        <w:t>plusieurs à un, nécessaire (1,1:0,n)</w:t>
      </w:r>
    </w:p>
    <w:p w14:paraId="07ABCD56" w14:textId="77777777" w:rsidR="00F54917" w:rsidRDefault="00F54917">
      <w:pPr>
        <w:spacing w:after="0"/>
        <w:rPr>
          <w:b/>
          <w:bCs/>
        </w:rPr>
      </w:pPr>
      <w:r>
        <w:rPr>
          <w:b/>
          <w:bCs/>
        </w:rPr>
        <w:br w:type="page"/>
      </w:r>
    </w:p>
    <w:p w14:paraId="5DE07903" w14:textId="22EA0AC4" w:rsidR="00065317" w:rsidRDefault="005C7BF7">
      <w:pPr>
        <w:pStyle w:val="Corpsdetexte"/>
      </w:pPr>
      <w:r>
        <w:rPr>
          <w:b/>
          <w:bCs/>
        </w:rPr>
        <w:lastRenderedPageBreak/>
        <w:t>Note d</w:t>
      </w:r>
      <w:r w:rsidR="00E84B0E">
        <w:rPr>
          <w:b/>
          <w:bCs/>
        </w:rPr>
        <w:t>’</w:t>
      </w:r>
      <w:r>
        <w:rPr>
          <w:b/>
          <w:bCs/>
        </w:rPr>
        <w:t>application</w:t>
      </w:r>
    </w:p>
    <w:p w14:paraId="078F5052" w14:textId="77777777" w:rsidR="00065317" w:rsidRDefault="005C7BF7">
      <w:pPr>
        <w:pStyle w:val="Corpsdetexte"/>
      </w:pPr>
      <w:r>
        <w:t xml:space="preserve">Cette propriété lie une instance de </w:t>
      </w:r>
      <w:r>
        <w:rPr>
          <w:rStyle w:val="VerbatimChar"/>
        </w:rPr>
        <w:t>E67_Naissance</w:t>
      </w:r>
      <w:r>
        <w:t xml:space="preserve"> a une instance de </w:t>
      </w:r>
      <w:r>
        <w:rPr>
          <w:rStyle w:val="VerbatimChar"/>
        </w:rPr>
        <w:t>E21_Personne</w:t>
      </w:r>
      <w:r>
        <w:t xml:space="preserve"> dans le rôle du père biologique.</w:t>
      </w:r>
    </w:p>
    <w:p w14:paraId="2009004E" w14:textId="7B42677B" w:rsidR="00065317" w:rsidRDefault="005C7BF7">
      <w:pPr>
        <w:pStyle w:val="Corpsdetexte"/>
      </w:pPr>
      <w:r>
        <w:t>Les pères biologiques ne sont pas considérés comme des participants nécessaires à la naissance, alors que les mères qui accouchent le sont (voir</w:t>
      </w:r>
      <w:hyperlink r:id="rId246">
        <w:r>
          <w:rPr>
            <w:rStyle w:val="Lienhypertexte"/>
          </w:rPr>
          <w:t xml:space="preserve"> </w:t>
        </w:r>
      </w:hyperlink>
      <w:r>
        <w:rPr>
          <w:rStyle w:val="VerbatimChar"/>
        </w:rPr>
        <w:t>P96_de_mère (a_donné_naissance_à)</w:t>
      </w:r>
      <w:r>
        <w:t>). L</w:t>
      </w:r>
      <w:r w:rsidR="00E84B0E">
        <w:t>’</w:t>
      </w:r>
      <w:r>
        <w:t xml:space="preserve">instance de </w:t>
      </w:r>
      <w:r>
        <w:rPr>
          <w:rStyle w:val="VerbatimChar"/>
        </w:rPr>
        <w:t>E21_Personne</w:t>
      </w:r>
      <w:r>
        <w:t xml:space="preserve"> en train de naître est liée à l</w:t>
      </w:r>
      <w:r w:rsidR="00E84B0E">
        <w:t>’</w:t>
      </w:r>
      <w:r>
        <w:t xml:space="preserve">instance de </w:t>
      </w:r>
      <w:r>
        <w:rPr>
          <w:rStyle w:val="VerbatimChar"/>
        </w:rPr>
        <w:t>E67_Naissance</w:t>
      </w:r>
      <w:r>
        <w:t xml:space="preserve"> par la propriété </w:t>
      </w:r>
      <w:r>
        <w:rPr>
          <w:rStyle w:val="VerbatimChar"/>
        </w:rPr>
        <w:t>P98_a_donné_vie_à (est_né)</w:t>
      </w:r>
      <w:r>
        <w:t>.</w:t>
      </w:r>
    </w:p>
    <w:p w14:paraId="145D71C0" w14:textId="29CC7E40" w:rsidR="00065317" w:rsidRDefault="005C7BF7">
      <w:pPr>
        <w:pStyle w:val="Corpsdetexte"/>
      </w:pPr>
      <w:r>
        <w:t xml:space="preserve">[n.d.t La propriété </w:t>
      </w:r>
      <w:r>
        <w:rPr>
          <w:rStyle w:val="VerbatimChar"/>
        </w:rPr>
        <w:t>P97_de_père (a_été_le_père_pour)</w:t>
      </w:r>
      <w:r>
        <w:t>] n</w:t>
      </w:r>
      <w:r w:rsidR="00E84B0E">
        <w:t>’</w:t>
      </w:r>
      <w:r>
        <w:t>est pas destinée à être utilisée dans le contexte de l</w:t>
      </w:r>
      <w:r w:rsidR="00E84B0E">
        <w:t>’</w:t>
      </w:r>
      <w:r>
        <w:t>histoire naturelle à l</w:t>
      </w:r>
      <w:r w:rsidR="00E84B0E">
        <w:t>’</w:t>
      </w:r>
      <w:r>
        <w:t>exception des personnes. Il n</w:t>
      </w:r>
      <w:r w:rsidR="00E84B0E">
        <w:t>’</w:t>
      </w:r>
      <w:r>
        <w:t>y a pas de méthode explicite pour modéliser la conception et la gestation à moins d</w:t>
      </w:r>
      <w:r w:rsidR="00E84B0E">
        <w:t>’</w:t>
      </w:r>
      <w:r>
        <w:t>utiliser des extensions.</w:t>
      </w:r>
    </w:p>
    <w:p w14:paraId="5FE19C2E" w14:textId="77777777" w:rsidR="00065317" w:rsidRDefault="005C7BF7">
      <w:pPr>
        <w:pStyle w:val="Corpsdetexte"/>
      </w:pPr>
      <w:r>
        <w:t xml:space="preserve">Une instance de </w:t>
      </w:r>
      <w:r>
        <w:rPr>
          <w:rStyle w:val="VerbatimChar"/>
        </w:rPr>
        <w:t>E67_Naissance</w:t>
      </w:r>
      <w:r>
        <w:t xml:space="preserve"> est normalement (mais pas toujours) associée à un seul père biologique.</w:t>
      </w:r>
    </w:p>
    <w:p w14:paraId="6D316AD9" w14:textId="77777777" w:rsidR="00065317" w:rsidRDefault="005C7BF7">
      <w:pPr>
        <w:pStyle w:val="Corpsdetexte"/>
      </w:pPr>
      <w:r>
        <w:rPr>
          <w:b/>
          <w:bCs/>
        </w:rPr>
        <w:t>Exemples</w:t>
      </w:r>
    </w:p>
    <w:p w14:paraId="1BDCF461" w14:textId="77777777" w:rsidR="00065317" w:rsidRDefault="005C7BF7">
      <w:pPr>
        <w:numPr>
          <w:ilvl w:val="0"/>
          <w:numId w:val="221"/>
        </w:numPr>
      </w:pPr>
      <w:r>
        <w:t>Le roi George VI (</w:t>
      </w:r>
      <w:r>
        <w:rPr>
          <w:rStyle w:val="VerbatimChar"/>
        </w:rPr>
        <w:t>E21_Personne</w:t>
      </w:r>
      <w:r>
        <w:t>) a été le père pour (</w:t>
      </w:r>
      <w:r>
        <w:rPr>
          <w:rStyle w:val="VerbatimChar"/>
        </w:rPr>
        <w:t>P97i_a_été_le_père_pour</w:t>
      </w:r>
      <w:r>
        <w:t>) la naissance de la reine Élizabeth II (</w:t>
      </w:r>
      <w:r>
        <w:rPr>
          <w:rStyle w:val="VerbatimChar"/>
        </w:rPr>
        <w:t>E67_Naissance</w:t>
      </w:r>
      <w:r>
        <w:t>) (Parker, 2002)</w:t>
      </w:r>
    </w:p>
    <w:p w14:paraId="0697F64C" w14:textId="77777777" w:rsidR="00065317" w:rsidRDefault="005C7BF7">
      <w:pPr>
        <w:pStyle w:val="FirstParagraph"/>
      </w:pPr>
      <w:r>
        <w:rPr>
          <w:b/>
          <w:bCs/>
        </w:rPr>
        <w:t>Logique</w:t>
      </w:r>
    </w:p>
    <w:p w14:paraId="0ED078E9" w14:textId="77777777" w:rsidR="00065317" w:rsidRDefault="005C7BF7">
      <w:pPr>
        <w:pStyle w:val="Corpsdetexte"/>
      </w:pPr>
      <w:r>
        <w:t>P97(x,y) ⇒ E67(x)</w:t>
      </w:r>
    </w:p>
    <w:p w14:paraId="6EBB3811" w14:textId="77777777" w:rsidR="00065317" w:rsidRDefault="005C7BF7">
      <w:pPr>
        <w:pStyle w:val="Corpsdetexte"/>
      </w:pPr>
      <w:r>
        <w:t>P97(x,y) ⇒ E21(y)</w:t>
      </w:r>
    </w:p>
    <w:p w14:paraId="1F62D193" w14:textId="77777777" w:rsidR="00065317" w:rsidRDefault="005C7BF7">
      <w:pPr>
        <w:pStyle w:val="Corpsdetexte"/>
      </w:pPr>
      <w:r>
        <w:rPr>
          <w:b/>
          <w:bCs/>
        </w:rPr>
        <w:t>Propriétés</w:t>
      </w:r>
    </w:p>
    <w:p w14:paraId="2D0EAF5F" w14:textId="77777777" w:rsidR="00065317" w:rsidRDefault="005C7BF7">
      <w:pPr>
        <w:pStyle w:val="Normalcentr"/>
      </w:pPr>
      <w:r>
        <w:rPr>
          <w:b/>
          <w:bCs/>
          <w:i/>
          <w:iCs/>
        </w:rPr>
        <w:t>Note de traduction</w:t>
      </w:r>
    </w:p>
    <w:p w14:paraId="41A7D69A" w14:textId="521FBB2F" w:rsidR="00065317" w:rsidRDefault="005C7BF7" w:rsidP="000C28E9">
      <w:pPr>
        <w:pStyle w:val="Normalcentr"/>
      </w:pPr>
      <w:r>
        <w:rPr>
          <w:b/>
          <w:bCs/>
          <w:i/>
          <w:iCs/>
        </w:rPr>
        <w:t>Références</w:t>
      </w:r>
    </w:p>
    <w:p w14:paraId="5EE09F45" w14:textId="77777777" w:rsidR="00065317" w:rsidRDefault="005C7BF7" w:rsidP="00914F34">
      <w:pPr>
        <w:pStyle w:val="Titre3"/>
      </w:pPr>
      <w:bookmarkStart w:id="430" w:name="_Toc154048900"/>
      <w:bookmarkStart w:id="431" w:name="p98-a-donne-vie-a-(est-ne)"/>
      <w:bookmarkEnd w:id="429"/>
      <w:r>
        <w:t>P98 a donné vie à (est né)</w:t>
      </w:r>
      <w:bookmarkEnd w:id="430"/>
    </w:p>
    <w:p w14:paraId="6A4B0549" w14:textId="77777777" w:rsidR="00065317" w:rsidRDefault="005C7BF7">
      <w:pPr>
        <w:pStyle w:val="FirstParagraph"/>
      </w:pPr>
      <w:r>
        <w:rPr>
          <w:b/>
          <w:bCs/>
        </w:rPr>
        <w:t>Domaine</w:t>
      </w:r>
    </w:p>
    <w:p w14:paraId="5B16BEF3" w14:textId="77777777" w:rsidR="00065317" w:rsidRDefault="005C7BF7">
      <w:pPr>
        <w:pStyle w:val="Corpsdetexte"/>
      </w:pPr>
      <w:r>
        <w:rPr>
          <w:rStyle w:val="VerbatimChar"/>
        </w:rPr>
        <w:t>E67_Naissance</w:t>
      </w:r>
    </w:p>
    <w:p w14:paraId="12A84CAB" w14:textId="77777777" w:rsidR="00065317" w:rsidRDefault="005C7BF7">
      <w:pPr>
        <w:pStyle w:val="Corpsdetexte"/>
      </w:pPr>
      <w:r>
        <w:rPr>
          <w:b/>
          <w:bCs/>
        </w:rPr>
        <w:t>Portée</w:t>
      </w:r>
    </w:p>
    <w:p w14:paraId="5D91EE2C" w14:textId="77777777" w:rsidR="00065317" w:rsidRDefault="005C7BF7">
      <w:pPr>
        <w:pStyle w:val="Corpsdetexte"/>
      </w:pPr>
      <w:r>
        <w:rPr>
          <w:rStyle w:val="VerbatimChar"/>
        </w:rPr>
        <w:t>E21_Personne</w:t>
      </w:r>
    </w:p>
    <w:p w14:paraId="426AF4B6" w14:textId="77777777" w:rsidR="00065317" w:rsidRDefault="005C7BF7">
      <w:pPr>
        <w:pStyle w:val="Corpsdetexte"/>
      </w:pPr>
      <w:r>
        <w:rPr>
          <w:b/>
          <w:bCs/>
        </w:rPr>
        <w:t>Sous-propriété de</w:t>
      </w:r>
    </w:p>
    <w:p w14:paraId="1C3AC515" w14:textId="108D01D2" w:rsidR="00065317" w:rsidRDefault="005C7BF7">
      <w:pPr>
        <w:pStyle w:val="Corpsdetexte"/>
      </w:pPr>
      <w:r>
        <w:rPr>
          <w:rStyle w:val="VerbatimChar"/>
        </w:rPr>
        <w:t>E63_Début_d</w:t>
      </w:r>
      <w:r w:rsidR="00E84B0E">
        <w:rPr>
          <w:rStyle w:val="VerbatimChar"/>
        </w:rPr>
        <w:t>’</w:t>
      </w:r>
      <w:r>
        <w:rPr>
          <w:rStyle w:val="VerbatimChar"/>
        </w:rPr>
        <w:t>existence</w:t>
      </w:r>
      <w:r>
        <w:t xml:space="preserve">. </w:t>
      </w:r>
      <w:r>
        <w:rPr>
          <w:rStyle w:val="VerbatimChar"/>
        </w:rPr>
        <w:t>P92_a_fait_exister (a_commencé_à_exister_par)</w:t>
      </w:r>
      <w:r>
        <w:t xml:space="preserve"> : </w:t>
      </w:r>
      <w:r>
        <w:rPr>
          <w:rStyle w:val="VerbatimChar"/>
        </w:rPr>
        <w:t>E77_Entité_persistante</w:t>
      </w:r>
    </w:p>
    <w:p w14:paraId="15A77DBD" w14:textId="77777777" w:rsidR="00065317" w:rsidRDefault="005C7BF7">
      <w:pPr>
        <w:pStyle w:val="Corpsdetexte"/>
      </w:pPr>
      <w:r>
        <w:rPr>
          <w:b/>
          <w:bCs/>
        </w:rPr>
        <w:t>Super-propriété de</w:t>
      </w:r>
    </w:p>
    <w:p w14:paraId="558F7D99" w14:textId="77777777" w:rsidR="00065317" w:rsidRDefault="005C7BF7">
      <w:pPr>
        <w:pStyle w:val="Corpsdetexte"/>
      </w:pPr>
      <w:r>
        <w:rPr>
          <w:b/>
          <w:bCs/>
        </w:rPr>
        <w:t>Quantification</w:t>
      </w:r>
    </w:p>
    <w:p w14:paraId="7CD22A6C" w14:textId="77777777" w:rsidR="00065317" w:rsidRDefault="005C7BF7">
      <w:pPr>
        <w:pStyle w:val="Corpsdetexte"/>
      </w:pPr>
      <w:r>
        <w:t>un à plusieurs, dépendant (0,n:1,1)</w:t>
      </w:r>
    </w:p>
    <w:p w14:paraId="25B27B41" w14:textId="5F610081" w:rsidR="00065317" w:rsidRDefault="005C7BF7">
      <w:pPr>
        <w:pStyle w:val="Corpsdetexte"/>
      </w:pPr>
      <w:r>
        <w:rPr>
          <w:b/>
          <w:bCs/>
        </w:rPr>
        <w:t>Note d</w:t>
      </w:r>
      <w:r w:rsidR="00E84B0E">
        <w:rPr>
          <w:b/>
          <w:bCs/>
        </w:rPr>
        <w:t>’</w:t>
      </w:r>
      <w:r>
        <w:rPr>
          <w:b/>
          <w:bCs/>
        </w:rPr>
        <w:t>application</w:t>
      </w:r>
    </w:p>
    <w:p w14:paraId="4B2F3691" w14:textId="77777777" w:rsidR="00065317" w:rsidRDefault="005C7BF7">
      <w:pPr>
        <w:pStyle w:val="Corpsdetexte"/>
      </w:pPr>
      <w:r>
        <w:t xml:space="preserve">Cette propriété lie une instance de </w:t>
      </w:r>
      <w:r>
        <w:rPr>
          <w:rStyle w:val="VerbatimChar"/>
        </w:rPr>
        <w:t>E67_Naissance</w:t>
      </w:r>
      <w:r>
        <w:t xml:space="preserve"> à une instance de </w:t>
      </w:r>
      <w:r>
        <w:rPr>
          <w:rStyle w:val="VerbatimChar"/>
        </w:rPr>
        <w:t>E21_Personne</w:t>
      </w:r>
      <w:r>
        <w:t xml:space="preserve"> dans le rôle de progéniture.</w:t>
      </w:r>
    </w:p>
    <w:p w14:paraId="6D4D3D3A" w14:textId="3EB58B77" w:rsidR="00065317" w:rsidRDefault="005C7BF7">
      <w:pPr>
        <w:pStyle w:val="Corpsdetexte"/>
      </w:pPr>
      <w:r>
        <w:t>C</w:t>
      </w:r>
      <w:r w:rsidR="00E84B0E">
        <w:t>’</w:t>
      </w:r>
      <w:r>
        <w:t xml:space="preserve">est une même instance de </w:t>
      </w:r>
      <w:r>
        <w:rPr>
          <w:rStyle w:val="VerbatimChar"/>
        </w:rPr>
        <w:t>E67_Naissance</w:t>
      </w:r>
      <w:r>
        <w:t xml:space="preserve"> qui donne vie à des jumeaux, triplés, etc.</w:t>
      </w:r>
    </w:p>
    <w:p w14:paraId="4732D122" w14:textId="0359FBAA" w:rsidR="00065317" w:rsidRDefault="005C7BF7">
      <w:pPr>
        <w:pStyle w:val="Corpsdetexte"/>
      </w:pPr>
      <w:r>
        <w:lastRenderedPageBreak/>
        <w:t xml:space="preserve">[n.d.t La propriété </w:t>
      </w:r>
      <w:r>
        <w:rPr>
          <w:rStyle w:val="VerbatimChar"/>
        </w:rPr>
        <w:t>P98_a_donné_vie_à (est_né)</w:t>
      </w:r>
      <w:r>
        <w:t>] n</w:t>
      </w:r>
      <w:r w:rsidR="00E84B0E">
        <w:t>’</w:t>
      </w:r>
      <w:r>
        <w:t>est pas destinée à être utilisée dans le contexte de l</w:t>
      </w:r>
      <w:r w:rsidR="00E84B0E">
        <w:t>’</w:t>
      </w:r>
      <w:r>
        <w:t>histoire naturelle à l</w:t>
      </w:r>
      <w:r w:rsidR="00E84B0E">
        <w:t>’</w:t>
      </w:r>
      <w:r>
        <w:t>exception des personnes. Il n</w:t>
      </w:r>
      <w:r w:rsidR="00E84B0E">
        <w:t>’</w:t>
      </w:r>
      <w:r>
        <w:t>y a pas de méthode explicite pour modéliser la conception et la gestation à moins d</w:t>
      </w:r>
      <w:r w:rsidR="00E84B0E">
        <w:t>’</w:t>
      </w:r>
      <w:r>
        <w:t>utiliser des extensions.</w:t>
      </w:r>
    </w:p>
    <w:p w14:paraId="038DD0F5" w14:textId="77777777" w:rsidR="00065317" w:rsidRDefault="005C7BF7">
      <w:pPr>
        <w:pStyle w:val="Corpsdetexte"/>
      </w:pPr>
      <w:r>
        <w:rPr>
          <w:b/>
          <w:bCs/>
        </w:rPr>
        <w:t>Exemples</w:t>
      </w:r>
    </w:p>
    <w:p w14:paraId="7296050B" w14:textId="77777777" w:rsidR="00065317" w:rsidRDefault="005C7BF7">
      <w:pPr>
        <w:numPr>
          <w:ilvl w:val="0"/>
          <w:numId w:val="222"/>
        </w:numPr>
      </w:pPr>
      <w:r>
        <w:t>La naissance de la reine Elizabeth II (</w:t>
      </w:r>
      <w:r>
        <w:rPr>
          <w:rStyle w:val="VerbatimChar"/>
        </w:rPr>
        <w:t>E67_Naissance</w:t>
      </w:r>
      <w:r>
        <w:t>) a donné vie à (</w:t>
      </w:r>
      <w:r>
        <w:rPr>
          <w:rStyle w:val="VerbatimChar"/>
        </w:rPr>
        <w:t>P98_a_donné_vie_à</w:t>
      </w:r>
      <w:r>
        <w:t>) la reine Elizabeth II (</w:t>
      </w:r>
      <w:r>
        <w:rPr>
          <w:rStyle w:val="VerbatimChar"/>
        </w:rPr>
        <w:t>E21_Personne</w:t>
      </w:r>
      <w:r>
        <w:t>) (Parker, 2002)</w:t>
      </w:r>
    </w:p>
    <w:p w14:paraId="004C6020" w14:textId="77777777" w:rsidR="00065317" w:rsidRDefault="005C7BF7">
      <w:pPr>
        <w:pStyle w:val="FirstParagraph"/>
      </w:pPr>
      <w:r>
        <w:rPr>
          <w:b/>
          <w:bCs/>
        </w:rPr>
        <w:t>Logique</w:t>
      </w:r>
    </w:p>
    <w:p w14:paraId="0D10591C" w14:textId="77777777" w:rsidR="00065317" w:rsidRDefault="005C7BF7">
      <w:pPr>
        <w:pStyle w:val="Corpsdetexte"/>
      </w:pPr>
      <w:r>
        <w:t>P98(x,y) ⇒ E67(x)</w:t>
      </w:r>
    </w:p>
    <w:p w14:paraId="47374477" w14:textId="77777777" w:rsidR="00065317" w:rsidRDefault="005C7BF7">
      <w:pPr>
        <w:pStyle w:val="Corpsdetexte"/>
      </w:pPr>
      <w:r>
        <w:t>P98(x,y) ⇒ E21(y)</w:t>
      </w:r>
    </w:p>
    <w:p w14:paraId="2E4A616A" w14:textId="77777777" w:rsidR="00065317" w:rsidRDefault="005C7BF7">
      <w:pPr>
        <w:pStyle w:val="Corpsdetexte"/>
      </w:pPr>
      <w:r>
        <w:t>P98(x,y) ⇒ P92(x,y)</w:t>
      </w:r>
    </w:p>
    <w:p w14:paraId="7687E20B" w14:textId="77777777" w:rsidR="00065317" w:rsidRDefault="005C7BF7">
      <w:pPr>
        <w:pStyle w:val="Corpsdetexte"/>
      </w:pPr>
      <w:r>
        <w:rPr>
          <w:b/>
          <w:bCs/>
        </w:rPr>
        <w:t>Propriétés</w:t>
      </w:r>
    </w:p>
    <w:p w14:paraId="55F7A539" w14:textId="77777777" w:rsidR="00065317" w:rsidRDefault="005C7BF7">
      <w:pPr>
        <w:pStyle w:val="Normalcentr"/>
      </w:pPr>
      <w:r>
        <w:rPr>
          <w:b/>
          <w:bCs/>
          <w:i/>
          <w:iCs/>
        </w:rPr>
        <w:t>Note de traduction</w:t>
      </w:r>
    </w:p>
    <w:p w14:paraId="104B1327" w14:textId="265CD184" w:rsidR="00065317" w:rsidRDefault="005C7BF7" w:rsidP="000C28E9">
      <w:pPr>
        <w:pStyle w:val="Normalcentr"/>
      </w:pPr>
      <w:r>
        <w:rPr>
          <w:b/>
          <w:bCs/>
          <w:i/>
          <w:iCs/>
        </w:rPr>
        <w:t>Références</w:t>
      </w:r>
    </w:p>
    <w:p w14:paraId="2B2A757E" w14:textId="77777777" w:rsidR="00065317" w:rsidRDefault="005C7BF7" w:rsidP="00914F34">
      <w:pPr>
        <w:pStyle w:val="Titre3"/>
      </w:pPr>
      <w:bookmarkStart w:id="432" w:name="_Toc154048901"/>
      <w:bookmarkStart w:id="433" w:name="p99-a-dissous-(a-ete-dissous-par)"/>
      <w:bookmarkEnd w:id="431"/>
      <w:r>
        <w:t>P99 a dissous (a été dissous par)</w:t>
      </w:r>
      <w:bookmarkEnd w:id="432"/>
    </w:p>
    <w:p w14:paraId="16EA30B4" w14:textId="77777777" w:rsidR="00065317" w:rsidRDefault="005C7BF7">
      <w:pPr>
        <w:pStyle w:val="FirstParagraph"/>
      </w:pPr>
      <w:r>
        <w:rPr>
          <w:b/>
          <w:bCs/>
        </w:rPr>
        <w:t>Domaine</w:t>
      </w:r>
    </w:p>
    <w:p w14:paraId="463DE208" w14:textId="64F0FE55" w:rsidR="00FC2E07" w:rsidRPr="00F54917" w:rsidRDefault="005C7BF7">
      <w:pPr>
        <w:pStyle w:val="Corpsdetexte"/>
      </w:pPr>
      <w:r>
        <w:rPr>
          <w:rStyle w:val="VerbatimChar"/>
        </w:rPr>
        <w:t>E68_Dissolution</w:t>
      </w:r>
    </w:p>
    <w:p w14:paraId="0EE54888" w14:textId="1E127C79" w:rsidR="00065317" w:rsidRDefault="005C7BF7">
      <w:pPr>
        <w:pStyle w:val="Corpsdetexte"/>
      </w:pPr>
      <w:r>
        <w:rPr>
          <w:b/>
          <w:bCs/>
        </w:rPr>
        <w:t>Portée</w:t>
      </w:r>
    </w:p>
    <w:p w14:paraId="0D1C426E" w14:textId="77777777" w:rsidR="00065317" w:rsidRDefault="005C7BF7">
      <w:pPr>
        <w:pStyle w:val="Corpsdetexte"/>
      </w:pPr>
      <w:r>
        <w:rPr>
          <w:rStyle w:val="VerbatimChar"/>
        </w:rPr>
        <w:t>E74_Groupe</w:t>
      </w:r>
    </w:p>
    <w:p w14:paraId="102D3235" w14:textId="77777777" w:rsidR="00065317" w:rsidRDefault="005C7BF7">
      <w:pPr>
        <w:pStyle w:val="Corpsdetexte"/>
      </w:pPr>
      <w:r>
        <w:rPr>
          <w:b/>
          <w:bCs/>
        </w:rPr>
        <w:t>Sous-propriété de</w:t>
      </w:r>
    </w:p>
    <w:p w14:paraId="30EBD03B" w14:textId="77777777" w:rsidR="00065317" w:rsidRDefault="005C7BF7">
      <w:pPr>
        <w:pStyle w:val="Corpsdetexte"/>
      </w:pPr>
      <w:r>
        <w:rPr>
          <w:rStyle w:val="VerbatimChar"/>
        </w:rPr>
        <w:t>E5_Évènement</w:t>
      </w:r>
      <w:r>
        <w:t xml:space="preserve">. </w:t>
      </w:r>
      <w:r>
        <w:rPr>
          <w:rStyle w:val="VerbatimChar"/>
        </w:rPr>
        <w:t>P11_a_eu_pour_actant_participant (a_participé_à)</w:t>
      </w:r>
      <w:r>
        <w:t xml:space="preserve"> : </w:t>
      </w:r>
      <w:r>
        <w:rPr>
          <w:rStyle w:val="VerbatimChar"/>
        </w:rPr>
        <w:t>E39_Actant</w:t>
      </w:r>
    </w:p>
    <w:p w14:paraId="61A02B04" w14:textId="51DE8DD1" w:rsidR="00065317" w:rsidRDefault="005C7BF7">
      <w:pPr>
        <w:pStyle w:val="Corpsdetexte"/>
      </w:pPr>
      <w:r>
        <w:rPr>
          <w:rStyle w:val="VerbatimChar"/>
        </w:rPr>
        <w:t>E64_Fin_d</w:t>
      </w:r>
      <w:r w:rsidR="00E84B0E">
        <w:rPr>
          <w:rStyle w:val="VerbatimChar"/>
        </w:rPr>
        <w:t>’</w:t>
      </w:r>
      <w:r>
        <w:rPr>
          <w:rStyle w:val="VerbatimChar"/>
        </w:rPr>
        <w:t>existence</w:t>
      </w:r>
      <w:r>
        <w:t xml:space="preserve">. </w:t>
      </w:r>
      <w:r>
        <w:rPr>
          <w:rStyle w:val="VerbatimChar"/>
        </w:rPr>
        <w:t>P93_a_mis_fin_à_l</w:t>
      </w:r>
      <w:r w:rsidR="00E84B0E">
        <w:rPr>
          <w:rStyle w:val="VerbatimChar"/>
        </w:rPr>
        <w:t>’</w:t>
      </w:r>
      <w:r>
        <w:rPr>
          <w:rStyle w:val="VerbatimChar"/>
        </w:rPr>
        <w:t>existence_de (a_cessé_d</w:t>
      </w:r>
      <w:r w:rsidR="00E84B0E">
        <w:rPr>
          <w:rStyle w:val="VerbatimChar"/>
        </w:rPr>
        <w:t>’</w:t>
      </w:r>
      <w:r>
        <w:rPr>
          <w:rStyle w:val="VerbatimChar"/>
        </w:rPr>
        <w:t>exister_par)</w:t>
      </w:r>
      <w:r w:rsidR="00A84B19">
        <w:t> </w:t>
      </w:r>
      <w:r>
        <w:t xml:space="preserve">: </w:t>
      </w:r>
      <w:r>
        <w:rPr>
          <w:rStyle w:val="VerbatimChar"/>
        </w:rPr>
        <w:t>E77_Entité_persistante</w:t>
      </w:r>
    </w:p>
    <w:p w14:paraId="6E61A14E" w14:textId="61F37519" w:rsidR="00065317" w:rsidRDefault="005C7BF7">
      <w:pPr>
        <w:pStyle w:val="Corpsdetexte"/>
      </w:pPr>
      <w:r>
        <w:rPr>
          <w:b/>
          <w:bCs/>
        </w:rPr>
        <w:t>Super-propriété de</w:t>
      </w:r>
    </w:p>
    <w:p w14:paraId="327625BF" w14:textId="77777777" w:rsidR="00065317" w:rsidRDefault="005C7BF7">
      <w:pPr>
        <w:pStyle w:val="Corpsdetexte"/>
      </w:pPr>
      <w:r>
        <w:rPr>
          <w:b/>
          <w:bCs/>
        </w:rPr>
        <w:t>Quantification</w:t>
      </w:r>
    </w:p>
    <w:p w14:paraId="7992E654" w14:textId="77777777" w:rsidR="00065317" w:rsidRDefault="005C7BF7">
      <w:pPr>
        <w:pStyle w:val="Corpsdetexte"/>
      </w:pPr>
      <w:r>
        <w:t>un à plusieurs, nécessaire (1,n:0,1)</w:t>
      </w:r>
    </w:p>
    <w:p w14:paraId="139B0B78" w14:textId="18167AED" w:rsidR="00065317" w:rsidRDefault="005C7BF7">
      <w:pPr>
        <w:pStyle w:val="Corpsdetexte"/>
      </w:pPr>
      <w:r>
        <w:rPr>
          <w:b/>
          <w:bCs/>
        </w:rPr>
        <w:t>Note d</w:t>
      </w:r>
      <w:r w:rsidR="00E84B0E">
        <w:rPr>
          <w:b/>
          <w:bCs/>
        </w:rPr>
        <w:t>’</w:t>
      </w:r>
      <w:r>
        <w:rPr>
          <w:b/>
          <w:bCs/>
        </w:rPr>
        <w:t>application</w:t>
      </w:r>
    </w:p>
    <w:p w14:paraId="3E13C440" w14:textId="1DCCE180" w:rsidR="00065317" w:rsidRDefault="005C7BF7">
      <w:pPr>
        <w:pStyle w:val="Corpsdetexte"/>
      </w:pPr>
      <w:r>
        <w:t xml:space="preserve">Cette propriété lie une instance de </w:t>
      </w:r>
      <w:r>
        <w:rPr>
          <w:rStyle w:val="VerbatimChar"/>
        </w:rPr>
        <w:t>E68_Dissolution</w:t>
      </w:r>
      <w:r>
        <w:t xml:space="preserve"> à l</w:t>
      </w:r>
      <w:r w:rsidR="00E84B0E">
        <w:t>’</w:t>
      </w:r>
      <w:r>
        <w:t xml:space="preserve">instance de </w:t>
      </w:r>
      <w:r>
        <w:rPr>
          <w:rStyle w:val="VerbatimChar"/>
        </w:rPr>
        <w:t>E74_Groupe</w:t>
      </w:r>
      <w:r>
        <w:t xml:space="preserve"> qu</w:t>
      </w:r>
      <w:r w:rsidR="00E84B0E">
        <w:t>’</w:t>
      </w:r>
      <w:r>
        <w:t>elle a dissoute.</w:t>
      </w:r>
    </w:p>
    <w:p w14:paraId="175C93EF" w14:textId="77777777" w:rsidR="00065317" w:rsidRDefault="005C7BF7">
      <w:pPr>
        <w:pStyle w:val="Corpsdetexte"/>
      </w:pPr>
      <w:r>
        <w:rPr>
          <w:b/>
          <w:bCs/>
        </w:rPr>
        <w:t>Exemples</w:t>
      </w:r>
    </w:p>
    <w:p w14:paraId="55A3F2A4" w14:textId="77777777" w:rsidR="00065317" w:rsidRDefault="005C7BF7">
      <w:pPr>
        <w:numPr>
          <w:ilvl w:val="0"/>
          <w:numId w:val="223"/>
        </w:numPr>
      </w:pPr>
      <w:r>
        <w:t>La fin du Gang de Hole-in-the-Wall (</w:t>
      </w:r>
      <w:r>
        <w:rPr>
          <w:rStyle w:val="VerbatimChar"/>
        </w:rPr>
        <w:t>E68_Dissolution</w:t>
      </w:r>
      <w:r>
        <w:t>) a dissous (</w:t>
      </w:r>
      <w:r>
        <w:rPr>
          <w:rStyle w:val="VerbatimChar"/>
        </w:rPr>
        <w:t>P99_a_dissous</w:t>
      </w:r>
      <w:r>
        <w:t>) le Gang de Hole-in-the-Wall (</w:t>
      </w:r>
      <w:r>
        <w:rPr>
          <w:rStyle w:val="VerbatimChar"/>
        </w:rPr>
        <w:t>E74_Groupe</w:t>
      </w:r>
      <w:r>
        <w:t>) (Patterson, 1998)</w:t>
      </w:r>
    </w:p>
    <w:p w14:paraId="722CC5B5" w14:textId="77777777" w:rsidR="00F54917" w:rsidRDefault="00F54917">
      <w:pPr>
        <w:spacing w:after="0"/>
        <w:rPr>
          <w:b/>
          <w:bCs/>
        </w:rPr>
      </w:pPr>
      <w:r>
        <w:rPr>
          <w:b/>
          <w:bCs/>
        </w:rPr>
        <w:br w:type="page"/>
      </w:r>
    </w:p>
    <w:p w14:paraId="0DA06DF9" w14:textId="0C59F586" w:rsidR="00065317" w:rsidRDefault="005C7BF7">
      <w:pPr>
        <w:pStyle w:val="FirstParagraph"/>
      </w:pPr>
      <w:r>
        <w:rPr>
          <w:b/>
          <w:bCs/>
        </w:rPr>
        <w:lastRenderedPageBreak/>
        <w:t>Logique</w:t>
      </w:r>
    </w:p>
    <w:p w14:paraId="5EA7AE9D" w14:textId="77777777" w:rsidR="00065317" w:rsidRDefault="005C7BF7">
      <w:pPr>
        <w:pStyle w:val="Corpsdetexte"/>
      </w:pPr>
      <w:r>
        <w:t>P99(x,y) ⇒ E68(x)</w:t>
      </w:r>
    </w:p>
    <w:p w14:paraId="61E2AFF9" w14:textId="77777777" w:rsidR="00065317" w:rsidRDefault="005C7BF7">
      <w:pPr>
        <w:pStyle w:val="Corpsdetexte"/>
      </w:pPr>
      <w:r>
        <w:t>P99(x,y) ⇒ E74(y)</w:t>
      </w:r>
    </w:p>
    <w:p w14:paraId="5085D5B9" w14:textId="77777777" w:rsidR="00065317" w:rsidRDefault="005C7BF7">
      <w:pPr>
        <w:pStyle w:val="Corpsdetexte"/>
      </w:pPr>
      <w:r>
        <w:t>P99(x,y) ⇒ P11(x,y)</w:t>
      </w:r>
    </w:p>
    <w:p w14:paraId="3964F41F" w14:textId="77777777" w:rsidR="00065317" w:rsidRDefault="005C7BF7">
      <w:pPr>
        <w:pStyle w:val="Corpsdetexte"/>
      </w:pPr>
      <w:r>
        <w:t>P99(x,y) ⇒ P93(x,y)</w:t>
      </w:r>
    </w:p>
    <w:p w14:paraId="70F621E6" w14:textId="77777777" w:rsidR="00065317" w:rsidRDefault="005C7BF7">
      <w:pPr>
        <w:pStyle w:val="Corpsdetexte"/>
      </w:pPr>
      <w:r>
        <w:rPr>
          <w:b/>
          <w:bCs/>
        </w:rPr>
        <w:t>Propriétés</w:t>
      </w:r>
    </w:p>
    <w:p w14:paraId="2D7F7030" w14:textId="77777777" w:rsidR="00065317" w:rsidRDefault="005C7BF7">
      <w:pPr>
        <w:pStyle w:val="Normalcentr"/>
      </w:pPr>
      <w:r>
        <w:rPr>
          <w:b/>
          <w:bCs/>
          <w:i/>
          <w:iCs/>
        </w:rPr>
        <w:t>Note de traduction</w:t>
      </w:r>
    </w:p>
    <w:p w14:paraId="0CFFB031" w14:textId="7BCFE392" w:rsidR="00065317" w:rsidRDefault="000C28E9">
      <w:pPr>
        <w:pStyle w:val="Normalcentr"/>
      </w:pPr>
      <w:r w:rsidRPr="00914F34">
        <w:t>« </w:t>
      </w:r>
      <w:r w:rsidR="005C7BF7" w:rsidRPr="00914F34">
        <w:t>one to many, necessary (1,n:0,n)</w:t>
      </w:r>
      <w:r>
        <w:t> »</w:t>
      </w:r>
      <w:r w:rsidR="005C7BF7">
        <w:t xml:space="preserve"> indiqué dans le texte original, modifié en « un à plusieurs, nécessaire (1,n:0,1) » dans la traduction.</w:t>
      </w:r>
    </w:p>
    <w:p w14:paraId="3425CACE" w14:textId="53E028AE" w:rsidR="00065317" w:rsidRDefault="005C7BF7" w:rsidP="000C28E9">
      <w:pPr>
        <w:pStyle w:val="Normalcentr"/>
      </w:pPr>
      <w:r>
        <w:rPr>
          <w:b/>
          <w:bCs/>
          <w:i/>
          <w:iCs/>
        </w:rPr>
        <w:t>Références</w:t>
      </w:r>
    </w:p>
    <w:p w14:paraId="28E1FDFB" w14:textId="77777777" w:rsidR="00065317" w:rsidRDefault="005C7BF7" w:rsidP="00914F34">
      <w:pPr>
        <w:pStyle w:val="Titre3"/>
      </w:pPr>
      <w:bookmarkStart w:id="434" w:name="_Toc154048902"/>
      <w:bookmarkStart w:id="435" w:name="p100-a-ete-la-mort-de-(est-mort-par)"/>
      <w:bookmarkEnd w:id="433"/>
      <w:r>
        <w:t>P100 a été la mort de (est mort par)</w:t>
      </w:r>
      <w:bookmarkEnd w:id="434"/>
    </w:p>
    <w:p w14:paraId="00D9420E" w14:textId="77777777" w:rsidR="00065317" w:rsidRDefault="005C7BF7">
      <w:pPr>
        <w:pStyle w:val="FirstParagraph"/>
      </w:pPr>
      <w:r>
        <w:rPr>
          <w:b/>
          <w:bCs/>
        </w:rPr>
        <w:t>Domaine</w:t>
      </w:r>
    </w:p>
    <w:p w14:paraId="29C7CB95" w14:textId="77777777" w:rsidR="00065317" w:rsidRDefault="005C7BF7">
      <w:pPr>
        <w:pStyle w:val="Corpsdetexte"/>
      </w:pPr>
      <w:r>
        <w:rPr>
          <w:rStyle w:val="VerbatimChar"/>
        </w:rPr>
        <w:t>E69_Mort</w:t>
      </w:r>
    </w:p>
    <w:p w14:paraId="70D9EB51" w14:textId="77777777" w:rsidR="00065317" w:rsidRDefault="005C7BF7">
      <w:pPr>
        <w:pStyle w:val="Corpsdetexte"/>
      </w:pPr>
      <w:r>
        <w:rPr>
          <w:b/>
          <w:bCs/>
        </w:rPr>
        <w:t>Portée</w:t>
      </w:r>
    </w:p>
    <w:p w14:paraId="60F3BE45" w14:textId="732F9FA1" w:rsidR="00FC2E07" w:rsidRDefault="005C7BF7">
      <w:pPr>
        <w:pStyle w:val="Corpsdetexte"/>
        <w:rPr>
          <w:b/>
          <w:bCs/>
        </w:rPr>
      </w:pPr>
      <w:r>
        <w:rPr>
          <w:rStyle w:val="VerbatimChar"/>
        </w:rPr>
        <w:t>E21_Personne</w:t>
      </w:r>
    </w:p>
    <w:p w14:paraId="0196D630" w14:textId="2A60DC64" w:rsidR="00065317" w:rsidRDefault="005C7BF7">
      <w:pPr>
        <w:pStyle w:val="Corpsdetexte"/>
      </w:pPr>
      <w:r>
        <w:rPr>
          <w:b/>
          <w:bCs/>
        </w:rPr>
        <w:t>Sous-propriété de</w:t>
      </w:r>
    </w:p>
    <w:p w14:paraId="12A3A637" w14:textId="1D8C5C48" w:rsidR="00065317" w:rsidRDefault="005C7BF7">
      <w:pPr>
        <w:pStyle w:val="Corpsdetexte"/>
      </w:pPr>
      <w:r>
        <w:rPr>
          <w:rStyle w:val="VerbatimChar"/>
        </w:rPr>
        <w:t>E64_Fin_d</w:t>
      </w:r>
      <w:r w:rsidR="00E84B0E">
        <w:rPr>
          <w:rStyle w:val="VerbatimChar"/>
        </w:rPr>
        <w:t>’</w:t>
      </w:r>
      <w:r>
        <w:rPr>
          <w:rStyle w:val="VerbatimChar"/>
        </w:rPr>
        <w:t>existence</w:t>
      </w:r>
      <w:r>
        <w:t xml:space="preserve">. </w:t>
      </w:r>
      <w:r>
        <w:rPr>
          <w:rStyle w:val="VerbatimChar"/>
        </w:rPr>
        <w:t>P93_a_mis_fin_à_l</w:t>
      </w:r>
      <w:r w:rsidR="00E84B0E">
        <w:rPr>
          <w:rStyle w:val="VerbatimChar"/>
        </w:rPr>
        <w:t>’</w:t>
      </w:r>
      <w:r>
        <w:rPr>
          <w:rStyle w:val="VerbatimChar"/>
        </w:rPr>
        <w:t>existence_de (a_cessé_d</w:t>
      </w:r>
      <w:r w:rsidR="00E84B0E">
        <w:rPr>
          <w:rStyle w:val="VerbatimChar"/>
        </w:rPr>
        <w:t>’</w:t>
      </w:r>
      <w:r>
        <w:rPr>
          <w:rStyle w:val="VerbatimChar"/>
        </w:rPr>
        <w:t>exister_par)</w:t>
      </w:r>
      <w:r>
        <w:t xml:space="preserve"> : </w:t>
      </w:r>
      <w:r>
        <w:rPr>
          <w:rStyle w:val="VerbatimChar"/>
        </w:rPr>
        <w:t>E77_Entité_persistante</w:t>
      </w:r>
    </w:p>
    <w:p w14:paraId="2B2C36FE" w14:textId="77777777" w:rsidR="00065317" w:rsidRDefault="005C7BF7">
      <w:pPr>
        <w:pStyle w:val="Corpsdetexte"/>
      </w:pPr>
      <w:r>
        <w:rPr>
          <w:b/>
          <w:bCs/>
        </w:rPr>
        <w:t>Super-propriété de</w:t>
      </w:r>
    </w:p>
    <w:p w14:paraId="5A46774A" w14:textId="77777777" w:rsidR="00065317" w:rsidRDefault="005C7BF7">
      <w:pPr>
        <w:pStyle w:val="Corpsdetexte"/>
      </w:pPr>
      <w:r>
        <w:rPr>
          <w:b/>
          <w:bCs/>
        </w:rPr>
        <w:t>Quantification</w:t>
      </w:r>
    </w:p>
    <w:p w14:paraId="5C5B3F3D" w14:textId="77777777" w:rsidR="00065317" w:rsidRDefault="005C7BF7">
      <w:pPr>
        <w:pStyle w:val="Corpsdetexte"/>
      </w:pPr>
      <w:r>
        <w:t>un à plusieurs, nécessaire (1,n:0,1)</w:t>
      </w:r>
    </w:p>
    <w:p w14:paraId="3395F827" w14:textId="66F6F68A" w:rsidR="00065317" w:rsidRDefault="005C7BF7">
      <w:pPr>
        <w:pStyle w:val="Corpsdetexte"/>
      </w:pPr>
      <w:r>
        <w:rPr>
          <w:b/>
          <w:bCs/>
        </w:rPr>
        <w:t>Note d</w:t>
      </w:r>
      <w:r w:rsidR="00E84B0E">
        <w:rPr>
          <w:b/>
          <w:bCs/>
        </w:rPr>
        <w:t>’</w:t>
      </w:r>
      <w:r>
        <w:rPr>
          <w:b/>
          <w:bCs/>
        </w:rPr>
        <w:t>application</w:t>
      </w:r>
    </w:p>
    <w:p w14:paraId="1B5DC6B6" w14:textId="77777777" w:rsidR="00065317" w:rsidRDefault="005C7BF7">
      <w:pPr>
        <w:pStyle w:val="Corpsdetexte"/>
      </w:pPr>
      <w:r>
        <w:t xml:space="preserve">Cette propriété lie une instance de </w:t>
      </w:r>
      <w:r>
        <w:rPr>
          <w:rStyle w:val="VerbatimChar"/>
        </w:rPr>
        <w:t>E69_Mort</w:t>
      </w:r>
      <w:r>
        <w:t xml:space="preserve"> à une instance de </w:t>
      </w:r>
      <w:r>
        <w:rPr>
          <w:rStyle w:val="VerbatimChar"/>
        </w:rPr>
        <w:t>E21_Personne</w:t>
      </w:r>
      <w:r>
        <w:t xml:space="preserve"> qui est décédée.</w:t>
      </w:r>
    </w:p>
    <w:p w14:paraId="779D0616" w14:textId="378154EE" w:rsidR="00065317" w:rsidRDefault="005C7BF7">
      <w:pPr>
        <w:pStyle w:val="Corpsdetexte"/>
      </w:pPr>
      <w:r>
        <w:t xml:space="preserve">Une instance de </w:t>
      </w:r>
      <w:r>
        <w:rPr>
          <w:rStyle w:val="VerbatimChar"/>
        </w:rPr>
        <w:t>E69_Mort</w:t>
      </w:r>
      <w:r>
        <w:t xml:space="preserve"> peut impliquer plusieurs personnes, par exemple dans le cas d</w:t>
      </w:r>
      <w:r w:rsidR="00E84B0E">
        <w:t>’</w:t>
      </w:r>
      <w:r>
        <w:t>une bataille ou d</w:t>
      </w:r>
      <w:r w:rsidR="00E84B0E">
        <w:t>’</w:t>
      </w:r>
      <w:r>
        <w:t>une catastrophe.</w:t>
      </w:r>
    </w:p>
    <w:p w14:paraId="5DFF6F41" w14:textId="4984850B" w:rsidR="00065317" w:rsidRDefault="005C7BF7">
      <w:pPr>
        <w:pStyle w:val="Corpsdetexte"/>
      </w:pPr>
      <w:r>
        <w:t xml:space="preserve">[n.d.t La propriété </w:t>
      </w:r>
      <w:r>
        <w:rPr>
          <w:rStyle w:val="VerbatimChar"/>
        </w:rPr>
        <w:t>P100_a_été_la_mort_de (est_mort_par)</w:t>
      </w:r>
      <w:r>
        <w:t>] n</w:t>
      </w:r>
      <w:r w:rsidR="00E84B0E">
        <w:t>’</w:t>
      </w:r>
      <w:r>
        <w:t>est pas destinée à être utilisée dans le contexte de l</w:t>
      </w:r>
      <w:r w:rsidR="00E84B0E">
        <w:t>’</w:t>
      </w:r>
      <w:r>
        <w:t>histoire naturelle à l</w:t>
      </w:r>
      <w:r w:rsidR="00E84B0E">
        <w:t>’</w:t>
      </w:r>
      <w:r>
        <w:t>exception des personnes.</w:t>
      </w:r>
    </w:p>
    <w:p w14:paraId="2B5BF4CB" w14:textId="77777777" w:rsidR="00065317" w:rsidRDefault="005C7BF7">
      <w:pPr>
        <w:pStyle w:val="Corpsdetexte"/>
      </w:pPr>
      <w:r>
        <w:rPr>
          <w:b/>
          <w:bCs/>
        </w:rPr>
        <w:t>Exemples</w:t>
      </w:r>
    </w:p>
    <w:p w14:paraId="01CAE3F8" w14:textId="77777777" w:rsidR="00065317" w:rsidRDefault="005C7BF7">
      <w:pPr>
        <w:numPr>
          <w:ilvl w:val="0"/>
          <w:numId w:val="224"/>
        </w:numPr>
      </w:pPr>
      <w:r>
        <w:t>La mort de Mozart (</w:t>
      </w:r>
      <w:r>
        <w:rPr>
          <w:rStyle w:val="VerbatimChar"/>
        </w:rPr>
        <w:t>E69_Mort</w:t>
      </w:r>
      <w:r>
        <w:t>) a été la mort de (</w:t>
      </w:r>
      <w:r>
        <w:rPr>
          <w:rStyle w:val="VerbatimChar"/>
        </w:rPr>
        <w:t>P100_a_été_la_mort_de</w:t>
      </w:r>
      <w:r>
        <w:t>) Mozart (</w:t>
      </w:r>
      <w:r>
        <w:rPr>
          <w:rStyle w:val="VerbatimChar"/>
        </w:rPr>
        <w:t>E21_Personne</w:t>
      </w:r>
      <w:r>
        <w:t>) (Sitwell, 2017)</w:t>
      </w:r>
    </w:p>
    <w:p w14:paraId="5F985ADD" w14:textId="77777777" w:rsidR="00065317" w:rsidRDefault="005C7BF7">
      <w:pPr>
        <w:pStyle w:val="FirstParagraph"/>
      </w:pPr>
      <w:r>
        <w:rPr>
          <w:b/>
          <w:bCs/>
        </w:rPr>
        <w:t>Logique</w:t>
      </w:r>
    </w:p>
    <w:p w14:paraId="72E2ABD9" w14:textId="77777777" w:rsidR="00065317" w:rsidRDefault="005C7BF7">
      <w:pPr>
        <w:pStyle w:val="Corpsdetexte"/>
      </w:pPr>
      <w:r>
        <w:t>P100(x,y) ⇒ E69(x)</w:t>
      </w:r>
    </w:p>
    <w:p w14:paraId="7CE79352" w14:textId="77777777" w:rsidR="00065317" w:rsidRDefault="005C7BF7">
      <w:pPr>
        <w:pStyle w:val="Corpsdetexte"/>
      </w:pPr>
      <w:r>
        <w:t>P100(x,y) ⇒ E21(y)</w:t>
      </w:r>
    </w:p>
    <w:p w14:paraId="5B0BBBC8" w14:textId="77777777" w:rsidR="00065317" w:rsidRDefault="005C7BF7">
      <w:pPr>
        <w:pStyle w:val="Corpsdetexte"/>
      </w:pPr>
      <w:r>
        <w:t>P100(x,y) ⇒ P93(x,y)</w:t>
      </w:r>
    </w:p>
    <w:p w14:paraId="6C2FBF65" w14:textId="77777777" w:rsidR="00065317" w:rsidRDefault="005C7BF7">
      <w:pPr>
        <w:pStyle w:val="Corpsdetexte"/>
      </w:pPr>
      <w:r>
        <w:rPr>
          <w:b/>
          <w:bCs/>
        </w:rPr>
        <w:lastRenderedPageBreak/>
        <w:t>Propriétés</w:t>
      </w:r>
    </w:p>
    <w:p w14:paraId="7ECE7A6D" w14:textId="77777777" w:rsidR="00065317" w:rsidRDefault="005C7BF7">
      <w:pPr>
        <w:pStyle w:val="Normalcentr"/>
      </w:pPr>
      <w:r>
        <w:rPr>
          <w:b/>
          <w:bCs/>
          <w:i/>
          <w:iCs/>
        </w:rPr>
        <w:t>Note de traduction</w:t>
      </w:r>
    </w:p>
    <w:p w14:paraId="55A13538" w14:textId="050BD529" w:rsidR="00065317" w:rsidRDefault="005C7BF7" w:rsidP="000C28E9">
      <w:pPr>
        <w:pStyle w:val="Normalcentr"/>
      </w:pPr>
      <w:r>
        <w:rPr>
          <w:b/>
          <w:bCs/>
          <w:i/>
          <w:iCs/>
        </w:rPr>
        <w:t>Références</w:t>
      </w:r>
    </w:p>
    <w:p w14:paraId="248385B4" w14:textId="6237A003" w:rsidR="00065317" w:rsidRDefault="005C7BF7" w:rsidP="00914F34">
      <w:pPr>
        <w:pStyle w:val="Titre3"/>
      </w:pPr>
      <w:bookmarkStart w:id="436" w:name="_Toc154048903"/>
      <w:bookmarkStart w:id="437" w:name="X45cc61a574a76add16be639126e36963d01eca5"/>
      <w:bookmarkEnd w:id="435"/>
      <w:r>
        <w:t>P101 a eu pour usage général (a été l</w:t>
      </w:r>
      <w:r w:rsidR="00E84B0E">
        <w:t>’</w:t>
      </w:r>
      <w:r>
        <w:t>usage général de)</w:t>
      </w:r>
      <w:bookmarkEnd w:id="436"/>
    </w:p>
    <w:p w14:paraId="64AD147E" w14:textId="77777777" w:rsidR="00065317" w:rsidRDefault="005C7BF7">
      <w:pPr>
        <w:pStyle w:val="FirstParagraph"/>
      </w:pPr>
      <w:r>
        <w:rPr>
          <w:b/>
          <w:bCs/>
        </w:rPr>
        <w:t>Domaine</w:t>
      </w:r>
    </w:p>
    <w:p w14:paraId="5EF81843" w14:textId="77777777" w:rsidR="00065317" w:rsidRDefault="005C7BF7">
      <w:pPr>
        <w:pStyle w:val="Corpsdetexte"/>
      </w:pPr>
      <w:r>
        <w:rPr>
          <w:rStyle w:val="VerbatimChar"/>
        </w:rPr>
        <w:t>E70_Chose</w:t>
      </w:r>
    </w:p>
    <w:p w14:paraId="6EC7B128" w14:textId="77777777" w:rsidR="00065317" w:rsidRDefault="005C7BF7">
      <w:pPr>
        <w:pStyle w:val="Corpsdetexte"/>
      </w:pPr>
      <w:r>
        <w:rPr>
          <w:b/>
          <w:bCs/>
        </w:rPr>
        <w:t>Portée</w:t>
      </w:r>
    </w:p>
    <w:p w14:paraId="7DE43E2B" w14:textId="77777777" w:rsidR="00065317" w:rsidRDefault="005C7BF7">
      <w:pPr>
        <w:pStyle w:val="Corpsdetexte"/>
      </w:pPr>
      <w:r>
        <w:rPr>
          <w:rStyle w:val="VerbatimChar"/>
        </w:rPr>
        <w:t>E55_Type</w:t>
      </w:r>
    </w:p>
    <w:p w14:paraId="3831F487" w14:textId="77777777" w:rsidR="00065317" w:rsidRDefault="005C7BF7">
      <w:pPr>
        <w:pStyle w:val="Corpsdetexte"/>
      </w:pPr>
      <w:r>
        <w:rPr>
          <w:b/>
          <w:bCs/>
        </w:rPr>
        <w:t>Sous-propriété de</w:t>
      </w:r>
    </w:p>
    <w:p w14:paraId="6F7EB116" w14:textId="77777777" w:rsidR="00065317" w:rsidRDefault="005C7BF7">
      <w:pPr>
        <w:pStyle w:val="Corpsdetexte"/>
      </w:pPr>
      <w:r>
        <w:rPr>
          <w:b/>
          <w:bCs/>
        </w:rPr>
        <w:t>Super-propriété de</w:t>
      </w:r>
    </w:p>
    <w:p w14:paraId="6A5C9539" w14:textId="77777777" w:rsidR="00065317" w:rsidRDefault="005C7BF7">
      <w:pPr>
        <w:pStyle w:val="Corpsdetexte"/>
      </w:pPr>
      <w:r>
        <w:rPr>
          <w:b/>
          <w:bCs/>
        </w:rPr>
        <w:t>Quantification</w:t>
      </w:r>
    </w:p>
    <w:p w14:paraId="3A593D52" w14:textId="31FD2823" w:rsidR="00FC2E07" w:rsidRDefault="005C7BF7">
      <w:pPr>
        <w:pStyle w:val="Corpsdetexte"/>
        <w:rPr>
          <w:b/>
          <w:bCs/>
        </w:rPr>
      </w:pPr>
      <w:r>
        <w:t>plusieurs à plusieurs (0,n:0,n)</w:t>
      </w:r>
    </w:p>
    <w:p w14:paraId="276292AB" w14:textId="7C217E31" w:rsidR="00065317" w:rsidRDefault="005C7BF7">
      <w:pPr>
        <w:pStyle w:val="Corpsdetexte"/>
      </w:pPr>
      <w:r>
        <w:rPr>
          <w:b/>
          <w:bCs/>
        </w:rPr>
        <w:t>Note d</w:t>
      </w:r>
      <w:r w:rsidR="00E84B0E">
        <w:rPr>
          <w:b/>
          <w:bCs/>
        </w:rPr>
        <w:t>’</w:t>
      </w:r>
      <w:r>
        <w:rPr>
          <w:b/>
          <w:bCs/>
        </w:rPr>
        <w:t>application</w:t>
      </w:r>
    </w:p>
    <w:p w14:paraId="0BA182C4" w14:textId="2809A72A" w:rsidR="00065317" w:rsidRDefault="005C7BF7">
      <w:pPr>
        <w:pStyle w:val="Corpsdetexte"/>
      </w:pPr>
      <w:r>
        <w:t xml:space="preserve">Cette propriété associe une instance de </w:t>
      </w:r>
      <w:r>
        <w:rPr>
          <w:rStyle w:val="VerbatimChar"/>
        </w:rPr>
        <w:t>E70_Chose</w:t>
      </w:r>
      <w:r>
        <w:t xml:space="preserve"> à une instance de </w:t>
      </w:r>
      <w:r>
        <w:rPr>
          <w:rStyle w:val="VerbatimChar"/>
        </w:rPr>
        <w:t>E55_Type</w:t>
      </w:r>
      <w:r>
        <w:t xml:space="preserve"> qui décrit le type d</w:t>
      </w:r>
      <w:r w:rsidR="00E84B0E">
        <w:t>’</w:t>
      </w:r>
      <w:r>
        <w:t>usage pour lequel elle a réellement été utilisée.</w:t>
      </w:r>
    </w:p>
    <w:p w14:paraId="4E22481C" w14:textId="18960A77" w:rsidR="00065317" w:rsidRDefault="005C7BF7">
      <w:pPr>
        <w:pStyle w:val="Corpsdetexte"/>
      </w:pPr>
      <w:r>
        <w:t>Cette propriété permet de documenter la relation entre des choses particulières, tant physiques qu</w:t>
      </w:r>
      <w:r w:rsidR="00E84B0E">
        <w:t>’</w:t>
      </w:r>
      <w:r>
        <w:t>immatérielles, ainsi que les méthodes et les techniques générales d</w:t>
      </w:r>
      <w:r w:rsidR="00E84B0E">
        <w:t>’</w:t>
      </w:r>
      <w:r>
        <w:t>usage réel. Cela peut bien être différent de l</w:t>
      </w:r>
      <w:r w:rsidR="00E84B0E">
        <w:t>’</w:t>
      </w:r>
      <w:r>
        <w:t>utilité fonctionnelle prévue de l</w:t>
      </w:r>
      <w:r w:rsidR="00E84B0E">
        <w:t>’</w:t>
      </w:r>
      <w:r>
        <w:t xml:space="preserve">instance de </w:t>
      </w:r>
      <w:r>
        <w:rPr>
          <w:rStyle w:val="VerbatimChar"/>
        </w:rPr>
        <w:t>E70_Chose</w:t>
      </w:r>
      <w:r>
        <w:t xml:space="preserve"> (qui peut être documentée avec </w:t>
      </w:r>
      <w:r>
        <w:rPr>
          <w:rStyle w:val="VerbatimChar"/>
        </w:rPr>
        <w:t>P103_a_eu_pour_raison_d</w:t>
      </w:r>
      <w:r w:rsidR="00E84B0E">
        <w:rPr>
          <w:rStyle w:val="VerbatimChar"/>
        </w:rPr>
        <w:t>’</w:t>
      </w:r>
      <w:r>
        <w:rPr>
          <w:rStyle w:val="VerbatimChar"/>
        </w:rPr>
        <w:t>être (a_été_la_raison_d</w:t>
      </w:r>
      <w:r w:rsidR="00E84B0E">
        <w:rPr>
          <w:rStyle w:val="VerbatimChar"/>
        </w:rPr>
        <w:t>’</w:t>
      </w:r>
      <w:r>
        <w:rPr>
          <w:rStyle w:val="VerbatimChar"/>
        </w:rPr>
        <w:t>être_de)</w:t>
      </w:r>
      <w:r>
        <w:t>). Par exemple, il pourrait être enregistré qu</w:t>
      </w:r>
      <w:r w:rsidR="00E84B0E">
        <w:t>’</w:t>
      </w:r>
      <w:r>
        <w:t>une caisse en bois particulière avait pour usage général de servir comme support à étagère sur un étal de marché même si elle avait été initialement destinée à transporter des légumes.</w:t>
      </w:r>
    </w:p>
    <w:p w14:paraId="143528C6" w14:textId="7776F4F0" w:rsidR="00065317" w:rsidRDefault="005C7BF7">
      <w:pPr>
        <w:pStyle w:val="Corpsdetexte"/>
      </w:pPr>
      <w:r>
        <w:t>L</w:t>
      </w:r>
      <w:r w:rsidR="00E84B0E">
        <w:t>’</w:t>
      </w:r>
      <w:r>
        <w:t>application de cette propriété est destinée à permettre la documentation des modèles d</w:t>
      </w:r>
      <w:r w:rsidR="00E84B0E">
        <w:t>’</w:t>
      </w:r>
      <w:r>
        <w:t>utilisation attestés dans les enregistrements historiques ou par le biais de recherches scientifiques (par exemple l</w:t>
      </w:r>
      <w:r w:rsidR="00E84B0E">
        <w:t>’</w:t>
      </w:r>
      <w:r>
        <w:t>analyse des résidus sur une céramique). Elle ne doit pas être utilisée pour documenter l</w:t>
      </w:r>
      <w:r w:rsidR="00E84B0E">
        <w:t>’</w:t>
      </w:r>
      <w:r>
        <w:t>usage prévu, et donc supposé, d</w:t>
      </w:r>
      <w:r w:rsidR="00E84B0E">
        <w:t>’</w:t>
      </w:r>
      <w:r>
        <w:t>un objet.</w:t>
      </w:r>
    </w:p>
    <w:p w14:paraId="5669FC29" w14:textId="77777777" w:rsidR="00065317" w:rsidRDefault="005C7BF7">
      <w:pPr>
        <w:pStyle w:val="Corpsdetexte"/>
      </w:pPr>
      <w:r>
        <w:rPr>
          <w:b/>
          <w:bCs/>
        </w:rPr>
        <w:t>Exemples</w:t>
      </w:r>
    </w:p>
    <w:p w14:paraId="3AFB8EA1" w14:textId="6952F182" w:rsidR="00065317" w:rsidRDefault="005C7BF7">
      <w:pPr>
        <w:numPr>
          <w:ilvl w:val="0"/>
          <w:numId w:val="225"/>
        </w:numPr>
      </w:pPr>
      <w:r>
        <w:t>La Ford Mustang de Tony Gill (</w:t>
      </w:r>
      <w:r>
        <w:rPr>
          <w:rStyle w:val="VerbatimChar"/>
        </w:rPr>
        <w:t>E22_Objet_élaboré_par_l</w:t>
      </w:r>
      <w:r w:rsidR="00E84B0E">
        <w:rPr>
          <w:rStyle w:val="VerbatimChar"/>
        </w:rPr>
        <w:t>’</w:t>
      </w:r>
      <w:r>
        <w:rPr>
          <w:rStyle w:val="VerbatimChar"/>
        </w:rPr>
        <w:t>humain</w:t>
      </w:r>
      <w:r>
        <w:t>) a eu pour usage général (</w:t>
      </w:r>
      <w:r>
        <w:rPr>
          <w:rStyle w:val="VerbatimChar"/>
        </w:rPr>
        <w:t>P101_a_eu_pour_usage_général</w:t>
      </w:r>
      <w:r>
        <w:t>) le transport (</w:t>
      </w:r>
      <w:r>
        <w:rPr>
          <w:rStyle w:val="VerbatimChar"/>
        </w:rPr>
        <w:t>E55_Type</w:t>
      </w:r>
      <w:r>
        <w:t>)</w:t>
      </w:r>
    </w:p>
    <w:p w14:paraId="5F9B993E" w14:textId="1C57F134" w:rsidR="00065317" w:rsidRDefault="005C7BF7">
      <w:pPr>
        <w:numPr>
          <w:ilvl w:val="0"/>
          <w:numId w:val="225"/>
        </w:numPr>
      </w:pPr>
      <w:r>
        <w:t>Le récipient égyptien non émaillé utilisé dans l</w:t>
      </w:r>
      <w:r w:rsidR="00E84B0E">
        <w:t>’</w:t>
      </w:r>
      <w:r>
        <w:t xml:space="preserve">étude de 2003 de Barnard </w:t>
      </w:r>
      <w:r w:rsidR="0084721C">
        <w:t>&amp; al</w:t>
      </w:r>
      <w:r>
        <w:t xml:space="preserve"> (</w:t>
      </w:r>
      <w:r>
        <w:rPr>
          <w:rStyle w:val="VerbatimChar"/>
        </w:rPr>
        <w:t>E22_Objet_élaboré_par_l</w:t>
      </w:r>
      <w:r w:rsidR="00E84B0E">
        <w:rPr>
          <w:rStyle w:val="VerbatimChar"/>
        </w:rPr>
        <w:t>’</w:t>
      </w:r>
      <w:r>
        <w:rPr>
          <w:rStyle w:val="VerbatimChar"/>
        </w:rPr>
        <w:t>humain</w:t>
      </w:r>
      <w:r>
        <w:t>) a eu pour usage général (</w:t>
      </w:r>
      <w:r>
        <w:rPr>
          <w:rStyle w:val="VerbatimChar"/>
        </w:rPr>
        <w:t>P101_a_eu_pour_usage_général</w:t>
      </w:r>
      <w:r>
        <w:t>) la préparation du lait de chamelle (</w:t>
      </w:r>
      <w:r>
        <w:rPr>
          <w:rStyle w:val="VerbatimChar"/>
        </w:rPr>
        <w:t>E55_Type</w:t>
      </w:r>
      <w:r>
        <w:t xml:space="preserve">) (Barnard </w:t>
      </w:r>
      <w:r w:rsidR="0084721C">
        <w:t>&amp; al</w:t>
      </w:r>
      <w:r>
        <w:t>, 2007)</w:t>
      </w:r>
    </w:p>
    <w:p w14:paraId="6F52C8CC" w14:textId="77777777" w:rsidR="00065317" w:rsidRDefault="005C7BF7">
      <w:pPr>
        <w:pStyle w:val="FirstParagraph"/>
      </w:pPr>
      <w:r>
        <w:rPr>
          <w:b/>
          <w:bCs/>
        </w:rPr>
        <w:t>Logique</w:t>
      </w:r>
    </w:p>
    <w:p w14:paraId="55EE1BD1" w14:textId="77777777" w:rsidR="00065317" w:rsidRDefault="005C7BF7">
      <w:pPr>
        <w:pStyle w:val="Corpsdetexte"/>
      </w:pPr>
      <w:r>
        <w:t>P101(x,y) ⇒ E70(x)</w:t>
      </w:r>
    </w:p>
    <w:p w14:paraId="2AADF55F" w14:textId="77777777" w:rsidR="00065317" w:rsidRDefault="005C7BF7">
      <w:pPr>
        <w:pStyle w:val="Corpsdetexte"/>
      </w:pPr>
      <w:r>
        <w:t>P101(x,y) ⇒ E55(y)</w:t>
      </w:r>
    </w:p>
    <w:p w14:paraId="6EAB0C2F" w14:textId="77777777" w:rsidR="00065317" w:rsidRDefault="005C7BF7">
      <w:pPr>
        <w:pStyle w:val="Corpsdetexte"/>
      </w:pPr>
      <w:r>
        <w:t>P101(x,y) ⇒ (∃z)[E7(z) ∧ P16i(,x,z) ∧ P2(z,y)]</w:t>
      </w:r>
    </w:p>
    <w:p w14:paraId="32FF5CA3" w14:textId="77777777" w:rsidR="00065317" w:rsidRDefault="005C7BF7">
      <w:pPr>
        <w:pStyle w:val="Corpsdetexte"/>
      </w:pPr>
      <w:r>
        <w:rPr>
          <w:b/>
          <w:bCs/>
        </w:rPr>
        <w:t>Propriétés</w:t>
      </w:r>
    </w:p>
    <w:p w14:paraId="0991B2E8" w14:textId="77777777" w:rsidR="00065317" w:rsidRDefault="005C7BF7">
      <w:pPr>
        <w:pStyle w:val="Normalcentr"/>
      </w:pPr>
      <w:r>
        <w:rPr>
          <w:b/>
          <w:bCs/>
          <w:i/>
          <w:iCs/>
        </w:rPr>
        <w:lastRenderedPageBreak/>
        <w:t>Note de traduction</w:t>
      </w:r>
    </w:p>
    <w:p w14:paraId="6B50A515" w14:textId="57F9A0ED" w:rsidR="00065317" w:rsidRDefault="005C7BF7" w:rsidP="000C28E9">
      <w:pPr>
        <w:pStyle w:val="Normalcentr"/>
      </w:pPr>
      <w:r>
        <w:rPr>
          <w:b/>
          <w:bCs/>
          <w:i/>
          <w:iCs/>
        </w:rPr>
        <w:t>Références</w:t>
      </w:r>
    </w:p>
    <w:p w14:paraId="0FDA0A79" w14:textId="77777777" w:rsidR="00065317" w:rsidRDefault="005C7BF7" w:rsidP="00914F34">
      <w:pPr>
        <w:pStyle w:val="Titre3"/>
      </w:pPr>
      <w:bookmarkStart w:id="438" w:name="_Toc154048904"/>
      <w:bookmarkStart w:id="439" w:name="p102-a-pour-titre-(est-le-titre-de)"/>
      <w:bookmarkEnd w:id="437"/>
      <w:r>
        <w:t>P102 a pour titre (est le titre de)</w:t>
      </w:r>
      <w:bookmarkEnd w:id="438"/>
    </w:p>
    <w:p w14:paraId="3AD0708A" w14:textId="77777777" w:rsidR="00065317" w:rsidRDefault="005C7BF7">
      <w:pPr>
        <w:pStyle w:val="FirstParagraph"/>
      </w:pPr>
      <w:r>
        <w:rPr>
          <w:b/>
          <w:bCs/>
        </w:rPr>
        <w:t>Domaine</w:t>
      </w:r>
    </w:p>
    <w:p w14:paraId="697A3AE4" w14:textId="648BB615" w:rsidR="00065317" w:rsidRDefault="005C7BF7">
      <w:pPr>
        <w:pStyle w:val="Corpsdetexte"/>
      </w:pPr>
      <w:r>
        <w:rPr>
          <w:rStyle w:val="VerbatimChar"/>
        </w:rPr>
        <w:t>E71_Chose_élaborée_par_l</w:t>
      </w:r>
      <w:r w:rsidR="00E84B0E">
        <w:rPr>
          <w:rStyle w:val="VerbatimChar"/>
        </w:rPr>
        <w:t>’</w:t>
      </w:r>
      <w:r>
        <w:rPr>
          <w:rStyle w:val="VerbatimChar"/>
        </w:rPr>
        <w:t>humain</w:t>
      </w:r>
    </w:p>
    <w:p w14:paraId="11323817" w14:textId="77777777" w:rsidR="00065317" w:rsidRDefault="005C7BF7">
      <w:pPr>
        <w:pStyle w:val="Corpsdetexte"/>
      </w:pPr>
      <w:r>
        <w:rPr>
          <w:b/>
          <w:bCs/>
        </w:rPr>
        <w:t>Portée</w:t>
      </w:r>
    </w:p>
    <w:p w14:paraId="4E9E761D" w14:textId="77777777" w:rsidR="00065317" w:rsidRDefault="005C7BF7">
      <w:pPr>
        <w:pStyle w:val="Corpsdetexte"/>
      </w:pPr>
      <w:r>
        <w:rPr>
          <w:rStyle w:val="VerbatimChar"/>
        </w:rPr>
        <w:t>E35_Titre</w:t>
      </w:r>
    </w:p>
    <w:p w14:paraId="3026135F" w14:textId="77777777" w:rsidR="00065317" w:rsidRDefault="005C7BF7">
      <w:pPr>
        <w:pStyle w:val="Corpsdetexte"/>
      </w:pPr>
      <w:r>
        <w:rPr>
          <w:b/>
          <w:bCs/>
        </w:rPr>
        <w:t>Sous-propriété de</w:t>
      </w:r>
    </w:p>
    <w:p w14:paraId="3FC1FF60" w14:textId="77777777" w:rsidR="00065317" w:rsidRDefault="005C7BF7">
      <w:pPr>
        <w:pStyle w:val="Corpsdetexte"/>
      </w:pPr>
      <w:r>
        <w:rPr>
          <w:rStyle w:val="VerbatimChar"/>
        </w:rPr>
        <w:t>E1_Entité_CRM</w:t>
      </w:r>
      <w:r>
        <w:t xml:space="preserve">. </w:t>
      </w:r>
      <w:r>
        <w:rPr>
          <w:rStyle w:val="VerbatimChar"/>
        </w:rPr>
        <w:t>P1_est_identifié_par (identifie)</w:t>
      </w:r>
      <w:r>
        <w:t xml:space="preserve"> : </w:t>
      </w:r>
      <w:r>
        <w:rPr>
          <w:rStyle w:val="VerbatimChar"/>
        </w:rPr>
        <w:t>E41_Appellation</w:t>
      </w:r>
    </w:p>
    <w:p w14:paraId="64A9789E" w14:textId="1E9F989D" w:rsidR="00FC2E07" w:rsidRDefault="005C7BF7">
      <w:pPr>
        <w:pStyle w:val="Corpsdetexte"/>
        <w:rPr>
          <w:b/>
          <w:bCs/>
        </w:rPr>
      </w:pPr>
      <w:r>
        <w:rPr>
          <w:b/>
          <w:bCs/>
        </w:rPr>
        <w:t>Super-propriété de</w:t>
      </w:r>
    </w:p>
    <w:p w14:paraId="06C31597" w14:textId="0C9253E7" w:rsidR="00065317" w:rsidRDefault="005C7BF7">
      <w:pPr>
        <w:pStyle w:val="Corpsdetexte"/>
      </w:pPr>
      <w:r>
        <w:rPr>
          <w:b/>
          <w:bCs/>
        </w:rPr>
        <w:t>Quantification</w:t>
      </w:r>
    </w:p>
    <w:p w14:paraId="051FF3D6" w14:textId="77777777" w:rsidR="00065317" w:rsidRDefault="005C7BF7">
      <w:pPr>
        <w:pStyle w:val="Corpsdetexte"/>
      </w:pPr>
      <w:r>
        <w:t>plusieurs à plusieurs (0,n:0,n)</w:t>
      </w:r>
    </w:p>
    <w:p w14:paraId="35DA1223" w14:textId="318D6E1F" w:rsidR="00065317" w:rsidRDefault="005C7BF7">
      <w:pPr>
        <w:pStyle w:val="Corpsdetexte"/>
      </w:pPr>
      <w:r>
        <w:rPr>
          <w:b/>
          <w:bCs/>
        </w:rPr>
        <w:t>Note d</w:t>
      </w:r>
      <w:r w:rsidR="00E84B0E">
        <w:rPr>
          <w:b/>
          <w:bCs/>
        </w:rPr>
        <w:t>’</w:t>
      </w:r>
      <w:r>
        <w:rPr>
          <w:b/>
          <w:bCs/>
        </w:rPr>
        <w:t>application</w:t>
      </w:r>
    </w:p>
    <w:p w14:paraId="09F6A7CD" w14:textId="7B06D433" w:rsidR="00065317" w:rsidRDefault="005C7BF7">
      <w:pPr>
        <w:pStyle w:val="Corpsdetexte"/>
      </w:pPr>
      <w:r>
        <w:t xml:space="preserve">Cette propriété associe une instance de </w:t>
      </w:r>
      <w:r>
        <w:rPr>
          <w:rStyle w:val="VerbatimChar"/>
        </w:rPr>
        <w:t>E35_Titre</w:t>
      </w:r>
      <w:r>
        <w:t xml:space="preserve"> à une instance de </w:t>
      </w:r>
      <w:r>
        <w:rPr>
          <w:rStyle w:val="VerbatimChar"/>
        </w:rPr>
        <w:t>E71_Chose_élaborée_par_l</w:t>
      </w:r>
      <w:r w:rsidR="00E84B0E">
        <w:rPr>
          <w:rStyle w:val="VerbatimChar"/>
        </w:rPr>
        <w:t>’</w:t>
      </w:r>
      <w:r>
        <w:rPr>
          <w:rStyle w:val="VerbatimChar"/>
        </w:rPr>
        <w:t>humain</w:t>
      </w:r>
      <w:r>
        <w:t xml:space="preserve"> à laquelle elle s</w:t>
      </w:r>
      <w:r w:rsidR="00E84B0E">
        <w:t>’</w:t>
      </w:r>
      <w:r>
        <w:t>applique.</w:t>
      </w:r>
    </w:p>
    <w:p w14:paraId="56902A34" w14:textId="174A7064" w:rsidR="00065317" w:rsidRDefault="005C7BF7">
      <w:pPr>
        <w:pStyle w:val="Corpsdetexte"/>
      </w:pPr>
      <w:r>
        <w:t xml:space="preserve">La propriété </w:t>
      </w:r>
      <w:r>
        <w:rPr>
          <w:rStyle w:val="VerbatimChar"/>
        </w:rPr>
        <w:t>P102.1_a_pour_type</w:t>
      </w:r>
      <w:r>
        <w:t xml:space="preserve"> de la propriété </w:t>
      </w:r>
      <w:r>
        <w:rPr>
          <w:rStyle w:val="VerbatimChar"/>
        </w:rPr>
        <w:t>P102_a_pour_titre (est_le_titre_de)</w:t>
      </w:r>
      <w:r>
        <w:t xml:space="preserve"> permet de clarifier la relation entre le titre et la chose, par exemple, s</w:t>
      </w:r>
      <w:r w:rsidR="00E84B0E">
        <w:t>’</w:t>
      </w:r>
      <w:r>
        <w:t>il s</w:t>
      </w:r>
      <w:r w:rsidR="00E84B0E">
        <w:t>’</w:t>
      </w:r>
      <w:r>
        <w:t>agit d</w:t>
      </w:r>
      <w:r w:rsidR="00E84B0E">
        <w:t>’</w:t>
      </w:r>
      <w:r>
        <w:t>un titre donné, d</w:t>
      </w:r>
      <w:r w:rsidR="00E84B0E">
        <w:t>’</w:t>
      </w:r>
      <w:r>
        <w:t>un titre attribué, etc.</w:t>
      </w:r>
    </w:p>
    <w:p w14:paraId="73AFF8B6" w14:textId="503759A2" w:rsidR="00065317" w:rsidRDefault="005C7BF7">
      <w:pPr>
        <w:pStyle w:val="Corpsdetexte"/>
      </w:pPr>
      <w:r>
        <w:rPr>
          <w:rStyle w:val="VerbatimChar"/>
        </w:rPr>
        <w:t>P102_a_pour_titre (est_le_titre_de)</w:t>
      </w:r>
      <w:r>
        <w:t xml:space="preserve"> permet d</w:t>
      </w:r>
      <w:r w:rsidR="00E84B0E">
        <w:t>’</w:t>
      </w:r>
      <w:r>
        <w:t>attribuer un titre à toute chose matérielle ou immatérielle élaborée par l</w:t>
      </w:r>
      <w:r w:rsidR="00E84B0E">
        <w:t>’</w:t>
      </w:r>
      <w:r>
        <w:t>humain. Il est possible d</w:t>
      </w:r>
      <w:r w:rsidR="00E84B0E">
        <w:t>’</w:t>
      </w:r>
      <w:r>
        <w:t>imaginer qu</w:t>
      </w:r>
      <w:r w:rsidR="00E84B0E">
        <w:t>’</w:t>
      </w:r>
      <w:r>
        <w:t>un titre soit créé sans un objet spécifique en tête.</w:t>
      </w:r>
    </w:p>
    <w:p w14:paraId="40E54691" w14:textId="77777777" w:rsidR="00065317" w:rsidRDefault="005C7BF7">
      <w:pPr>
        <w:pStyle w:val="Corpsdetexte"/>
      </w:pPr>
      <w:r>
        <w:rPr>
          <w:b/>
          <w:bCs/>
        </w:rPr>
        <w:t>Exemples</w:t>
      </w:r>
    </w:p>
    <w:p w14:paraId="36D10A9C" w14:textId="3B318617" w:rsidR="00065317" w:rsidRDefault="005C7BF7">
      <w:pPr>
        <w:numPr>
          <w:ilvl w:val="0"/>
          <w:numId w:val="226"/>
        </w:numPr>
      </w:pPr>
      <w:r>
        <w:t>Le premier livre de l</w:t>
      </w:r>
      <w:r w:rsidR="00E84B0E">
        <w:t>’</w:t>
      </w:r>
      <w:r>
        <w:t>Ancien Testament (</w:t>
      </w:r>
      <w:r>
        <w:rPr>
          <w:rStyle w:val="VerbatimChar"/>
        </w:rPr>
        <w:t>E33_Objet_linguistique</w:t>
      </w:r>
      <w:r>
        <w:t>) a pour titre (</w:t>
      </w:r>
      <w:r>
        <w:rPr>
          <w:rStyle w:val="VerbatimChar"/>
        </w:rPr>
        <w:t>P102_a_pour_titre</w:t>
      </w:r>
      <w:r>
        <w:t xml:space="preserve">) </w:t>
      </w:r>
      <w:r>
        <w:rPr>
          <w:i/>
          <w:iCs/>
        </w:rPr>
        <w:t>Genèse</w:t>
      </w:r>
      <w:r>
        <w:t xml:space="preserve"> (</w:t>
      </w:r>
      <w:r>
        <w:rPr>
          <w:rStyle w:val="VerbatimChar"/>
        </w:rPr>
        <w:t>E35_Titre</w:t>
      </w:r>
      <w:r>
        <w:t>), qui a pour type (</w:t>
      </w:r>
      <w:r>
        <w:rPr>
          <w:rStyle w:val="VerbatimChar"/>
        </w:rPr>
        <w:t>P102.1_a_pour_type</w:t>
      </w:r>
      <w:r>
        <w:t>) « titre traduit » (</w:t>
      </w:r>
      <w:r>
        <w:rPr>
          <w:rStyle w:val="VerbatimChar"/>
        </w:rPr>
        <w:t>E55_Type</w:t>
      </w:r>
      <w:r>
        <w:t>) (Brueggemann, 1982)</w:t>
      </w:r>
    </w:p>
    <w:p w14:paraId="0C90C5A9" w14:textId="22F1A7BB" w:rsidR="00065317" w:rsidRDefault="005C7BF7">
      <w:pPr>
        <w:numPr>
          <w:ilvl w:val="0"/>
          <w:numId w:val="226"/>
        </w:numPr>
      </w:pPr>
      <w:r>
        <w:t>Le tableau de Monet de 1868-1869 conservé au musée d</w:t>
      </w:r>
      <w:r w:rsidR="00E84B0E">
        <w:t>’</w:t>
      </w:r>
      <w:r>
        <w:t>Orsay, à Paris, sous le numéro d</w:t>
      </w:r>
      <w:r w:rsidR="00E84B0E">
        <w:t>’</w:t>
      </w:r>
      <w:r>
        <w:t>inventaire RF 1984 164 (</w:t>
      </w:r>
      <w:r>
        <w:rPr>
          <w:rStyle w:val="VerbatimChar"/>
        </w:rPr>
        <w:t>E22_Objet_élaboré_par_l</w:t>
      </w:r>
      <w:r w:rsidR="00E84B0E">
        <w:rPr>
          <w:rStyle w:val="VerbatimChar"/>
        </w:rPr>
        <w:t>’</w:t>
      </w:r>
      <w:r>
        <w:rPr>
          <w:rStyle w:val="VerbatimChar"/>
        </w:rPr>
        <w:t>humain</w:t>
      </w:r>
      <w:r>
        <w:t>) a pour titre (</w:t>
      </w:r>
      <w:r>
        <w:rPr>
          <w:rStyle w:val="VerbatimChar"/>
        </w:rPr>
        <w:t>P102_a_pour_titre</w:t>
      </w:r>
      <w:r>
        <w:t xml:space="preserve">) </w:t>
      </w:r>
      <w:r>
        <w:rPr>
          <w:i/>
          <w:iCs/>
        </w:rPr>
        <w:t>La Pie</w:t>
      </w:r>
      <w:r>
        <w:t xml:space="preserve"> (</w:t>
      </w:r>
      <w:r>
        <w:rPr>
          <w:rStyle w:val="VerbatimChar"/>
        </w:rPr>
        <w:t>E35_Titre</w:t>
      </w:r>
      <w:r>
        <w:t>), qui a pour type (</w:t>
      </w:r>
      <w:r>
        <w:rPr>
          <w:rStyle w:val="VerbatimChar"/>
        </w:rPr>
        <w:t>P102.1_a_pour_type</w:t>
      </w:r>
      <w:r>
        <w:t>) « titre du créateur » (</w:t>
      </w:r>
      <w:r>
        <w:rPr>
          <w:rStyle w:val="VerbatimChar"/>
        </w:rPr>
        <w:t>E55_Type</w:t>
      </w:r>
      <w:r>
        <w:t>) (Musée d</w:t>
      </w:r>
      <w:r w:rsidR="00E84B0E">
        <w:t>’</w:t>
      </w:r>
      <w:r>
        <w:t>Orsay, 2020)</w:t>
      </w:r>
    </w:p>
    <w:p w14:paraId="28FBA6B5" w14:textId="2272DEB5" w:rsidR="00065317" w:rsidRDefault="005C7BF7">
      <w:pPr>
        <w:numPr>
          <w:ilvl w:val="0"/>
          <w:numId w:val="226"/>
        </w:numPr>
      </w:pPr>
      <w:r>
        <w:t>Le tableau de Monet de 1868-1869 conservé au musée d</w:t>
      </w:r>
      <w:r w:rsidR="00E84B0E">
        <w:t>’</w:t>
      </w:r>
      <w:r>
        <w:t>Orsay, à Paris, sous le numéro d</w:t>
      </w:r>
      <w:r w:rsidR="00E84B0E">
        <w:t>’</w:t>
      </w:r>
      <w:r>
        <w:t>inventaire RF 1984 164 (</w:t>
      </w:r>
      <w:r>
        <w:rPr>
          <w:rStyle w:val="VerbatimChar"/>
        </w:rPr>
        <w:t>E22_Objet_élaboré_par_l</w:t>
      </w:r>
      <w:r w:rsidR="00E84B0E">
        <w:rPr>
          <w:rStyle w:val="VerbatimChar"/>
        </w:rPr>
        <w:t>’</w:t>
      </w:r>
      <w:r>
        <w:rPr>
          <w:rStyle w:val="VerbatimChar"/>
        </w:rPr>
        <w:t>humain</w:t>
      </w:r>
      <w:r>
        <w:t>) a pour titre (</w:t>
      </w:r>
      <w:r>
        <w:rPr>
          <w:rStyle w:val="VerbatimChar"/>
        </w:rPr>
        <w:t>P102_a_pour_titre</w:t>
      </w:r>
      <w:r>
        <w:t xml:space="preserve">) </w:t>
      </w:r>
      <w:r>
        <w:rPr>
          <w:i/>
          <w:iCs/>
        </w:rPr>
        <w:t>The Magpie</w:t>
      </w:r>
      <w:r>
        <w:t xml:space="preserve"> (</w:t>
      </w:r>
      <w:r>
        <w:rPr>
          <w:rStyle w:val="VerbatimChar"/>
        </w:rPr>
        <w:t>E35_Titre</w:t>
      </w:r>
      <w:r>
        <w:t>), qui a pour type (</w:t>
      </w:r>
      <w:r>
        <w:rPr>
          <w:rStyle w:val="VerbatimChar"/>
        </w:rPr>
        <w:t>P102.1_a_pour_type</w:t>
      </w:r>
      <w:r>
        <w:t>) « titre traduit » (</w:t>
      </w:r>
      <w:r>
        <w:rPr>
          <w:rStyle w:val="VerbatimChar"/>
        </w:rPr>
        <w:t>E55_Type</w:t>
      </w:r>
      <w:r>
        <w:t>) (Musée d</w:t>
      </w:r>
      <w:r w:rsidR="00E84B0E">
        <w:t>’</w:t>
      </w:r>
      <w:r>
        <w:t>Orsay, 2020)</w:t>
      </w:r>
    </w:p>
    <w:p w14:paraId="17B1FE50" w14:textId="77777777" w:rsidR="00F54917" w:rsidRDefault="00F54917">
      <w:pPr>
        <w:spacing w:after="0"/>
        <w:rPr>
          <w:b/>
          <w:bCs/>
        </w:rPr>
      </w:pPr>
      <w:r>
        <w:rPr>
          <w:b/>
          <w:bCs/>
        </w:rPr>
        <w:br w:type="page"/>
      </w:r>
    </w:p>
    <w:p w14:paraId="59373E13" w14:textId="3AA99B27" w:rsidR="00065317" w:rsidRDefault="005C7BF7">
      <w:pPr>
        <w:pStyle w:val="FirstParagraph"/>
      </w:pPr>
      <w:r>
        <w:rPr>
          <w:b/>
          <w:bCs/>
        </w:rPr>
        <w:lastRenderedPageBreak/>
        <w:t>Logique</w:t>
      </w:r>
    </w:p>
    <w:p w14:paraId="37555451" w14:textId="77777777" w:rsidR="00065317" w:rsidRDefault="005C7BF7">
      <w:pPr>
        <w:pStyle w:val="Corpsdetexte"/>
      </w:pPr>
      <w:r>
        <w:t>P102(x,y) ⇒ E71(x)</w:t>
      </w:r>
    </w:p>
    <w:p w14:paraId="5F90731A" w14:textId="77777777" w:rsidR="00065317" w:rsidRDefault="005C7BF7">
      <w:pPr>
        <w:pStyle w:val="Corpsdetexte"/>
      </w:pPr>
      <w:r>
        <w:t>P102(x,y) ⇒ E35(y)</w:t>
      </w:r>
    </w:p>
    <w:p w14:paraId="439C97D1" w14:textId="77777777" w:rsidR="00065317" w:rsidRDefault="005C7BF7">
      <w:pPr>
        <w:pStyle w:val="Corpsdetexte"/>
      </w:pPr>
      <w:r>
        <w:t>P102(x,y,z) ⇒ [P102(x,y) ∧ E55(z)]</w:t>
      </w:r>
    </w:p>
    <w:p w14:paraId="697911ED" w14:textId="77777777" w:rsidR="00065317" w:rsidRDefault="005C7BF7">
      <w:pPr>
        <w:pStyle w:val="Corpsdetexte"/>
      </w:pPr>
      <w:r>
        <w:t>P102(x,y) ⇒ P1(x,y)</w:t>
      </w:r>
    </w:p>
    <w:p w14:paraId="64B1AB9A" w14:textId="77777777" w:rsidR="00065317" w:rsidRDefault="005C7BF7">
      <w:pPr>
        <w:pStyle w:val="Corpsdetexte"/>
      </w:pPr>
      <w:r>
        <w:rPr>
          <w:b/>
          <w:bCs/>
        </w:rPr>
        <w:t>Propriétés</w:t>
      </w:r>
    </w:p>
    <w:p w14:paraId="0F11327A" w14:textId="77777777" w:rsidR="00065317" w:rsidRDefault="005C7BF7">
      <w:pPr>
        <w:pStyle w:val="Corpsdetexte"/>
      </w:pPr>
      <w:r>
        <w:rPr>
          <w:rStyle w:val="VerbatimChar"/>
        </w:rPr>
        <w:t>P102.1_a_pour_type</w:t>
      </w:r>
      <w:r>
        <w:t xml:space="preserve"> : </w:t>
      </w:r>
      <w:r>
        <w:rPr>
          <w:rStyle w:val="VerbatimChar"/>
        </w:rPr>
        <w:t>E55_Type</w:t>
      </w:r>
    </w:p>
    <w:p w14:paraId="21CA2BA5" w14:textId="77777777" w:rsidR="00065317" w:rsidRDefault="005C7BF7">
      <w:pPr>
        <w:pStyle w:val="Normalcentr"/>
      </w:pPr>
      <w:r>
        <w:rPr>
          <w:b/>
          <w:bCs/>
          <w:i/>
          <w:iCs/>
        </w:rPr>
        <w:t>Note de traduction</w:t>
      </w:r>
    </w:p>
    <w:p w14:paraId="641C1984" w14:textId="6BAE83D1" w:rsidR="00065317" w:rsidRDefault="005C7BF7" w:rsidP="000C28E9">
      <w:pPr>
        <w:pStyle w:val="Normalcentr"/>
      </w:pPr>
      <w:r>
        <w:rPr>
          <w:b/>
          <w:bCs/>
          <w:i/>
          <w:iCs/>
        </w:rPr>
        <w:t>Références</w:t>
      </w:r>
    </w:p>
    <w:p w14:paraId="250BC867" w14:textId="7054E9A8" w:rsidR="00065317" w:rsidRDefault="005C7BF7" w:rsidP="00914F34">
      <w:pPr>
        <w:pStyle w:val="Titre3"/>
      </w:pPr>
      <w:bookmarkStart w:id="440" w:name="_Toc154048905"/>
      <w:bookmarkStart w:id="441" w:name="X371eeb48009f3103554339a6fdd46cad62ab854"/>
      <w:bookmarkEnd w:id="439"/>
      <w:r>
        <w:t>P103 a eu pour raison d</w:t>
      </w:r>
      <w:r w:rsidR="00E84B0E">
        <w:t>’</w:t>
      </w:r>
      <w:r>
        <w:t>être (a été la raison d</w:t>
      </w:r>
      <w:r w:rsidR="00E84B0E">
        <w:t>’</w:t>
      </w:r>
      <w:r>
        <w:t>être de)</w:t>
      </w:r>
      <w:bookmarkEnd w:id="440"/>
    </w:p>
    <w:p w14:paraId="5013DD07" w14:textId="77777777" w:rsidR="00065317" w:rsidRDefault="005C7BF7">
      <w:pPr>
        <w:pStyle w:val="FirstParagraph"/>
      </w:pPr>
      <w:r>
        <w:rPr>
          <w:b/>
          <w:bCs/>
        </w:rPr>
        <w:t>Domaine</w:t>
      </w:r>
    </w:p>
    <w:p w14:paraId="25132591" w14:textId="5CA295EC" w:rsidR="00065317" w:rsidRDefault="005C7BF7">
      <w:pPr>
        <w:pStyle w:val="Corpsdetexte"/>
      </w:pPr>
      <w:r>
        <w:rPr>
          <w:rStyle w:val="VerbatimChar"/>
        </w:rPr>
        <w:t>E71_Chose_élaborée_par_l</w:t>
      </w:r>
      <w:r w:rsidR="00E84B0E">
        <w:rPr>
          <w:rStyle w:val="VerbatimChar"/>
        </w:rPr>
        <w:t>’</w:t>
      </w:r>
      <w:r>
        <w:rPr>
          <w:rStyle w:val="VerbatimChar"/>
        </w:rPr>
        <w:t>humain</w:t>
      </w:r>
    </w:p>
    <w:p w14:paraId="6A950536" w14:textId="77777777" w:rsidR="00065317" w:rsidRDefault="005C7BF7">
      <w:pPr>
        <w:pStyle w:val="Corpsdetexte"/>
      </w:pPr>
      <w:r>
        <w:rPr>
          <w:b/>
          <w:bCs/>
        </w:rPr>
        <w:t>Portée</w:t>
      </w:r>
    </w:p>
    <w:p w14:paraId="71F5EB24" w14:textId="77777777" w:rsidR="00065317" w:rsidRDefault="005C7BF7">
      <w:pPr>
        <w:pStyle w:val="Corpsdetexte"/>
      </w:pPr>
      <w:r>
        <w:rPr>
          <w:rStyle w:val="VerbatimChar"/>
        </w:rPr>
        <w:t>E55_Type</w:t>
      </w:r>
    </w:p>
    <w:p w14:paraId="024AADF5" w14:textId="77777777" w:rsidR="00065317" w:rsidRDefault="005C7BF7">
      <w:pPr>
        <w:pStyle w:val="Corpsdetexte"/>
      </w:pPr>
      <w:r>
        <w:rPr>
          <w:b/>
          <w:bCs/>
        </w:rPr>
        <w:t>Sous-propriété de</w:t>
      </w:r>
    </w:p>
    <w:p w14:paraId="06003672" w14:textId="77777777" w:rsidR="00065317" w:rsidRDefault="005C7BF7">
      <w:pPr>
        <w:pStyle w:val="Corpsdetexte"/>
      </w:pPr>
      <w:r>
        <w:rPr>
          <w:b/>
          <w:bCs/>
        </w:rPr>
        <w:t>Super-propriété de</w:t>
      </w:r>
    </w:p>
    <w:p w14:paraId="51356DDC" w14:textId="77777777" w:rsidR="00065317" w:rsidRDefault="005C7BF7">
      <w:pPr>
        <w:pStyle w:val="Corpsdetexte"/>
      </w:pPr>
      <w:r>
        <w:rPr>
          <w:b/>
          <w:bCs/>
        </w:rPr>
        <w:t>Quantification</w:t>
      </w:r>
    </w:p>
    <w:p w14:paraId="09C47578" w14:textId="77777777" w:rsidR="00065317" w:rsidRDefault="005C7BF7">
      <w:pPr>
        <w:pStyle w:val="Corpsdetexte"/>
      </w:pPr>
      <w:r>
        <w:t>plusieurs à plusieurs (0,n:0,n)</w:t>
      </w:r>
    </w:p>
    <w:p w14:paraId="50DB3E01" w14:textId="13676658" w:rsidR="00065317" w:rsidRDefault="005C7BF7">
      <w:pPr>
        <w:pStyle w:val="Corpsdetexte"/>
      </w:pPr>
      <w:r>
        <w:rPr>
          <w:b/>
          <w:bCs/>
        </w:rPr>
        <w:t>Note d</w:t>
      </w:r>
      <w:r w:rsidR="00E84B0E">
        <w:rPr>
          <w:b/>
          <w:bCs/>
        </w:rPr>
        <w:t>’</w:t>
      </w:r>
      <w:r>
        <w:rPr>
          <w:b/>
          <w:bCs/>
        </w:rPr>
        <w:t>application</w:t>
      </w:r>
    </w:p>
    <w:p w14:paraId="05E69C29" w14:textId="781ECF4C" w:rsidR="00065317" w:rsidRDefault="005C7BF7">
      <w:pPr>
        <w:pStyle w:val="Corpsdetexte"/>
      </w:pPr>
      <w:r>
        <w:t xml:space="preserve">Cette propriété lie une instance de </w:t>
      </w:r>
      <w:r>
        <w:rPr>
          <w:rStyle w:val="VerbatimChar"/>
        </w:rPr>
        <w:t>E71_Chose_élaborée_par_l</w:t>
      </w:r>
      <w:r w:rsidR="00E84B0E">
        <w:rPr>
          <w:rStyle w:val="VerbatimChar"/>
        </w:rPr>
        <w:t>’</w:t>
      </w:r>
      <w:r>
        <w:rPr>
          <w:rStyle w:val="VerbatimChar"/>
        </w:rPr>
        <w:t>humain</w:t>
      </w:r>
      <w:r>
        <w:t xml:space="preserve"> à une instance de </w:t>
      </w:r>
      <w:r>
        <w:rPr>
          <w:rStyle w:val="VerbatimChar"/>
        </w:rPr>
        <w:t>E55_Type</w:t>
      </w:r>
      <w:r>
        <w:t xml:space="preserve"> qui décrit son utilisation prévue.</w:t>
      </w:r>
    </w:p>
    <w:p w14:paraId="7B0184AB" w14:textId="3AFA445E" w:rsidR="00065317" w:rsidRDefault="005C7BF7">
      <w:pPr>
        <w:pStyle w:val="Corpsdetexte"/>
      </w:pPr>
      <w:r>
        <w:t xml:space="preserve">La propriété </w:t>
      </w:r>
      <w:r>
        <w:rPr>
          <w:rStyle w:val="VerbatimChar"/>
        </w:rPr>
        <w:t>P103_a_eu_pour_raison_d</w:t>
      </w:r>
      <w:r w:rsidR="00E84B0E">
        <w:rPr>
          <w:rStyle w:val="VerbatimChar"/>
        </w:rPr>
        <w:t>’</w:t>
      </w:r>
      <w:r>
        <w:rPr>
          <w:rStyle w:val="VerbatimChar"/>
        </w:rPr>
        <w:t>être (a_été_la_raison_d</w:t>
      </w:r>
      <w:r w:rsidR="00E84B0E">
        <w:rPr>
          <w:rStyle w:val="VerbatimChar"/>
        </w:rPr>
        <w:t>’</w:t>
      </w:r>
      <w:r>
        <w:rPr>
          <w:rStyle w:val="VerbatimChar"/>
        </w:rPr>
        <w:t>être_de)</w:t>
      </w:r>
      <w:r>
        <w:t xml:space="preserve"> crée une relation entre des choses matérielles ou immatérielles spécifiques élaborées par l</w:t>
      </w:r>
      <w:r w:rsidR="00E84B0E">
        <w:t>’</w:t>
      </w:r>
      <w:r>
        <w:t>humain et des types de méthodes ou de techniques d</w:t>
      </w:r>
      <w:r w:rsidR="00E84B0E">
        <w:t>’</w:t>
      </w:r>
      <w:r>
        <w:t>utilisation prévues. Il est à noter que le lien entre des choses spécifiques élaborées par l</w:t>
      </w:r>
      <w:r w:rsidR="00E84B0E">
        <w:t>’</w:t>
      </w:r>
      <w:r>
        <w:t>humain et une activité d</w:t>
      </w:r>
      <w:r w:rsidR="00E84B0E">
        <w:t>’</w:t>
      </w:r>
      <w:r>
        <w:t xml:space="preserve">utilisation spécifique doit être exprimé en utilisant la propriété </w:t>
      </w:r>
      <w:r>
        <w:rPr>
          <w:rStyle w:val="VerbatimChar"/>
        </w:rPr>
        <w:t>P19_a_été_l</w:t>
      </w:r>
      <w:r w:rsidR="00E84B0E">
        <w:rPr>
          <w:rStyle w:val="VerbatimChar"/>
        </w:rPr>
        <w:t>’</w:t>
      </w:r>
      <w:r>
        <w:rPr>
          <w:rStyle w:val="VerbatimChar"/>
        </w:rPr>
        <w:t>usage_prévu_de (a_été_élaboré_pour)</w:t>
      </w:r>
      <w:r>
        <w:t>.</w:t>
      </w:r>
    </w:p>
    <w:p w14:paraId="044B81AC" w14:textId="77777777" w:rsidR="00065317" w:rsidRDefault="005C7BF7">
      <w:pPr>
        <w:pStyle w:val="Corpsdetexte"/>
      </w:pPr>
      <w:r>
        <w:rPr>
          <w:b/>
          <w:bCs/>
        </w:rPr>
        <w:t>Exemples</w:t>
      </w:r>
    </w:p>
    <w:p w14:paraId="5FBA462D" w14:textId="5490DA8E" w:rsidR="00065317" w:rsidRDefault="005C7BF7">
      <w:pPr>
        <w:numPr>
          <w:ilvl w:val="0"/>
          <w:numId w:val="227"/>
        </w:numPr>
      </w:pPr>
      <w:r>
        <w:t>Ce plat (</w:t>
      </w:r>
      <w:r>
        <w:rPr>
          <w:rStyle w:val="VerbatimChar"/>
        </w:rPr>
        <w:t>E22_Objet_élaboré_par_l</w:t>
      </w:r>
      <w:r w:rsidR="00E84B0E">
        <w:rPr>
          <w:rStyle w:val="VerbatimChar"/>
        </w:rPr>
        <w:t>’</w:t>
      </w:r>
      <w:r>
        <w:rPr>
          <w:rStyle w:val="VerbatimChar"/>
        </w:rPr>
        <w:t>humain</w:t>
      </w:r>
      <w:r>
        <w:t>) a eu pour raison d</w:t>
      </w:r>
      <w:r w:rsidR="00E84B0E">
        <w:t>’</w:t>
      </w:r>
      <w:r>
        <w:t>être (</w:t>
      </w:r>
      <w:r>
        <w:rPr>
          <w:rStyle w:val="VerbatimChar"/>
        </w:rPr>
        <w:t>P103_a_eu_pour_raison_d</w:t>
      </w:r>
      <w:r w:rsidR="00E84B0E">
        <w:rPr>
          <w:rStyle w:val="VerbatimChar"/>
        </w:rPr>
        <w:t>’</w:t>
      </w:r>
      <w:r>
        <w:rPr>
          <w:rStyle w:val="VerbatimChar"/>
        </w:rPr>
        <w:t>être</w:t>
      </w:r>
      <w:r>
        <w:t>) d</w:t>
      </w:r>
      <w:r w:rsidR="00E84B0E">
        <w:t>’</w:t>
      </w:r>
      <w:r>
        <w:t>être détruit lors d</w:t>
      </w:r>
      <w:r w:rsidR="00E84B0E">
        <w:t>’</w:t>
      </w:r>
      <w:r>
        <w:t>une réception de mariage (</w:t>
      </w:r>
      <w:r>
        <w:rPr>
          <w:rStyle w:val="VerbatimChar"/>
        </w:rPr>
        <w:t>E55_Type</w:t>
      </w:r>
      <w:r>
        <w:t>) (fictif)</w:t>
      </w:r>
    </w:p>
    <w:p w14:paraId="08230A03" w14:textId="77777777" w:rsidR="00065317" w:rsidRDefault="005C7BF7">
      <w:pPr>
        <w:pStyle w:val="FirstParagraph"/>
      </w:pPr>
      <w:r>
        <w:rPr>
          <w:b/>
          <w:bCs/>
        </w:rPr>
        <w:t>Logique</w:t>
      </w:r>
    </w:p>
    <w:p w14:paraId="4343CA84" w14:textId="77777777" w:rsidR="00065317" w:rsidRDefault="005C7BF7">
      <w:pPr>
        <w:pStyle w:val="Corpsdetexte"/>
      </w:pPr>
      <w:r>
        <w:t>P103(x,y) ⇒ E71(x)</w:t>
      </w:r>
    </w:p>
    <w:p w14:paraId="1ABCF0FD" w14:textId="77777777" w:rsidR="00065317" w:rsidRDefault="005C7BF7">
      <w:pPr>
        <w:pStyle w:val="Corpsdetexte"/>
      </w:pPr>
      <w:r>
        <w:t>P103(x,y) ⇒ E55(y)</w:t>
      </w:r>
    </w:p>
    <w:p w14:paraId="0D0599E5" w14:textId="77777777" w:rsidR="00DE6C24" w:rsidRDefault="00DE6C24">
      <w:pPr>
        <w:spacing w:after="0"/>
        <w:rPr>
          <w:b/>
          <w:bCs/>
        </w:rPr>
      </w:pPr>
      <w:r>
        <w:rPr>
          <w:b/>
          <w:bCs/>
        </w:rPr>
        <w:br w:type="page"/>
      </w:r>
    </w:p>
    <w:p w14:paraId="5D75D4E1" w14:textId="7EAB4F13" w:rsidR="00065317" w:rsidRDefault="005C7BF7">
      <w:pPr>
        <w:pStyle w:val="Corpsdetexte"/>
      </w:pPr>
      <w:r>
        <w:rPr>
          <w:b/>
          <w:bCs/>
        </w:rPr>
        <w:lastRenderedPageBreak/>
        <w:t>Propriétés</w:t>
      </w:r>
    </w:p>
    <w:p w14:paraId="0C7493B5" w14:textId="77777777" w:rsidR="00065317" w:rsidRDefault="005C7BF7">
      <w:pPr>
        <w:pStyle w:val="Normalcentr"/>
      </w:pPr>
      <w:r>
        <w:rPr>
          <w:b/>
          <w:bCs/>
          <w:i/>
          <w:iCs/>
        </w:rPr>
        <w:t>Note de traduction</w:t>
      </w:r>
    </w:p>
    <w:p w14:paraId="6857EACF" w14:textId="2103DF64" w:rsidR="00065317" w:rsidRDefault="005C7BF7" w:rsidP="000C28E9">
      <w:pPr>
        <w:pStyle w:val="Normalcentr"/>
      </w:pPr>
      <w:r>
        <w:rPr>
          <w:b/>
          <w:bCs/>
          <w:i/>
          <w:iCs/>
        </w:rPr>
        <w:t>Références</w:t>
      </w:r>
    </w:p>
    <w:p w14:paraId="0FD7F26D" w14:textId="05F658AD" w:rsidR="00065317" w:rsidRDefault="005C7BF7" w:rsidP="00914F34">
      <w:pPr>
        <w:pStyle w:val="Titre3"/>
      </w:pPr>
      <w:bookmarkStart w:id="442" w:name="_Toc154048906"/>
      <w:bookmarkStart w:id="443" w:name="p104-est-soumis-a-(sapplique-a)"/>
      <w:bookmarkEnd w:id="441"/>
      <w:r>
        <w:t>P104 est soumis à (s</w:t>
      </w:r>
      <w:r w:rsidR="00E84B0E">
        <w:t>’</w:t>
      </w:r>
      <w:r>
        <w:t>applique à)</w:t>
      </w:r>
      <w:bookmarkEnd w:id="442"/>
    </w:p>
    <w:p w14:paraId="6A7BF04C" w14:textId="77777777" w:rsidR="00065317" w:rsidRDefault="005C7BF7">
      <w:pPr>
        <w:pStyle w:val="FirstParagraph"/>
      </w:pPr>
      <w:r>
        <w:rPr>
          <w:b/>
          <w:bCs/>
        </w:rPr>
        <w:t>Domaine</w:t>
      </w:r>
    </w:p>
    <w:p w14:paraId="2FBE965C" w14:textId="77777777" w:rsidR="00065317" w:rsidRDefault="005C7BF7">
      <w:pPr>
        <w:pStyle w:val="Corpsdetexte"/>
      </w:pPr>
      <w:r>
        <w:rPr>
          <w:rStyle w:val="VerbatimChar"/>
        </w:rPr>
        <w:t>E72_Objet_juridique</w:t>
      </w:r>
    </w:p>
    <w:p w14:paraId="3D9B1FD6" w14:textId="77777777" w:rsidR="00065317" w:rsidRDefault="005C7BF7">
      <w:pPr>
        <w:pStyle w:val="Corpsdetexte"/>
      </w:pPr>
      <w:r>
        <w:rPr>
          <w:b/>
          <w:bCs/>
        </w:rPr>
        <w:t>Portée</w:t>
      </w:r>
    </w:p>
    <w:p w14:paraId="03213B79" w14:textId="77777777" w:rsidR="00065317" w:rsidRDefault="005C7BF7">
      <w:pPr>
        <w:pStyle w:val="Corpsdetexte"/>
      </w:pPr>
      <w:r>
        <w:rPr>
          <w:rStyle w:val="VerbatimChar"/>
        </w:rPr>
        <w:t>E30_Droit</w:t>
      </w:r>
    </w:p>
    <w:p w14:paraId="2CF3458F" w14:textId="77777777" w:rsidR="00065317" w:rsidRDefault="005C7BF7">
      <w:pPr>
        <w:pStyle w:val="Corpsdetexte"/>
      </w:pPr>
      <w:r>
        <w:rPr>
          <w:b/>
          <w:bCs/>
        </w:rPr>
        <w:t>Sous-propriété de</w:t>
      </w:r>
    </w:p>
    <w:p w14:paraId="0BC04610" w14:textId="77777777" w:rsidR="00065317" w:rsidRDefault="005C7BF7">
      <w:pPr>
        <w:pStyle w:val="Corpsdetexte"/>
      </w:pPr>
      <w:r>
        <w:rPr>
          <w:b/>
          <w:bCs/>
        </w:rPr>
        <w:t>Super-propriété de</w:t>
      </w:r>
    </w:p>
    <w:p w14:paraId="6A4C8663" w14:textId="77777777" w:rsidR="00065317" w:rsidRDefault="005C7BF7">
      <w:pPr>
        <w:pStyle w:val="Corpsdetexte"/>
      </w:pPr>
      <w:r>
        <w:rPr>
          <w:b/>
          <w:bCs/>
        </w:rPr>
        <w:t>Quantification</w:t>
      </w:r>
    </w:p>
    <w:p w14:paraId="14CC751C" w14:textId="77777777" w:rsidR="00065317" w:rsidRDefault="005C7BF7">
      <w:pPr>
        <w:pStyle w:val="Corpsdetexte"/>
      </w:pPr>
      <w:r>
        <w:t>plusieurs à plusieurs (0,n:0,n)</w:t>
      </w:r>
    </w:p>
    <w:p w14:paraId="02B5714B" w14:textId="698C5697" w:rsidR="00065317" w:rsidRDefault="005C7BF7">
      <w:pPr>
        <w:pStyle w:val="Corpsdetexte"/>
      </w:pPr>
      <w:r>
        <w:rPr>
          <w:b/>
          <w:bCs/>
        </w:rPr>
        <w:t>Note d</w:t>
      </w:r>
      <w:r w:rsidR="00E84B0E">
        <w:rPr>
          <w:b/>
          <w:bCs/>
        </w:rPr>
        <w:t>’</w:t>
      </w:r>
      <w:r>
        <w:rPr>
          <w:b/>
          <w:bCs/>
        </w:rPr>
        <w:t>application</w:t>
      </w:r>
    </w:p>
    <w:p w14:paraId="05C7ED9E" w14:textId="77777777" w:rsidR="00065317" w:rsidRDefault="005C7BF7">
      <w:pPr>
        <w:pStyle w:val="Corpsdetexte"/>
      </w:pPr>
      <w:r>
        <w:t xml:space="preserve">Cette propriété relie une instance de </w:t>
      </w:r>
      <w:r>
        <w:rPr>
          <w:rStyle w:val="VerbatimChar"/>
        </w:rPr>
        <w:t>E72_Objet_juridique</w:t>
      </w:r>
      <w:r>
        <w:t xml:space="preserve"> aux instances de </w:t>
      </w:r>
      <w:r>
        <w:rPr>
          <w:rStyle w:val="VerbatimChar"/>
        </w:rPr>
        <w:t>E30_Droit</w:t>
      </w:r>
      <w:r>
        <w:t xml:space="preserve"> auxquelles elle est soumise.</w:t>
      </w:r>
    </w:p>
    <w:p w14:paraId="61F36FAF" w14:textId="6191E24A" w:rsidR="00065317" w:rsidRDefault="005C7BF7">
      <w:pPr>
        <w:pStyle w:val="Corpsdetexte"/>
      </w:pPr>
      <w:r>
        <w:t>L</w:t>
      </w:r>
      <w:r w:rsidR="00E84B0E">
        <w:t>’</w:t>
      </w:r>
      <w:r>
        <w:t xml:space="preserve">instance de </w:t>
      </w:r>
      <w:r>
        <w:rPr>
          <w:rStyle w:val="VerbatimChar"/>
        </w:rPr>
        <w:t>E30_Droit</w:t>
      </w:r>
      <w:r>
        <w:t xml:space="preserve"> est détenue par une instance de </w:t>
      </w:r>
      <w:r>
        <w:rPr>
          <w:rStyle w:val="VerbatimChar"/>
        </w:rPr>
        <w:t>E39_Actant</w:t>
      </w:r>
      <w:r>
        <w:t xml:space="preserve"> tel que décrit par la propriété </w:t>
      </w:r>
      <w:r>
        <w:rPr>
          <w:rStyle w:val="VerbatimChar"/>
        </w:rPr>
        <w:t>P75_possède (est_possédé_par)</w:t>
      </w:r>
      <w:r>
        <w:t>.</w:t>
      </w:r>
    </w:p>
    <w:p w14:paraId="531080A1" w14:textId="77777777" w:rsidR="00065317" w:rsidRDefault="005C7BF7">
      <w:pPr>
        <w:pStyle w:val="Corpsdetexte"/>
      </w:pPr>
      <w:r>
        <w:rPr>
          <w:b/>
          <w:bCs/>
        </w:rPr>
        <w:t>Exemples</w:t>
      </w:r>
    </w:p>
    <w:p w14:paraId="3B2378E7" w14:textId="77777777" w:rsidR="00065317" w:rsidRDefault="005C7BF7">
      <w:pPr>
        <w:numPr>
          <w:ilvl w:val="0"/>
          <w:numId w:val="228"/>
        </w:numPr>
      </w:pPr>
      <w:r>
        <w:t>Le fond de catalogue des Beatles (</w:t>
      </w:r>
      <w:r>
        <w:rPr>
          <w:rStyle w:val="VerbatimChar"/>
        </w:rPr>
        <w:t>E89_Objet_propositionnel</w:t>
      </w:r>
      <w:r>
        <w:t>) est soumis à (</w:t>
      </w:r>
      <w:r>
        <w:rPr>
          <w:rStyle w:val="VerbatimChar"/>
        </w:rPr>
        <w:t>P104_est_soumis_à</w:t>
      </w:r>
      <w:r>
        <w:t>) des droits de reproduction sur le fond de catalogue des Beatles (</w:t>
      </w:r>
      <w:r>
        <w:rPr>
          <w:rStyle w:val="VerbatimChar"/>
        </w:rPr>
        <w:t>E30_Droit</w:t>
      </w:r>
      <w:r>
        <w:t>) (Raga, 2016)</w:t>
      </w:r>
    </w:p>
    <w:p w14:paraId="5AE21CA5" w14:textId="77777777" w:rsidR="00065317" w:rsidRDefault="005C7BF7">
      <w:pPr>
        <w:pStyle w:val="FirstParagraph"/>
      </w:pPr>
      <w:r>
        <w:rPr>
          <w:b/>
          <w:bCs/>
        </w:rPr>
        <w:t>Logique</w:t>
      </w:r>
    </w:p>
    <w:p w14:paraId="2F71C0E8" w14:textId="77777777" w:rsidR="00065317" w:rsidRDefault="005C7BF7">
      <w:pPr>
        <w:pStyle w:val="Corpsdetexte"/>
      </w:pPr>
      <w:r>
        <w:t>P104(x,y) ⇒E72(x)</w:t>
      </w:r>
    </w:p>
    <w:p w14:paraId="3A024B64" w14:textId="77777777" w:rsidR="00065317" w:rsidRDefault="005C7BF7">
      <w:pPr>
        <w:pStyle w:val="Corpsdetexte"/>
      </w:pPr>
      <w:r>
        <w:t>P104(x,y) ⇒E30(y)</w:t>
      </w:r>
    </w:p>
    <w:p w14:paraId="0512FD45" w14:textId="77777777" w:rsidR="00065317" w:rsidRDefault="005C7BF7">
      <w:pPr>
        <w:pStyle w:val="Corpsdetexte"/>
      </w:pPr>
      <w:r>
        <w:rPr>
          <w:b/>
          <w:bCs/>
        </w:rPr>
        <w:t>Propriétés</w:t>
      </w:r>
    </w:p>
    <w:p w14:paraId="448AED8C" w14:textId="77777777" w:rsidR="00065317" w:rsidRDefault="005C7BF7">
      <w:pPr>
        <w:pStyle w:val="Normalcentr"/>
      </w:pPr>
      <w:r>
        <w:rPr>
          <w:b/>
          <w:bCs/>
          <w:i/>
          <w:iCs/>
        </w:rPr>
        <w:t>Note de traduction</w:t>
      </w:r>
    </w:p>
    <w:p w14:paraId="20C7F784" w14:textId="77777777" w:rsidR="00065317" w:rsidRDefault="005C7BF7">
      <w:pPr>
        <w:pStyle w:val="Normalcentr"/>
      </w:pPr>
      <w:r>
        <w:t>Tel que suggéré par Termium Plus, la traduction la plus adéquate du terme « back catalogue » est « fond de catalogue ».</w:t>
      </w:r>
    </w:p>
    <w:p w14:paraId="326F4CC2" w14:textId="77777777" w:rsidR="00065317" w:rsidRDefault="005C7BF7">
      <w:pPr>
        <w:pStyle w:val="Normalcentr"/>
      </w:pPr>
      <w:r>
        <w:rPr>
          <w:b/>
          <w:bCs/>
          <w:i/>
          <w:iCs/>
        </w:rPr>
        <w:t>Références</w:t>
      </w:r>
    </w:p>
    <w:p w14:paraId="72E08517" w14:textId="3BE4096B" w:rsidR="00065317" w:rsidRDefault="005C7BF7">
      <w:pPr>
        <w:pStyle w:val="Normalcentr"/>
      </w:pPr>
      <w:r>
        <w:t xml:space="preserve">Termium. « back catalogue ». Dans </w:t>
      </w:r>
      <w:r>
        <w:rPr>
          <w:i/>
          <w:iCs/>
        </w:rPr>
        <w:t>Termium Plus</w:t>
      </w:r>
      <w:r>
        <w:t>. Ottawa, CA-ON: Gouvernement du Canada, 8</w:t>
      </w:r>
      <w:r w:rsidR="00056DCD">
        <w:t> octobre </w:t>
      </w:r>
      <w:r>
        <w:t>2009.</w:t>
      </w:r>
      <w:hyperlink r:id="rId247" w:anchor="resultrecs">
        <w:r>
          <w:rPr>
            <w:rStyle w:val="Lienhypertexte"/>
          </w:rPr>
          <w:t xml:space="preserve"> </w:t>
        </w:r>
      </w:hyperlink>
      <w:hyperlink r:id="rId248" w:anchor="resultrecs">
        <w:r>
          <w:rPr>
            <w:rStyle w:val="Lienhypertexte"/>
          </w:rPr>
          <w:t>https://www.btb.termiumplus.gc.ca/tpv2alpha/alpha-fra.html?lang=fra&amp;i=1&amp;srchtxt=back+catalogue&amp;index=alt&amp;codom2nd_wet=1#resultrecs</w:t>
        </w:r>
      </w:hyperlink>
      <w:r>
        <w:t>.</w:t>
      </w:r>
    </w:p>
    <w:p w14:paraId="2A5EC2A9" w14:textId="77777777" w:rsidR="00065317" w:rsidRDefault="005C7BF7" w:rsidP="00914F34">
      <w:pPr>
        <w:pStyle w:val="Titre3"/>
      </w:pPr>
      <w:bookmarkStart w:id="444" w:name="_Toc154048907"/>
      <w:bookmarkStart w:id="445" w:name="X07f47186e6eb323db920597183cec0e265a8f0a"/>
      <w:bookmarkEnd w:id="443"/>
      <w:r>
        <w:t>P105 droit détenu par (détient le droit sur)</w:t>
      </w:r>
      <w:bookmarkEnd w:id="444"/>
    </w:p>
    <w:p w14:paraId="105E9840" w14:textId="77777777" w:rsidR="00065317" w:rsidRDefault="005C7BF7">
      <w:pPr>
        <w:pStyle w:val="FirstParagraph"/>
      </w:pPr>
      <w:r>
        <w:rPr>
          <w:b/>
          <w:bCs/>
        </w:rPr>
        <w:t>Domaine</w:t>
      </w:r>
    </w:p>
    <w:p w14:paraId="18039456" w14:textId="77777777" w:rsidR="00065317" w:rsidRDefault="005C7BF7">
      <w:pPr>
        <w:pStyle w:val="Corpsdetexte"/>
      </w:pPr>
      <w:r>
        <w:rPr>
          <w:rStyle w:val="VerbatimChar"/>
        </w:rPr>
        <w:t>E72_Objet_juridique</w:t>
      </w:r>
    </w:p>
    <w:p w14:paraId="5C5E6CD9" w14:textId="77777777" w:rsidR="00065317" w:rsidRDefault="005C7BF7">
      <w:pPr>
        <w:pStyle w:val="Corpsdetexte"/>
      </w:pPr>
      <w:r>
        <w:rPr>
          <w:b/>
          <w:bCs/>
        </w:rPr>
        <w:lastRenderedPageBreak/>
        <w:t>Portée</w:t>
      </w:r>
    </w:p>
    <w:p w14:paraId="2D82B738" w14:textId="77777777" w:rsidR="00065317" w:rsidRDefault="005C7BF7">
      <w:pPr>
        <w:pStyle w:val="Corpsdetexte"/>
      </w:pPr>
      <w:r>
        <w:rPr>
          <w:rStyle w:val="VerbatimChar"/>
        </w:rPr>
        <w:t>E39_Actant</w:t>
      </w:r>
    </w:p>
    <w:p w14:paraId="0ABBB8E3" w14:textId="77777777" w:rsidR="00065317" w:rsidRDefault="005C7BF7">
      <w:pPr>
        <w:pStyle w:val="Corpsdetexte"/>
      </w:pPr>
      <w:r>
        <w:rPr>
          <w:b/>
          <w:bCs/>
        </w:rPr>
        <w:t>Sous-propriété de</w:t>
      </w:r>
    </w:p>
    <w:p w14:paraId="5EB09243" w14:textId="77777777" w:rsidR="00065317" w:rsidRDefault="005C7BF7">
      <w:pPr>
        <w:pStyle w:val="Corpsdetexte"/>
      </w:pPr>
      <w:r>
        <w:rPr>
          <w:b/>
          <w:bCs/>
        </w:rPr>
        <w:t>Super-propriété de</w:t>
      </w:r>
    </w:p>
    <w:p w14:paraId="6F94C244" w14:textId="2C9DB98D" w:rsidR="000C28E9" w:rsidRDefault="005C7BF7">
      <w:pPr>
        <w:pStyle w:val="Corpsdetexte"/>
      </w:pPr>
      <w:r>
        <w:rPr>
          <w:rStyle w:val="VerbatimChar"/>
        </w:rPr>
        <w:t>E18_Chose_matérielle</w:t>
      </w:r>
      <w:r>
        <w:t xml:space="preserve">. </w:t>
      </w:r>
      <w:r>
        <w:rPr>
          <w:rStyle w:val="VerbatimChar"/>
        </w:rPr>
        <w:t>P52_a_pour_propriétaire_actuel (est_l</w:t>
      </w:r>
      <w:r w:rsidR="00E84B0E">
        <w:rPr>
          <w:rStyle w:val="VerbatimChar"/>
        </w:rPr>
        <w:t>’</w:t>
      </w:r>
      <w:r>
        <w:rPr>
          <w:rStyle w:val="VerbatimChar"/>
        </w:rPr>
        <w:t>actant_propriétaire_actuel_de)</w:t>
      </w:r>
      <w:r w:rsidR="000C28E9">
        <w:t> </w:t>
      </w:r>
      <w:r>
        <w:t>:</w:t>
      </w:r>
    </w:p>
    <w:p w14:paraId="36E7FE37" w14:textId="39E40EDF" w:rsidR="00065317" w:rsidRDefault="005C7BF7">
      <w:pPr>
        <w:pStyle w:val="Corpsdetexte"/>
      </w:pPr>
      <w:r>
        <w:rPr>
          <w:rStyle w:val="VerbatimChar"/>
        </w:rPr>
        <w:t>E39_Actant</w:t>
      </w:r>
    </w:p>
    <w:p w14:paraId="7D1050B4" w14:textId="77777777" w:rsidR="00065317" w:rsidRDefault="005C7BF7">
      <w:pPr>
        <w:pStyle w:val="Corpsdetexte"/>
      </w:pPr>
      <w:r>
        <w:rPr>
          <w:b/>
          <w:bCs/>
        </w:rPr>
        <w:t>Quantification</w:t>
      </w:r>
    </w:p>
    <w:p w14:paraId="75F50997" w14:textId="77777777" w:rsidR="00065317" w:rsidRDefault="005C7BF7">
      <w:pPr>
        <w:pStyle w:val="Corpsdetexte"/>
      </w:pPr>
      <w:r>
        <w:t>plusieurs à plusieurs (0,n:0,n)</w:t>
      </w:r>
    </w:p>
    <w:p w14:paraId="547DDDF7" w14:textId="7ACA2C70" w:rsidR="00065317" w:rsidRDefault="005C7BF7">
      <w:pPr>
        <w:pStyle w:val="Corpsdetexte"/>
      </w:pPr>
      <w:r>
        <w:rPr>
          <w:b/>
          <w:bCs/>
        </w:rPr>
        <w:t>Note d</w:t>
      </w:r>
      <w:r w:rsidR="00E84B0E">
        <w:rPr>
          <w:b/>
          <w:bCs/>
        </w:rPr>
        <w:t>’</w:t>
      </w:r>
      <w:r>
        <w:rPr>
          <w:b/>
          <w:bCs/>
        </w:rPr>
        <w:t>application</w:t>
      </w:r>
    </w:p>
    <w:p w14:paraId="7BB92D29" w14:textId="77777777" w:rsidR="00065317" w:rsidRDefault="005C7BF7">
      <w:pPr>
        <w:pStyle w:val="Corpsdetexte"/>
      </w:pPr>
      <w:r>
        <w:t xml:space="preserve">Cette propriété identifie une instance de </w:t>
      </w:r>
      <w:r>
        <w:rPr>
          <w:rStyle w:val="VerbatimChar"/>
        </w:rPr>
        <w:t>E39_Actant</w:t>
      </w:r>
      <w:r>
        <w:t xml:space="preserve"> détenant des droits (</w:t>
      </w:r>
      <w:r>
        <w:rPr>
          <w:rStyle w:val="VerbatimChar"/>
        </w:rPr>
        <w:t>E30_Droit</w:t>
      </w:r>
      <w:r>
        <w:t xml:space="preserve">) sur une instance de </w:t>
      </w:r>
      <w:r>
        <w:rPr>
          <w:rStyle w:val="VerbatimChar"/>
        </w:rPr>
        <w:t>E72_Objet_juridique</w:t>
      </w:r>
      <w:r>
        <w:t>.</w:t>
      </w:r>
    </w:p>
    <w:p w14:paraId="0A067555" w14:textId="1C8583CD" w:rsidR="00065317" w:rsidRDefault="005C7BF7">
      <w:pPr>
        <w:pStyle w:val="Corpsdetexte"/>
      </w:pPr>
      <w:r>
        <w:rPr>
          <w:rStyle w:val="VerbatimChar"/>
        </w:rPr>
        <w:t>P105_droit_détenu_par (détient_le_droit_sur)</w:t>
      </w:r>
      <w:r>
        <w:t xml:space="preserve"> est une super-propriété de </w:t>
      </w:r>
      <w:r>
        <w:rPr>
          <w:rStyle w:val="VerbatimChar"/>
        </w:rPr>
        <w:t>P52_a_pour_propriétaire_actuel (est_l</w:t>
      </w:r>
      <w:r w:rsidR="00E84B0E">
        <w:rPr>
          <w:rStyle w:val="VerbatimChar"/>
        </w:rPr>
        <w:t>’</w:t>
      </w:r>
      <w:r>
        <w:rPr>
          <w:rStyle w:val="VerbatimChar"/>
        </w:rPr>
        <w:t>actant_propriétaire_actuel_de)</w:t>
      </w:r>
      <w:r>
        <w:t>, car la propriété est un droit détenu sur l</w:t>
      </w:r>
      <w:r w:rsidR="00E84B0E">
        <w:t>’</w:t>
      </w:r>
      <w:r>
        <w:t>objet possédé.</w:t>
      </w:r>
    </w:p>
    <w:p w14:paraId="34D00609" w14:textId="77777777" w:rsidR="00065317" w:rsidRDefault="005C7BF7">
      <w:pPr>
        <w:pStyle w:val="Corpsdetexte"/>
      </w:pPr>
      <w:r>
        <w:t xml:space="preserve">Cette propriété est un raccourci du chemin sémantique suivant : </w:t>
      </w:r>
      <w:r>
        <w:rPr>
          <w:rStyle w:val="VerbatimChar"/>
        </w:rPr>
        <w:t>E72_Objet_juridique</w:t>
      </w:r>
      <w:r>
        <w:t xml:space="preserve">, </w:t>
      </w:r>
      <w:r>
        <w:rPr>
          <w:rStyle w:val="VerbatimChar"/>
        </w:rPr>
        <w:t>P104_est_soumis_à</w:t>
      </w:r>
      <w:r>
        <w:t>,</w:t>
      </w:r>
      <w:r>
        <w:rPr>
          <w:rStyle w:val="VerbatimChar"/>
        </w:rPr>
        <w:t xml:space="preserve"> E30_Droit</w:t>
      </w:r>
      <w:r>
        <w:t xml:space="preserve">, </w:t>
      </w:r>
      <w:r>
        <w:rPr>
          <w:rStyle w:val="VerbatimChar"/>
        </w:rPr>
        <w:t>P75i_est_possédé_par</w:t>
      </w:r>
      <w:r>
        <w:t xml:space="preserve">, </w:t>
      </w:r>
      <w:r>
        <w:rPr>
          <w:rStyle w:val="VerbatimChar"/>
        </w:rPr>
        <w:t>E39_Actant</w:t>
      </w:r>
      <w:r>
        <w:t>.</w:t>
      </w:r>
    </w:p>
    <w:p w14:paraId="2B845E0A" w14:textId="77777777" w:rsidR="00065317" w:rsidRDefault="005C7BF7">
      <w:pPr>
        <w:pStyle w:val="Corpsdetexte"/>
      </w:pPr>
      <w:r>
        <w:rPr>
          <w:b/>
          <w:bCs/>
        </w:rPr>
        <w:t>Exemples</w:t>
      </w:r>
    </w:p>
    <w:p w14:paraId="10186626" w14:textId="0A68C65A" w:rsidR="00065317" w:rsidRDefault="005C7BF7">
      <w:pPr>
        <w:numPr>
          <w:ilvl w:val="0"/>
          <w:numId w:val="229"/>
        </w:numPr>
      </w:pPr>
      <w:r>
        <w:t>Les droits du fond de catalogue des Beatles (</w:t>
      </w:r>
      <w:r>
        <w:rPr>
          <w:rStyle w:val="VerbatimChar"/>
        </w:rPr>
        <w:t>E73_Objet_informationnel</w:t>
      </w:r>
      <w:r>
        <w:t>) sont détenus par (</w:t>
      </w:r>
      <w:r>
        <w:rPr>
          <w:rStyle w:val="VerbatimChar"/>
        </w:rPr>
        <w:t>P105_droit_détenu_par</w:t>
      </w:r>
      <w:r>
        <w:t>) Mich</w:t>
      </w:r>
      <w:r w:rsidR="00B40400">
        <w:t>ae</w:t>
      </w:r>
      <w:r>
        <w:t>l Jackson (</w:t>
      </w:r>
      <w:r>
        <w:rPr>
          <w:rStyle w:val="VerbatimChar"/>
        </w:rPr>
        <w:t>E21_Personne</w:t>
      </w:r>
      <w:r>
        <w:t>) (Raga, 2016)</w:t>
      </w:r>
    </w:p>
    <w:p w14:paraId="13138258" w14:textId="77777777" w:rsidR="00065317" w:rsidRDefault="005C7BF7">
      <w:pPr>
        <w:pStyle w:val="FirstParagraph"/>
      </w:pPr>
      <w:r>
        <w:rPr>
          <w:b/>
          <w:bCs/>
        </w:rPr>
        <w:t>Logique</w:t>
      </w:r>
    </w:p>
    <w:p w14:paraId="6E7C28D5" w14:textId="77777777" w:rsidR="00065317" w:rsidRDefault="005C7BF7">
      <w:pPr>
        <w:pStyle w:val="Corpsdetexte"/>
      </w:pPr>
      <w:r>
        <w:t>P105(x,y) ⇒ E72(x)P105(x,y) ⇒ E39(y)P105(x,y) ⇐ (∃z) [E30(z) ˄ P104(x,z) ˄ P75i(z,y)]</w:t>
      </w:r>
    </w:p>
    <w:p w14:paraId="2C375C6E" w14:textId="77777777" w:rsidR="00065317" w:rsidRDefault="005C7BF7">
      <w:pPr>
        <w:pStyle w:val="Corpsdetexte"/>
      </w:pPr>
      <w:r>
        <w:rPr>
          <w:b/>
          <w:bCs/>
        </w:rPr>
        <w:t>Propriétés</w:t>
      </w:r>
    </w:p>
    <w:p w14:paraId="62E1B4E9" w14:textId="77777777" w:rsidR="00065317" w:rsidRDefault="005C7BF7">
      <w:pPr>
        <w:pStyle w:val="Normalcentr"/>
      </w:pPr>
      <w:r>
        <w:rPr>
          <w:b/>
          <w:bCs/>
          <w:i/>
          <w:iCs/>
        </w:rPr>
        <w:t>Note de traduction</w:t>
      </w:r>
    </w:p>
    <w:p w14:paraId="07E63D64" w14:textId="77777777" w:rsidR="00065317" w:rsidRDefault="005C7BF7">
      <w:pPr>
        <w:pStyle w:val="Normalcentr"/>
      </w:pPr>
      <w:r>
        <w:t>Tel que suggéré par Termium Plus, la traduction la plus adéquate du terme « back catalogue » est « fond de catalogue ».</w:t>
      </w:r>
    </w:p>
    <w:p w14:paraId="26CDEAA3" w14:textId="77777777" w:rsidR="00065317" w:rsidRDefault="005C7BF7">
      <w:pPr>
        <w:pStyle w:val="Normalcentr"/>
      </w:pPr>
      <w:r>
        <w:rPr>
          <w:b/>
          <w:bCs/>
          <w:i/>
          <w:iCs/>
        </w:rPr>
        <w:t>Références</w:t>
      </w:r>
    </w:p>
    <w:p w14:paraId="44AF49BA" w14:textId="5535CA8C" w:rsidR="00065317" w:rsidRDefault="005C7BF7">
      <w:pPr>
        <w:pStyle w:val="Normalcentr"/>
      </w:pPr>
      <w:r>
        <w:t xml:space="preserve">Termium. « back catalogue ». Dans </w:t>
      </w:r>
      <w:r>
        <w:rPr>
          <w:i/>
          <w:iCs/>
        </w:rPr>
        <w:t>Termium Plus</w:t>
      </w:r>
      <w:r>
        <w:t>. Ottawa, CA-ON: Gouvernement du Canada, 8</w:t>
      </w:r>
      <w:r w:rsidR="00056DCD">
        <w:t> octobre </w:t>
      </w:r>
      <w:r>
        <w:t>2009.</w:t>
      </w:r>
      <w:hyperlink r:id="rId249" w:anchor="resultrecs">
        <w:r>
          <w:rPr>
            <w:rStyle w:val="Lienhypertexte"/>
          </w:rPr>
          <w:t xml:space="preserve"> </w:t>
        </w:r>
      </w:hyperlink>
      <w:hyperlink r:id="rId250" w:anchor="resultrecs">
        <w:r>
          <w:rPr>
            <w:rStyle w:val="Lienhypertexte"/>
          </w:rPr>
          <w:t>https://www.btb.termiumplus.gc.ca/tpv2alpha/alpha-fra.html?lang=fra&amp;i=1&amp;srchtxt=back+catalogue&amp;index=alt&amp;codom2nd_wet=1#resultrecs</w:t>
        </w:r>
      </w:hyperlink>
      <w:r>
        <w:t>.</w:t>
      </w:r>
    </w:p>
    <w:p w14:paraId="13AC4E99" w14:textId="77777777" w:rsidR="00065317" w:rsidRDefault="005C7BF7" w:rsidP="00914F34">
      <w:pPr>
        <w:pStyle w:val="Titre3"/>
      </w:pPr>
      <w:bookmarkStart w:id="446" w:name="_Toc154048908"/>
      <w:bookmarkStart w:id="447" w:name="p106-est-compose-de-(fait-partie-de)"/>
      <w:bookmarkEnd w:id="445"/>
      <w:r>
        <w:t>P106 est composé de (fait partie de)</w:t>
      </w:r>
      <w:bookmarkEnd w:id="446"/>
    </w:p>
    <w:p w14:paraId="544FF7E2" w14:textId="77777777" w:rsidR="00065317" w:rsidRDefault="005C7BF7">
      <w:pPr>
        <w:pStyle w:val="FirstParagraph"/>
      </w:pPr>
      <w:r>
        <w:rPr>
          <w:b/>
          <w:bCs/>
        </w:rPr>
        <w:t>Domaine</w:t>
      </w:r>
    </w:p>
    <w:p w14:paraId="1AE56AB3" w14:textId="77777777" w:rsidR="00065317" w:rsidRDefault="005C7BF7">
      <w:pPr>
        <w:pStyle w:val="Corpsdetexte"/>
      </w:pPr>
      <w:r>
        <w:rPr>
          <w:rStyle w:val="VerbatimChar"/>
        </w:rPr>
        <w:t>E90_Objet_symbolique</w:t>
      </w:r>
    </w:p>
    <w:p w14:paraId="6E3B2772" w14:textId="77777777" w:rsidR="00065317" w:rsidRDefault="005C7BF7">
      <w:pPr>
        <w:pStyle w:val="Corpsdetexte"/>
      </w:pPr>
      <w:r>
        <w:rPr>
          <w:b/>
          <w:bCs/>
        </w:rPr>
        <w:t>Portée</w:t>
      </w:r>
    </w:p>
    <w:p w14:paraId="6E65391F" w14:textId="77777777" w:rsidR="00065317" w:rsidRDefault="005C7BF7">
      <w:pPr>
        <w:pStyle w:val="Corpsdetexte"/>
      </w:pPr>
      <w:r>
        <w:rPr>
          <w:rStyle w:val="VerbatimChar"/>
        </w:rPr>
        <w:t>E90_Objet_symbolique</w:t>
      </w:r>
    </w:p>
    <w:p w14:paraId="3C4D4C14" w14:textId="77777777" w:rsidR="00065317" w:rsidRDefault="005C7BF7">
      <w:pPr>
        <w:pStyle w:val="Corpsdetexte"/>
      </w:pPr>
      <w:r>
        <w:rPr>
          <w:b/>
          <w:bCs/>
        </w:rPr>
        <w:lastRenderedPageBreak/>
        <w:t>Sous-propriété de</w:t>
      </w:r>
    </w:p>
    <w:p w14:paraId="7C6C71CE" w14:textId="77777777" w:rsidR="00065317" w:rsidRDefault="005C7BF7">
      <w:pPr>
        <w:pStyle w:val="Corpsdetexte"/>
      </w:pPr>
      <w:r>
        <w:rPr>
          <w:b/>
          <w:bCs/>
        </w:rPr>
        <w:t>Super-propriété de</w:t>
      </w:r>
    </w:p>
    <w:p w14:paraId="0B7C3B0A" w14:textId="16DA3570" w:rsidR="00065317" w:rsidRDefault="005C7BF7">
      <w:pPr>
        <w:pStyle w:val="Corpsdetexte"/>
      </w:pPr>
      <w:r>
        <w:rPr>
          <w:rStyle w:val="VerbatimChar"/>
        </w:rPr>
        <w:t>E73_Objet_informationnel</w:t>
      </w:r>
      <w:r>
        <w:t xml:space="preserve">. </w:t>
      </w:r>
      <w:r>
        <w:rPr>
          <w:rStyle w:val="VerbatimChar"/>
        </w:rPr>
        <w:t>P165_inclut (est_inclus_dans)</w:t>
      </w:r>
      <w:r w:rsidR="0084721C">
        <w:t xml:space="preserve"> </w:t>
      </w:r>
      <w:r>
        <w:t xml:space="preserve">: </w:t>
      </w:r>
      <w:r>
        <w:rPr>
          <w:rStyle w:val="VerbatimChar"/>
        </w:rPr>
        <w:t>E90_Objet_symbolique</w:t>
      </w:r>
    </w:p>
    <w:p w14:paraId="37F193F3" w14:textId="77777777" w:rsidR="00065317" w:rsidRDefault="005C7BF7">
      <w:pPr>
        <w:pStyle w:val="Corpsdetexte"/>
      </w:pPr>
      <w:r>
        <w:rPr>
          <w:b/>
          <w:bCs/>
        </w:rPr>
        <w:t>Quantification</w:t>
      </w:r>
    </w:p>
    <w:p w14:paraId="49C59649" w14:textId="77777777" w:rsidR="00065317" w:rsidRDefault="005C7BF7">
      <w:pPr>
        <w:pStyle w:val="Corpsdetexte"/>
      </w:pPr>
      <w:r>
        <w:t>plusieurs à plusieurs (0,n:0,n)</w:t>
      </w:r>
    </w:p>
    <w:p w14:paraId="3C235386" w14:textId="20C2A62C" w:rsidR="00065317" w:rsidRDefault="005C7BF7">
      <w:pPr>
        <w:pStyle w:val="Corpsdetexte"/>
      </w:pPr>
      <w:r>
        <w:rPr>
          <w:b/>
          <w:bCs/>
        </w:rPr>
        <w:t>Note d</w:t>
      </w:r>
      <w:r w:rsidR="00E84B0E">
        <w:rPr>
          <w:b/>
          <w:bCs/>
        </w:rPr>
        <w:t>’</w:t>
      </w:r>
      <w:r>
        <w:rPr>
          <w:b/>
          <w:bCs/>
        </w:rPr>
        <w:t>application</w:t>
      </w:r>
    </w:p>
    <w:p w14:paraId="32480FD3" w14:textId="4647D0F5" w:rsidR="00065317" w:rsidRDefault="005C7BF7">
      <w:pPr>
        <w:pStyle w:val="Corpsdetexte"/>
      </w:pPr>
      <w:r>
        <w:t xml:space="preserve">Cette propriété associe une instance de </w:t>
      </w:r>
      <w:r>
        <w:rPr>
          <w:rStyle w:val="VerbatimChar"/>
        </w:rPr>
        <w:t>E90_Objet_symbolique</w:t>
      </w:r>
      <w:r>
        <w:t xml:space="preserve"> avec l</w:t>
      </w:r>
      <w:r w:rsidR="00E84B0E">
        <w:t>’</w:t>
      </w:r>
      <w:r>
        <w:t xml:space="preserve">une de ses parties qui est elle-même une instance de </w:t>
      </w:r>
      <w:r>
        <w:rPr>
          <w:rStyle w:val="VerbatimChar"/>
        </w:rPr>
        <w:t>E90_Objet_symbolique</w:t>
      </w:r>
      <w:r>
        <w:t xml:space="preserve"> par exemple de fragments d</w:t>
      </w:r>
      <w:r w:rsidR="00E84B0E">
        <w:t>’</w:t>
      </w:r>
      <w:r>
        <w:t>un texte ou de coupures d</w:t>
      </w:r>
      <w:r w:rsidR="00E84B0E">
        <w:t>’</w:t>
      </w:r>
      <w:r>
        <w:t>une image.</w:t>
      </w:r>
    </w:p>
    <w:p w14:paraId="1193EAD2" w14:textId="77777777" w:rsidR="00065317" w:rsidRDefault="005C7BF7">
      <w:pPr>
        <w:pStyle w:val="Corpsdetexte"/>
      </w:pPr>
      <w:r>
        <w:t>Cette propriété est transitive et asymétrique.</w:t>
      </w:r>
    </w:p>
    <w:p w14:paraId="72A4339B" w14:textId="77777777" w:rsidR="00065317" w:rsidRDefault="005C7BF7">
      <w:pPr>
        <w:pStyle w:val="Corpsdetexte"/>
      </w:pPr>
      <w:r>
        <w:rPr>
          <w:b/>
          <w:bCs/>
        </w:rPr>
        <w:t>Exemples</w:t>
      </w:r>
    </w:p>
    <w:p w14:paraId="205CBFCA" w14:textId="3BF67F54" w:rsidR="00065317" w:rsidRDefault="005C7BF7">
      <w:pPr>
        <w:numPr>
          <w:ilvl w:val="0"/>
          <w:numId w:val="230"/>
        </w:numPr>
      </w:pPr>
      <w:r>
        <w:t>Cette note d</w:t>
      </w:r>
      <w:r w:rsidR="00E84B0E">
        <w:t>’</w:t>
      </w:r>
      <w:r>
        <w:t xml:space="preserve">application de la propriété </w:t>
      </w:r>
      <w:r>
        <w:rPr>
          <w:rStyle w:val="VerbatimChar"/>
        </w:rPr>
        <w:t>P106_est_composé_de</w:t>
      </w:r>
      <w:r>
        <w:t xml:space="preserve"> (</w:t>
      </w:r>
      <w:r>
        <w:rPr>
          <w:rStyle w:val="VerbatimChar"/>
        </w:rPr>
        <w:t>E33_Objet_linguistique</w:t>
      </w:r>
      <w:r>
        <w:t>) est composée de (</w:t>
      </w:r>
      <w:r>
        <w:rPr>
          <w:rStyle w:val="VerbatimChar"/>
        </w:rPr>
        <w:t>P106_est_composé_de</w:t>
      </w:r>
      <w:r>
        <w:t>) « fragments de textes » (</w:t>
      </w:r>
      <w:r>
        <w:rPr>
          <w:rStyle w:val="VerbatimChar"/>
        </w:rPr>
        <w:t>E33_Objet_linguistique</w:t>
      </w:r>
      <w:r>
        <w:t>)</w:t>
      </w:r>
    </w:p>
    <w:p w14:paraId="2136733D" w14:textId="77777777" w:rsidR="00065317" w:rsidRDefault="005C7BF7">
      <w:pPr>
        <w:numPr>
          <w:ilvl w:val="0"/>
          <w:numId w:val="230"/>
        </w:numPr>
      </w:pPr>
      <w:r>
        <w:t>Le terme « reconnaissable » (</w:t>
      </w:r>
      <w:r>
        <w:rPr>
          <w:rStyle w:val="VerbatimChar"/>
        </w:rPr>
        <w:t>E90_Objet_symbolique</w:t>
      </w:r>
      <w:r>
        <w:t>) est composé de (</w:t>
      </w:r>
      <w:r>
        <w:rPr>
          <w:rStyle w:val="VerbatimChar"/>
        </w:rPr>
        <w:t>P106_est_composé_de</w:t>
      </w:r>
      <w:r>
        <w:t>) « econnaissabl » (</w:t>
      </w:r>
      <w:r>
        <w:rPr>
          <w:rStyle w:val="VerbatimChar"/>
        </w:rPr>
        <w:t>E90_Objet_symbolique</w:t>
      </w:r>
      <w:r>
        <w:t>)</w:t>
      </w:r>
    </w:p>
    <w:p w14:paraId="40EFB03F" w14:textId="77777777" w:rsidR="00065317" w:rsidRDefault="005C7BF7">
      <w:pPr>
        <w:pStyle w:val="FirstParagraph"/>
      </w:pPr>
      <w:r>
        <w:rPr>
          <w:b/>
          <w:bCs/>
        </w:rPr>
        <w:t>Logique</w:t>
      </w:r>
    </w:p>
    <w:p w14:paraId="4649267F" w14:textId="77777777" w:rsidR="00065317" w:rsidRDefault="005C7BF7">
      <w:pPr>
        <w:pStyle w:val="Corpsdetexte"/>
      </w:pPr>
      <w:r>
        <w:t>P106(x,y) ⇒ E90(x)</w:t>
      </w:r>
    </w:p>
    <w:p w14:paraId="7F56A628" w14:textId="77777777" w:rsidR="00065317" w:rsidRDefault="005C7BF7">
      <w:pPr>
        <w:pStyle w:val="Corpsdetexte"/>
      </w:pPr>
      <w:r>
        <w:t>P106(x,y) ⇒ E90(y)</w:t>
      </w:r>
    </w:p>
    <w:p w14:paraId="3A314C6F" w14:textId="77777777" w:rsidR="00065317" w:rsidRDefault="005C7BF7">
      <w:pPr>
        <w:pStyle w:val="Corpsdetexte"/>
      </w:pPr>
      <w:r>
        <w:t>[P106(x,y) ∧ P106(y,z)] ⇒ P106(x,z)</w:t>
      </w:r>
    </w:p>
    <w:p w14:paraId="104E1A90" w14:textId="77777777" w:rsidR="00065317" w:rsidRDefault="005C7BF7">
      <w:pPr>
        <w:pStyle w:val="Corpsdetexte"/>
      </w:pPr>
      <w:r>
        <w:t>P106(x,y) ⇒ ¬P106(y,x)</w:t>
      </w:r>
    </w:p>
    <w:p w14:paraId="1F5DD0CB" w14:textId="77777777" w:rsidR="00065317" w:rsidRDefault="005C7BF7">
      <w:pPr>
        <w:pStyle w:val="Corpsdetexte"/>
      </w:pPr>
      <w:r>
        <w:rPr>
          <w:b/>
          <w:bCs/>
        </w:rPr>
        <w:t>Propriétés</w:t>
      </w:r>
    </w:p>
    <w:p w14:paraId="6D1FC459" w14:textId="77777777" w:rsidR="00065317" w:rsidRDefault="005C7BF7">
      <w:pPr>
        <w:pStyle w:val="Normalcentr"/>
      </w:pPr>
      <w:r>
        <w:rPr>
          <w:b/>
          <w:bCs/>
          <w:i/>
          <w:iCs/>
        </w:rPr>
        <w:t>Note de traduction</w:t>
      </w:r>
    </w:p>
    <w:p w14:paraId="3A29DACC" w14:textId="1990DBE0" w:rsidR="00065317" w:rsidRDefault="005C7BF7" w:rsidP="000C28E9">
      <w:pPr>
        <w:pStyle w:val="Normalcentr"/>
      </w:pPr>
      <w:r>
        <w:rPr>
          <w:b/>
          <w:bCs/>
          <w:i/>
          <w:iCs/>
        </w:rPr>
        <w:t>Références</w:t>
      </w:r>
    </w:p>
    <w:p w14:paraId="72BB88F7" w14:textId="77777777" w:rsidR="00065317" w:rsidRDefault="005C7BF7" w:rsidP="00914F34">
      <w:pPr>
        <w:pStyle w:val="Titre3"/>
      </w:pPr>
      <w:bookmarkStart w:id="448" w:name="_Toc154048909"/>
      <w:bookmarkStart w:id="449" w:name="Xb29589042bcc5afc0b44c06ead31a05f9452519"/>
      <w:bookmarkEnd w:id="447"/>
      <w:r>
        <w:t>P107 a pour membre actuel ou antérieur (est le membre actuel ou antérieur de)</w:t>
      </w:r>
      <w:bookmarkEnd w:id="448"/>
    </w:p>
    <w:p w14:paraId="1F82692A" w14:textId="77777777" w:rsidR="00065317" w:rsidRDefault="005C7BF7">
      <w:pPr>
        <w:pStyle w:val="FirstParagraph"/>
      </w:pPr>
      <w:r>
        <w:rPr>
          <w:b/>
          <w:bCs/>
        </w:rPr>
        <w:t>Domaine</w:t>
      </w:r>
    </w:p>
    <w:p w14:paraId="6909266E" w14:textId="77777777" w:rsidR="00065317" w:rsidRDefault="005C7BF7">
      <w:pPr>
        <w:pStyle w:val="Corpsdetexte"/>
      </w:pPr>
      <w:r>
        <w:rPr>
          <w:rStyle w:val="VerbatimChar"/>
        </w:rPr>
        <w:t>E74_Groupe</w:t>
      </w:r>
    </w:p>
    <w:p w14:paraId="1F143051" w14:textId="77777777" w:rsidR="00065317" w:rsidRDefault="005C7BF7">
      <w:pPr>
        <w:pStyle w:val="Corpsdetexte"/>
      </w:pPr>
      <w:r>
        <w:rPr>
          <w:b/>
          <w:bCs/>
        </w:rPr>
        <w:t>Portée</w:t>
      </w:r>
    </w:p>
    <w:p w14:paraId="648E4B8C" w14:textId="77777777" w:rsidR="00065317" w:rsidRDefault="005C7BF7">
      <w:pPr>
        <w:pStyle w:val="Corpsdetexte"/>
      </w:pPr>
      <w:r>
        <w:rPr>
          <w:rStyle w:val="VerbatimChar"/>
        </w:rPr>
        <w:t>E39_Actant</w:t>
      </w:r>
    </w:p>
    <w:p w14:paraId="41F51592" w14:textId="77777777" w:rsidR="00065317" w:rsidRDefault="005C7BF7">
      <w:pPr>
        <w:pStyle w:val="Corpsdetexte"/>
      </w:pPr>
      <w:r>
        <w:rPr>
          <w:b/>
          <w:bCs/>
        </w:rPr>
        <w:t>Sous-propriété de</w:t>
      </w:r>
    </w:p>
    <w:p w14:paraId="72496877" w14:textId="77777777" w:rsidR="00065317" w:rsidRDefault="005C7BF7">
      <w:pPr>
        <w:pStyle w:val="Corpsdetexte"/>
      </w:pPr>
      <w:r>
        <w:rPr>
          <w:b/>
          <w:bCs/>
        </w:rPr>
        <w:t>Super-propriété de</w:t>
      </w:r>
    </w:p>
    <w:p w14:paraId="053982B0" w14:textId="77777777" w:rsidR="00065317" w:rsidRDefault="005C7BF7">
      <w:pPr>
        <w:pStyle w:val="Corpsdetexte"/>
      </w:pPr>
      <w:r>
        <w:rPr>
          <w:b/>
          <w:bCs/>
        </w:rPr>
        <w:t>Quantification</w:t>
      </w:r>
    </w:p>
    <w:p w14:paraId="0A574B52" w14:textId="77777777" w:rsidR="00065317" w:rsidRDefault="005C7BF7">
      <w:pPr>
        <w:pStyle w:val="Corpsdetexte"/>
      </w:pPr>
      <w:r>
        <w:t>plusieurs à plusieurs (0,n:0,n)</w:t>
      </w:r>
    </w:p>
    <w:p w14:paraId="796378D3" w14:textId="77777777" w:rsidR="00DE6C24" w:rsidRDefault="00DE6C24">
      <w:pPr>
        <w:spacing w:after="0"/>
        <w:rPr>
          <w:b/>
          <w:bCs/>
        </w:rPr>
      </w:pPr>
      <w:r>
        <w:rPr>
          <w:b/>
          <w:bCs/>
        </w:rPr>
        <w:br w:type="page"/>
      </w:r>
    </w:p>
    <w:p w14:paraId="51F130CD" w14:textId="2AEDA1C3" w:rsidR="00065317" w:rsidRDefault="005C7BF7">
      <w:pPr>
        <w:pStyle w:val="Corpsdetexte"/>
      </w:pPr>
      <w:r>
        <w:rPr>
          <w:b/>
          <w:bCs/>
        </w:rPr>
        <w:lastRenderedPageBreak/>
        <w:t>Note d</w:t>
      </w:r>
      <w:r w:rsidR="00E84B0E">
        <w:rPr>
          <w:b/>
          <w:bCs/>
        </w:rPr>
        <w:t>’</w:t>
      </w:r>
      <w:r>
        <w:rPr>
          <w:b/>
          <w:bCs/>
        </w:rPr>
        <w:t>application</w:t>
      </w:r>
    </w:p>
    <w:p w14:paraId="2CEA022A" w14:textId="4564B68D" w:rsidR="00065317" w:rsidRDefault="005C7BF7">
      <w:pPr>
        <w:pStyle w:val="Corpsdetexte"/>
      </w:pPr>
      <w:r>
        <w:t xml:space="preserve">Cette propriété associe une instance de </w:t>
      </w:r>
      <w:r>
        <w:rPr>
          <w:rStyle w:val="VerbatimChar"/>
        </w:rPr>
        <w:t>E74_Groupe</w:t>
      </w:r>
      <w:r>
        <w:t xml:space="preserve"> à une instance de </w:t>
      </w:r>
      <w:r>
        <w:rPr>
          <w:rStyle w:val="VerbatimChar"/>
        </w:rPr>
        <w:t>E39_Actant</w:t>
      </w:r>
      <w:r>
        <w:t xml:space="preserve"> qui en est membre ou qui l</w:t>
      </w:r>
      <w:r w:rsidR="00E84B0E">
        <w:t>’</w:t>
      </w:r>
      <w:r>
        <w:t>a été.</w:t>
      </w:r>
    </w:p>
    <w:p w14:paraId="2861C8FF" w14:textId="23EBF789" w:rsidR="00065317" w:rsidRDefault="005C7BF7">
      <w:pPr>
        <w:pStyle w:val="Corpsdetexte"/>
      </w:pPr>
      <w:r>
        <w:t xml:space="preserve">Les instances de </w:t>
      </w:r>
      <w:r>
        <w:rPr>
          <w:rStyle w:val="VerbatimChar"/>
        </w:rPr>
        <w:t>E74_Groupe</w:t>
      </w:r>
      <w:r>
        <w:t xml:space="preserve"> et de </w:t>
      </w:r>
      <w:r>
        <w:rPr>
          <w:rStyle w:val="VerbatimChar"/>
        </w:rPr>
        <w:t>E21_Personne</w:t>
      </w:r>
      <w:r>
        <w:t xml:space="preserve"> peuvent toutes être membres d</w:t>
      </w:r>
      <w:r w:rsidR="00E84B0E">
        <w:t>’</w:t>
      </w:r>
      <w:r>
        <w:t xml:space="preserve">instances de </w:t>
      </w:r>
      <w:r>
        <w:rPr>
          <w:rStyle w:val="VerbatimChar"/>
        </w:rPr>
        <w:t>E74_Groupe</w:t>
      </w:r>
      <w:r>
        <w:t xml:space="preserve">. Une instance de </w:t>
      </w:r>
      <w:r>
        <w:rPr>
          <w:rStyle w:val="VerbatimChar"/>
        </w:rPr>
        <w:t>E74_Groupe</w:t>
      </w:r>
      <w:r>
        <w:t xml:space="preserve"> peut initialement être fondée sans aucun membre.</w:t>
      </w:r>
    </w:p>
    <w:p w14:paraId="4A6899E8" w14:textId="77777777" w:rsidR="00065317" w:rsidRDefault="005C7BF7">
      <w:pPr>
        <w:pStyle w:val="Corpsdetexte"/>
      </w:pPr>
      <w:r>
        <w:rPr>
          <w:rStyle w:val="VerbatimChar"/>
        </w:rPr>
        <w:t>P107_a_pour_membre_actuel_ou_antérieur (est_le_membre_actuel_ou_antérieur_de)</w:t>
      </w:r>
      <w:r>
        <w:t xml:space="preserve"> est un raccourci du chemin sémantique suivant : </w:t>
      </w:r>
      <w:r>
        <w:rPr>
          <w:rStyle w:val="VerbatimChar"/>
        </w:rPr>
        <w:t>E74_Groupe</w:t>
      </w:r>
      <w:r>
        <w:t xml:space="preserve">, </w:t>
      </w:r>
      <w:r>
        <w:rPr>
          <w:rStyle w:val="VerbatimChar"/>
        </w:rPr>
        <w:t>P144i_a_accueilli_le_membre_par</w:t>
      </w:r>
      <w:r>
        <w:t xml:space="preserve">, </w:t>
      </w:r>
      <w:r>
        <w:rPr>
          <w:rStyle w:val="VerbatimChar"/>
        </w:rPr>
        <w:t>E85_Adhésion</w:t>
      </w:r>
      <w:r>
        <w:t xml:space="preserve">, </w:t>
      </w:r>
      <w:r>
        <w:rPr>
          <w:rStyle w:val="VerbatimChar"/>
        </w:rPr>
        <w:t>P143_a_fait_adhérer (a_adhéré_par)</w:t>
      </w:r>
      <w:r>
        <w:t xml:space="preserve">, </w:t>
      </w:r>
      <w:r>
        <w:rPr>
          <w:rStyle w:val="VerbatimChar"/>
        </w:rPr>
        <w:t>E39_Actant</w:t>
      </w:r>
      <w:r>
        <w:t>.</w:t>
      </w:r>
    </w:p>
    <w:p w14:paraId="29E526C2" w14:textId="1AE8F9C3" w:rsidR="00065317" w:rsidRDefault="005C7BF7">
      <w:pPr>
        <w:pStyle w:val="Corpsdetexte"/>
      </w:pPr>
      <w:r>
        <w:t xml:space="preserve">La propriété </w:t>
      </w:r>
      <w:r>
        <w:rPr>
          <w:rStyle w:val="VerbatimChar"/>
        </w:rPr>
        <w:t>P107.1_sorte_de_membre</w:t>
      </w:r>
      <w:r>
        <w:t xml:space="preserve"> peut être utilisée pour spécifier le type d</w:t>
      </w:r>
      <w:r w:rsidR="00E84B0E">
        <w:t>’</w:t>
      </w:r>
      <w:r>
        <w:t>appartenance au groupe ou le rôle du membre au sein de celui-ci.</w:t>
      </w:r>
    </w:p>
    <w:p w14:paraId="570CB345" w14:textId="77777777" w:rsidR="00065317" w:rsidRDefault="005C7BF7">
      <w:pPr>
        <w:pStyle w:val="Corpsdetexte"/>
      </w:pPr>
      <w:r>
        <w:rPr>
          <w:b/>
          <w:bCs/>
        </w:rPr>
        <w:t>Exemples</w:t>
      </w:r>
    </w:p>
    <w:p w14:paraId="1D465342" w14:textId="77777777" w:rsidR="00065317" w:rsidRDefault="005C7BF7">
      <w:pPr>
        <w:numPr>
          <w:ilvl w:val="0"/>
          <w:numId w:val="231"/>
        </w:numPr>
      </w:pPr>
      <w:r>
        <w:t>László Moholy-Nagy (</w:t>
      </w:r>
      <w:r>
        <w:rPr>
          <w:rStyle w:val="VerbatimChar"/>
        </w:rPr>
        <w:t>E21_Personne</w:t>
      </w:r>
      <w:r>
        <w:t>) est le membre actuel ou antérieur du (</w:t>
      </w:r>
      <w:r>
        <w:rPr>
          <w:rStyle w:val="VerbatimChar"/>
        </w:rPr>
        <w:t>P107i_est_le_membre_actuel_ou_antérieur_de</w:t>
      </w:r>
      <w:r>
        <w:t>) Bauhaus (</w:t>
      </w:r>
      <w:r>
        <w:rPr>
          <w:rStyle w:val="VerbatimChar"/>
        </w:rPr>
        <w:t>E74_Groupe</w:t>
      </w:r>
      <w:r>
        <w:t>) (Moholy-Nagy, 2012)</w:t>
      </w:r>
    </w:p>
    <w:p w14:paraId="2DF4C1C0" w14:textId="77777777" w:rsidR="00065317" w:rsidRDefault="005C7BF7">
      <w:pPr>
        <w:numPr>
          <w:ilvl w:val="0"/>
          <w:numId w:val="231"/>
        </w:numPr>
      </w:pPr>
      <w:r>
        <w:t>Le National Museum of Science and Industry (</w:t>
      </w:r>
      <w:r>
        <w:rPr>
          <w:rStyle w:val="VerbatimChar"/>
        </w:rPr>
        <w:t>E74_Groupe</w:t>
      </w:r>
      <w:r>
        <w:t>) a pour membre actuel ou antérieur (</w:t>
      </w:r>
      <w:r>
        <w:rPr>
          <w:rStyle w:val="VerbatimChar"/>
        </w:rPr>
        <w:t>P107_a_pour_membre_actuel_ou_antérieur</w:t>
      </w:r>
      <w:r>
        <w:t>) le National Railway Museum (</w:t>
      </w:r>
      <w:r>
        <w:rPr>
          <w:rStyle w:val="VerbatimChar"/>
        </w:rPr>
        <w:t>E74_Groupe</w:t>
      </w:r>
      <w:r>
        <w:t>) (Rolt, 1971)</w:t>
      </w:r>
    </w:p>
    <w:p w14:paraId="21B9B420" w14:textId="77777777" w:rsidR="00065317" w:rsidRDefault="005C7BF7">
      <w:pPr>
        <w:numPr>
          <w:ilvl w:val="0"/>
          <w:numId w:val="231"/>
        </w:numPr>
      </w:pPr>
      <w:r>
        <w:t>Le couple marié formé de la reine Elizabeth II et du prince Phillip (</w:t>
      </w:r>
      <w:r>
        <w:rPr>
          <w:rStyle w:val="VerbatimChar"/>
        </w:rPr>
        <w:t>E74_Groupe</w:t>
      </w:r>
      <w:r>
        <w:t>) a pour membre actuel ou antérieur (</w:t>
      </w:r>
      <w:r>
        <w:rPr>
          <w:rStyle w:val="VerbatimChar"/>
        </w:rPr>
        <w:t>P107_a_pour_membre_actuel_ou_antérieur</w:t>
      </w:r>
      <w:r>
        <w:t>) le prince Phillip (</w:t>
      </w:r>
      <w:r>
        <w:rPr>
          <w:rStyle w:val="VerbatimChar"/>
        </w:rPr>
        <w:t>E21_Personne</w:t>
      </w:r>
      <w:r>
        <w:t>) en tant que (</w:t>
      </w:r>
      <w:r>
        <w:rPr>
          <w:rStyle w:val="VerbatimChar"/>
        </w:rPr>
        <w:t>P107.1_sorte_de_membre</w:t>
      </w:r>
      <w:r>
        <w:t>) mari (</w:t>
      </w:r>
      <w:r>
        <w:rPr>
          <w:rStyle w:val="VerbatimChar"/>
        </w:rPr>
        <w:t>E55_Type</w:t>
      </w:r>
      <w:r>
        <w:t>) (Brandreth, 2004)</w:t>
      </w:r>
    </w:p>
    <w:p w14:paraId="6C3FED24" w14:textId="77777777" w:rsidR="00065317" w:rsidRDefault="005C7BF7">
      <w:pPr>
        <w:pStyle w:val="FirstParagraph"/>
      </w:pPr>
      <w:r>
        <w:rPr>
          <w:b/>
          <w:bCs/>
        </w:rPr>
        <w:t>Logique</w:t>
      </w:r>
    </w:p>
    <w:p w14:paraId="6B795CC9" w14:textId="77777777" w:rsidR="00065317" w:rsidRDefault="005C7BF7">
      <w:pPr>
        <w:pStyle w:val="Corpsdetexte"/>
      </w:pPr>
      <w:r>
        <w:t>P107(x,y) ⇒ E74(x)</w:t>
      </w:r>
    </w:p>
    <w:p w14:paraId="29E97BA3" w14:textId="77777777" w:rsidR="00065317" w:rsidRDefault="005C7BF7">
      <w:pPr>
        <w:pStyle w:val="Corpsdetexte"/>
      </w:pPr>
      <w:r>
        <w:t>P107(x,y) ⇒ E39(y)</w:t>
      </w:r>
    </w:p>
    <w:p w14:paraId="7D38F65A" w14:textId="77777777" w:rsidR="00065317" w:rsidRDefault="005C7BF7">
      <w:pPr>
        <w:pStyle w:val="Corpsdetexte"/>
      </w:pPr>
      <w:r>
        <w:t>P107(x,y,z) ⇒ [P107(x,y) ∧ E55(z)]</w:t>
      </w:r>
    </w:p>
    <w:p w14:paraId="0D4FC83E" w14:textId="77777777" w:rsidR="00065317" w:rsidRDefault="005C7BF7">
      <w:pPr>
        <w:pStyle w:val="Corpsdetexte"/>
      </w:pPr>
      <w:r>
        <w:t>P107(x,y) ⇐ (∃z) [E85(z) ˄ P144i(x,z) ˄ P143(z,y)]</w:t>
      </w:r>
    </w:p>
    <w:p w14:paraId="48C1BB94" w14:textId="77777777" w:rsidR="00065317" w:rsidRDefault="005C7BF7">
      <w:pPr>
        <w:pStyle w:val="Corpsdetexte"/>
      </w:pPr>
      <w:r>
        <w:rPr>
          <w:b/>
          <w:bCs/>
        </w:rPr>
        <w:t>Propriétés</w:t>
      </w:r>
    </w:p>
    <w:p w14:paraId="4B45FA6D" w14:textId="77777777" w:rsidR="00065317" w:rsidRDefault="005C7BF7">
      <w:pPr>
        <w:pStyle w:val="Corpsdetexte"/>
      </w:pPr>
      <w:r>
        <w:rPr>
          <w:rStyle w:val="VerbatimChar"/>
        </w:rPr>
        <w:t>P107.1_sorte_de_membre</w:t>
      </w:r>
      <w:r>
        <w:t xml:space="preserve"> : </w:t>
      </w:r>
      <w:r>
        <w:rPr>
          <w:rStyle w:val="VerbatimChar"/>
        </w:rPr>
        <w:t>E55_Type</w:t>
      </w:r>
    </w:p>
    <w:p w14:paraId="56A50362" w14:textId="77777777" w:rsidR="00065317" w:rsidRDefault="005C7BF7">
      <w:pPr>
        <w:pStyle w:val="Normalcentr"/>
      </w:pPr>
      <w:r>
        <w:rPr>
          <w:b/>
          <w:bCs/>
          <w:i/>
          <w:iCs/>
        </w:rPr>
        <w:t>Note de traduction</w:t>
      </w:r>
    </w:p>
    <w:p w14:paraId="137FB400" w14:textId="77777777" w:rsidR="00065317" w:rsidRDefault="005C7BF7">
      <w:pPr>
        <w:pStyle w:val="Normalcentr"/>
      </w:pPr>
      <w:r>
        <w:t>En hongrois, on devrait écrire « Moholy-Nagy László » puisque le nom de famille précède le prénom, mais la forme inversée a été retenue pour suivre la norme des pays francophones soit « László Moholy-Nagy ».</w:t>
      </w:r>
    </w:p>
    <w:p w14:paraId="25291EF8" w14:textId="77777777" w:rsidR="00065317" w:rsidRPr="00EC2D6E" w:rsidRDefault="005C7BF7">
      <w:pPr>
        <w:pStyle w:val="Normalcentr"/>
        <w:rPr>
          <w:lang w:val="en-CA"/>
        </w:rPr>
      </w:pPr>
      <w:r w:rsidRPr="00EC2D6E">
        <w:rPr>
          <w:b/>
          <w:bCs/>
          <w:i/>
          <w:iCs/>
          <w:lang w:val="en-CA"/>
        </w:rPr>
        <w:t>Références</w:t>
      </w:r>
    </w:p>
    <w:p w14:paraId="3595E80F" w14:textId="61A92FEE" w:rsidR="00065317" w:rsidRDefault="005C7BF7">
      <w:pPr>
        <w:pStyle w:val="Normalcentr"/>
      </w:pPr>
      <w:r w:rsidRPr="00EC2D6E">
        <w:rPr>
          <w:lang w:val="en-CA"/>
        </w:rPr>
        <w:t xml:space="preserve">Wikipedia. « László Moholy-Nagy ». Dans </w:t>
      </w:r>
      <w:r w:rsidRPr="00EC2D6E">
        <w:rPr>
          <w:i/>
          <w:iCs/>
          <w:lang w:val="en-CA"/>
        </w:rPr>
        <w:t>Wikipédia</w:t>
      </w:r>
      <w:r w:rsidRPr="00EC2D6E">
        <w:rPr>
          <w:lang w:val="en-CA"/>
        </w:rPr>
        <w:t>. San Francisco, US-CA: Wikipédia, 30</w:t>
      </w:r>
      <w:r w:rsidR="00056DCD">
        <w:rPr>
          <w:lang w:val="en-CA"/>
        </w:rPr>
        <w:t> mars </w:t>
      </w:r>
      <w:r w:rsidRPr="00EC2D6E">
        <w:rPr>
          <w:lang w:val="en-CA"/>
        </w:rPr>
        <w:t>2022.</w:t>
      </w:r>
      <w:hyperlink r:id="rId251">
        <w:r w:rsidRPr="00EC2D6E">
          <w:rPr>
            <w:rStyle w:val="Lienhypertexte"/>
            <w:lang w:val="en-CA"/>
          </w:rPr>
          <w:t xml:space="preserve"> </w:t>
        </w:r>
      </w:hyperlink>
      <w:hyperlink r:id="rId252">
        <w:r>
          <w:rPr>
            <w:rStyle w:val="Lienhypertexte"/>
          </w:rPr>
          <w:t>https://fr.wikipedia.org/w/index.php?title=L%C3%A1szl%C3%B3_Moholy-Nagy&amp;oldid=192385234</w:t>
        </w:r>
      </w:hyperlink>
      <w:r>
        <w:t>.</w:t>
      </w:r>
    </w:p>
    <w:p w14:paraId="52F46ABA" w14:textId="77777777" w:rsidR="00065317" w:rsidRDefault="005C7BF7" w:rsidP="00914F34">
      <w:pPr>
        <w:pStyle w:val="Titre3"/>
      </w:pPr>
      <w:bookmarkStart w:id="450" w:name="_Toc154048910"/>
      <w:bookmarkStart w:id="451" w:name="p108-a-produit-(a-ete-produit-par)"/>
      <w:bookmarkEnd w:id="449"/>
      <w:r>
        <w:t>P108 a produit (a été produit par)</w:t>
      </w:r>
      <w:bookmarkEnd w:id="450"/>
    </w:p>
    <w:p w14:paraId="05AF5543" w14:textId="77777777" w:rsidR="00065317" w:rsidRDefault="005C7BF7">
      <w:pPr>
        <w:pStyle w:val="FirstParagraph"/>
      </w:pPr>
      <w:r>
        <w:rPr>
          <w:b/>
          <w:bCs/>
        </w:rPr>
        <w:t>Domaine</w:t>
      </w:r>
    </w:p>
    <w:p w14:paraId="3266B033" w14:textId="77777777" w:rsidR="00065317" w:rsidRDefault="005C7BF7">
      <w:pPr>
        <w:pStyle w:val="Corpsdetexte"/>
      </w:pPr>
      <w:r>
        <w:rPr>
          <w:rStyle w:val="VerbatimChar"/>
        </w:rPr>
        <w:t>E12_Production</w:t>
      </w:r>
    </w:p>
    <w:p w14:paraId="5D01A9EA" w14:textId="77777777" w:rsidR="00DE6C24" w:rsidRDefault="00DE6C24">
      <w:pPr>
        <w:spacing w:after="0"/>
        <w:rPr>
          <w:b/>
          <w:bCs/>
        </w:rPr>
      </w:pPr>
      <w:r>
        <w:rPr>
          <w:b/>
          <w:bCs/>
        </w:rPr>
        <w:br w:type="page"/>
      </w:r>
    </w:p>
    <w:p w14:paraId="28826B99" w14:textId="781F1F53" w:rsidR="00065317" w:rsidRDefault="005C7BF7">
      <w:pPr>
        <w:pStyle w:val="Corpsdetexte"/>
      </w:pPr>
      <w:r>
        <w:rPr>
          <w:b/>
          <w:bCs/>
        </w:rPr>
        <w:lastRenderedPageBreak/>
        <w:t>Portée</w:t>
      </w:r>
    </w:p>
    <w:p w14:paraId="2E66829B" w14:textId="1E7D3FAA" w:rsidR="00065317" w:rsidRDefault="005C7BF7">
      <w:pPr>
        <w:pStyle w:val="Corpsdetexte"/>
      </w:pPr>
      <w:r>
        <w:rPr>
          <w:rStyle w:val="VerbatimChar"/>
        </w:rPr>
        <w:t>E24_Chose_matérielle_élaborée_par_l</w:t>
      </w:r>
      <w:r w:rsidR="00E84B0E">
        <w:rPr>
          <w:rStyle w:val="VerbatimChar"/>
        </w:rPr>
        <w:t>’</w:t>
      </w:r>
      <w:r>
        <w:rPr>
          <w:rStyle w:val="VerbatimChar"/>
        </w:rPr>
        <w:t>humain</w:t>
      </w:r>
    </w:p>
    <w:p w14:paraId="2DAD4CBA" w14:textId="77777777" w:rsidR="00065317" w:rsidRDefault="005C7BF7">
      <w:pPr>
        <w:pStyle w:val="Corpsdetexte"/>
      </w:pPr>
      <w:r>
        <w:rPr>
          <w:b/>
          <w:bCs/>
        </w:rPr>
        <w:t>Sous-propriété de</w:t>
      </w:r>
    </w:p>
    <w:p w14:paraId="6C653BEE" w14:textId="77777777" w:rsidR="00065317" w:rsidRDefault="005C7BF7">
      <w:pPr>
        <w:pStyle w:val="Corpsdetexte"/>
      </w:pPr>
      <w:r>
        <w:rPr>
          <w:rStyle w:val="VerbatimChar"/>
        </w:rPr>
        <w:t>E11_Modification</w:t>
      </w:r>
      <w:r>
        <w:t xml:space="preserve">. </w:t>
      </w:r>
      <w:r>
        <w:rPr>
          <w:rStyle w:val="VerbatimChar"/>
        </w:rPr>
        <w:t>P31_a_modifié (a_été_modifié_par)</w:t>
      </w:r>
      <w:r>
        <w:t xml:space="preserve"> : </w:t>
      </w:r>
      <w:r>
        <w:rPr>
          <w:rStyle w:val="VerbatimChar"/>
        </w:rPr>
        <w:t>E18_Chose_matérielle</w:t>
      </w:r>
    </w:p>
    <w:p w14:paraId="02B91ACB" w14:textId="0C059944" w:rsidR="00065317" w:rsidRDefault="005C7BF7">
      <w:pPr>
        <w:pStyle w:val="Corpsdetexte"/>
      </w:pPr>
      <w:r>
        <w:rPr>
          <w:rStyle w:val="VerbatimChar"/>
        </w:rPr>
        <w:t>E63_Début_d</w:t>
      </w:r>
      <w:r w:rsidR="00E84B0E">
        <w:rPr>
          <w:rStyle w:val="VerbatimChar"/>
        </w:rPr>
        <w:t>’</w:t>
      </w:r>
      <w:r>
        <w:rPr>
          <w:rStyle w:val="VerbatimChar"/>
        </w:rPr>
        <w:t>existence</w:t>
      </w:r>
      <w:r>
        <w:t xml:space="preserve">. </w:t>
      </w:r>
      <w:r>
        <w:rPr>
          <w:rStyle w:val="VerbatimChar"/>
        </w:rPr>
        <w:t>P92_a_fait_exister (a_commencé_à_exister_par)</w:t>
      </w:r>
      <w:r>
        <w:t xml:space="preserve"> : </w:t>
      </w:r>
      <w:r>
        <w:rPr>
          <w:rStyle w:val="VerbatimChar"/>
        </w:rPr>
        <w:t>E77_Entité_persistante</w:t>
      </w:r>
    </w:p>
    <w:p w14:paraId="12457EA5" w14:textId="77777777" w:rsidR="00065317" w:rsidRDefault="005C7BF7">
      <w:pPr>
        <w:pStyle w:val="Corpsdetexte"/>
      </w:pPr>
      <w:r>
        <w:rPr>
          <w:b/>
          <w:bCs/>
        </w:rPr>
        <w:t>Super-propriété de</w:t>
      </w:r>
    </w:p>
    <w:p w14:paraId="0F182975" w14:textId="77777777" w:rsidR="00065317" w:rsidRDefault="005C7BF7">
      <w:pPr>
        <w:pStyle w:val="Corpsdetexte"/>
      </w:pPr>
      <w:r>
        <w:rPr>
          <w:b/>
          <w:bCs/>
        </w:rPr>
        <w:t>Quantification</w:t>
      </w:r>
    </w:p>
    <w:p w14:paraId="2CFB29BF" w14:textId="77777777" w:rsidR="00065317" w:rsidRDefault="005C7BF7">
      <w:pPr>
        <w:pStyle w:val="Corpsdetexte"/>
      </w:pPr>
      <w:r>
        <w:t>Un à plusieurs, nécessaire, dépendant (1,n:1,1)</w:t>
      </w:r>
    </w:p>
    <w:p w14:paraId="3A7D5FBA" w14:textId="109F7682" w:rsidR="00065317" w:rsidRDefault="005C7BF7">
      <w:pPr>
        <w:pStyle w:val="Corpsdetexte"/>
      </w:pPr>
      <w:r>
        <w:rPr>
          <w:b/>
          <w:bCs/>
        </w:rPr>
        <w:t>Note d</w:t>
      </w:r>
      <w:r w:rsidR="00E84B0E">
        <w:rPr>
          <w:b/>
          <w:bCs/>
        </w:rPr>
        <w:t>’</w:t>
      </w:r>
      <w:r>
        <w:rPr>
          <w:b/>
          <w:bCs/>
        </w:rPr>
        <w:t>application</w:t>
      </w:r>
    </w:p>
    <w:p w14:paraId="76CE2627" w14:textId="654FE23C" w:rsidR="00065317" w:rsidRDefault="005C7BF7">
      <w:pPr>
        <w:pStyle w:val="Corpsdetexte"/>
      </w:pPr>
      <w:r>
        <w:t>Cette propriété identifie l</w:t>
      </w:r>
      <w:r w:rsidR="00E84B0E">
        <w:t>’</w:t>
      </w:r>
      <w:r>
        <w:t xml:space="preserve">instance de </w:t>
      </w:r>
      <w:r>
        <w:rPr>
          <w:rStyle w:val="VerbatimChar"/>
        </w:rPr>
        <w:t>E24_Chose_matérielle_élaborée_par_l</w:t>
      </w:r>
      <w:r w:rsidR="00E84B0E">
        <w:rPr>
          <w:rStyle w:val="VerbatimChar"/>
        </w:rPr>
        <w:t>’</w:t>
      </w:r>
      <w:r>
        <w:rPr>
          <w:rStyle w:val="VerbatimChar"/>
        </w:rPr>
        <w:t>humain</w:t>
      </w:r>
      <w:r>
        <w:t xml:space="preserve"> qui a commencé à exister </w:t>
      </w:r>
      <w:r w:rsidR="00733C22">
        <w:t xml:space="preserve">à la </w:t>
      </w:r>
      <w:r>
        <w:t xml:space="preserve">suite </w:t>
      </w:r>
      <w:r w:rsidR="00733C22">
        <w:t>de</w:t>
      </w:r>
      <w:r>
        <w:t xml:space="preserve"> l</w:t>
      </w:r>
      <w:r w:rsidR="00E84B0E">
        <w:t>’</w:t>
      </w:r>
      <w:r>
        <w:t xml:space="preserve">instance de </w:t>
      </w:r>
      <w:r>
        <w:rPr>
          <w:rStyle w:val="VerbatimChar"/>
        </w:rPr>
        <w:t>E12_Production</w:t>
      </w:r>
      <w:r>
        <w:t xml:space="preserve"> qui lui est rattachée.</w:t>
      </w:r>
    </w:p>
    <w:p w14:paraId="5D9AA03A" w14:textId="0C7D5531" w:rsidR="00065317" w:rsidRDefault="005C7BF7">
      <w:pPr>
        <w:pStyle w:val="Corpsdetexte"/>
      </w:pPr>
      <w:r>
        <w:t>L</w:t>
      </w:r>
      <w:r w:rsidR="00E84B0E">
        <w:t>’</w:t>
      </w:r>
      <w:r>
        <w:t>identité d</w:t>
      </w:r>
      <w:r w:rsidR="00E84B0E">
        <w:t>’</w:t>
      </w:r>
      <w:r>
        <w:t xml:space="preserve">une instance de </w:t>
      </w:r>
      <w:r>
        <w:rPr>
          <w:rStyle w:val="VerbatimChar"/>
        </w:rPr>
        <w:t>E24_Chose_matérielle_élaborée_par_l</w:t>
      </w:r>
      <w:r w:rsidR="00E84B0E">
        <w:rPr>
          <w:rStyle w:val="VerbatimChar"/>
        </w:rPr>
        <w:t>’</w:t>
      </w:r>
      <w:r>
        <w:rPr>
          <w:rStyle w:val="VerbatimChar"/>
        </w:rPr>
        <w:t>humain</w:t>
      </w:r>
      <w:r>
        <w:t xml:space="preserve"> n</w:t>
      </w:r>
      <w:r w:rsidR="00E84B0E">
        <w:t>’</w:t>
      </w:r>
      <w:r>
        <w:t xml:space="preserve">est pas définie par sa matière, mais par son existence en tant que sujet de documentation. Une activité de </w:t>
      </w:r>
      <w:r>
        <w:rPr>
          <w:rStyle w:val="VerbatimChar"/>
        </w:rPr>
        <w:t>E12_Production</w:t>
      </w:r>
      <w:r>
        <w:t xml:space="preserve"> peut donner lieu à la création de plusieurs instances de </w:t>
      </w:r>
      <w:r>
        <w:rPr>
          <w:rStyle w:val="VerbatimChar"/>
        </w:rPr>
        <w:t>E24_Chose_matérielle_élaborée_par_l</w:t>
      </w:r>
      <w:r w:rsidR="00E84B0E">
        <w:rPr>
          <w:rStyle w:val="VerbatimChar"/>
        </w:rPr>
        <w:t>’</w:t>
      </w:r>
      <w:r>
        <w:rPr>
          <w:rStyle w:val="VerbatimChar"/>
        </w:rPr>
        <w:t>humain</w:t>
      </w:r>
      <w:r>
        <w:t>.</w:t>
      </w:r>
    </w:p>
    <w:p w14:paraId="1001A6DE" w14:textId="77777777" w:rsidR="00065317" w:rsidRDefault="005C7BF7">
      <w:pPr>
        <w:pStyle w:val="Corpsdetexte"/>
      </w:pPr>
      <w:r>
        <w:rPr>
          <w:b/>
          <w:bCs/>
        </w:rPr>
        <w:t>Exemples</w:t>
      </w:r>
    </w:p>
    <w:p w14:paraId="2A6B454D" w14:textId="40EEE8CA" w:rsidR="00065317" w:rsidRDefault="005C7BF7">
      <w:pPr>
        <w:numPr>
          <w:ilvl w:val="0"/>
          <w:numId w:val="232"/>
        </w:numPr>
      </w:pPr>
      <w:r>
        <w:t>La construction de Rome (</w:t>
      </w:r>
      <w:r>
        <w:rPr>
          <w:rStyle w:val="VerbatimChar"/>
        </w:rPr>
        <w:t>E12_Production</w:t>
      </w:r>
      <w:r>
        <w:t>) a produit (</w:t>
      </w:r>
      <w:r>
        <w:rPr>
          <w:rStyle w:val="VerbatimChar"/>
        </w:rPr>
        <w:t>P108_a_produit</w:t>
      </w:r>
      <w:r>
        <w:t>) le Colisée (the Colosseum) (</w:t>
      </w:r>
      <w:r>
        <w:rPr>
          <w:rStyle w:val="VerbatimChar"/>
        </w:rPr>
        <w:t>E22_Objet_élaborée_par_l</w:t>
      </w:r>
      <w:r w:rsidR="00E84B0E">
        <w:rPr>
          <w:rStyle w:val="VerbatimChar"/>
        </w:rPr>
        <w:t>’</w:t>
      </w:r>
      <w:r>
        <w:rPr>
          <w:rStyle w:val="VerbatimChar"/>
        </w:rPr>
        <w:t>humain</w:t>
      </w:r>
      <w:r>
        <w:t xml:space="preserve">) (Hopkins </w:t>
      </w:r>
      <w:r w:rsidR="0084721C">
        <w:t xml:space="preserve">&amp; </w:t>
      </w:r>
      <w:r>
        <w:t>Beard, 2011)</w:t>
      </w:r>
    </w:p>
    <w:p w14:paraId="704E6CB8" w14:textId="77777777" w:rsidR="00065317" w:rsidRDefault="005C7BF7">
      <w:pPr>
        <w:pStyle w:val="FirstParagraph"/>
      </w:pPr>
      <w:r>
        <w:rPr>
          <w:b/>
          <w:bCs/>
        </w:rPr>
        <w:t>Logique</w:t>
      </w:r>
    </w:p>
    <w:p w14:paraId="0BADAF34" w14:textId="77777777" w:rsidR="00065317" w:rsidRDefault="005C7BF7">
      <w:pPr>
        <w:pStyle w:val="Corpsdetexte"/>
      </w:pPr>
      <w:r>
        <w:t>P108(x,y) ⇒ E12(x)</w:t>
      </w:r>
    </w:p>
    <w:p w14:paraId="21272826" w14:textId="77777777" w:rsidR="00065317" w:rsidRDefault="005C7BF7">
      <w:pPr>
        <w:pStyle w:val="Corpsdetexte"/>
      </w:pPr>
      <w:r>
        <w:t>P108(x,y) ⇒ E24(y)</w:t>
      </w:r>
    </w:p>
    <w:p w14:paraId="763BED81" w14:textId="77777777" w:rsidR="00065317" w:rsidRDefault="005C7BF7">
      <w:pPr>
        <w:pStyle w:val="Corpsdetexte"/>
      </w:pPr>
      <w:r>
        <w:t>P108(x,y) ⇒ P31(x,y)</w:t>
      </w:r>
    </w:p>
    <w:p w14:paraId="74135470" w14:textId="77777777" w:rsidR="00065317" w:rsidRDefault="005C7BF7">
      <w:pPr>
        <w:pStyle w:val="Corpsdetexte"/>
      </w:pPr>
      <w:r>
        <w:t>P108(x,y) ⇒ P92(x,y)</w:t>
      </w:r>
    </w:p>
    <w:p w14:paraId="249B4027" w14:textId="77777777" w:rsidR="00065317" w:rsidRDefault="005C7BF7">
      <w:pPr>
        <w:pStyle w:val="Corpsdetexte"/>
      </w:pPr>
      <w:r>
        <w:rPr>
          <w:b/>
          <w:bCs/>
        </w:rPr>
        <w:t>Propriétés</w:t>
      </w:r>
    </w:p>
    <w:p w14:paraId="72F8EE8F" w14:textId="77777777" w:rsidR="00065317" w:rsidRDefault="005C7BF7">
      <w:pPr>
        <w:pStyle w:val="Normalcentr"/>
      </w:pPr>
      <w:r>
        <w:rPr>
          <w:b/>
          <w:bCs/>
          <w:i/>
          <w:iCs/>
        </w:rPr>
        <w:t>Note de traduction</w:t>
      </w:r>
    </w:p>
    <w:p w14:paraId="2ECD037A" w14:textId="44A70B09" w:rsidR="00065317" w:rsidRDefault="005C7BF7" w:rsidP="000C28E9">
      <w:pPr>
        <w:pStyle w:val="Normalcentr"/>
      </w:pPr>
      <w:r>
        <w:rPr>
          <w:b/>
          <w:bCs/>
          <w:i/>
          <w:iCs/>
        </w:rPr>
        <w:t>Références</w:t>
      </w:r>
    </w:p>
    <w:p w14:paraId="0A0B1C51" w14:textId="77777777" w:rsidR="00065317" w:rsidRDefault="005C7BF7" w:rsidP="00914F34">
      <w:pPr>
        <w:pStyle w:val="Titre3"/>
      </w:pPr>
      <w:bookmarkStart w:id="452" w:name="_Toc154048911"/>
      <w:bookmarkStart w:id="453" w:name="Xdf518cb97a70e9c212e040209d757cd5980d05d"/>
      <w:bookmarkEnd w:id="451"/>
      <w:r>
        <w:t>P109 a pour responsable actuel ou antérieur de la collection (est responsable actuel ou antérieur de la collection)</w:t>
      </w:r>
      <w:bookmarkEnd w:id="452"/>
    </w:p>
    <w:p w14:paraId="6749FD5B" w14:textId="77777777" w:rsidR="00065317" w:rsidRDefault="005C7BF7">
      <w:pPr>
        <w:pStyle w:val="FirstParagraph"/>
      </w:pPr>
      <w:r>
        <w:rPr>
          <w:b/>
          <w:bCs/>
        </w:rPr>
        <w:t>Domaine</w:t>
      </w:r>
    </w:p>
    <w:p w14:paraId="1C89732A" w14:textId="77777777" w:rsidR="00065317" w:rsidRDefault="005C7BF7">
      <w:pPr>
        <w:pStyle w:val="Corpsdetexte"/>
      </w:pPr>
      <w:r>
        <w:rPr>
          <w:rStyle w:val="VerbatimChar"/>
        </w:rPr>
        <w:t>E78_Collection</w:t>
      </w:r>
    </w:p>
    <w:p w14:paraId="6013C356" w14:textId="77777777" w:rsidR="00065317" w:rsidRDefault="005C7BF7">
      <w:pPr>
        <w:pStyle w:val="Corpsdetexte"/>
      </w:pPr>
      <w:r>
        <w:rPr>
          <w:b/>
          <w:bCs/>
        </w:rPr>
        <w:t>Portée</w:t>
      </w:r>
    </w:p>
    <w:p w14:paraId="7139931B" w14:textId="77777777" w:rsidR="00065317" w:rsidRDefault="005C7BF7">
      <w:pPr>
        <w:pStyle w:val="Corpsdetexte"/>
      </w:pPr>
      <w:r>
        <w:rPr>
          <w:rStyle w:val="VerbatimChar"/>
        </w:rPr>
        <w:t>E39_Actant</w:t>
      </w:r>
    </w:p>
    <w:p w14:paraId="6ED44FF8" w14:textId="77777777" w:rsidR="00DE6C24" w:rsidRDefault="00DE6C24">
      <w:pPr>
        <w:spacing w:after="0"/>
        <w:rPr>
          <w:b/>
          <w:bCs/>
        </w:rPr>
      </w:pPr>
      <w:r>
        <w:rPr>
          <w:b/>
          <w:bCs/>
        </w:rPr>
        <w:br w:type="page"/>
      </w:r>
    </w:p>
    <w:p w14:paraId="48CD5CFB" w14:textId="23E04C1A" w:rsidR="00065317" w:rsidRDefault="005C7BF7">
      <w:pPr>
        <w:pStyle w:val="Corpsdetexte"/>
      </w:pPr>
      <w:r>
        <w:rPr>
          <w:b/>
          <w:bCs/>
        </w:rPr>
        <w:lastRenderedPageBreak/>
        <w:t>Sous-propriété de</w:t>
      </w:r>
    </w:p>
    <w:p w14:paraId="0974F1DD" w14:textId="2EC5A605" w:rsidR="00065317" w:rsidRDefault="005C7BF7">
      <w:pPr>
        <w:pStyle w:val="Corpsdetexte"/>
      </w:pPr>
      <w:r>
        <w:rPr>
          <w:rStyle w:val="VerbatimChar"/>
        </w:rPr>
        <w:t>E18_Chose_matérielle</w:t>
      </w:r>
      <w:r>
        <w:t xml:space="preserve">. </w:t>
      </w:r>
      <w:r>
        <w:rPr>
          <w:rStyle w:val="VerbatimChar"/>
        </w:rPr>
        <w:t>P49_a_pour_actant_détenteur_actuel_ou_antérieur (est_l</w:t>
      </w:r>
      <w:r w:rsidR="00E84B0E">
        <w:rPr>
          <w:rStyle w:val="VerbatimChar"/>
        </w:rPr>
        <w:t>’</w:t>
      </w:r>
      <w:r>
        <w:rPr>
          <w:rStyle w:val="VerbatimChar"/>
        </w:rPr>
        <w:t>actant_détenteur_actuel_ou_antérieur_de)</w:t>
      </w:r>
      <w:r>
        <w:t xml:space="preserve"> : </w:t>
      </w:r>
      <w:r>
        <w:rPr>
          <w:rStyle w:val="VerbatimChar"/>
        </w:rPr>
        <w:t>E39_Actant</w:t>
      </w:r>
    </w:p>
    <w:p w14:paraId="666F553E" w14:textId="77777777" w:rsidR="00065317" w:rsidRDefault="005C7BF7">
      <w:pPr>
        <w:pStyle w:val="Corpsdetexte"/>
      </w:pPr>
      <w:r>
        <w:rPr>
          <w:b/>
          <w:bCs/>
        </w:rPr>
        <w:t>Super-propriété de</w:t>
      </w:r>
    </w:p>
    <w:p w14:paraId="582620EF" w14:textId="77777777" w:rsidR="00065317" w:rsidRDefault="005C7BF7">
      <w:pPr>
        <w:pStyle w:val="Corpsdetexte"/>
      </w:pPr>
      <w:r>
        <w:rPr>
          <w:b/>
          <w:bCs/>
        </w:rPr>
        <w:t>Quantification</w:t>
      </w:r>
    </w:p>
    <w:p w14:paraId="49CA62DD" w14:textId="77777777" w:rsidR="00065317" w:rsidRDefault="005C7BF7">
      <w:pPr>
        <w:pStyle w:val="Corpsdetexte"/>
      </w:pPr>
      <w:r>
        <w:t>plusieurs à plusieurs, nécessaire (1,n:0,n)</w:t>
      </w:r>
    </w:p>
    <w:p w14:paraId="743FA3A8" w14:textId="71A1142D" w:rsidR="00065317" w:rsidRDefault="005C7BF7">
      <w:pPr>
        <w:pStyle w:val="Corpsdetexte"/>
      </w:pPr>
      <w:r>
        <w:rPr>
          <w:b/>
          <w:bCs/>
        </w:rPr>
        <w:t>Note d</w:t>
      </w:r>
      <w:r w:rsidR="00E84B0E">
        <w:rPr>
          <w:b/>
          <w:bCs/>
        </w:rPr>
        <w:t>’</w:t>
      </w:r>
      <w:r>
        <w:rPr>
          <w:b/>
          <w:bCs/>
        </w:rPr>
        <w:t>application</w:t>
      </w:r>
    </w:p>
    <w:p w14:paraId="48764909" w14:textId="6D5F5A35" w:rsidR="00065317" w:rsidRDefault="005C7BF7">
      <w:pPr>
        <w:pStyle w:val="Corpsdetexte"/>
      </w:pPr>
      <w:r>
        <w:t>Cette propriété identifie l</w:t>
      </w:r>
      <w:r w:rsidR="00E84B0E">
        <w:t>’</w:t>
      </w:r>
      <w:r>
        <w:t xml:space="preserve">instance de </w:t>
      </w:r>
      <w:r>
        <w:rPr>
          <w:rStyle w:val="VerbatimChar"/>
        </w:rPr>
        <w:t>E39_Actant</w:t>
      </w:r>
      <w:r>
        <w:t xml:space="preserve"> qui a assumé ou assume la responsabilité curatoriale d</w:t>
      </w:r>
      <w:r w:rsidR="00E84B0E">
        <w:t>’</w:t>
      </w:r>
      <w:r>
        <w:t xml:space="preserve">une instance de </w:t>
      </w:r>
      <w:r>
        <w:rPr>
          <w:rStyle w:val="VerbatimChar"/>
        </w:rPr>
        <w:t>E78_Collection</w:t>
      </w:r>
      <w:r>
        <w:t>.</w:t>
      </w:r>
    </w:p>
    <w:p w14:paraId="13F4E2DA" w14:textId="575F400B" w:rsidR="00FC2E07" w:rsidRDefault="005C7BF7">
      <w:pPr>
        <w:pStyle w:val="Corpsdetexte"/>
        <w:rPr>
          <w:b/>
          <w:bCs/>
        </w:rPr>
      </w:pPr>
      <w:r>
        <w:t>Cette propriété ne permet pas d</w:t>
      </w:r>
      <w:r w:rsidR="00E84B0E">
        <w:t>’</w:t>
      </w:r>
      <w:r>
        <w:t>enregistrer l</w:t>
      </w:r>
      <w:r w:rsidR="00E84B0E">
        <w:t>’</w:t>
      </w:r>
      <w:r>
        <w:t>historique de la responsabilité curatoriale. Ce cas nécessite la présence d</w:t>
      </w:r>
      <w:r w:rsidR="00E84B0E">
        <w:t>’</w:t>
      </w:r>
      <w:r>
        <w:t>un évènement qui marque le début de la responsabilité d</w:t>
      </w:r>
      <w:r w:rsidR="00E84B0E">
        <w:t>’</w:t>
      </w:r>
      <w:r>
        <w:t>une personne envers une collection.</w:t>
      </w:r>
    </w:p>
    <w:p w14:paraId="39B565AC" w14:textId="54852BF9" w:rsidR="00065317" w:rsidRDefault="005C7BF7">
      <w:pPr>
        <w:pStyle w:val="Corpsdetexte"/>
      </w:pPr>
      <w:r>
        <w:rPr>
          <w:b/>
          <w:bCs/>
        </w:rPr>
        <w:t>Exemples</w:t>
      </w:r>
    </w:p>
    <w:p w14:paraId="7F0A5750" w14:textId="77777777" w:rsidR="00065317" w:rsidRDefault="005C7BF7">
      <w:pPr>
        <w:numPr>
          <w:ilvl w:val="0"/>
          <w:numId w:val="233"/>
        </w:numPr>
      </w:pPr>
      <w:r>
        <w:t>La collection Robert Opie (</w:t>
      </w:r>
      <w:r>
        <w:rPr>
          <w:rStyle w:val="VerbatimChar"/>
        </w:rPr>
        <w:t>E78_Collection</w:t>
      </w:r>
      <w:r>
        <w:t>) a pour responsable actuel ou antérieur de la collection (</w:t>
      </w:r>
      <w:r>
        <w:rPr>
          <w:rStyle w:val="VerbatimChar"/>
        </w:rPr>
        <w:t>P109_a_pour_responsable_actuel_ou_antérieur_de_la_collection</w:t>
      </w:r>
      <w:r>
        <w:t>) Robert Opie (</w:t>
      </w:r>
      <w:r>
        <w:rPr>
          <w:rStyle w:val="VerbatimChar"/>
        </w:rPr>
        <w:t>E21_Personne</w:t>
      </w:r>
      <w:r>
        <w:t>) (https://www.robertopiecollection.com/)</w:t>
      </w:r>
    </w:p>
    <w:p w14:paraId="4AC4A47A" w14:textId="3BC72363" w:rsidR="00065317" w:rsidRDefault="005C7BF7">
      <w:pPr>
        <w:numPr>
          <w:ilvl w:val="0"/>
          <w:numId w:val="233"/>
        </w:numPr>
      </w:pPr>
      <w:r>
        <w:t>L</w:t>
      </w:r>
      <w:r w:rsidR="00E84B0E">
        <w:t>’</w:t>
      </w:r>
      <w:r>
        <w:t>herbier d</w:t>
      </w:r>
      <w:r w:rsidR="00E84B0E">
        <w:t>’</w:t>
      </w:r>
      <w:r>
        <w:t>algues rouges coralliennes de Mik</w:t>
      </w:r>
      <w:r w:rsidR="00B40400">
        <w:t>ae</w:t>
      </w:r>
      <w:r>
        <w:t>l Heggelund Foslie (</w:t>
      </w:r>
      <w:r>
        <w:rPr>
          <w:rStyle w:val="VerbatimChar"/>
        </w:rPr>
        <w:t>E78_Collection</w:t>
      </w:r>
      <w:r>
        <w:t>) a pour responsable actuel ou antérieur de la collection (</w:t>
      </w:r>
      <w:r>
        <w:rPr>
          <w:rStyle w:val="VerbatimChar"/>
        </w:rPr>
        <w:t>P109_a_pour_responsable_actuel_ou_antérieur_de_la_collection</w:t>
      </w:r>
      <w:r>
        <w:t>) Mik</w:t>
      </w:r>
      <w:r w:rsidR="00B40400">
        <w:t>ae</w:t>
      </w:r>
      <w:r>
        <w:t>l Heggelund Foslie (</w:t>
      </w:r>
      <w:r>
        <w:rPr>
          <w:rStyle w:val="VerbatimChar"/>
        </w:rPr>
        <w:t>E21_Personne</w:t>
      </w:r>
      <w:r>
        <w:t>) (W</w:t>
      </w:r>
      <w:r w:rsidR="00F52177">
        <w:t>oe</w:t>
      </w:r>
      <w:r>
        <w:t>lkerling</w:t>
      </w:r>
      <w:r w:rsidR="0084721C">
        <w:t xml:space="preserve"> &amp; al</w:t>
      </w:r>
      <w:r>
        <w:t>, 2005)</w:t>
      </w:r>
    </w:p>
    <w:p w14:paraId="74E6C571" w14:textId="77777777" w:rsidR="00065317" w:rsidRDefault="005C7BF7">
      <w:pPr>
        <w:pStyle w:val="FirstParagraph"/>
      </w:pPr>
      <w:r>
        <w:rPr>
          <w:b/>
          <w:bCs/>
        </w:rPr>
        <w:t>Logique</w:t>
      </w:r>
    </w:p>
    <w:p w14:paraId="54317A2F" w14:textId="77777777" w:rsidR="00065317" w:rsidRDefault="005C7BF7">
      <w:pPr>
        <w:pStyle w:val="Corpsdetexte"/>
      </w:pPr>
      <w:r>
        <w:t>P109(x,y) ⇒ E78(x)</w:t>
      </w:r>
    </w:p>
    <w:p w14:paraId="092939EA" w14:textId="77777777" w:rsidR="00065317" w:rsidRDefault="005C7BF7">
      <w:pPr>
        <w:pStyle w:val="Corpsdetexte"/>
      </w:pPr>
      <w:r>
        <w:t>P109(x,y) ⇒ E39(y)</w:t>
      </w:r>
    </w:p>
    <w:p w14:paraId="0D9F7B83" w14:textId="77777777" w:rsidR="00065317" w:rsidRDefault="005C7BF7">
      <w:pPr>
        <w:pStyle w:val="Corpsdetexte"/>
      </w:pPr>
      <w:r>
        <w:t>P109(x,y) ⇒ P49(x,y)</w:t>
      </w:r>
    </w:p>
    <w:p w14:paraId="3A51F83A" w14:textId="77777777" w:rsidR="00065317" w:rsidRDefault="005C7BF7">
      <w:pPr>
        <w:pStyle w:val="Corpsdetexte"/>
      </w:pPr>
      <w:r>
        <w:rPr>
          <w:b/>
          <w:bCs/>
        </w:rPr>
        <w:t>Propriétés</w:t>
      </w:r>
    </w:p>
    <w:p w14:paraId="75ACA647" w14:textId="77777777" w:rsidR="00065317" w:rsidRDefault="005C7BF7">
      <w:pPr>
        <w:pStyle w:val="Normalcentr"/>
      </w:pPr>
      <w:r>
        <w:rPr>
          <w:b/>
          <w:bCs/>
          <w:i/>
          <w:iCs/>
        </w:rPr>
        <w:t>Note de traduction</w:t>
      </w:r>
    </w:p>
    <w:p w14:paraId="29DE17F9" w14:textId="7C28D5C9" w:rsidR="00065317" w:rsidRDefault="005C7BF7" w:rsidP="000C28E9">
      <w:pPr>
        <w:pStyle w:val="Normalcentr"/>
      </w:pPr>
      <w:r>
        <w:rPr>
          <w:b/>
          <w:bCs/>
          <w:i/>
          <w:iCs/>
        </w:rPr>
        <w:t>Références</w:t>
      </w:r>
    </w:p>
    <w:p w14:paraId="484A6B39" w14:textId="77777777" w:rsidR="00065317" w:rsidRDefault="005C7BF7" w:rsidP="00914F34">
      <w:pPr>
        <w:pStyle w:val="Titre3"/>
      </w:pPr>
      <w:bookmarkStart w:id="454" w:name="_Toc154048912"/>
      <w:bookmarkStart w:id="455" w:name="p110-a-augmente-(a-ete-augmente-par)"/>
      <w:bookmarkEnd w:id="453"/>
      <w:r>
        <w:t>P110 a augmenté (a été augmenté par)</w:t>
      </w:r>
      <w:bookmarkEnd w:id="454"/>
    </w:p>
    <w:p w14:paraId="6A003349" w14:textId="77777777" w:rsidR="00065317" w:rsidRDefault="005C7BF7">
      <w:pPr>
        <w:pStyle w:val="FirstParagraph"/>
      </w:pPr>
      <w:r>
        <w:rPr>
          <w:b/>
          <w:bCs/>
        </w:rPr>
        <w:t>Domaine</w:t>
      </w:r>
    </w:p>
    <w:p w14:paraId="24BC5F99" w14:textId="30D13B8F" w:rsidR="00065317" w:rsidRDefault="005C7BF7">
      <w:pPr>
        <w:pStyle w:val="Corpsdetexte"/>
      </w:pPr>
      <w:r>
        <w:rPr>
          <w:rStyle w:val="VerbatimChar"/>
        </w:rPr>
        <w:t>E79_Ajout_d</w:t>
      </w:r>
      <w:r w:rsidR="00E84B0E">
        <w:rPr>
          <w:rStyle w:val="VerbatimChar"/>
        </w:rPr>
        <w:t>’</w:t>
      </w:r>
      <w:r>
        <w:rPr>
          <w:rStyle w:val="VerbatimChar"/>
        </w:rPr>
        <w:t>élément</w:t>
      </w:r>
    </w:p>
    <w:p w14:paraId="69AC2F85" w14:textId="77777777" w:rsidR="00065317" w:rsidRDefault="005C7BF7">
      <w:pPr>
        <w:pStyle w:val="Corpsdetexte"/>
      </w:pPr>
      <w:r>
        <w:rPr>
          <w:b/>
          <w:bCs/>
        </w:rPr>
        <w:t>Portée</w:t>
      </w:r>
    </w:p>
    <w:p w14:paraId="0DA7F156" w14:textId="77777777" w:rsidR="00065317" w:rsidRDefault="005C7BF7">
      <w:pPr>
        <w:pStyle w:val="Corpsdetexte"/>
      </w:pPr>
      <w:r>
        <w:rPr>
          <w:rStyle w:val="VerbatimChar"/>
        </w:rPr>
        <w:t>E18_Chose_matérielle</w:t>
      </w:r>
    </w:p>
    <w:p w14:paraId="7EE238EB" w14:textId="77777777" w:rsidR="00065317" w:rsidRDefault="005C7BF7">
      <w:pPr>
        <w:pStyle w:val="Corpsdetexte"/>
      </w:pPr>
      <w:r>
        <w:rPr>
          <w:b/>
          <w:bCs/>
        </w:rPr>
        <w:t>Sous-propriété de</w:t>
      </w:r>
    </w:p>
    <w:p w14:paraId="47AE96EB" w14:textId="77777777" w:rsidR="00065317" w:rsidRDefault="005C7BF7">
      <w:pPr>
        <w:pStyle w:val="Corpsdetexte"/>
      </w:pPr>
      <w:r>
        <w:rPr>
          <w:rStyle w:val="VerbatimChar"/>
        </w:rPr>
        <w:t>E11_Modification</w:t>
      </w:r>
      <w:r>
        <w:t xml:space="preserve">. </w:t>
      </w:r>
      <w:r>
        <w:rPr>
          <w:rStyle w:val="VerbatimChar"/>
        </w:rPr>
        <w:t>P31_a_modifié (a_été_modifié_par)</w:t>
      </w:r>
      <w:r>
        <w:t xml:space="preserve"> : </w:t>
      </w:r>
      <w:r>
        <w:rPr>
          <w:rStyle w:val="VerbatimChar"/>
        </w:rPr>
        <w:t>E18_Chose_matérielle</w:t>
      </w:r>
    </w:p>
    <w:p w14:paraId="1EE3A8C7" w14:textId="77777777" w:rsidR="00DE6C24" w:rsidRDefault="00DE6C24">
      <w:pPr>
        <w:spacing w:after="0"/>
        <w:rPr>
          <w:b/>
          <w:bCs/>
        </w:rPr>
      </w:pPr>
      <w:r>
        <w:rPr>
          <w:b/>
          <w:bCs/>
        </w:rPr>
        <w:br w:type="page"/>
      </w:r>
    </w:p>
    <w:p w14:paraId="0FE07F7A" w14:textId="620CC4B8" w:rsidR="00065317" w:rsidRDefault="005C7BF7">
      <w:pPr>
        <w:pStyle w:val="Corpsdetexte"/>
      </w:pPr>
      <w:r>
        <w:rPr>
          <w:b/>
          <w:bCs/>
        </w:rPr>
        <w:lastRenderedPageBreak/>
        <w:t>Super-propriété de</w:t>
      </w:r>
    </w:p>
    <w:p w14:paraId="32873773" w14:textId="77777777" w:rsidR="00065317" w:rsidRDefault="005C7BF7">
      <w:pPr>
        <w:pStyle w:val="Corpsdetexte"/>
      </w:pPr>
      <w:r>
        <w:rPr>
          <w:b/>
          <w:bCs/>
        </w:rPr>
        <w:t>Quantification</w:t>
      </w:r>
    </w:p>
    <w:p w14:paraId="0866FF3D" w14:textId="77777777" w:rsidR="00065317" w:rsidRDefault="005C7BF7">
      <w:pPr>
        <w:pStyle w:val="Corpsdetexte"/>
      </w:pPr>
      <w:r>
        <w:t>plusieurs à plusieurs, nécessaire (1,n:0,n)</w:t>
      </w:r>
    </w:p>
    <w:p w14:paraId="725A6D12" w14:textId="5E611C2B" w:rsidR="00065317" w:rsidRDefault="005C7BF7">
      <w:pPr>
        <w:pStyle w:val="Corpsdetexte"/>
      </w:pPr>
      <w:r>
        <w:rPr>
          <w:b/>
          <w:bCs/>
        </w:rPr>
        <w:t>Note d</w:t>
      </w:r>
      <w:r w:rsidR="00E84B0E">
        <w:rPr>
          <w:b/>
          <w:bCs/>
        </w:rPr>
        <w:t>’</w:t>
      </w:r>
      <w:r>
        <w:rPr>
          <w:b/>
          <w:bCs/>
        </w:rPr>
        <w:t>application</w:t>
      </w:r>
    </w:p>
    <w:p w14:paraId="1217484C" w14:textId="06E75B36" w:rsidR="00065317" w:rsidRDefault="005C7BF7">
      <w:pPr>
        <w:pStyle w:val="Corpsdetexte"/>
      </w:pPr>
      <w:r>
        <w:t>Cette propriété identifie l</w:t>
      </w:r>
      <w:r w:rsidR="00E84B0E">
        <w:t>’</w:t>
      </w:r>
      <w:r>
        <w:t xml:space="preserve">instance de </w:t>
      </w:r>
      <w:r>
        <w:rPr>
          <w:rStyle w:val="VerbatimChar"/>
        </w:rPr>
        <w:t>E24_Chose_matérielle_élaborée_par_l</w:t>
      </w:r>
      <w:r w:rsidR="00E84B0E">
        <w:rPr>
          <w:rStyle w:val="VerbatimChar"/>
        </w:rPr>
        <w:t>’</w:t>
      </w:r>
      <w:r>
        <w:rPr>
          <w:rStyle w:val="VerbatimChar"/>
        </w:rPr>
        <w:t>humain</w:t>
      </w:r>
      <w:r>
        <w:t xml:space="preserve"> qui reçoit un ajout (est augmentée) par une instance de </w:t>
      </w:r>
      <w:r>
        <w:rPr>
          <w:rStyle w:val="VerbatimChar"/>
        </w:rPr>
        <w:t>E79_Ajout_d</w:t>
      </w:r>
      <w:r w:rsidR="00E84B0E">
        <w:rPr>
          <w:rStyle w:val="VerbatimChar"/>
        </w:rPr>
        <w:t>’</w:t>
      </w:r>
      <w:r>
        <w:rPr>
          <w:rStyle w:val="VerbatimChar"/>
        </w:rPr>
        <w:t>élément</w:t>
      </w:r>
      <w:r>
        <w:t>.</w:t>
      </w:r>
    </w:p>
    <w:p w14:paraId="4922C243" w14:textId="6CB55BEF" w:rsidR="00FC2E07" w:rsidRDefault="005C7BF7">
      <w:pPr>
        <w:pStyle w:val="Corpsdetexte"/>
        <w:rPr>
          <w:b/>
          <w:bCs/>
        </w:rPr>
      </w:pPr>
      <w:r>
        <w:t>Bien qu</w:t>
      </w:r>
      <w:r w:rsidR="00E84B0E">
        <w:t>’</w:t>
      </w:r>
      <w:r>
        <w:t xml:space="preserve">une instance de </w:t>
      </w:r>
      <w:r>
        <w:rPr>
          <w:rStyle w:val="VerbatimChar"/>
        </w:rPr>
        <w:t>E79_Ajout_d</w:t>
      </w:r>
      <w:r w:rsidR="00E84B0E">
        <w:rPr>
          <w:rStyle w:val="VerbatimChar"/>
        </w:rPr>
        <w:t>’</w:t>
      </w:r>
      <w:r>
        <w:rPr>
          <w:rStyle w:val="VerbatimChar"/>
        </w:rPr>
        <w:t>élément</w:t>
      </w:r>
      <w:r>
        <w:t xml:space="preserve"> ne concerne normalement qu</w:t>
      </w:r>
      <w:r w:rsidR="00E84B0E">
        <w:t>’</w:t>
      </w:r>
      <w:r>
        <w:t xml:space="preserve">une instance de </w:t>
      </w:r>
      <w:r>
        <w:rPr>
          <w:rStyle w:val="VerbatimChar"/>
        </w:rPr>
        <w:t>E24_Chose_matérielle_élaborée_par_l</w:t>
      </w:r>
      <w:r w:rsidR="00E84B0E">
        <w:rPr>
          <w:rStyle w:val="VerbatimChar"/>
        </w:rPr>
        <w:t>’</w:t>
      </w:r>
      <w:r>
        <w:rPr>
          <w:rStyle w:val="VerbatimChar"/>
        </w:rPr>
        <w:t>humain</w:t>
      </w:r>
      <w:r>
        <w:t>, il est possible d</w:t>
      </w:r>
      <w:r w:rsidR="00E84B0E">
        <w:t>’</w:t>
      </w:r>
      <w:r>
        <w:t>imaginer des circonstances au cours desquelles plus d</w:t>
      </w:r>
      <w:r w:rsidR="00E84B0E">
        <w:t>’</w:t>
      </w:r>
      <w:r>
        <w:t>un élément pourrait recevoir un ajout (être augmenté) [</w:t>
      </w:r>
      <w:r w:rsidR="00AF51A3">
        <w:t xml:space="preserve">n.d.t. </w:t>
      </w:r>
      <w:r>
        <w:t xml:space="preserve">par une seule instance de </w:t>
      </w:r>
      <w:r>
        <w:rPr>
          <w:rStyle w:val="VerbatimChar"/>
        </w:rPr>
        <w:t>E79_Ajout_d</w:t>
      </w:r>
      <w:r w:rsidR="00E84B0E">
        <w:rPr>
          <w:rStyle w:val="VerbatimChar"/>
        </w:rPr>
        <w:t>’</w:t>
      </w:r>
      <w:r>
        <w:rPr>
          <w:rStyle w:val="VerbatimChar"/>
        </w:rPr>
        <w:t>élément</w:t>
      </w:r>
      <w:r>
        <w:t>]. Par exemple, l</w:t>
      </w:r>
      <w:r w:rsidR="00E84B0E">
        <w:t>’</w:t>
      </w:r>
      <w:r>
        <w:t>artiste Jackson Pollock a effectué des traînées de peinture sur plusieurs toiles en même temps.</w:t>
      </w:r>
    </w:p>
    <w:p w14:paraId="252823F5" w14:textId="34AF6E2F" w:rsidR="00065317" w:rsidRDefault="005C7BF7">
      <w:pPr>
        <w:pStyle w:val="Corpsdetexte"/>
      </w:pPr>
      <w:r>
        <w:rPr>
          <w:b/>
          <w:bCs/>
        </w:rPr>
        <w:t>Exemples</w:t>
      </w:r>
    </w:p>
    <w:p w14:paraId="0FF826E1" w14:textId="0699BC02" w:rsidR="00065317" w:rsidRDefault="005C7BF7">
      <w:pPr>
        <w:numPr>
          <w:ilvl w:val="0"/>
          <w:numId w:val="234"/>
        </w:numPr>
      </w:pPr>
      <w:r>
        <w:t>L</w:t>
      </w:r>
      <w:r w:rsidR="00E84B0E">
        <w:t>’</w:t>
      </w:r>
      <w:r>
        <w:t>évènement d</w:t>
      </w:r>
      <w:r w:rsidR="00E84B0E">
        <w:t>’</w:t>
      </w:r>
      <w:r>
        <w:t>insertion du dernier clou (</w:t>
      </w:r>
      <w:r>
        <w:rPr>
          <w:rStyle w:val="VerbatimChar"/>
        </w:rPr>
        <w:t>E79_Ajout_d</w:t>
      </w:r>
      <w:r w:rsidR="00E84B0E">
        <w:rPr>
          <w:rStyle w:val="VerbatimChar"/>
        </w:rPr>
        <w:t>’</w:t>
      </w:r>
      <w:r>
        <w:rPr>
          <w:rStyle w:val="VerbatimChar"/>
        </w:rPr>
        <w:t>élément</w:t>
      </w:r>
      <w:r>
        <w:t>) a augmenté (</w:t>
      </w:r>
      <w:r>
        <w:rPr>
          <w:rStyle w:val="VerbatimChar"/>
        </w:rPr>
        <w:t>P110_a_augmenté</w:t>
      </w:r>
      <w:r>
        <w:t>) le cercueil de George VI (</w:t>
      </w:r>
      <w:r>
        <w:rPr>
          <w:rStyle w:val="VerbatimChar"/>
        </w:rPr>
        <w:t>E18_Chose_matérielle</w:t>
      </w:r>
      <w:r>
        <w:t>) (</w:t>
      </w:r>
      <w:hyperlink r:id="rId253">
        <w:r>
          <w:rPr>
            <w:rStyle w:val="Lienhypertexte"/>
          </w:rPr>
          <w:t>https://www.rct.uk/collection/2000811/the-coffin-of-king-george-vi-during-the-lying-in-state</w:t>
        </w:r>
      </w:hyperlink>
      <w:r>
        <w:t>)</w:t>
      </w:r>
    </w:p>
    <w:p w14:paraId="3DF8340B" w14:textId="0A21DA17" w:rsidR="00065317" w:rsidRDefault="005C7BF7">
      <w:pPr>
        <w:numPr>
          <w:ilvl w:val="0"/>
          <w:numId w:val="234"/>
        </w:numPr>
      </w:pPr>
      <w:r>
        <w:t>L</w:t>
      </w:r>
      <w:r w:rsidR="00E84B0E">
        <w:t>’</w:t>
      </w:r>
      <w:r>
        <w:t xml:space="preserve">apposition de la main de bronze de la sculpture </w:t>
      </w:r>
      <w:r>
        <w:rPr>
          <w:i/>
          <w:iCs/>
        </w:rPr>
        <w:t>Alpi Marittime</w:t>
      </w:r>
      <w:r>
        <w:t xml:space="preserve"> (</w:t>
      </w:r>
      <w:r>
        <w:rPr>
          <w:rStyle w:val="VerbatimChar"/>
        </w:rPr>
        <w:t>E79_Ajout_d</w:t>
      </w:r>
      <w:r w:rsidR="00E84B0E">
        <w:rPr>
          <w:rStyle w:val="VerbatimChar"/>
        </w:rPr>
        <w:t>’</w:t>
      </w:r>
      <w:r>
        <w:rPr>
          <w:rStyle w:val="VerbatimChar"/>
        </w:rPr>
        <w:t>élément</w:t>
      </w:r>
      <w:r>
        <w:t>) a augmenté (</w:t>
      </w:r>
      <w:r>
        <w:rPr>
          <w:rStyle w:val="VerbatimChar"/>
        </w:rPr>
        <w:t>P110_a_augmenté</w:t>
      </w:r>
      <w:r>
        <w:t>) l</w:t>
      </w:r>
      <w:r w:rsidR="00E84B0E">
        <w:t>’</w:t>
      </w:r>
      <w:r>
        <w:t xml:space="preserve">arbre de la sculpture </w:t>
      </w:r>
      <w:r>
        <w:rPr>
          <w:i/>
          <w:iCs/>
        </w:rPr>
        <w:t>Alpi Marittime</w:t>
      </w:r>
      <w:r>
        <w:t xml:space="preserve"> (</w:t>
      </w:r>
      <w:r>
        <w:rPr>
          <w:rStyle w:val="VerbatimChar"/>
        </w:rPr>
        <w:t>E20_Objet_biologique</w:t>
      </w:r>
      <w:r>
        <w:t>) (https://giuseppepenone.com/en/words/maritime-alps) (Mangini, 2010)</w:t>
      </w:r>
    </w:p>
    <w:p w14:paraId="75F16D93" w14:textId="77777777" w:rsidR="00065317" w:rsidRDefault="005C7BF7">
      <w:pPr>
        <w:pStyle w:val="FirstParagraph"/>
      </w:pPr>
      <w:r>
        <w:rPr>
          <w:b/>
          <w:bCs/>
        </w:rPr>
        <w:t>Logique</w:t>
      </w:r>
    </w:p>
    <w:p w14:paraId="4A05899A" w14:textId="77777777" w:rsidR="00065317" w:rsidRDefault="005C7BF7">
      <w:pPr>
        <w:pStyle w:val="Corpsdetexte"/>
      </w:pPr>
      <w:r>
        <w:t>P110(x,y) ⇒ E79(x)</w:t>
      </w:r>
    </w:p>
    <w:p w14:paraId="517CB3AF" w14:textId="77777777" w:rsidR="00065317" w:rsidRDefault="005C7BF7">
      <w:pPr>
        <w:pStyle w:val="Corpsdetexte"/>
      </w:pPr>
      <w:r>
        <w:t>P110(x,y) ⇒ E18(y)</w:t>
      </w:r>
    </w:p>
    <w:p w14:paraId="38061924" w14:textId="77777777" w:rsidR="00065317" w:rsidRDefault="005C7BF7">
      <w:pPr>
        <w:pStyle w:val="Corpsdetexte"/>
      </w:pPr>
      <w:r>
        <w:t>P110(x,y) ⇒ P31(x,y)</w:t>
      </w:r>
    </w:p>
    <w:p w14:paraId="5CFF4860" w14:textId="77777777" w:rsidR="00065317" w:rsidRDefault="005C7BF7">
      <w:pPr>
        <w:pStyle w:val="Corpsdetexte"/>
      </w:pPr>
      <w:r>
        <w:rPr>
          <w:b/>
          <w:bCs/>
        </w:rPr>
        <w:t>Propriétés</w:t>
      </w:r>
    </w:p>
    <w:p w14:paraId="488883F5" w14:textId="77777777" w:rsidR="00065317" w:rsidRDefault="005C7BF7">
      <w:pPr>
        <w:pStyle w:val="Normalcentr"/>
      </w:pPr>
      <w:r>
        <w:rPr>
          <w:b/>
          <w:bCs/>
          <w:i/>
          <w:iCs/>
        </w:rPr>
        <w:t>Note de traduction</w:t>
      </w:r>
    </w:p>
    <w:p w14:paraId="538237F7" w14:textId="0494D611" w:rsidR="00065317" w:rsidRDefault="005C7BF7" w:rsidP="000C28E9">
      <w:pPr>
        <w:pStyle w:val="Normalcentr"/>
      </w:pPr>
      <w:r>
        <w:rPr>
          <w:b/>
          <w:bCs/>
          <w:i/>
          <w:iCs/>
        </w:rPr>
        <w:t>Références</w:t>
      </w:r>
    </w:p>
    <w:p w14:paraId="45A9CFBA" w14:textId="77777777" w:rsidR="00065317" w:rsidRDefault="005C7BF7" w:rsidP="00914F34">
      <w:pPr>
        <w:pStyle w:val="Titre3"/>
      </w:pPr>
      <w:bookmarkStart w:id="456" w:name="_Toc154048913"/>
      <w:bookmarkStart w:id="457" w:name="p111-a-ajoute-(a-ete-ajoute-par)"/>
      <w:bookmarkEnd w:id="455"/>
      <w:r>
        <w:t>P111 a ajouté (a été ajouté par)</w:t>
      </w:r>
      <w:bookmarkEnd w:id="456"/>
    </w:p>
    <w:p w14:paraId="1E92F9F9" w14:textId="77777777" w:rsidR="00065317" w:rsidRDefault="005C7BF7">
      <w:pPr>
        <w:pStyle w:val="FirstParagraph"/>
      </w:pPr>
      <w:r>
        <w:rPr>
          <w:b/>
          <w:bCs/>
        </w:rPr>
        <w:t>Domaine</w:t>
      </w:r>
    </w:p>
    <w:p w14:paraId="078C926A" w14:textId="6CC6A6CB" w:rsidR="00065317" w:rsidRDefault="005C7BF7">
      <w:pPr>
        <w:pStyle w:val="Corpsdetexte"/>
      </w:pPr>
      <w:r>
        <w:rPr>
          <w:rStyle w:val="VerbatimChar"/>
        </w:rPr>
        <w:t>E79_Ajout_d</w:t>
      </w:r>
      <w:r w:rsidR="00E84B0E">
        <w:rPr>
          <w:rStyle w:val="VerbatimChar"/>
        </w:rPr>
        <w:t>’</w:t>
      </w:r>
      <w:r>
        <w:rPr>
          <w:rStyle w:val="VerbatimChar"/>
        </w:rPr>
        <w:t>élément</w:t>
      </w:r>
    </w:p>
    <w:p w14:paraId="36D98E87" w14:textId="77777777" w:rsidR="00065317" w:rsidRDefault="005C7BF7">
      <w:pPr>
        <w:pStyle w:val="Corpsdetexte"/>
      </w:pPr>
      <w:r>
        <w:rPr>
          <w:b/>
          <w:bCs/>
        </w:rPr>
        <w:t>Portée</w:t>
      </w:r>
    </w:p>
    <w:p w14:paraId="533D965A" w14:textId="77777777" w:rsidR="00065317" w:rsidRDefault="005C7BF7">
      <w:pPr>
        <w:pStyle w:val="Corpsdetexte"/>
      </w:pPr>
      <w:r>
        <w:rPr>
          <w:rStyle w:val="VerbatimChar"/>
        </w:rPr>
        <w:t>E18_Chose_matérielle</w:t>
      </w:r>
    </w:p>
    <w:p w14:paraId="7CBDD535" w14:textId="77777777" w:rsidR="00065317" w:rsidRDefault="005C7BF7">
      <w:pPr>
        <w:pStyle w:val="Corpsdetexte"/>
      </w:pPr>
      <w:r>
        <w:rPr>
          <w:b/>
          <w:bCs/>
        </w:rPr>
        <w:t>Sous-propriété de</w:t>
      </w:r>
    </w:p>
    <w:p w14:paraId="19A93C48" w14:textId="51F8A3B8" w:rsidR="00065317" w:rsidRDefault="005C7BF7">
      <w:pPr>
        <w:pStyle w:val="Corpsdetexte"/>
      </w:pPr>
      <w:r>
        <w:rPr>
          <w:rStyle w:val="VerbatimChar"/>
        </w:rPr>
        <w:t>E7_Activité</w:t>
      </w:r>
      <w:r>
        <w:t xml:space="preserve">. </w:t>
      </w:r>
      <w:r>
        <w:rPr>
          <w:rStyle w:val="VerbatimChar"/>
        </w:rPr>
        <w:t>P16_a_mobilisé_l</w:t>
      </w:r>
      <w:r w:rsidR="00E84B0E">
        <w:rPr>
          <w:rStyle w:val="VerbatimChar"/>
        </w:rPr>
        <w:t>’</w:t>
      </w:r>
      <w:r>
        <w:rPr>
          <w:rStyle w:val="VerbatimChar"/>
        </w:rPr>
        <w:t>objet_spécifique (a_été_mobilisé_pour)</w:t>
      </w:r>
      <w:r>
        <w:t xml:space="preserve"> : </w:t>
      </w:r>
      <w:r>
        <w:rPr>
          <w:rStyle w:val="VerbatimChar"/>
        </w:rPr>
        <w:t>E70_Chose</w:t>
      </w:r>
    </w:p>
    <w:p w14:paraId="0C7A4A89" w14:textId="77777777" w:rsidR="00065317" w:rsidRDefault="005C7BF7">
      <w:pPr>
        <w:pStyle w:val="Corpsdetexte"/>
      </w:pPr>
      <w:r>
        <w:rPr>
          <w:b/>
          <w:bCs/>
        </w:rPr>
        <w:t>Super-propriété de</w:t>
      </w:r>
    </w:p>
    <w:p w14:paraId="4A8A1BF9" w14:textId="77777777" w:rsidR="00065317" w:rsidRDefault="005C7BF7">
      <w:pPr>
        <w:pStyle w:val="Corpsdetexte"/>
      </w:pPr>
      <w:r>
        <w:rPr>
          <w:b/>
          <w:bCs/>
        </w:rPr>
        <w:t>Quantification</w:t>
      </w:r>
    </w:p>
    <w:p w14:paraId="2F5FEDC2" w14:textId="77777777" w:rsidR="00065317" w:rsidRDefault="005C7BF7">
      <w:pPr>
        <w:pStyle w:val="Corpsdetexte"/>
      </w:pPr>
      <w:r>
        <w:t>plusieurs à plusieurs, nécessaire (1,n:0,n)</w:t>
      </w:r>
    </w:p>
    <w:p w14:paraId="0E30FE33" w14:textId="04084FC2" w:rsidR="00065317" w:rsidRDefault="005C7BF7">
      <w:pPr>
        <w:pStyle w:val="Corpsdetexte"/>
      </w:pPr>
      <w:r>
        <w:rPr>
          <w:b/>
          <w:bCs/>
        </w:rPr>
        <w:lastRenderedPageBreak/>
        <w:t>Note d</w:t>
      </w:r>
      <w:r w:rsidR="00E84B0E">
        <w:rPr>
          <w:b/>
          <w:bCs/>
        </w:rPr>
        <w:t>’</w:t>
      </w:r>
      <w:r>
        <w:rPr>
          <w:b/>
          <w:bCs/>
        </w:rPr>
        <w:t>application</w:t>
      </w:r>
    </w:p>
    <w:p w14:paraId="0894B263" w14:textId="3CF0B503" w:rsidR="00065317" w:rsidRDefault="005C7BF7">
      <w:pPr>
        <w:pStyle w:val="Corpsdetexte"/>
      </w:pPr>
      <w:r>
        <w:t>Cette propriété identifie l</w:t>
      </w:r>
      <w:r w:rsidR="00E84B0E">
        <w:t>’</w:t>
      </w:r>
      <w:r>
        <w:t xml:space="preserve">instance de </w:t>
      </w:r>
      <w:r>
        <w:rPr>
          <w:rStyle w:val="VerbatimChar"/>
        </w:rPr>
        <w:t>E18_Chose_matérielle</w:t>
      </w:r>
      <w:r>
        <w:t xml:space="preserve"> qui est ajoutée lors d</w:t>
      </w:r>
      <w:r w:rsidR="00E84B0E">
        <w:t>’</w:t>
      </w:r>
      <w:r>
        <w:t>une activité d</w:t>
      </w:r>
      <w:r w:rsidR="00E84B0E">
        <w:t>’</w:t>
      </w:r>
      <w:r>
        <w:t>ajout d</w:t>
      </w:r>
      <w:r w:rsidR="00E84B0E">
        <w:t>’</w:t>
      </w:r>
      <w:r>
        <w:t>élément (</w:t>
      </w:r>
      <w:r>
        <w:rPr>
          <w:rStyle w:val="VerbatimChar"/>
        </w:rPr>
        <w:t>E79_Ajout_d</w:t>
      </w:r>
      <w:r w:rsidR="00E84B0E">
        <w:rPr>
          <w:rStyle w:val="VerbatimChar"/>
        </w:rPr>
        <w:t>’</w:t>
      </w:r>
      <w:r>
        <w:rPr>
          <w:rStyle w:val="VerbatimChar"/>
        </w:rPr>
        <w:t>élément</w:t>
      </w:r>
      <w:r>
        <w:t>).</w:t>
      </w:r>
    </w:p>
    <w:p w14:paraId="4B8C3ADC" w14:textId="77777777" w:rsidR="00065317" w:rsidRDefault="005C7BF7">
      <w:pPr>
        <w:pStyle w:val="Corpsdetexte"/>
      </w:pPr>
      <w:r>
        <w:rPr>
          <w:b/>
          <w:bCs/>
        </w:rPr>
        <w:t>Exemples</w:t>
      </w:r>
    </w:p>
    <w:p w14:paraId="5DBADAEB" w14:textId="1FD3F666" w:rsidR="00065317" w:rsidRDefault="005C7BF7">
      <w:pPr>
        <w:numPr>
          <w:ilvl w:val="0"/>
          <w:numId w:val="235"/>
        </w:numPr>
      </w:pPr>
      <w:r>
        <w:t>L</w:t>
      </w:r>
      <w:r w:rsidR="00E84B0E">
        <w:t>’</w:t>
      </w:r>
      <w:r>
        <w:t>insertion du dernier clou (</w:t>
      </w:r>
      <w:r>
        <w:rPr>
          <w:rStyle w:val="VerbatimChar"/>
        </w:rPr>
        <w:t>E79_Ajout_d</w:t>
      </w:r>
      <w:r w:rsidR="00E84B0E">
        <w:rPr>
          <w:rStyle w:val="VerbatimChar"/>
        </w:rPr>
        <w:t>’</w:t>
      </w:r>
      <w:r>
        <w:rPr>
          <w:rStyle w:val="VerbatimChar"/>
        </w:rPr>
        <w:t>élément</w:t>
      </w:r>
      <w:r>
        <w:t>) a ajouté (</w:t>
      </w:r>
      <w:r>
        <w:rPr>
          <w:rStyle w:val="VerbatimChar"/>
        </w:rPr>
        <w:t>P111_a_ajouté</w:t>
      </w:r>
      <w:r>
        <w:t>) le dernier clou dans le cercueil de George VI (</w:t>
      </w:r>
      <w:r>
        <w:rPr>
          <w:rStyle w:val="VerbatimChar"/>
        </w:rPr>
        <w:t>E22_Objet_élaboré_par_l</w:t>
      </w:r>
      <w:r w:rsidR="00E84B0E">
        <w:rPr>
          <w:rStyle w:val="VerbatimChar"/>
        </w:rPr>
        <w:t>’</w:t>
      </w:r>
      <w:r>
        <w:rPr>
          <w:rStyle w:val="VerbatimChar"/>
        </w:rPr>
        <w:t>humain</w:t>
      </w:r>
      <w:r>
        <w:t>) (</w:t>
      </w:r>
      <w:hyperlink r:id="rId254">
        <w:r>
          <w:rPr>
            <w:rStyle w:val="Lienhypertexte"/>
          </w:rPr>
          <w:t>https://www.rct.uk/collection/2000811/the-coffin-of-king-george-vi-during-the-lying-in-state</w:t>
        </w:r>
      </w:hyperlink>
      <w:r>
        <w:t>)</w:t>
      </w:r>
    </w:p>
    <w:p w14:paraId="646D50C5" w14:textId="77777777" w:rsidR="00065317" w:rsidRDefault="005C7BF7">
      <w:pPr>
        <w:pStyle w:val="FirstParagraph"/>
      </w:pPr>
      <w:r>
        <w:rPr>
          <w:b/>
          <w:bCs/>
        </w:rPr>
        <w:t>Logique</w:t>
      </w:r>
    </w:p>
    <w:p w14:paraId="50C088E1" w14:textId="77777777" w:rsidR="00065317" w:rsidRDefault="005C7BF7">
      <w:pPr>
        <w:pStyle w:val="Corpsdetexte"/>
      </w:pPr>
      <w:r>
        <w:t>P111(x,y) ⇒ E79(x)</w:t>
      </w:r>
    </w:p>
    <w:p w14:paraId="05500E7C" w14:textId="77777777" w:rsidR="00065317" w:rsidRDefault="005C7BF7">
      <w:pPr>
        <w:pStyle w:val="Corpsdetexte"/>
      </w:pPr>
      <w:r>
        <w:t>P111(x,y) ⇒ E18(y)</w:t>
      </w:r>
    </w:p>
    <w:p w14:paraId="6B48705A" w14:textId="77777777" w:rsidR="00065317" w:rsidRDefault="005C7BF7">
      <w:pPr>
        <w:pStyle w:val="Corpsdetexte"/>
      </w:pPr>
      <w:r>
        <w:t>P111(x,y) ⇒ P16(x,y)</w:t>
      </w:r>
    </w:p>
    <w:p w14:paraId="550B2D92" w14:textId="77777777" w:rsidR="00065317" w:rsidRDefault="005C7BF7">
      <w:pPr>
        <w:pStyle w:val="Corpsdetexte"/>
      </w:pPr>
      <w:r>
        <w:rPr>
          <w:b/>
          <w:bCs/>
        </w:rPr>
        <w:t>Propriétés</w:t>
      </w:r>
    </w:p>
    <w:p w14:paraId="28E02410" w14:textId="77777777" w:rsidR="00065317" w:rsidRDefault="005C7BF7">
      <w:pPr>
        <w:pStyle w:val="Normalcentr"/>
      </w:pPr>
      <w:r>
        <w:rPr>
          <w:b/>
          <w:bCs/>
          <w:i/>
          <w:iCs/>
        </w:rPr>
        <w:t>Note de traduction</w:t>
      </w:r>
    </w:p>
    <w:p w14:paraId="21B99DEB" w14:textId="5CE4EF90" w:rsidR="00065317" w:rsidRDefault="005C7BF7" w:rsidP="005607FD">
      <w:pPr>
        <w:pStyle w:val="Normalcentr"/>
      </w:pPr>
      <w:r>
        <w:rPr>
          <w:b/>
          <w:bCs/>
          <w:i/>
          <w:iCs/>
        </w:rPr>
        <w:t>Références</w:t>
      </w:r>
    </w:p>
    <w:p w14:paraId="68EC12CA" w14:textId="77777777" w:rsidR="00065317" w:rsidRDefault="005C7BF7" w:rsidP="00914F34">
      <w:pPr>
        <w:pStyle w:val="Titre3"/>
      </w:pPr>
      <w:bookmarkStart w:id="458" w:name="_Toc154048914"/>
      <w:bookmarkStart w:id="459" w:name="p112-a-diminue-(a-ete-diminue-par)"/>
      <w:bookmarkEnd w:id="457"/>
      <w:r>
        <w:t>P112 a diminué (a été diminué par)</w:t>
      </w:r>
      <w:bookmarkEnd w:id="458"/>
    </w:p>
    <w:p w14:paraId="4399C818" w14:textId="77777777" w:rsidR="00065317" w:rsidRDefault="005C7BF7">
      <w:pPr>
        <w:pStyle w:val="FirstParagraph"/>
      </w:pPr>
      <w:r>
        <w:rPr>
          <w:b/>
          <w:bCs/>
        </w:rPr>
        <w:t>Domaine</w:t>
      </w:r>
    </w:p>
    <w:p w14:paraId="7D9E0C18" w14:textId="20D1D8AA" w:rsidR="00065317" w:rsidRDefault="005C7BF7">
      <w:pPr>
        <w:pStyle w:val="Corpsdetexte"/>
      </w:pPr>
      <w:r>
        <w:rPr>
          <w:rStyle w:val="VerbatimChar"/>
        </w:rPr>
        <w:t>E80_Retrait_d</w:t>
      </w:r>
      <w:r w:rsidR="00E84B0E">
        <w:rPr>
          <w:rStyle w:val="VerbatimChar"/>
        </w:rPr>
        <w:t>’</w:t>
      </w:r>
      <w:r>
        <w:rPr>
          <w:rStyle w:val="VerbatimChar"/>
        </w:rPr>
        <w:t>élément</w:t>
      </w:r>
    </w:p>
    <w:p w14:paraId="3342EA95" w14:textId="77777777" w:rsidR="00065317" w:rsidRDefault="005C7BF7">
      <w:pPr>
        <w:pStyle w:val="Corpsdetexte"/>
      </w:pPr>
      <w:r>
        <w:rPr>
          <w:b/>
          <w:bCs/>
        </w:rPr>
        <w:t>Portée</w:t>
      </w:r>
    </w:p>
    <w:p w14:paraId="292E2554" w14:textId="77777777" w:rsidR="00065317" w:rsidRDefault="005C7BF7">
      <w:pPr>
        <w:pStyle w:val="Corpsdetexte"/>
      </w:pPr>
      <w:r>
        <w:rPr>
          <w:rStyle w:val="VerbatimChar"/>
        </w:rPr>
        <w:t>E18_Chose_matérielle</w:t>
      </w:r>
    </w:p>
    <w:p w14:paraId="6A5AE121" w14:textId="77777777" w:rsidR="00065317" w:rsidRDefault="005C7BF7">
      <w:pPr>
        <w:pStyle w:val="Corpsdetexte"/>
      </w:pPr>
      <w:r>
        <w:rPr>
          <w:b/>
          <w:bCs/>
        </w:rPr>
        <w:t>Sous-propriété de</w:t>
      </w:r>
    </w:p>
    <w:p w14:paraId="3B7B921E" w14:textId="77777777" w:rsidR="00065317" w:rsidRDefault="005C7BF7">
      <w:pPr>
        <w:pStyle w:val="Corpsdetexte"/>
      </w:pPr>
      <w:r>
        <w:rPr>
          <w:rStyle w:val="VerbatimChar"/>
        </w:rPr>
        <w:t>E11_Modification</w:t>
      </w:r>
      <w:r>
        <w:t xml:space="preserve">. </w:t>
      </w:r>
      <w:r>
        <w:rPr>
          <w:rStyle w:val="VerbatimChar"/>
        </w:rPr>
        <w:t>P31_a_modifié (a_été_modifié_par)</w:t>
      </w:r>
      <w:r>
        <w:t xml:space="preserve"> : </w:t>
      </w:r>
      <w:r>
        <w:rPr>
          <w:rStyle w:val="VerbatimChar"/>
        </w:rPr>
        <w:t>E18_Chose_matérielle</w:t>
      </w:r>
    </w:p>
    <w:p w14:paraId="621EC9C4" w14:textId="55835F3A" w:rsidR="00065317" w:rsidRDefault="005C7BF7">
      <w:pPr>
        <w:pStyle w:val="Corpsdetexte"/>
      </w:pPr>
      <w:r>
        <w:rPr>
          <w:b/>
          <w:bCs/>
        </w:rPr>
        <w:t>Super-propriété de</w:t>
      </w:r>
    </w:p>
    <w:p w14:paraId="522F60E2" w14:textId="77777777" w:rsidR="00065317" w:rsidRDefault="005C7BF7">
      <w:pPr>
        <w:pStyle w:val="Corpsdetexte"/>
      </w:pPr>
      <w:r>
        <w:rPr>
          <w:b/>
          <w:bCs/>
        </w:rPr>
        <w:t>Quantification</w:t>
      </w:r>
    </w:p>
    <w:p w14:paraId="7EA4A187" w14:textId="77777777" w:rsidR="00065317" w:rsidRDefault="005C7BF7">
      <w:pPr>
        <w:pStyle w:val="Corpsdetexte"/>
      </w:pPr>
      <w:r>
        <w:t>plusieurs à plusieurs, nécessaire (1,n:0,n)</w:t>
      </w:r>
    </w:p>
    <w:p w14:paraId="0CD5B9AC" w14:textId="7FBF53B8" w:rsidR="00065317" w:rsidRDefault="005C7BF7">
      <w:pPr>
        <w:pStyle w:val="Corpsdetexte"/>
      </w:pPr>
      <w:r>
        <w:rPr>
          <w:b/>
          <w:bCs/>
        </w:rPr>
        <w:t>Note d</w:t>
      </w:r>
      <w:r w:rsidR="00E84B0E">
        <w:rPr>
          <w:b/>
          <w:bCs/>
        </w:rPr>
        <w:t>’</w:t>
      </w:r>
      <w:r>
        <w:rPr>
          <w:b/>
          <w:bCs/>
        </w:rPr>
        <w:t>application</w:t>
      </w:r>
    </w:p>
    <w:p w14:paraId="7E40B83F" w14:textId="49354EE8" w:rsidR="00065317" w:rsidRDefault="005C7BF7">
      <w:pPr>
        <w:pStyle w:val="Corpsdetexte"/>
      </w:pPr>
      <w:r>
        <w:t>Cette propriété identifie l</w:t>
      </w:r>
      <w:r w:rsidR="00E84B0E">
        <w:t>’</w:t>
      </w:r>
      <w:r>
        <w:t xml:space="preserve">instance de </w:t>
      </w:r>
      <w:r>
        <w:rPr>
          <w:rStyle w:val="VerbatimChar"/>
        </w:rPr>
        <w:t>E18_Chose_matérielle</w:t>
      </w:r>
      <w:r>
        <w:t xml:space="preserve"> qui a été diminuée par une instance de </w:t>
      </w:r>
      <w:r>
        <w:rPr>
          <w:rStyle w:val="VerbatimChar"/>
        </w:rPr>
        <w:t>E80_Retrait_d</w:t>
      </w:r>
      <w:r w:rsidR="00E84B0E">
        <w:rPr>
          <w:rStyle w:val="VerbatimChar"/>
        </w:rPr>
        <w:t>’</w:t>
      </w:r>
      <w:r>
        <w:rPr>
          <w:rStyle w:val="VerbatimChar"/>
        </w:rPr>
        <w:t>élément</w:t>
      </w:r>
      <w:r>
        <w:t>.</w:t>
      </w:r>
      <w:r w:rsidR="00C97359">
        <w:t xml:space="preserve"> </w:t>
      </w:r>
      <w:r>
        <w:t>Bien qu</w:t>
      </w:r>
      <w:r w:rsidR="00E84B0E">
        <w:t>’</w:t>
      </w:r>
      <w:r>
        <w:t xml:space="preserve">une instance de </w:t>
      </w:r>
      <w:r>
        <w:rPr>
          <w:rStyle w:val="VerbatimChar"/>
        </w:rPr>
        <w:t>E80_Retrait_d</w:t>
      </w:r>
      <w:r w:rsidR="00E84B0E">
        <w:rPr>
          <w:rStyle w:val="VerbatimChar"/>
        </w:rPr>
        <w:t>’</w:t>
      </w:r>
      <w:r>
        <w:rPr>
          <w:rStyle w:val="VerbatimChar"/>
        </w:rPr>
        <w:t>élément</w:t>
      </w:r>
      <w:r>
        <w:t xml:space="preserve"> ne concerne normalement qu</w:t>
      </w:r>
      <w:r w:rsidR="00E84B0E">
        <w:t>’</w:t>
      </w:r>
      <w:r>
        <w:t xml:space="preserve">une instance de </w:t>
      </w:r>
      <w:r>
        <w:rPr>
          <w:rStyle w:val="VerbatimChar"/>
        </w:rPr>
        <w:t>E18_Chose_matérielle</w:t>
      </w:r>
      <w:r>
        <w:t>, il est possible d</w:t>
      </w:r>
      <w:r w:rsidR="00E84B0E">
        <w:t>’</w:t>
      </w:r>
      <w:r>
        <w:t>imaginer des circonstances au cours desquelles plus d</w:t>
      </w:r>
      <w:r w:rsidR="00E84B0E">
        <w:t>’</w:t>
      </w:r>
      <w:r>
        <w:t xml:space="preserve">un élément pourrait être diminué par une seule instance de </w:t>
      </w:r>
      <w:r>
        <w:rPr>
          <w:rStyle w:val="VerbatimChar"/>
        </w:rPr>
        <w:t>E80_Retrait_d</w:t>
      </w:r>
      <w:r w:rsidR="00E84B0E">
        <w:rPr>
          <w:rStyle w:val="VerbatimChar"/>
        </w:rPr>
        <w:t>’</w:t>
      </w:r>
      <w:r>
        <w:rPr>
          <w:rStyle w:val="VerbatimChar"/>
        </w:rPr>
        <w:t>élément</w:t>
      </w:r>
      <w:r>
        <w:t>.</w:t>
      </w:r>
    </w:p>
    <w:p w14:paraId="13E95501" w14:textId="77777777" w:rsidR="00065317" w:rsidRDefault="005C7BF7">
      <w:pPr>
        <w:pStyle w:val="Corpsdetexte"/>
      </w:pPr>
      <w:r>
        <w:rPr>
          <w:b/>
          <w:bCs/>
        </w:rPr>
        <w:t>Exemples</w:t>
      </w:r>
    </w:p>
    <w:p w14:paraId="796ED49C" w14:textId="127C67A1" w:rsidR="00065317" w:rsidRDefault="005C7BF7">
      <w:pPr>
        <w:numPr>
          <w:ilvl w:val="0"/>
          <w:numId w:val="236"/>
        </w:numPr>
      </w:pPr>
      <w:r>
        <w:t>Le cercueil de Toutânkhamon (</w:t>
      </w:r>
      <w:r>
        <w:rPr>
          <w:rStyle w:val="VerbatimChar"/>
        </w:rPr>
        <w:t>E22_Objet_élaboré_par_l</w:t>
      </w:r>
      <w:r w:rsidR="00E84B0E">
        <w:rPr>
          <w:rStyle w:val="VerbatimChar"/>
        </w:rPr>
        <w:t>’</w:t>
      </w:r>
      <w:r>
        <w:rPr>
          <w:rStyle w:val="VerbatimChar"/>
        </w:rPr>
        <w:t>humain</w:t>
      </w:r>
      <w:r>
        <w:t>) a été diminué par (</w:t>
      </w:r>
      <w:r>
        <w:rPr>
          <w:rStyle w:val="VerbatimChar"/>
        </w:rPr>
        <w:t>P112i_a_été_diminué_par</w:t>
      </w:r>
      <w:r>
        <w:t>) l</w:t>
      </w:r>
      <w:r w:rsidR="00E84B0E">
        <w:t>’</w:t>
      </w:r>
      <w:r>
        <w:t>ouverture du cercueil de Toutânkhamon (</w:t>
      </w:r>
      <w:r>
        <w:rPr>
          <w:rStyle w:val="VerbatimChar"/>
        </w:rPr>
        <w:t>E80_Retrait_d</w:t>
      </w:r>
      <w:r w:rsidR="00E84B0E">
        <w:rPr>
          <w:rStyle w:val="VerbatimChar"/>
        </w:rPr>
        <w:t>’</w:t>
      </w:r>
      <w:r>
        <w:rPr>
          <w:rStyle w:val="VerbatimChar"/>
        </w:rPr>
        <w:t>élément</w:t>
      </w:r>
      <w:r>
        <w:t>) (Carter, 2014)</w:t>
      </w:r>
    </w:p>
    <w:p w14:paraId="2BDF6F4A" w14:textId="025D7003" w:rsidR="00065317" w:rsidRDefault="005C7BF7">
      <w:pPr>
        <w:numPr>
          <w:ilvl w:val="0"/>
          <w:numId w:val="236"/>
        </w:numPr>
      </w:pPr>
      <w:r>
        <w:lastRenderedPageBreak/>
        <w:t>Les coraux des îles Cocos (</w:t>
      </w:r>
      <w:r>
        <w:rPr>
          <w:rStyle w:val="VerbatimChar"/>
        </w:rPr>
        <w:t>E20_Objet_biologique</w:t>
      </w:r>
      <w:r>
        <w:t>) ont été diminués par (</w:t>
      </w:r>
      <w:r>
        <w:rPr>
          <w:rStyle w:val="VerbatimChar"/>
        </w:rPr>
        <w:t>P112i_a_été_diminué_par</w:t>
      </w:r>
      <w:r>
        <w:t>) le retrait d</w:t>
      </w:r>
      <w:r w:rsidR="00E84B0E">
        <w:t>’</w:t>
      </w:r>
      <w:r>
        <w:t>un spécimen de porites par Charles Darwin (</w:t>
      </w:r>
      <w:r>
        <w:rPr>
          <w:rStyle w:val="VerbatimChar"/>
        </w:rPr>
        <w:t>E80_Retrait_d</w:t>
      </w:r>
      <w:r w:rsidR="00E84B0E">
        <w:rPr>
          <w:rStyle w:val="VerbatimChar"/>
        </w:rPr>
        <w:t>’</w:t>
      </w:r>
      <w:r>
        <w:rPr>
          <w:rStyle w:val="VerbatimChar"/>
        </w:rPr>
        <w:t>élément</w:t>
      </w:r>
      <w:r>
        <w:t>) (Natural History Museum, 2010b)</w:t>
      </w:r>
    </w:p>
    <w:p w14:paraId="35BD4539" w14:textId="77777777" w:rsidR="00065317" w:rsidRDefault="005C7BF7">
      <w:pPr>
        <w:pStyle w:val="FirstParagraph"/>
      </w:pPr>
      <w:r>
        <w:rPr>
          <w:b/>
          <w:bCs/>
        </w:rPr>
        <w:t>Logique</w:t>
      </w:r>
    </w:p>
    <w:p w14:paraId="39155F4B" w14:textId="77777777" w:rsidR="00065317" w:rsidRDefault="005C7BF7">
      <w:pPr>
        <w:pStyle w:val="Corpsdetexte"/>
      </w:pPr>
      <w:r>
        <w:t>P112(x,y) ⇒ E80(x) P112(x,y) ⇒ E18(y) P112(x,y) ⇒ P31(x,y)</w:t>
      </w:r>
    </w:p>
    <w:p w14:paraId="03F593F2" w14:textId="77777777" w:rsidR="00065317" w:rsidRDefault="005C7BF7">
      <w:pPr>
        <w:pStyle w:val="Corpsdetexte"/>
      </w:pPr>
      <w:r>
        <w:rPr>
          <w:b/>
          <w:bCs/>
        </w:rPr>
        <w:t>Propriétés</w:t>
      </w:r>
    </w:p>
    <w:p w14:paraId="7F395A44" w14:textId="77777777" w:rsidR="00065317" w:rsidRDefault="005C7BF7">
      <w:pPr>
        <w:pStyle w:val="Normalcentr"/>
      </w:pPr>
      <w:r>
        <w:rPr>
          <w:b/>
          <w:bCs/>
          <w:i/>
          <w:iCs/>
        </w:rPr>
        <w:t>Note de traduction</w:t>
      </w:r>
    </w:p>
    <w:p w14:paraId="440ABD7A" w14:textId="55C759A7" w:rsidR="00065317" w:rsidRDefault="005C7BF7" w:rsidP="005607FD">
      <w:pPr>
        <w:pStyle w:val="Normalcentr"/>
      </w:pPr>
      <w:r>
        <w:rPr>
          <w:b/>
          <w:bCs/>
          <w:i/>
          <w:iCs/>
        </w:rPr>
        <w:t>Références</w:t>
      </w:r>
    </w:p>
    <w:p w14:paraId="6B13D845" w14:textId="77777777" w:rsidR="00065317" w:rsidRDefault="005C7BF7" w:rsidP="00914F34">
      <w:pPr>
        <w:pStyle w:val="Titre3"/>
      </w:pPr>
      <w:bookmarkStart w:id="460" w:name="_Toc154048915"/>
      <w:bookmarkStart w:id="461" w:name="p113-a-retire-(a-ete-retire-par)"/>
      <w:bookmarkEnd w:id="459"/>
      <w:r>
        <w:t>P113 a retiré (a été retiré par)</w:t>
      </w:r>
      <w:bookmarkEnd w:id="460"/>
    </w:p>
    <w:p w14:paraId="735CBEEE" w14:textId="77777777" w:rsidR="00065317" w:rsidRDefault="005C7BF7">
      <w:pPr>
        <w:pStyle w:val="FirstParagraph"/>
      </w:pPr>
      <w:r>
        <w:rPr>
          <w:b/>
          <w:bCs/>
        </w:rPr>
        <w:t>Domaine</w:t>
      </w:r>
    </w:p>
    <w:p w14:paraId="4815B802" w14:textId="4BEA6FB5" w:rsidR="00065317" w:rsidRDefault="005C7BF7">
      <w:pPr>
        <w:pStyle w:val="Corpsdetexte"/>
      </w:pPr>
      <w:r>
        <w:rPr>
          <w:rStyle w:val="VerbatimChar"/>
        </w:rPr>
        <w:t>E80_Retrait_d</w:t>
      </w:r>
      <w:r w:rsidR="00E84B0E">
        <w:rPr>
          <w:rStyle w:val="VerbatimChar"/>
        </w:rPr>
        <w:t>’</w:t>
      </w:r>
      <w:r>
        <w:rPr>
          <w:rStyle w:val="VerbatimChar"/>
        </w:rPr>
        <w:t>élément</w:t>
      </w:r>
    </w:p>
    <w:p w14:paraId="0440EED6" w14:textId="77777777" w:rsidR="00065317" w:rsidRDefault="005C7BF7">
      <w:pPr>
        <w:pStyle w:val="Corpsdetexte"/>
      </w:pPr>
      <w:r>
        <w:rPr>
          <w:b/>
          <w:bCs/>
        </w:rPr>
        <w:t>Portée</w:t>
      </w:r>
    </w:p>
    <w:p w14:paraId="4A172D81" w14:textId="77777777" w:rsidR="00065317" w:rsidRDefault="005C7BF7">
      <w:pPr>
        <w:pStyle w:val="Corpsdetexte"/>
      </w:pPr>
      <w:r>
        <w:rPr>
          <w:rStyle w:val="VerbatimChar"/>
        </w:rPr>
        <w:t>E18_Chose_matérielle</w:t>
      </w:r>
    </w:p>
    <w:p w14:paraId="76399CAE" w14:textId="77777777" w:rsidR="00065317" w:rsidRDefault="005C7BF7">
      <w:pPr>
        <w:pStyle w:val="Corpsdetexte"/>
      </w:pPr>
      <w:r>
        <w:rPr>
          <w:b/>
          <w:bCs/>
        </w:rPr>
        <w:t>Sous-propriété de</w:t>
      </w:r>
    </w:p>
    <w:p w14:paraId="1B3CB1DB" w14:textId="77777777" w:rsidR="00065317" w:rsidRDefault="005C7BF7">
      <w:pPr>
        <w:pStyle w:val="Corpsdetexte"/>
      </w:pPr>
      <w:r>
        <w:rPr>
          <w:rStyle w:val="VerbatimChar"/>
        </w:rPr>
        <w:t>E5_Évènement</w:t>
      </w:r>
      <w:r>
        <w:t xml:space="preserve">. </w:t>
      </w:r>
      <w:r>
        <w:rPr>
          <w:rStyle w:val="VerbatimChar"/>
        </w:rPr>
        <w:t>P12_a_eu_lieu_en_présence_de (a_été_présent_à)</w:t>
      </w:r>
      <w:r>
        <w:t xml:space="preserve"> : </w:t>
      </w:r>
      <w:r>
        <w:rPr>
          <w:rStyle w:val="VerbatimChar"/>
        </w:rPr>
        <w:t>E77_Entité_persistante</w:t>
      </w:r>
    </w:p>
    <w:p w14:paraId="7C2AFAA1" w14:textId="2BE91A93" w:rsidR="00065317" w:rsidRDefault="005C7BF7">
      <w:pPr>
        <w:pStyle w:val="Corpsdetexte"/>
      </w:pPr>
      <w:r>
        <w:rPr>
          <w:b/>
          <w:bCs/>
        </w:rPr>
        <w:t>Super-propriété de</w:t>
      </w:r>
    </w:p>
    <w:p w14:paraId="17DDE7C2" w14:textId="77777777" w:rsidR="00065317" w:rsidRDefault="005C7BF7">
      <w:pPr>
        <w:pStyle w:val="Corpsdetexte"/>
      </w:pPr>
      <w:r>
        <w:rPr>
          <w:b/>
          <w:bCs/>
        </w:rPr>
        <w:t>Quantification</w:t>
      </w:r>
    </w:p>
    <w:p w14:paraId="3710ABDC" w14:textId="77777777" w:rsidR="00065317" w:rsidRDefault="005C7BF7">
      <w:pPr>
        <w:pStyle w:val="Corpsdetexte"/>
      </w:pPr>
      <w:r>
        <w:t>plusieurs à plusieurs, nécessaire (1,n:0,n)</w:t>
      </w:r>
    </w:p>
    <w:p w14:paraId="159DDB1C" w14:textId="6A46B67F" w:rsidR="00065317" w:rsidRDefault="005C7BF7">
      <w:pPr>
        <w:pStyle w:val="Corpsdetexte"/>
      </w:pPr>
      <w:r>
        <w:rPr>
          <w:b/>
          <w:bCs/>
        </w:rPr>
        <w:t>Note d</w:t>
      </w:r>
      <w:r w:rsidR="00E84B0E">
        <w:rPr>
          <w:b/>
          <w:bCs/>
        </w:rPr>
        <w:t>’</w:t>
      </w:r>
      <w:r>
        <w:rPr>
          <w:b/>
          <w:bCs/>
        </w:rPr>
        <w:t>application</w:t>
      </w:r>
    </w:p>
    <w:p w14:paraId="63EB7FE3" w14:textId="38B65B8A" w:rsidR="00065317" w:rsidRDefault="005C7BF7">
      <w:pPr>
        <w:pStyle w:val="Corpsdetexte"/>
      </w:pPr>
      <w:r>
        <w:t>Cette propriété identifie l</w:t>
      </w:r>
      <w:r w:rsidR="00E84B0E">
        <w:t>’</w:t>
      </w:r>
      <w:r>
        <w:t xml:space="preserve">instance de </w:t>
      </w:r>
      <w:r>
        <w:rPr>
          <w:rStyle w:val="VerbatimChar"/>
        </w:rPr>
        <w:t>E18_Chose_matérielle</w:t>
      </w:r>
      <w:r>
        <w:t xml:space="preserve"> qui est retirée lors d</w:t>
      </w:r>
      <w:r w:rsidR="00E84B0E">
        <w:t>’</w:t>
      </w:r>
      <w:r>
        <w:t>une activité de retrait d</w:t>
      </w:r>
      <w:r w:rsidR="00E84B0E">
        <w:t>’</w:t>
      </w:r>
      <w:r>
        <w:t>élément (</w:t>
      </w:r>
      <w:r>
        <w:rPr>
          <w:rStyle w:val="VerbatimChar"/>
        </w:rPr>
        <w:t>E80_Retrait_d</w:t>
      </w:r>
      <w:r w:rsidR="00E84B0E">
        <w:rPr>
          <w:rStyle w:val="VerbatimChar"/>
        </w:rPr>
        <w:t>’</w:t>
      </w:r>
      <w:r>
        <w:rPr>
          <w:rStyle w:val="VerbatimChar"/>
        </w:rPr>
        <w:t>élément</w:t>
      </w:r>
      <w:r>
        <w:t>).</w:t>
      </w:r>
    </w:p>
    <w:p w14:paraId="5C960294" w14:textId="77777777" w:rsidR="00065317" w:rsidRDefault="005C7BF7">
      <w:pPr>
        <w:pStyle w:val="Corpsdetexte"/>
      </w:pPr>
      <w:r>
        <w:rPr>
          <w:b/>
          <w:bCs/>
        </w:rPr>
        <w:t>Exemples</w:t>
      </w:r>
    </w:p>
    <w:p w14:paraId="01EDBCD0" w14:textId="5AEA9101" w:rsidR="00065317" w:rsidRDefault="005C7BF7">
      <w:pPr>
        <w:numPr>
          <w:ilvl w:val="0"/>
          <w:numId w:val="237"/>
        </w:numPr>
      </w:pPr>
      <w:r>
        <w:t>L</w:t>
      </w:r>
      <w:r w:rsidR="00E84B0E">
        <w:t>’</w:t>
      </w:r>
      <w:r>
        <w:t>ouverture du cercueil de Toutânkhamon (</w:t>
      </w:r>
      <w:r>
        <w:rPr>
          <w:rStyle w:val="VerbatimChar"/>
        </w:rPr>
        <w:t>E80_Retrait_d</w:t>
      </w:r>
      <w:r w:rsidR="00E84B0E">
        <w:rPr>
          <w:rStyle w:val="VerbatimChar"/>
        </w:rPr>
        <w:t>’</w:t>
      </w:r>
      <w:r>
        <w:rPr>
          <w:rStyle w:val="VerbatimChar"/>
        </w:rPr>
        <w:t>élément</w:t>
      </w:r>
      <w:r>
        <w:t>) a retiré (</w:t>
      </w:r>
      <w:r>
        <w:rPr>
          <w:rStyle w:val="VerbatimChar"/>
        </w:rPr>
        <w:t>P113_a_retiré</w:t>
      </w:r>
      <w:r>
        <w:t>) la momie de Toutânkhamon (</w:t>
      </w:r>
      <w:r>
        <w:rPr>
          <w:rStyle w:val="VerbatimChar"/>
        </w:rPr>
        <w:t>E20_Objet_biologique</w:t>
      </w:r>
      <w:r>
        <w:t xml:space="preserve">, </w:t>
      </w:r>
      <w:r>
        <w:rPr>
          <w:rStyle w:val="VerbatimChar"/>
        </w:rPr>
        <w:t>E22_Objet_élaboré_par_l</w:t>
      </w:r>
      <w:r w:rsidR="00E84B0E">
        <w:rPr>
          <w:rStyle w:val="VerbatimChar"/>
        </w:rPr>
        <w:t>’</w:t>
      </w:r>
      <w:r>
        <w:rPr>
          <w:rStyle w:val="VerbatimChar"/>
        </w:rPr>
        <w:t>humain</w:t>
      </w:r>
      <w:r>
        <w:t>) (Carter, 2014)</w:t>
      </w:r>
    </w:p>
    <w:p w14:paraId="18713143" w14:textId="77777777" w:rsidR="00065317" w:rsidRDefault="005C7BF7">
      <w:pPr>
        <w:pStyle w:val="FirstParagraph"/>
      </w:pPr>
      <w:r>
        <w:rPr>
          <w:b/>
          <w:bCs/>
        </w:rPr>
        <w:t>Logique</w:t>
      </w:r>
    </w:p>
    <w:p w14:paraId="497B8593" w14:textId="77777777" w:rsidR="00065317" w:rsidRDefault="005C7BF7">
      <w:pPr>
        <w:pStyle w:val="Corpsdetexte"/>
      </w:pPr>
      <w:r>
        <w:t>P113(x,y) ⇒ E80(x)</w:t>
      </w:r>
    </w:p>
    <w:p w14:paraId="22C025A8" w14:textId="77777777" w:rsidR="00065317" w:rsidRDefault="005C7BF7">
      <w:pPr>
        <w:pStyle w:val="Corpsdetexte"/>
      </w:pPr>
      <w:r>
        <w:t>P113(x,y) ⇒ E18(y)</w:t>
      </w:r>
    </w:p>
    <w:p w14:paraId="40715BEC" w14:textId="77777777" w:rsidR="00065317" w:rsidRDefault="005C7BF7">
      <w:pPr>
        <w:pStyle w:val="Corpsdetexte"/>
      </w:pPr>
      <w:r>
        <w:t>P113(x,y) ⇒ P12(x,y)</w:t>
      </w:r>
    </w:p>
    <w:p w14:paraId="57E047EC" w14:textId="77777777" w:rsidR="00065317" w:rsidRDefault="005C7BF7">
      <w:pPr>
        <w:pStyle w:val="Corpsdetexte"/>
      </w:pPr>
      <w:r>
        <w:rPr>
          <w:b/>
          <w:bCs/>
        </w:rPr>
        <w:t>Propriétés</w:t>
      </w:r>
    </w:p>
    <w:p w14:paraId="523404BF" w14:textId="77777777" w:rsidR="00065317" w:rsidRDefault="005C7BF7">
      <w:pPr>
        <w:pStyle w:val="Normalcentr"/>
      </w:pPr>
      <w:r>
        <w:rPr>
          <w:b/>
          <w:bCs/>
          <w:i/>
          <w:iCs/>
        </w:rPr>
        <w:t>Note de traduction</w:t>
      </w:r>
    </w:p>
    <w:p w14:paraId="0F381820" w14:textId="5BC73C8D" w:rsidR="00065317" w:rsidRDefault="005C7BF7" w:rsidP="005607FD">
      <w:pPr>
        <w:pStyle w:val="Normalcentr"/>
      </w:pPr>
      <w:r>
        <w:rPr>
          <w:b/>
          <w:bCs/>
          <w:i/>
          <w:iCs/>
        </w:rPr>
        <w:t>Références</w:t>
      </w:r>
    </w:p>
    <w:p w14:paraId="76023659" w14:textId="77777777" w:rsidR="00065317" w:rsidRDefault="005C7BF7" w:rsidP="00914F34">
      <w:pPr>
        <w:pStyle w:val="Titre3"/>
      </w:pPr>
      <w:bookmarkStart w:id="462" w:name="_Toc154048916"/>
      <w:bookmarkStart w:id="463" w:name="p121-se-superpose-partiellement-a"/>
      <w:bookmarkEnd w:id="461"/>
      <w:r>
        <w:lastRenderedPageBreak/>
        <w:t>P121 se superpose partiellement à</w:t>
      </w:r>
      <w:bookmarkEnd w:id="462"/>
    </w:p>
    <w:p w14:paraId="4DEBF369" w14:textId="77777777" w:rsidR="00065317" w:rsidRDefault="005C7BF7">
      <w:pPr>
        <w:pStyle w:val="FirstParagraph"/>
      </w:pPr>
      <w:r>
        <w:rPr>
          <w:b/>
          <w:bCs/>
        </w:rPr>
        <w:t>Domaine</w:t>
      </w:r>
    </w:p>
    <w:p w14:paraId="6FE5DF61" w14:textId="77777777" w:rsidR="00065317" w:rsidRDefault="005C7BF7">
      <w:pPr>
        <w:pStyle w:val="Corpsdetexte"/>
      </w:pPr>
      <w:r>
        <w:rPr>
          <w:rStyle w:val="VerbatimChar"/>
        </w:rPr>
        <w:t>E53_Lieu</w:t>
      </w:r>
    </w:p>
    <w:p w14:paraId="60B77D14" w14:textId="77777777" w:rsidR="00065317" w:rsidRDefault="005C7BF7">
      <w:pPr>
        <w:pStyle w:val="Corpsdetexte"/>
      </w:pPr>
      <w:r>
        <w:rPr>
          <w:b/>
          <w:bCs/>
        </w:rPr>
        <w:t>Portée</w:t>
      </w:r>
    </w:p>
    <w:p w14:paraId="7A465762" w14:textId="77777777" w:rsidR="00065317" w:rsidRDefault="005C7BF7">
      <w:pPr>
        <w:pStyle w:val="Corpsdetexte"/>
      </w:pPr>
      <w:r>
        <w:rPr>
          <w:rStyle w:val="VerbatimChar"/>
        </w:rPr>
        <w:t>E53_Lieu</w:t>
      </w:r>
    </w:p>
    <w:p w14:paraId="779332C0" w14:textId="77777777" w:rsidR="00065317" w:rsidRDefault="005C7BF7">
      <w:pPr>
        <w:pStyle w:val="Corpsdetexte"/>
      </w:pPr>
      <w:r>
        <w:rPr>
          <w:b/>
          <w:bCs/>
        </w:rPr>
        <w:t>Sous-propriété de</w:t>
      </w:r>
    </w:p>
    <w:p w14:paraId="650EDC2B" w14:textId="77777777" w:rsidR="00065317" w:rsidRDefault="005C7BF7">
      <w:pPr>
        <w:pStyle w:val="Corpsdetexte"/>
      </w:pPr>
      <w:r>
        <w:rPr>
          <w:b/>
          <w:bCs/>
        </w:rPr>
        <w:t>Super-propriété de</w:t>
      </w:r>
    </w:p>
    <w:p w14:paraId="06215789" w14:textId="77777777" w:rsidR="00065317" w:rsidRDefault="005C7BF7">
      <w:pPr>
        <w:pStyle w:val="Corpsdetexte"/>
      </w:pPr>
      <w:r>
        <w:rPr>
          <w:b/>
          <w:bCs/>
        </w:rPr>
        <w:t>Quantification</w:t>
      </w:r>
    </w:p>
    <w:p w14:paraId="4827C430" w14:textId="77777777" w:rsidR="00065317" w:rsidRDefault="005C7BF7">
      <w:pPr>
        <w:pStyle w:val="Corpsdetexte"/>
      </w:pPr>
      <w:r>
        <w:t>plusieurs à plusieurs (0,n:0,n)</w:t>
      </w:r>
    </w:p>
    <w:p w14:paraId="389E3FBA" w14:textId="1A291F86" w:rsidR="00065317" w:rsidRDefault="005C7BF7">
      <w:pPr>
        <w:pStyle w:val="Corpsdetexte"/>
      </w:pPr>
      <w:r>
        <w:rPr>
          <w:b/>
          <w:bCs/>
        </w:rPr>
        <w:t>Note d</w:t>
      </w:r>
      <w:r w:rsidR="00E84B0E">
        <w:rPr>
          <w:b/>
          <w:bCs/>
        </w:rPr>
        <w:t>’</w:t>
      </w:r>
      <w:r>
        <w:rPr>
          <w:b/>
          <w:bCs/>
        </w:rPr>
        <w:t>application</w:t>
      </w:r>
    </w:p>
    <w:p w14:paraId="29FF97B1" w14:textId="77777777" w:rsidR="00065317" w:rsidRDefault="005C7BF7">
      <w:pPr>
        <w:pStyle w:val="Corpsdetexte"/>
      </w:pPr>
      <w:r>
        <w:t xml:space="preserve">Cette propriété symétrique associe deux instances de </w:t>
      </w:r>
      <w:r>
        <w:rPr>
          <w:rStyle w:val="VerbatimChar"/>
        </w:rPr>
        <w:t>E53_Lieu</w:t>
      </w:r>
      <w:r>
        <w:t xml:space="preserve"> dont les étendues géométriques se superposent partiellement.</w:t>
      </w:r>
    </w:p>
    <w:p w14:paraId="4D6B21F7" w14:textId="240B7CCA" w:rsidR="00065317" w:rsidRDefault="005C7BF7">
      <w:pPr>
        <w:pStyle w:val="Corpsdetexte"/>
      </w:pPr>
      <w:r>
        <w:t>La propriété ne précise rien sur l</w:t>
      </w:r>
      <w:r w:rsidR="00E84B0E">
        <w:t>’</w:t>
      </w:r>
      <w:r>
        <w:t xml:space="preserve">étendue partagée par ces deux instances. Cette propriété est purement spatiale. Cela ne signifie pas que des phénomènes qui définissent, par leur étendue, des lieux liés par </w:t>
      </w:r>
      <w:r>
        <w:rPr>
          <w:rStyle w:val="VerbatimChar"/>
        </w:rPr>
        <w:t>P121_se_superpose_partiellement_à</w:t>
      </w:r>
      <w:r>
        <w:t xml:space="preserve"> aient couvert une étendue commune au même moment ou c</w:t>
      </w:r>
      <w:r w:rsidR="00C012B4">
        <w:t>œ</w:t>
      </w:r>
      <w:r>
        <w:t xml:space="preserve">xisté. En revanche, les chevauchements spatio-temporels décrits par </w:t>
      </w:r>
      <w:r>
        <w:rPr>
          <w:rStyle w:val="VerbatimChar"/>
        </w:rPr>
        <w:t>P132_recoupe_spatio-temporellement</w:t>
      </w:r>
      <w:r>
        <w:t xml:space="preserve"> sont le total des étendues couvertes simultanément par les volumes spatio-temporels associés.</w:t>
      </w:r>
    </w:p>
    <w:p w14:paraId="2202D135" w14:textId="77777777" w:rsidR="00065317" w:rsidRDefault="005C7BF7">
      <w:pPr>
        <w:pStyle w:val="Corpsdetexte"/>
      </w:pPr>
      <w:r>
        <w:t>Cette propriété est symétrique et réflexive.</w:t>
      </w:r>
    </w:p>
    <w:p w14:paraId="612094E0" w14:textId="77777777" w:rsidR="00065317" w:rsidRDefault="005C7BF7">
      <w:pPr>
        <w:pStyle w:val="Corpsdetexte"/>
      </w:pPr>
      <w:r>
        <w:rPr>
          <w:b/>
          <w:bCs/>
        </w:rPr>
        <w:t>Exemples</w:t>
      </w:r>
    </w:p>
    <w:p w14:paraId="39FC3F2D" w14:textId="6D9490C9" w:rsidR="00065317" w:rsidRDefault="005C7BF7">
      <w:pPr>
        <w:numPr>
          <w:ilvl w:val="0"/>
          <w:numId w:val="238"/>
        </w:numPr>
      </w:pPr>
      <w:r>
        <w:t>Le territoire des États-Unis en 2020 (</w:t>
      </w:r>
      <w:r>
        <w:rPr>
          <w:rStyle w:val="VerbatimChar"/>
        </w:rPr>
        <w:t>E53_Lieu</w:t>
      </w:r>
      <w:r>
        <w:t>) se superpose partiellement à (</w:t>
      </w:r>
      <w:r>
        <w:rPr>
          <w:rStyle w:val="VerbatimChar"/>
        </w:rPr>
        <w:t>P121_se_superpose_partiellement_à</w:t>
      </w:r>
      <w:r>
        <w:t>) l</w:t>
      </w:r>
      <w:r w:rsidR="00E84B0E">
        <w:t>’</w:t>
      </w:r>
      <w:r>
        <w:t>Arctique (</w:t>
      </w:r>
      <w:r>
        <w:rPr>
          <w:rStyle w:val="VerbatimChar"/>
        </w:rPr>
        <w:t>E53_Lieu</w:t>
      </w:r>
      <w:r>
        <w:t xml:space="preserve">) (Gannett </w:t>
      </w:r>
      <w:r w:rsidR="0084721C">
        <w:t>&amp; al</w:t>
      </w:r>
      <w:r>
        <w:t>, 1904)</w:t>
      </w:r>
    </w:p>
    <w:p w14:paraId="1D10671C" w14:textId="51C565FD" w:rsidR="00065317" w:rsidRDefault="005C7BF7">
      <w:pPr>
        <w:numPr>
          <w:ilvl w:val="0"/>
          <w:numId w:val="238"/>
        </w:numPr>
      </w:pPr>
      <w:r>
        <w:t>L</w:t>
      </w:r>
      <w:r w:rsidR="00E84B0E">
        <w:t>’</w:t>
      </w:r>
      <w:r>
        <w:t>étendue maximale du royaume de Grèce (1832-1973) (</w:t>
      </w:r>
      <w:r>
        <w:rPr>
          <w:rStyle w:val="VerbatimChar"/>
        </w:rPr>
        <w:t>E53_Lieu</w:t>
      </w:r>
      <w:r>
        <w:t>) se superpose partiellement à (</w:t>
      </w:r>
      <w:r>
        <w:rPr>
          <w:rStyle w:val="VerbatimChar"/>
        </w:rPr>
        <w:t>P121_se_superpose_partiellement_à</w:t>
      </w:r>
      <w:r>
        <w:t>) l</w:t>
      </w:r>
      <w:r w:rsidR="00E84B0E">
        <w:t>’</w:t>
      </w:r>
      <w:r>
        <w:t>étendue maximale de la république de Turquie (29</w:t>
      </w:r>
      <w:r w:rsidR="00056DCD">
        <w:t> octobre </w:t>
      </w:r>
      <w:r>
        <w:t>1923 à aujourd</w:t>
      </w:r>
      <w:r w:rsidR="00E84B0E">
        <w:t>’</w:t>
      </w:r>
      <w:r>
        <w:t>hui) (</w:t>
      </w:r>
      <w:r>
        <w:rPr>
          <w:rStyle w:val="VerbatimChar"/>
        </w:rPr>
        <w:t>E53_Lieu</w:t>
      </w:r>
      <w:r>
        <w:t>)</w:t>
      </w:r>
    </w:p>
    <w:p w14:paraId="195054C5" w14:textId="77777777" w:rsidR="00065317" w:rsidRDefault="005C7BF7">
      <w:pPr>
        <w:pStyle w:val="FirstParagraph"/>
      </w:pPr>
      <w:r>
        <w:rPr>
          <w:b/>
          <w:bCs/>
        </w:rPr>
        <w:t>Logique</w:t>
      </w:r>
    </w:p>
    <w:p w14:paraId="39D0DADD" w14:textId="77777777" w:rsidR="00065317" w:rsidRDefault="005C7BF7">
      <w:pPr>
        <w:pStyle w:val="Corpsdetexte"/>
      </w:pPr>
      <w:r>
        <w:t>P121(x,y) ⇒ E53(x) P121(x,y) ⇒ E53(y) P121(x,y) ⇒ P121(y,x)</w:t>
      </w:r>
    </w:p>
    <w:p w14:paraId="1C692D33" w14:textId="77777777" w:rsidR="00065317" w:rsidRDefault="005C7BF7">
      <w:pPr>
        <w:pStyle w:val="Corpsdetexte"/>
      </w:pPr>
      <w:r>
        <w:t>P121(x,x)</w:t>
      </w:r>
    </w:p>
    <w:p w14:paraId="09F7BA00" w14:textId="77777777" w:rsidR="00065317" w:rsidRDefault="005C7BF7">
      <w:pPr>
        <w:pStyle w:val="Corpsdetexte"/>
      </w:pPr>
      <w:r>
        <w:rPr>
          <w:b/>
          <w:bCs/>
        </w:rPr>
        <w:t>Propriétés</w:t>
      </w:r>
    </w:p>
    <w:p w14:paraId="7FA73583" w14:textId="77777777" w:rsidR="00065317" w:rsidRDefault="005C7BF7">
      <w:pPr>
        <w:pStyle w:val="Normalcentr"/>
      </w:pPr>
      <w:r>
        <w:rPr>
          <w:b/>
          <w:bCs/>
          <w:i/>
          <w:iCs/>
        </w:rPr>
        <w:t>Note de traduction</w:t>
      </w:r>
    </w:p>
    <w:p w14:paraId="05E51108" w14:textId="6B976BAA" w:rsidR="00065317" w:rsidRDefault="005C7BF7" w:rsidP="00F93A46">
      <w:pPr>
        <w:pStyle w:val="Normalcentr"/>
      </w:pPr>
      <w:r>
        <w:rPr>
          <w:b/>
          <w:bCs/>
          <w:i/>
          <w:iCs/>
        </w:rPr>
        <w:t>Références</w:t>
      </w:r>
    </w:p>
    <w:p w14:paraId="3FCB0BAA" w14:textId="77777777" w:rsidR="00065317" w:rsidRDefault="005C7BF7" w:rsidP="00914F34">
      <w:pPr>
        <w:pStyle w:val="Titre3"/>
      </w:pPr>
      <w:bookmarkStart w:id="464" w:name="_Toc154048917"/>
      <w:bookmarkStart w:id="465" w:name="p122-est-limitrophe-de"/>
      <w:bookmarkEnd w:id="463"/>
      <w:r>
        <w:t>P122 est limitrophe de</w:t>
      </w:r>
      <w:bookmarkEnd w:id="464"/>
    </w:p>
    <w:p w14:paraId="6B8B5597" w14:textId="77777777" w:rsidR="00065317" w:rsidRDefault="005C7BF7">
      <w:pPr>
        <w:pStyle w:val="FirstParagraph"/>
      </w:pPr>
      <w:r>
        <w:rPr>
          <w:b/>
          <w:bCs/>
        </w:rPr>
        <w:t>Domaine</w:t>
      </w:r>
    </w:p>
    <w:p w14:paraId="5B5F8414" w14:textId="77777777" w:rsidR="00065317" w:rsidRDefault="005C7BF7">
      <w:pPr>
        <w:pStyle w:val="Corpsdetexte"/>
      </w:pPr>
      <w:r>
        <w:rPr>
          <w:rStyle w:val="VerbatimChar"/>
        </w:rPr>
        <w:t>E53_Lieu</w:t>
      </w:r>
    </w:p>
    <w:p w14:paraId="77749577" w14:textId="77777777" w:rsidR="00DE6C24" w:rsidRDefault="00DE6C24">
      <w:pPr>
        <w:spacing w:after="0"/>
        <w:rPr>
          <w:b/>
          <w:bCs/>
        </w:rPr>
      </w:pPr>
      <w:r>
        <w:rPr>
          <w:b/>
          <w:bCs/>
        </w:rPr>
        <w:br w:type="page"/>
      </w:r>
    </w:p>
    <w:p w14:paraId="7A5AE7C7" w14:textId="1ECE9D48" w:rsidR="00065317" w:rsidRDefault="005C7BF7">
      <w:pPr>
        <w:pStyle w:val="Corpsdetexte"/>
      </w:pPr>
      <w:r>
        <w:rPr>
          <w:b/>
          <w:bCs/>
        </w:rPr>
        <w:lastRenderedPageBreak/>
        <w:t>Portée</w:t>
      </w:r>
    </w:p>
    <w:p w14:paraId="0C7AA872" w14:textId="77777777" w:rsidR="00065317" w:rsidRDefault="005C7BF7">
      <w:pPr>
        <w:pStyle w:val="Corpsdetexte"/>
      </w:pPr>
      <w:r>
        <w:rPr>
          <w:rStyle w:val="VerbatimChar"/>
        </w:rPr>
        <w:t>E53_Lieu</w:t>
      </w:r>
    </w:p>
    <w:p w14:paraId="589CC74C" w14:textId="77777777" w:rsidR="00065317" w:rsidRDefault="005C7BF7">
      <w:pPr>
        <w:pStyle w:val="Corpsdetexte"/>
      </w:pPr>
      <w:r>
        <w:rPr>
          <w:b/>
          <w:bCs/>
        </w:rPr>
        <w:t>Sous-propriété de</w:t>
      </w:r>
    </w:p>
    <w:p w14:paraId="11969D0F" w14:textId="77777777" w:rsidR="00065317" w:rsidRDefault="005C7BF7">
      <w:pPr>
        <w:pStyle w:val="Corpsdetexte"/>
      </w:pPr>
      <w:r>
        <w:rPr>
          <w:b/>
          <w:bCs/>
        </w:rPr>
        <w:t>Super-propriété de</w:t>
      </w:r>
    </w:p>
    <w:p w14:paraId="5A13F1E2" w14:textId="77777777" w:rsidR="00065317" w:rsidRDefault="005C7BF7">
      <w:pPr>
        <w:pStyle w:val="Corpsdetexte"/>
      </w:pPr>
      <w:r>
        <w:rPr>
          <w:b/>
          <w:bCs/>
        </w:rPr>
        <w:t>Quantification</w:t>
      </w:r>
    </w:p>
    <w:p w14:paraId="4A335619" w14:textId="77777777" w:rsidR="00065317" w:rsidRDefault="005C7BF7">
      <w:pPr>
        <w:pStyle w:val="Corpsdetexte"/>
      </w:pPr>
      <w:r>
        <w:t>plusieurs à plusieurs (0,n:0,n)</w:t>
      </w:r>
    </w:p>
    <w:p w14:paraId="2E7AE59C" w14:textId="351EF8B9" w:rsidR="00065317" w:rsidRDefault="005C7BF7">
      <w:pPr>
        <w:pStyle w:val="Corpsdetexte"/>
      </w:pPr>
      <w:r>
        <w:rPr>
          <w:b/>
          <w:bCs/>
        </w:rPr>
        <w:t>Note d</w:t>
      </w:r>
      <w:r w:rsidR="00E84B0E">
        <w:rPr>
          <w:b/>
          <w:bCs/>
        </w:rPr>
        <w:t>’</w:t>
      </w:r>
      <w:r>
        <w:rPr>
          <w:b/>
          <w:bCs/>
        </w:rPr>
        <w:t>application</w:t>
      </w:r>
    </w:p>
    <w:p w14:paraId="3BC7540F" w14:textId="77777777" w:rsidR="00065317" w:rsidRDefault="005C7BF7">
      <w:pPr>
        <w:pStyle w:val="Corpsdetexte"/>
      </w:pPr>
      <w:r>
        <w:t xml:space="preserve">Cette propriété symétrique associe une instance de </w:t>
      </w:r>
      <w:r>
        <w:rPr>
          <w:rStyle w:val="VerbatimChar"/>
        </w:rPr>
        <w:t>E53_Lieu</w:t>
      </w:r>
      <w:r>
        <w:t xml:space="preserve"> à une autre instance de </w:t>
      </w:r>
      <w:r>
        <w:rPr>
          <w:rStyle w:val="VerbatimChar"/>
        </w:rPr>
        <w:t>E53_Lieu</w:t>
      </w:r>
      <w:r>
        <w:t xml:space="preserve"> qui partage une partie de sa frontière.</w:t>
      </w:r>
    </w:p>
    <w:p w14:paraId="68F09ABD" w14:textId="27F908C6" w:rsidR="00065317" w:rsidRDefault="005C7BF7">
      <w:pPr>
        <w:pStyle w:val="Corpsdetexte"/>
      </w:pPr>
      <w:r>
        <w:t xml:space="preserve">Cette propriété est purement spatiale. Cela ne signifie pas que des phénomènes qui définissent, par leur étendue, des lieux liés par </w:t>
      </w:r>
      <w:r>
        <w:rPr>
          <w:rStyle w:val="VerbatimChar"/>
        </w:rPr>
        <w:t>P122_est_limitrophe_de</w:t>
      </w:r>
      <w:r>
        <w:t xml:space="preserve"> aient partagé une frontière respective au même moment ou c</w:t>
      </w:r>
      <w:r w:rsidR="00C012B4">
        <w:t>œ</w:t>
      </w:r>
      <w:r>
        <w:t>xisté. Cela peut notamment être le cas lorsque la frontière commune respective est formée par une caractéristique naturelle.</w:t>
      </w:r>
    </w:p>
    <w:p w14:paraId="716D35F3" w14:textId="1651FC34" w:rsidR="00065317" w:rsidRDefault="005C7BF7">
      <w:pPr>
        <w:pStyle w:val="Corpsdetexte"/>
      </w:pPr>
      <w:r>
        <w:t>Cette propriété n</w:t>
      </w:r>
      <w:r w:rsidR="00E84B0E">
        <w:t>’</w:t>
      </w:r>
      <w:r>
        <w:t>est pas transitive, mais elle est symétrique.</w:t>
      </w:r>
    </w:p>
    <w:p w14:paraId="05BB9DB2" w14:textId="77777777" w:rsidR="00065317" w:rsidRDefault="005C7BF7">
      <w:pPr>
        <w:pStyle w:val="Corpsdetexte"/>
      </w:pPr>
      <w:r>
        <w:rPr>
          <w:b/>
          <w:bCs/>
        </w:rPr>
        <w:t>Exemples</w:t>
      </w:r>
    </w:p>
    <w:p w14:paraId="099D773B" w14:textId="6E90AB29" w:rsidR="00065317" w:rsidRDefault="005C7BF7">
      <w:pPr>
        <w:numPr>
          <w:ilvl w:val="0"/>
          <w:numId w:val="239"/>
        </w:numPr>
      </w:pPr>
      <w:r>
        <w:t>L</w:t>
      </w:r>
      <w:r w:rsidR="00E84B0E">
        <w:t>’</w:t>
      </w:r>
      <w:r>
        <w:t>Écosse telle que définie par ses frontières en 1603 (</w:t>
      </w:r>
      <w:r>
        <w:rPr>
          <w:rStyle w:val="VerbatimChar"/>
        </w:rPr>
        <w:t>E53_Lieu</w:t>
      </w:r>
      <w:r>
        <w:t>) est limitrophe de (</w:t>
      </w:r>
      <w:r>
        <w:rPr>
          <w:rStyle w:val="VerbatimChar"/>
        </w:rPr>
        <w:t>P122_est_limitrophe_de</w:t>
      </w:r>
      <w:r>
        <w:t>) l</w:t>
      </w:r>
      <w:r w:rsidR="00E84B0E">
        <w:t>’</w:t>
      </w:r>
      <w:r>
        <w:t>Angleterre telle que définie par ses frontières en 1603 (</w:t>
      </w:r>
      <w:r>
        <w:rPr>
          <w:rStyle w:val="VerbatimChar"/>
        </w:rPr>
        <w:t>E53_Lieu</w:t>
      </w:r>
      <w:r>
        <w:t>) (Crofton, 2015)</w:t>
      </w:r>
    </w:p>
    <w:p w14:paraId="78F3C36F" w14:textId="77777777" w:rsidR="00065317" w:rsidRDefault="005C7BF7">
      <w:pPr>
        <w:pStyle w:val="FirstParagraph"/>
      </w:pPr>
      <w:r>
        <w:rPr>
          <w:b/>
          <w:bCs/>
        </w:rPr>
        <w:t>Logique</w:t>
      </w:r>
    </w:p>
    <w:p w14:paraId="3A9D7196" w14:textId="77777777" w:rsidR="00065317" w:rsidRDefault="005C7BF7">
      <w:pPr>
        <w:pStyle w:val="Corpsdetexte"/>
      </w:pPr>
      <w:r>
        <w:t>P122(x,y) ⇒ E53(x)P122(x,y) ⇒ E53(y)P122(x,y) ⇒ P122(y,x)</w:t>
      </w:r>
    </w:p>
    <w:p w14:paraId="451B4F80" w14:textId="77777777" w:rsidR="00065317" w:rsidRDefault="005C7BF7">
      <w:pPr>
        <w:pStyle w:val="Corpsdetexte"/>
      </w:pPr>
      <w:r>
        <w:rPr>
          <w:b/>
          <w:bCs/>
        </w:rPr>
        <w:t>Propriétés</w:t>
      </w:r>
    </w:p>
    <w:p w14:paraId="43C5AA55" w14:textId="77777777" w:rsidR="00065317" w:rsidRDefault="005C7BF7">
      <w:pPr>
        <w:pStyle w:val="Normalcentr"/>
      </w:pPr>
      <w:r>
        <w:rPr>
          <w:b/>
          <w:bCs/>
          <w:i/>
          <w:iCs/>
        </w:rPr>
        <w:t>Note de traduction</w:t>
      </w:r>
    </w:p>
    <w:p w14:paraId="112447A3" w14:textId="7B69840D" w:rsidR="00065317" w:rsidRDefault="005C7BF7">
      <w:pPr>
        <w:pStyle w:val="Normalcentr"/>
      </w:pPr>
      <w:r>
        <w:t>La note d</w:t>
      </w:r>
      <w:r w:rsidR="00E84B0E">
        <w:t>’</w:t>
      </w:r>
      <w:r>
        <w:t xml:space="preserve">application de cette propriété ressemble beaucoup à celle de </w:t>
      </w:r>
      <w:r>
        <w:rPr>
          <w:rStyle w:val="VerbatimChar"/>
        </w:rPr>
        <w:t>P121_se_superpose_partiellement_à</w:t>
      </w:r>
      <w:r>
        <w:t>.</w:t>
      </w:r>
    </w:p>
    <w:p w14:paraId="336FBE46" w14:textId="2B0A4A33" w:rsidR="00065317" w:rsidRDefault="005C7BF7" w:rsidP="00F93A46">
      <w:pPr>
        <w:pStyle w:val="Normalcentr"/>
      </w:pPr>
      <w:r>
        <w:rPr>
          <w:b/>
          <w:bCs/>
          <w:i/>
          <w:iCs/>
        </w:rPr>
        <w:t>Références</w:t>
      </w:r>
    </w:p>
    <w:p w14:paraId="60E348F6" w14:textId="77777777" w:rsidR="00065317" w:rsidRDefault="005C7BF7" w:rsidP="00914F34">
      <w:pPr>
        <w:pStyle w:val="Titre3"/>
      </w:pPr>
      <w:bookmarkStart w:id="466" w:name="_Toc154048918"/>
      <w:bookmarkStart w:id="467" w:name="p123-a-eu-pour-resultat-(a-resulte-de)"/>
      <w:bookmarkEnd w:id="465"/>
      <w:r>
        <w:t>P123 a eu pour résultat (a résulté de)</w:t>
      </w:r>
      <w:bookmarkEnd w:id="466"/>
    </w:p>
    <w:p w14:paraId="0A72F4CA" w14:textId="77777777" w:rsidR="00065317" w:rsidRDefault="005C7BF7">
      <w:pPr>
        <w:pStyle w:val="FirstParagraph"/>
      </w:pPr>
      <w:r>
        <w:rPr>
          <w:b/>
          <w:bCs/>
        </w:rPr>
        <w:t>Domaine</w:t>
      </w:r>
    </w:p>
    <w:p w14:paraId="7725A0AD" w14:textId="77777777" w:rsidR="00065317" w:rsidRDefault="005C7BF7">
      <w:pPr>
        <w:pStyle w:val="Corpsdetexte"/>
      </w:pPr>
      <w:r>
        <w:rPr>
          <w:rStyle w:val="VerbatimChar"/>
        </w:rPr>
        <w:t>E81_Transformation</w:t>
      </w:r>
    </w:p>
    <w:p w14:paraId="79920EFF" w14:textId="77777777" w:rsidR="00065317" w:rsidRDefault="005C7BF7">
      <w:pPr>
        <w:pStyle w:val="Corpsdetexte"/>
      </w:pPr>
      <w:r>
        <w:rPr>
          <w:b/>
          <w:bCs/>
        </w:rPr>
        <w:t>Portée</w:t>
      </w:r>
    </w:p>
    <w:p w14:paraId="73563A1B" w14:textId="77777777" w:rsidR="00065317" w:rsidRDefault="005C7BF7">
      <w:pPr>
        <w:pStyle w:val="Corpsdetexte"/>
      </w:pPr>
      <w:r>
        <w:rPr>
          <w:rStyle w:val="VerbatimChar"/>
        </w:rPr>
        <w:t>E18_Chose_matérielle</w:t>
      </w:r>
    </w:p>
    <w:p w14:paraId="4E00062F" w14:textId="77777777" w:rsidR="00065317" w:rsidRDefault="005C7BF7">
      <w:pPr>
        <w:pStyle w:val="Corpsdetexte"/>
      </w:pPr>
      <w:r>
        <w:rPr>
          <w:b/>
          <w:bCs/>
        </w:rPr>
        <w:t>Sous-propriété de</w:t>
      </w:r>
    </w:p>
    <w:p w14:paraId="71FA13F6" w14:textId="2A826381" w:rsidR="00065317" w:rsidRDefault="005C7BF7">
      <w:pPr>
        <w:pStyle w:val="Corpsdetexte"/>
      </w:pPr>
      <w:r>
        <w:rPr>
          <w:rStyle w:val="VerbatimChar"/>
        </w:rPr>
        <w:t>E63_Début_d</w:t>
      </w:r>
      <w:r w:rsidR="00E84B0E">
        <w:rPr>
          <w:rStyle w:val="VerbatimChar"/>
        </w:rPr>
        <w:t>’</w:t>
      </w:r>
      <w:r>
        <w:rPr>
          <w:rStyle w:val="VerbatimChar"/>
        </w:rPr>
        <w:t>existence</w:t>
      </w:r>
      <w:r>
        <w:t xml:space="preserve">. </w:t>
      </w:r>
      <w:r>
        <w:rPr>
          <w:rStyle w:val="VerbatimChar"/>
        </w:rPr>
        <w:t>P92_a_fait_exister (a_commencé_à_exister_par)</w:t>
      </w:r>
      <w:r w:rsidR="0084721C">
        <w:t xml:space="preserve"> </w:t>
      </w:r>
      <w:r>
        <w:t xml:space="preserve">: </w:t>
      </w:r>
      <w:r>
        <w:rPr>
          <w:rStyle w:val="VerbatimChar"/>
        </w:rPr>
        <w:t>E77_Entité_persistante</w:t>
      </w:r>
    </w:p>
    <w:p w14:paraId="21DCAADF" w14:textId="77777777" w:rsidR="00065317" w:rsidRDefault="005C7BF7">
      <w:pPr>
        <w:pStyle w:val="Corpsdetexte"/>
      </w:pPr>
      <w:r>
        <w:rPr>
          <w:b/>
          <w:bCs/>
        </w:rPr>
        <w:t>Super-propriété de</w:t>
      </w:r>
    </w:p>
    <w:p w14:paraId="0F0BC26C" w14:textId="77777777" w:rsidR="00DE6C24" w:rsidRDefault="00DE6C24">
      <w:pPr>
        <w:spacing w:after="0"/>
        <w:rPr>
          <w:b/>
          <w:bCs/>
        </w:rPr>
      </w:pPr>
      <w:r>
        <w:rPr>
          <w:b/>
          <w:bCs/>
        </w:rPr>
        <w:br w:type="page"/>
      </w:r>
    </w:p>
    <w:p w14:paraId="2993F312" w14:textId="4E96ECEB" w:rsidR="00065317" w:rsidRDefault="005C7BF7">
      <w:pPr>
        <w:pStyle w:val="Corpsdetexte"/>
      </w:pPr>
      <w:r>
        <w:rPr>
          <w:b/>
          <w:bCs/>
        </w:rPr>
        <w:lastRenderedPageBreak/>
        <w:t>Quantification</w:t>
      </w:r>
    </w:p>
    <w:p w14:paraId="2BE0CD03" w14:textId="77777777" w:rsidR="00065317" w:rsidRDefault="005C7BF7">
      <w:pPr>
        <w:pStyle w:val="Corpsdetexte"/>
      </w:pPr>
      <w:r>
        <w:t>plusieurs à plusieurs, nécessaire (1,n:0,n)</w:t>
      </w:r>
    </w:p>
    <w:p w14:paraId="6A25ACE7" w14:textId="7468C51B" w:rsidR="00065317" w:rsidRDefault="005C7BF7">
      <w:pPr>
        <w:pStyle w:val="Corpsdetexte"/>
      </w:pPr>
      <w:r>
        <w:rPr>
          <w:b/>
          <w:bCs/>
        </w:rPr>
        <w:t>Note d</w:t>
      </w:r>
      <w:r w:rsidR="00E84B0E">
        <w:rPr>
          <w:b/>
          <w:bCs/>
        </w:rPr>
        <w:t>’</w:t>
      </w:r>
      <w:r>
        <w:rPr>
          <w:b/>
          <w:bCs/>
        </w:rPr>
        <w:t>application</w:t>
      </w:r>
    </w:p>
    <w:p w14:paraId="19686557" w14:textId="44CD60AB" w:rsidR="00FC2E07" w:rsidRDefault="005C7BF7">
      <w:pPr>
        <w:pStyle w:val="Corpsdetexte"/>
        <w:rPr>
          <w:b/>
          <w:bCs/>
        </w:rPr>
      </w:pPr>
      <w:r>
        <w:t xml:space="preserve">Cette propriété identifie la ou les instances de </w:t>
      </w:r>
      <w:r>
        <w:rPr>
          <w:rStyle w:val="VerbatimChar"/>
        </w:rPr>
        <w:t>E18_Chose_matérielle</w:t>
      </w:r>
      <w:r>
        <w:t xml:space="preserve"> qui a ou qui ont résulté d</w:t>
      </w:r>
      <w:r w:rsidR="00E84B0E">
        <w:t>’</w:t>
      </w:r>
      <w:r>
        <w:t xml:space="preserve">une instance de </w:t>
      </w:r>
      <w:r>
        <w:rPr>
          <w:rStyle w:val="VerbatimChar"/>
        </w:rPr>
        <w:t>E81_Transformation</w:t>
      </w:r>
      <w:r>
        <w:t>. Le ou les éléments ayant été transformés cessent d</w:t>
      </w:r>
      <w:r w:rsidR="00E84B0E">
        <w:t>’</w:t>
      </w:r>
      <w:r>
        <w:t>exister en tant qu</w:t>
      </w:r>
      <w:r w:rsidR="00E84B0E">
        <w:t>’</w:t>
      </w:r>
      <w:r>
        <w:t>unité de documentation et de nouveaux éléments les remplacent. La continuité physique entre l</w:t>
      </w:r>
      <w:r w:rsidR="00E84B0E">
        <w:t>’</w:t>
      </w:r>
      <w:r>
        <w:t>élément ancien et nouveau est exprimée par les liens vers l</w:t>
      </w:r>
      <w:r w:rsidR="00E84B0E">
        <w:t>’</w:t>
      </w:r>
      <w:r>
        <w:t xml:space="preserve">instance commune de </w:t>
      </w:r>
      <w:r>
        <w:rPr>
          <w:rStyle w:val="VerbatimChar"/>
        </w:rPr>
        <w:t>E81_Transformation</w:t>
      </w:r>
      <w:r>
        <w:t>.</w:t>
      </w:r>
    </w:p>
    <w:p w14:paraId="03518343" w14:textId="28AD3F76" w:rsidR="00065317" w:rsidRDefault="005C7BF7">
      <w:pPr>
        <w:pStyle w:val="Corpsdetexte"/>
      </w:pPr>
      <w:r>
        <w:rPr>
          <w:b/>
          <w:bCs/>
        </w:rPr>
        <w:t>Exemples</w:t>
      </w:r>
    </w:p>
    <w:p w14:paraId="69256586" w14:textId="763615EB" w:rsidR="00065317" w:rsidRDefault="005C7BF7">
      <w:pPr>
        <w:numPr>
          <w:ilvl w:val="0"/>
          <w:numId w:val="240"/>
        </w:numPr>
      </w:pPr>
      <w:r>
        <w:t>La transformation de la loggia vénitienne d</w:t>
      </w:r>
      <w:r w:rsidR="00E84B0E">
        <w:t>’</w:t>
      </w:r>
      <w:r>
        <w:t>Héraklion en hôtel de ville (</w:t>
      </w:r>
      <w:r>
        <w:rPr>
          <w:rStyle w:val="VerbatimChar"/>
        </w:rPr>
        <w:t>E81_Transformation</w:t>
      </w:r>
      <w:r>
        <w:t xml:space="preserve">, </w:t>
      </w:r>
      <w:r>
        <w:rPr>
          <w:rStyle w:val="VerbatimChar"/>
        </w:rPr>
        <w:t>E12_Production</w:t>
      </w:r>
      <w:r>
        <w:t>) a eu pour résultat (</w:t>
      </w:r>
      <w:r>
        <w:rPr>
          <w:rStyle w:val="VerbatimChar"/>
        </w:rPr>
        <w:t>P123_a_eu_pour_résultat</w:t>
      </w:r>
      <w:r>
        <w:t>) l</w:t>
      </w:r>
      <w:r w:rsidR="00E84B0E">
        <w:t>’</w:t>
      </w:r>
      <w:r>
        <w:t>hôtel de ville d</w:t>
      </w:r>
      <w:r w:rsidR="00E84B0E">
        <w:t>’</w:t>
      </w:r>
      <w:r>
        <w:t>Héraklion (</w:t>
      </w:r>
      <w:r>
        <w:rPr>
          <w:rStyle w:val="VerbatimChar"/>
        </w:rPr>
        <w:t>E24_Chose_matérielle_élaborée_par_l</w:t>
      </w:r>
      <w:r w:rsidR="00E84B0E">
        <w:rPr>
          <w:rStyle w:val="VerbatimChar"/>
        </w:rPr>
        <w:t>’</w:t>
      </w:r>
      <w:r>
        <w:rPr>
          <w:rStyle w:val="VerbatimChar"/>
        </w:rPr>
        <w:t>humain</w:t>
      </w:r>
      <w:r>
        <w:t>) [ET : a produit (</w:t>
      </w:r>
      <w:r>
        <w:rPr>
          <w:rStyle w:val="VerbatimChar"/>
        </w:rPr>
        <w:t>P108_a_produit</w:t>
      </w:r>
      <w:r>
        <w:t>) l</w:t>
      </w:r>
      <w:r w:rsidR="00E84B0E">
        <w:t>’</w:t>
      </w:r>
      <w:r>
        <w:t>hôtel de ville d</w:t>
      </w:r>
      <w:r w:rsidR="00E84B0E">
        <w:t>’</w:t>
      </w:r>
      <w:r>
        <w:t>Héraklion (</w:t>
      </w:r>
      <w:r>
        <w:rPr>
          <w:rStyle w:val="VerbatimChar"/>
        </w:rPr>
        <w:t>E22_Objet_élaboré_par_l</w:t>
      </w:r>
      <w:r w:rsidR="00E84B0E">
        <w:rPr>
          <w:rStyle w:val="VerbatimChar"/>
        </w:rPr>
        <w:t>’</w:t>
      </w:r>
      <w:r>
        <w:rPr>
          <w:rStyle w:val="VerbatimChar"/>
        </w:rPr>
        <w:t>humain</w:t>
      </w:r>
      <w:r>
        <w:t>)] (Municipalité d</w:t>
      </w:r>
      <w:r w:rsidR="00E84B0E">
        <w:t>’</w:t>
      </w:r>
      <w:r>
        <w:t>Héraklion, 2021)</w:t>
      </w:r>
    </w:p>
    <w:p w14:paraId="5AB4AAC2" w14:textId="1E55FB4C" w:rsidR="00065317" w:rsidRDefault="005C7BF7">
      <w:pPr>
        <w:numPr>
          <w:ilvl w:val="0"/>
          <w:numId w:val="240"/>
        </w:numPr>
      </w:pPr>
      <w:r>
        <w:t>La momification de Toutânkhamon (</w:t>
      </w:r>
      <w:r>
        <w:rPr>
          <w:rStyle w:val="VerbatimChar"/>
        </w:rPr>
        <w:t>E81_Transformation</w:t>
      </w:r>
      <w:r>
        <w:t xml:space="preserve">, </w:t>
      </w:r>
      <w:r>
        <w:rPr>
          <w:rStyle w:val="VerbatimChar"/>
        </w:rPr>
        <w:t>E12_Production</w:t>
      </w:r>
      <w:r>
        <w:t>) a eu pour résultat (</w:t>
      </w:r>
      <w:r>
        <w:rPr>
          <w:rStyle w:val="VerbatimChar"/>
        </w:rPr>
        <w:t>P123_a_eu_pour_résultat</w:t>
      </w:r>
      <w:r>
        <w:t>) la momie de Toutânkhamon (</w:t>
      </w:r>
      <w:r>
        <w:rPr>
          <w:rStyle w:val="VerbatimChar"/>
        </w:rPr>
        <w:t>E22_Objet_élaboré_par_l</w:t>
      </w:r>
      <w:r w:rsidR="00E84B0E">
        <w:rPr>
          <w:rStyle w:val="VerbatimChar"/>
        </w:rPr>
        <w:t>’</w:t>
      </w:r>
      <w:r>
        <w:rPr>
          <w:rStyle w:val="VerbatimChar"/>
        </w:rPr>
        <w:t>humain</w:t>
      </w:r>
      <w:r>
        <w:t xml:space="preserve">, </w:t>
      </w:r>
      <w:r>
        <w:rPr>
          <w:rStyle w:val="VerbatimChar"/>
        </w:rPr>
        <w:t>E20_Objet_biologique</w:t>
      </w:r>
      <w:r>
        <w:t>) [ET : a produit (</w:t>
      </w:r>
      <w:r>
        <w:rPr>
          <w:rStyle w:val="VerbatimChar"/>
        </w:rPr>
        <w:t>P108_a_produit</w:t>
      </w:r>
      <w:r>
        <w:t>) la momie de Toutânkhamon (</w:t>
      </w:r>
      <w:r>
        <w:rPr>
          <w:rStyle w:val="VerbatimChar"/>
        </w:rPr>
        <w:t>E22_Objet_élaboré_par_l</w:t>
      </w:r>
      <w:r w:rsidR="00E84B0E">
        <w:rPr>
          <w:rStyle w:val="VerbatimChar"/>
        </w:rPr>
        <w:t>’</w:t>
      </w:r>
      <w:r>
        <w:rPr>
          <w:rStyle w:val="VerbatimChar"/>
        </w:rPr>
        <w:t>humain</w:t>
      </w:r>
      <w:r>
        <w:t xml:space="preserve">, </w:t>
      </w:r>
      <w:r>
        <w:rPr>
          <w:rStyle w:val="VerbatimChar"/>
        </w:rPr>
        <w:t>E20_Objet_biologique</w:t>
      </w:r>
      <w:r>
        <w:t xml:space="preserve">)] (Carter </w:t>
      </w:r>
      <w:r w:rsidR="0084721C">
        <w:t>&amp;</w:t>
      </w:r>
      <w:r w:rsidR="0023577F">
        <w:t xml:space="preserve"> </w:t>
      </w:r>
      <w:r>
        <w:t>Mace, 1977)</w:t>
      </w:r>
    </w:p>
    <w:p w14:paraId="6007C697" w14:textId="5B8964C3" w:rsidR="00065317" w:rsidRDefault="005C7BF7">
      <w:pPr>
        <w:numPr>
          <w:ilvl w:val="0"/>
          <w:numId w:val="240"/>
        </w:numPr>
      </w:pPr>
      <w:r>
        <w:t>La mort, la carbonisation et la pétrification de certains habitants de Pompéi en 79 EC provoquées par la chaleur intense d</w:t>
      </w:r>
      <w:r w:rsidR="00E84B0E">
        <w:t>’</w:t>
      </w:r>
      <w:r>
        <w:t>un nuage pyroclastique et par les cendres provenant de l</w:t>
      </w:r>
      <w:r w:rsidR="00E84B0E">
        <w:t>’</w:t>
      </w:r>
      <w:r>
        <w:t>éruption du mont Vésuve (</w:t>
      </w:r>
      <w:r>
        <w:rPr>
          <w:rStyle w:val="VerbatimChar"/>
        </w:rPr>
        <w:t>E69_Mort</w:t>
      </w:r>
      <w:r>
        <w:t xml:space="preserve">, </w:t>
      </w:r>
      <w:r>
        <w:rPr>
          <w:rStyle w:val="VerbatimChar"/>
        </w:rPr>
        <w:t>E81_Transformation</w:t>
      </w:r>
      <w:r>
        <w:t>) a eu pour résultat (</w:t>
      </w:r>
      <w:r>
        <w:rPr>
          <w:rStyle w:val="VerbatimChar"/>
        </w:rPr>
        <w:t>P123_a_eu_pour_résultat</w:t>
      </w:r>
      <w:r>
        <w:t>) des corps pétrifiés (</w:t>
      </w:r>
      <w:r>
        <w:rPr>
          <w:rStyle w:val="VerbatimChar"/>
        </w:rPr>
        <w:t>E20_Objet_biologique</w:t>
      </w:r>
      <w:r>
        <w:t>) [certains de ces corps ont pu ensuite être conservés dans du plâtre]</w:t>
      </w:r>
    </w:p>
    <w:p w14:paraId="255A8133" w14:textId="77777777" w:rsidR="00065317" w:rsidRDefault="005C7BF7">
      <w:pPr>
        <w:pStyle w:val="FirstParagraph"/>
      </w:pPr>
      <w:r>
        <w:rPr>
          <w:b/>
          <w:bCs/>
        </w:rPr>
        <w:t>Logique</w:t>
      </w:r>
    </w:p>
    <w:p w14:paraId="1C1B3C0D" w14:textId="77777777" w:rsidR="00065317" w:rsidRDefault="005C7BF7">
      <w:pPr>
        <w:pStyle w:val="Corpsdetexte"/>
      </w:pPr>
      <w:r>
        <w:t>P123(x,y) ⇒ E81(x)</w:t>
      </w:r>
    </w:p>
    <w:p w14:paraId="5BDB6CE1" w14:textId="77777777" w:rsidR="00065317" w:rsidRDefault="005C7BF7">
      <w:pPr>
        <w:pStyle w:val="Corpsdetexte"/>
      </w:pPr>
      <w:r>
        <w:t>P123(x,y) ⇒ E18(y)</w:t>
      </w:r>
    </w:p>
    <w:p w14:paraId="0BECC963" w14:textId="77777777" w:rsidR="00065317" w:rsidRDefault="005C7BF7">
      <w:pPr>
        <w:pStyle w:val="Corpsdetexte"/>
      </w:pPr>
      <w:r>
        <w:t>P123(x,y) ⇒ P92(x,y)</w:t>
      </w:r>
    </w:p>
    <w:p w14:paraId="15F67FAF" w14:textId="77777777" w:rsidR="00065317" w:rsidRDefault="005C7BF7">
      <w:pPr>
        <w:pStyle w:val="Corpsdetexte"/>
      </w:pPr>
      <w:r>
        <w:rPr>
          <w:b/>
          <w:bCs/>
        </w:rPr>
        <w:t>Propriétés</w:t>
      </w:r>
    </w:p>
    <w:p w14:paraId="2C8D1034" w14:textId="77777777" w:rsidR="00065317" w:rsidRDefault="005C7BF7">
      <w:pPr>
        <w:pStyle w:val="Normalcentr"/>
      </w:pPr>
      <w:r>
        <w:rPr>
          <w:b/>
          <w:bCs/>
          <w:i/>
          <w:iCs/>
        </w:rPr>
        <w:t>Note de traduction</w:t>
      </w:r>
    </w:p>
    <w:p w14:paraId="0CAF93DE" w14:textId="1602474E" w:rsidR="00065317" w:rsidRDefault="005C7BF7" w:rsidP="00F93A46">
      <w:pPr>
        <w:pStyle w:val="Normalcentr"/>
      </w:pPr>
      <w:r>
        <w:rPr>
          <w:b/>
          <w:bCs/>
          <w:i/>
          <w:iCs/>
        </w:rPr>
        <w:t>Références</w:t>
      </w:r>
    </w:p>
    <w:p w14:paraId="46C85442" w14:textId="77777777" w:rsidR="00065317" w:rsidRDefault="005C7BF7" w:rsidP="00914F34">
      <w:pPr>
        <w:pStyle w:val="Titre3"/>
      </w:pPr>
      <w:bookmarkStart w:id="468" w:name="_Toc154048919"/>
      <w:bookmarkStart w:id="469" w:name="p124-a-transforme-(a-ete-transforme-par)"/>
      <w:bookmarkEnd w:id="467"/>
      <w:r>
        <w:t>P124 a transformé (a été transformé par)</w:t>
      </w:r>
      <w:bookmarkEnd w:id="468"/>
    </w:p>
    <w:p w14:paraId="0E55530D" w14:textId="77777777" w:rsidR="00065317" w:rsidRDefault="005C7BF7">
      <w:pPr>
        <w:pStyle w:val="FirstParagraph"/>
      </w:pPr>
      <w:r>
        <w:rPr>
          <w:b/>
          <w:bCs/>
        </w:rPr>
        <w:t>Domaine</w:t>
      </w:r>
    </w:p>
    <w:p w14:paraId="7A5FE2D9" w14:textId="77777777" w:rsidR="00065317" w:rsidRDefault="005C7BF7">
      <w:pPr>
        <w:pStyle w:val="Corpsdetexte"/>
      </w:pPr>
      <w:r>
        <w:rPr>
          <w:rStyle w:val="VerbatimChar"/>
        </w:rPr>
        <w:t>E81_Transformation</w:t>
      </w:r>
    </w:p>
    <w:p w14:paraId="4B8EA9D3" w14:textId="77777777" w:rsidR="00065317" w:rsidRDefault="005C7BF7">
      <w:pPr>
        <w:pStyle w:val="Corpsdetexte"/>
      </w:pPr>
      <w:r>
        <w:rPr>
          <w:b/>
          <w:bCs/>
        </w:rPr>
        <w:t>Portée</w:t>
      </w:r>
    </w:p>
    <w:p w14:paraId="3B15DB65" w14:textId="77777777" w:rsidR="00065317" w:rsidRDefault="005C7BF7">
      <w:pPr>
        <w:pStyle w:val="Corpsdetexte"/>
      </w:pPr>
      <w:r>
        <w:rPr>
          <w:rStyle w:val="VerbatimChar"/>
        </w:rPr>
        <w:t>E18_Chose_matérielle</w:t>
      </w:r>
    </w:p>
    <w:p w14:paraId="508E8011" w14:textId="77777777" w:rsidR="00065317" w:rsidRPr="00733C22" w:rsidRDefault="005C7BF7">
      <w:pPr>
        <w:pStyle w:val="Corpsdetexte"/>
      </w:pPr>
      <w:r w:rsidRPr="00733C22">
        <w:rPr>
          <w:b/>
          <w:bCs/>
        </w:rPr>
        <w:t>Sous-propriété de</w:t>
      </w:r>
    </w:p>
    <w:p w14:paraId="05D3E5DE" w14:textId="40D10E4C" w:rsidR="00065317" w:rsidRPr="00733C22" w:rsidRDefault="005C7BF7">
      <w:pPr>
        <w:pStyle w:val="Corpsdetexte"/>
      </w:pPr>
      <w:r w:rsidRPr="00733C22">
        <w:rPr>
          <w:rStyle w:val="VerbatimChar"/>
        </w:rPr>
        <w:t>E64_Fin_d</w:t>
      </w:r>
      <w:r w:rsidR="00E84B0E">
        <w:rPr>
          <w:rStyle w:val="VerbatimChar"/>
        </w:rPr>
        <w:t>’</w:t>
      </w:r>
      <w:r w:rsidRPr="00733C22">
        <w:rPr>
          <w:rStyle w:val="VerbatimChar"/>
        </w:rPr>
        <w:t>existence</w:t>
      </w:r>
      <w:r w:rsidRPr="00733C22">
        <w:t xml:space="preserve">. </w:t>
      </w:r>
      <w:r w:rsidRPr="00733C22">
        <w:rPr>
          <w:rStyle w:val="VerbatimChar"/>
        </w:rPr>
        <w:t>P93_a_mis_fin_à_l</w:t>
      </w:r>
      <w:r w:rsidR="00E84B0E">
        <w:rPr>
          <w:rStyle w:val="VerbatimChar"/>
        </w:rPr>
        <w:t>’</w:t>
      </w:r>
      <w:r w:rsidRPr="00733C22">
        <w:rPr>
          <w:rStyle w:val="VerbatimChar"/>
        </w:rPr>
        <w:t>existence_de (a_cessé_d</w:t>
      </w:r>
      <w:r w:rsidR="00E84B0E">
        <w:rPr>
          <w:rStyle w:val="VerbatimChar"/>
        </w:rPr>
        <w:t>’</w:t>
      </w:r>
      <w:r w:rsidRPr="00733C22">
        <w:rPr>
          <w:rStyle w:val="VerbatimChar"/>
        </w:rPr>
        <w:t xml:space="preserve">exister_par) </w:t>
      </w:r>
      <w:r w:rsidRPr="00733C22">
        <w:t xml:space="preserve">: </w:t>
      </w:r>
      <w:r w:rsidRPr="00733C22">
        <w:rPr>
          <w:rStyle w:val="VerbatimChar"/>
        </w:rPr>
        <w:t>E77_Entité_persistante</w:t>
      </w:r>
    </w:p>
    <w:p w14:paraId="7E47FA03" w14:textId="77777777" w:rsidR="00DE6C24" w:rsidRDefault="00DE6C24">
      <w:pPr>
        <w:spacing w:after="0"/>
        <w:rPr>
          <w:b/>
          <w:bCs/>
        </w:rPr>
      </w:pPr>
      <w:r>
        <w:rPr>
          <w:b/>
          <w:bCs/>
        </w:rPr>
        <w:br w:type="page"/>
      </w:r>
    </w:p>
    <w:p w14:paraId="2D263963" w14:textId="512E74E9" w:rsidR="00065317" w:rsidRPr="00733C22" w:rsidRDefault="005C7BF7">
      <w:pPr>
        <w:pStyle w:val="Corpsdetexte"/>
      </w:pPr>
      <w:r w:rsidRPr="00733C22">
        <w:rPr>
          <w:b/>
          <w:bCs/>
        </w:rPr>
        <w:lastRenderedPageBreak/>
        <w:t>Super-propriété de</w:t>
      </w:r>
    </w:p>
    <w:p w14:paraId="2E74463C" w14:textId="77777777" w:rsidR="00065317" w:rsidRPr="00733C22" w:rsidRDefault="005C7BF7">
      <w:pPr>
        <w:pStyle w:val="Corpsdetexte"/>
      </w:pPr>
      <w:r w:rsidRPr="00733C22">
        <w:rPr>
          <w:b/>
          <w:bCs/>
        </w:rPr>
        <w:t>Quantification</w:t>
      </w:r>
    </w:p>
    <w:p w14:paraId="3DB73946" w14:textId="77777777" w:rsidR="00065317" w:rsidRPr="00733C22" w:rsidRDefault="005C7BF7">
      <w:pPr>
        <w:pStyle w:val="Corpsdetexte"/>
      </w:pPr>
      <w:r w:rsidRPr="00733C22">
        <w:t>un à plusieurs, nécessaire (1,n:0,1)</w:t>
      </w:r>
    </w:p>
    <w:p w14:paraId="391D053A" w14:textId="3A294C4D" w:rsidR="00065317" w:rsidRPr="00733C22" w:rsidRDefault="005C7BF7">
      <w:pPr>
        <w:pStyle w:val="Corpsdetexte"/>
      </w:pPr>
      <w:r w:rsidRPr="00733C22">
        <w:rPr>
          <w:b/>
          <w:bCs/>
        </w:rPr>
        <w:t>Note d</w:t>
      </w:r>
      <w:r w:rsidR="00E84B0E">
        <w:rPr>
          <w:b/>
          <w:bCs/>
        </w:rPr>
        <w:t>’</w:t>
      </w:r>
      <w:r w:rsidRPr="00733C22">
        <w:rPr>
          <w:b/>
          <w:bCs/>
        </w:rPr>
        <w:t>application</w:t>
      </w:r>
    </w:p>
    <w:p w14:paraId="295E50E6" w14:textId="0D15E4EE" w:rsidR="00065317" w:rsidRPr="00733C22" w:rsidRDefault="005C7BF7">
      <w:pPr>
        <w:pStyle w:val="Corpsdetexte"/>
      </w:pPr>
      <w:r w:rsidRPr="00733C22">
        <w:t xml:space="preserve">Cette propriété identifie la ou les instances de </w:t>
      </w:r>
      <w:r w:rsidRPr="00733C22">
        <w:rPr>
          <w:rStyle w:val="VerbatimChar"/>
        </w:rPr>
        <w:t>E18_Chose_matérielle</w:t>
      </w:r>
      <w:r w:rsidRPr="00733C22">
        <w:t xml:space="preserve"> qui ont cessé d</w:t>
      </w:r>
      <w:r w:rsidR="00E84B0E">
        <w:t>’</w:t>
      </w:r>
      <w:r w:rsidRPr="00733C22">
        <w:t>exister à l</w:t>
      </w:r>
      <w:r w:rsidR="00E84B0E">
        <w:t>’</w:t>
      </w:r>
      <w:r w:rsidRPr="00733C22">
        <w:t>issue d</w:t>
      </w:r>
      <w:r w:rsidR="00E84B0E">
        <w:t>’</w:t>
      </w:r>
      <w:r w:rsidRPr="00733C22">
        <w:t xml:space="preserve">une instance de </w:t>
      </w:r>
      <w:r w:rsidRPr="00733C22">
        <w:rPr>
          <w:rStyle w:val="VerbatimChar"/>
        </w:rPr>
        <w:t>E81_Transformation</w:t>
      </w:r>
      <w:r w:rsidRPr="00733C22">
        <w:t>.</w:t>
      </w:r>
    </w:p>
    <w:p w14:paraId="22523E54" w14:textId="6D8AD249" w:rsidR="00065317" w:rsidRPr="00733C22" w:rsidRDefault="005C7BF7">
      <w:pPr>
        <w:pStyle w:val="Corpsdetexte"/>
      </w:pPr>
      <w:r w:rsidRPr="00733C22">
        <w:t>L</w:t>
      </w:r>
      <w:r w:rsidR="00E84B0E">
        <w:t>’</w:t>
      </w:r>
      <w:r w:rsidRPr="00733C22">
        <w:t>élément issu de la transformation a mis fin à l</w:t>
      </w:r>
      <w:r w:rsidR="00E84B0E">
        <w:t>’</w:t>
      </w:r>
      <w:r w:rsidRPr="00733C22">
        <w:t>existence de l</w:t>
      </w:r>
      <w:r w:rsidR="00E84B0E">
        <w:t>’</w:t>
      </w:r>
      <w:r w:rsidRPr="00733C22">
        <w:t>élément qui a été transformé et le remplace. La continuité entre les deux éléments, l</w:t>
      </w:r>
      <w:r w:rsidR="00E84B0E">
        <w:t>’</w:t>
      </w:r>
      <w:r w:rsidRPr="00733C22">
        <w:t>ancien et le nouveau, est exprimée par les liens vers l</w:t>
      </w:r>
      <w:r w:rsidR="00E84B0E">
        <w:t>’</w:t>
      </w:r>
      <w:r w:rsidRPr="00733C22">
        <w:t xml:space="preserve">instance commune de </w:t>
      </w:r>
      <w:r w:rsidRPr="00733C22">
        <w:rPr>
          <w:rStyle w:val="VerbatimChar"/>
        </w:rPr>
        <w:t>E81_Transformation</w:t>
      </w:r>
      <w:r w:rsidRPr="00733C22">
        <w:t>.</w:t>
      </w:r>
    </w:p>
    <w:p w14:paraId="482DEDE3" w14:textId="77777777" w:rsidR="00065317" w:rsidRDefault="005C7BF7">
      <w:pPr>
        <w:pStyle w:val="Corpsdetexte"/>
      </w:pPr>
      <w:r w:rsidRPr="00733C22">
        <w:rPr>
          <w:b/>
          <w:bCs/>
        </w:rPr>
        <w:t>Exemples</w:t>
      </w:r>
    </w:p>
    <w:p w14:paraId="250C0159" w14:textId="3F342CC8" w:rsidR="00065317" w:rsidRDefault="005C7BF7">
      <w:pPr>
        <w:numPr>
          <w:ilvl w:val="0"/>
          <w:numId w:val="241"/>
        </w:numPr>
      </w:pPr>
      <w:r>
        <w:t>La transformation de la loggia vénitienne d</w:t>
      </w:r>
      <w:r w:rsidR="00E84B0E">
        <w:t>’</w:t>
      </w:r>
      <w:r>
        <w:t>Héraklion en hôtel de ville (</w:t>
      </w:r>
      <w:r>
        <w:rPr>
          <w:rStyle w:val="VerbatimChar"/>
        </w:rPr>
        <w:t>E81_Transformation</w:t>
      </w:r>
      <w:r>
        <w:t xml:space="preserve">, </w:t>
      </w:r>
      <w:r>
        <w:rPr>
          <w:rStyle w:val="VerbatimChar"/>
        </w:rPr>
        <w:t>E12_Production</w:t>
      </w:r>
      <w:r>
        <w:t>) a transformé (</w:t>
      </w:r>
      <w:r>
        <w:rPr>
          <w:rStyle w:val="VerbatimChar"/>
        </w:rPr>
        <w:t>P124_a_transformé</w:t>
      </w:r>
      <w:r>
        <w:t>) la loggia vénitienne d</w:t>
      </w:r>
      <w:r w:rsidR="00E84B0E">
        <w:t>’</w:t>
      </w:r>
      <w:r>
        <w:t>Héraklion (</w:t>
      </w:r>
      <w:r>
        <w:rPr>
          <w:rStyle w:val="VerbatimChar"/>
        </w:rPr>
        <w:t>E24_Chose_matérielle_élaborée_par_l</w:t>
      </w:r>
      <w:r w:rsidR="00E84B0E">
        <w:rPr>
          <w:rStyle w:val="VerbatimChar"/>
        </w:rPr>
        <w:t>’</w:t>
      </w:r>
      <w:r>
        <w:rPr>
          <w:rStyle w:val="VerbatimChar"/>
        </w:rPr>
        <w:t>humain</w:t>
      </w:r>
      <w:r>
        <w:t>) (Municipalité d</w:t>
      </w:r>
      <w:r w:rsidR="00E84B0E">
        <w:t>’</w:t>
      </w:r>
      <w:r>
        <w:t>Héraklion, 2021)</w:t>
      </w:r>
    </w:p>
    <w:p w14:paraId="589C6BAD" w14:textId="4CEF4F50" w:rsidR="00065317" w:rsidRDefault="005C7BF7">
      <w:pPr>
        <w:numPr>
          <w:ilvl w:val="0"/>
          <w:numId w:val="241"/>
        </w:numPr>
      </w:pPr>
      <w:r>
        <w:t>La momification de Toutânkhamon (</w:t>
      </w:r>
      <w:r>
        <w:rPr>
          <w:rStyle w:val="VerbatimChar"/>
        </w:rPr>
        <w:t>E81_Transformation</w:t>
      </w:r>
      <w:r>
        <w:t xml:space="preserve">, </w:t>
      </w:r>
      <w:r>
        <w:rPr>
          <w:rStyle w:val="VerbatimChar"/>
        </w:rPr>
        <w:t>E12_Production</w:t>
      </w:r>
      <w:r>
        <w:t>) a transformé (</w:t>
      </w:r>
      <w:r>
        <w:rPr>
          <w:rStyle w:val="VerbatimChar"/>
        </w:rPr>
        <w:t>P124_a_transformé</w:t>
      </w:r>
      <w:r>
        <w:t>) le pharaon Toutânkhamon décédé (</w:t>
      </w:r>
      <w:r>
        <w:rPr>
          <w:rStyle w:val="VerbatimChar"/>
        </w:rPr>
        <w:t>E21_Personne</w:t>
      </w:r>
      <w:r>
        <w:t xml:space="preserve">) (Carter </w:t>
      </w:r>
      <w:r w:rsidR="003F7E4B">
        <w:t xml:space="preserve">&amp; </w:t>
      </w:r>
      <w:r>
        <w:t>Mace, 1977)</w:t>
      </w:r>
    </w:p>
    <w:p w14:paraId="03DBBC78" w14:textId="532AC361" w:rsidR="00065317" w:rsidRDefault="005C7BF7">
      <w:pPr>
        <w:numPr>
          <w:ilvl w:val="0"/>
          <w:numId w:val="241"/>
        </w:numPr>
      </w:pPr>
      <w:r>
        <w:t>La mort, la carbonisation et la pétrification de certains habitants de Pompéi en 79 EC provoquées par la chaleur intense d</w:t>
      </w:r>
      <w:r w:rsidR="00E84B0E">
        <w:t>’</w:t>
      </w:r>
      <w:r>
        <w:t>un nuage pyroclastique et par les cendres provenant de l</w:t>
      </w:r>
      <w:r w:rsidR="00E84B0E">
        <w:t>’</w:t>
      </w:r>
      <w:r>
        <w:t>éruption du mont Vésuve (</w:t>
      </w:r>
      <w:r>
        <w:rPr>
          <w:rStyle w:val="VerbatimChar"/>
        </w:rPr>
        <w:t>E69_Mort</w:t>
      </w:r>
      <w:r>
        <w:t xml:space="preserve">, </w:t>
      </w:r>
      <w:r>
        <w:rPr>
          <w:rStyle w:val="VerbatimChar"/>
        </w:rPr>
        <w:t>E81_Transformation</w:t>
      </w:r>
      <w:r>
        <w:t>) a transformé (</w:t>
      </w:r>
      <w:r>
        <w:rPr>
          <w:rStyle w:val="VerbatimChar"/>
        </w:rPr>
        <w:t>P124_a_transformé</w:t>
      </w:r>
      <w:r>
        <w:t>) certains habitants de Pompéi (</w:t>
      </w:r>
      <w:r>
        <w:rPr>
          <w:rStyle w:val="VerbatimChar"/>
        </w:rPr>
        <w:t>E21_Personne</w:t>
      </w:r>
      <w:r>
        <w:t>) [ET : a été la mort de (</w:t>
      </w:r>
      <w:r>
        <w:rPr>
          <w:rStyle w:val="VerbatimChar"/>
        </w:rPr>
        <w:t>P100_a_été_la_mort_de</w:t>
      </w:r>
      <w:r>
        <w:t>) certains habitants de Pompéi (</w:t>
      </w:r>
      <w:r>
        <w:rPr>
          <w:rStyle w:val="VerbatimChar"/>
        </w:rPr>
        <w:t>E21_Personne</w:t>
      </w:r>
      <w:r>
        <w:t>)]</w:t>
      </w:r>
    </w:p>
    <w:p w14:paraId="1FD9FB4C" w14:textId="77777777" w:rsidR="00065317" w:rsidRDefault="005C7BF7">
      <w:pPr>
        <w:pStyle w:val="FirstParagraph"/>
      </w:pPr>
      <w:r>
        <w:rPr>
          <w:b/>
          <w:bCs/>
        </w:rPr>
        <w:t>Logique</w:t>
      </w:r>
    </w:p>
    <w:p w14:paraId="088A52D4" w14:textId="77777777" w:rsidR="00065317" w:rsidRDefault="005C7BF7">
      <w:pPr>
        <w:pStyle w:val="Corpsdetexte"/>
      </w:pPr>
      <w:r>
        <w:t>P124(x,y) ⇒ E81(x)</w:t>
      </w:r>
    </w:p>
    <w:p w14:paraId="3D9835AE" w14:textId="77777777" w:rsidR="00065317" w:rsidRDefault="005C7BF7">
      <w:pPr>
        <w:pStyle w:val="Corpsdetexte"/>
      </w:pPr>
      <w:r>
        <w:t>P124(x,y) ⇒ E18(y)</w:t>
      </w:r>
    </w:p>
    <w:p w14:paraId="13502390" w14:textId="77777777" w:rsidR="00065317" w:rsidRDefault="005C7BF7">
      <w:pPr>
        <w:pStyle w:val="Corpsdetexte"/>
      </w:pPr>
      <w:r>
        <w:t>P124(x,y) ⇒ P93(x,y)</w:t>
      </w:r>
    </w:p>
    <w:p w14:paraId="04710C81" w14:textId="77777777" w:rsidR="00065317" w:rsidRDefault="005C7BF7">
      <w:pPr>
        <w:pStyle w:val="Corpsdetexte"/>
      </w:pPr>
      <w:r>
        <w:rPr>
          <w:b/>
          <w:bCs/>
        </w:rPr>
        <w:t>Propriétés</w:t>
      </w:r>
    </w:p>
    <w:p w14:paraId="7FF96562" w14:textId="77777777" w:rsidR="00065317" w:rsidRDefault="005C7BF7">
      <w:pPr>
        <w:pStyle w:val="Normalcentr"/>
      </w:pPr>
      <w:r>
        <w:rPr>
          <w:b/>
          <w:bCs/>
          <w:i/>
          <w:iCs/>
        </w:rPr>
        <w:t>Note de traduction</w:t>
      </w:r>
    </w:p>
    <w:p w14:paraId="077B5AA8" w14:textId="7076443D" w:rsidR="00065317" w:rsidRDefault="005C7BF7" w:rsidP="00F93A46">
      <w:pPr>
        <w:pStyle w:val="Normalcentr"/>
      </w:pPr>
      <w:r>
        <w:rPr>
          <w:b/>
          <w:bCs/>
          <w:i/>
          <w:iCs/>
        </w:rPr>
        <w:t>Références</w:t>
      </w:r>
    </w:p>
    <w:p w14:paraId="22518C24" w14:textId="010CA00F" w:rsidR="00065317" w:rsidRDefault="005C7BF7" w:rsidP="00914F34">
      <w:pPr>
        <w:pStyle w:val="Titre3"/>
      </w:pPr>
      <w:bookmarkStart w:id="470" w:name="_Toc154048920"/>
      <w:bookmarkStart w:id="471" w:name="Xa9406f0bb4a7da791160a1a4bd86dfff57af609"/>
      <w:bookmarkEnd w:id="469"/>
      <w:r>
        <w:t>P125 a mobilisé l</w:t>
      </w:r>
      <w:r w:rsidR="00E84B0E">
        <w:t>’</w:t>
      </w:r>
      <w:r>
        <w:t>objet du type (a été le type d</w:t>
      </w:r>
      <w:r w:rsidR="00E84B0E">
        <w:t>’</w:t>
      </w:r>
      <w:r>
        <w:t>objet employé pour)</w:t>
      </w:r>
      <w:bookmarkEnd w:id="470"/>
    </w:p>
    <w:p w14:paraId="2D7A01E4" w14:textId="77777777" w:rsidR="00065317" w:rsidRDefault="005C7BF7">
      <w:pPr>
        <w:pStyle w:val="FirstParagraph"/>
      </w:pPr>
      <w:r>
        <w:rPr>
          <w:b/>
          <w:bCs/>
        </w:rPr>
        <w:t>Domaine</w:t>
      </w:r>
    </w:p>
    <w:p w14:paraId="3CA7663D" w14:textId="77777777" w:rsidR="00065317" w:rsidRDefault="005C7BF7">
      <w:pPr>
        <w:pStyle w:val="Corpsdetexte"/>
      </w:pPr>
      <w:r>
        <w:rPr>
          <w:rStyle w:val="VerbatimChar"/>
        </w:rPr>
        <w:t>E7_Activité</w:t>
      </w:r>
    </w:p>
    <w:p w14:paraId="7D0A06E7" w14:textId="77777777" w:rsidR="00065317" w:rsidRDefault="005C7BF7">
      <w:pPr>
        <w:pStyle w:val="Corpsdetexte"/>
      </w:pPr>
      <w:r>
        <w:rPr>
          <w:b/>
          <w:bCs/>
        </w:rPr>
        <w:t>Portée</w:t>
      </w:r>
    </w:p>
    <w:p w14:paraId="04B7B678" w14:textId="77777777" w:rsidR="00065317" w:rsidRDefault="005C7BF7">
      <w:pPr>
        <w:pStyle w:val="Corpsdetexte"/>
      </w:pPr>
      <w:r>
        <w:rPr>
          <w:rStyle w:val="VerbatimChar"/>
        </w:rPr>
        <w:t>E55_Type</w:t>
      </w:r>
    </w:p>
    <w:p w14:paraId="16DFD876" w14:textId="77777777" w:rsidR="00065317" w:rsidRDefault="005C7BF7">
      <w:pPr>
        <w:pStyle w:val="Corpsdetexte"/>
      </w:pPr>
      <w:r>
        <w:rPr>
          <w:b/>
          <w:bCs/>
        </w:rPr>
        <w:t>Sous-propriété de</w:t>
      </w:r>
    </w:p>
    <w:p w14:paraId="3FCE6CA6" w14:textId="77777777" w:rsidR="00DE6C24" w:rsidRDefault="00DE6C24">
      <w:pPr>
        <w:spacing w:after="0"/>
        <w:rPr>
          <w:b/>
          <w:bCs/>
        </w:rPr>
      </w:pPr>
      <w:r>
        <w:rPr>
          <w:b/>
          <w:bCs/>
        </w:rPr>
        <w:br w:type="page"/>
      </w:r>
    </w:p>
    <w:p w14:paraId="247FE98E" w14:textId="2A4F5075" w:rsidR="00065317" w:rsidRDefault="005C7BF7">
      <w:pPr>
        <w:pStyle w:val="Corpsdetexte"/>
      </w:pPr>
      <w:r>
        <w:rPr>
          <w:b/>
          <w:bCs/>
        </w:rPr>
        <w:lastRenderedPageBreak/>
        <w:t>Super-propriété de</w:t>
      </w:r>
    </w:p>
    <w:p w14:paraId="5A2FB963" w14:textId="77777777" w:rsidR="00065317" w:rsidRDefault="005C7BF7">
      <w:pPr>
        <w:pStyle w:val="Corpsdetexte"/>
      </w:pPr>
      <w:r>
        <w:rPr>
          <w:rStyle w:val="VerbatimChar"/>
        </w:rPr>
        <w:t>E7_Activité</w:t>
      </w:r>
      <w:r>
        <w:t xml:space="preserve"> . </w:t>
      </w:r>
      <w:r>
        <w:rPr>
          <w:rStyle w:val="VerbatimChar"/>
        </w:rPr>
        <w:t>P32_a_mobilisé_comme_technique_générale (a_été_la_technique_générale_mise_en_œuvre_dans)</w:t>
      </w:r>
      <w:r>
        <w:t xml:space="preserve"> : </w:t>
      </w:r>
      <w:r>
        <w:rPr>
          <w:rStyle w:val="VerbatimChar"/>
        </w:rPr>
        <w:t>E55_Type</w:t>
      </w:r>
    </w:p>
    <w:p w14:paraId="73E7EBC5" w14:textId="77777777" w:rsidR="00065317" w:rsidRDefault="005C7BF7">
      <w:pPr>
        <w:pStyle w:val="Corpsdetexte"/>
      </w:pPr>
      <w:r>
        <w:rPr>
          <w:b/>
          <w:bCs/>
        </w:rPr>
        <w:t>Quantification</w:t>
      </w:r>
    </w:p>
    <w:p w14:paraId="234CD87C" w14:textId="77777777" w:rsidR="00065317" w:rsidRDefault="005C7BF7">
      <w:pPr>
        <w:pStyle w:val="Corpsdetexte"/>
      </w:pPr>
      <w:r>
        <w:t>plusieurs à plusieurs (0,n:0,n)</w:t>
      </w:r>
    </w:p>
    <w:p w14:paraId="5619C086" w14:textId="2DCA51CE" w:rsidR="00065317" w:rsidRDefault="005C7BF7">
      <w:pPr>
        <w:pStyle w:val="Corpsdetexte"/>
      </w:pPr>
      <w:r>
        <w:rPr>
          <w:b/>
          <w:bCs/>
        </w:rPr>
        <w:t>Note d</w:t>
      </w:r>
      <w:r w:rsidR="00E84B0E">
        <w:rPr>
          <w:b/>
          <w:bCs/>
        </w:rPr>
        <w:t>’</w:t>
      </w:r>
      <w:r>
        <w:rPr>
          <w:b/>
          <w:bCs/>
        </w:rPr>
        <w:t>application</w:t>
      </w:r>
    </w:p>
    <w:p w14:paraId="34FBA65A" w14:textId="729C8667" w:rsidR="00065317" w:rsidRDefault="005C7BF7">
      <w:pPr>
        <w:pStyle w:val="Corpsdetexte"/>
      </w:pPr>
      <w:r>
        <w:t xml:space="preserve">Cette propriété associe une instance de </w:t>
      </w:r>
      <w:r>
        <w:rPr>
          <w:rStyle w:val="VerbatimChar"/>
        </w:rPr>
        <w:t>E7_Activité</w:t>
      </w:r>
      <w:r>
        <w:t xml:space="preserve"> à une instance de </w:t>
      </w:r>
      <w:r>
        <w:rPr>
          <w:rStyle w:val="VerbatimChar"/>
        </w:rPr>
        <w:t>E55_Type</w:t>
      </w:r>
      <w:r>
        <w:t xml:space="preserve">. </w:t>
      </w:r>
      <w:r>
        <w:rPr>
          <w:rStyle w:val="VerbatimChar"/>
        </w:rPr>
        <w:t>P125_a_mobilisé_l</w:t>
      </w:r>
      <w:r w:rsidR="00E84B0E">
        <w:rPr>
          <w:rStyle w:val="VerbatimChar"/>
        </w:rPr>
        <w:t>’</w:t>
      </w:r>
      <w:r>
        <w:rPr>
          <w:rStyle w:val="VerbatimChar"/>
        </w:rPr>
        <w:t>objet_du_type (a_été_le_type_d</w:t>
      </w:r>
      <w:r w:rsidR="00E84B0E">
        <w:rPr>
          <w:rStyle w:val="VerbatimChar"/>
        </w:rPr>
        <w:t>’</w:t>
      </w:r>
      <w:r>
        <w:rPr>
          <w:rStyle w:val="VerbatimChar"/>
        </w:rPr>
        <w:t>objet_employé_pour)</w:t>
      </w:r>
      <w:r>
        <w:t xml:space="preserve"> est utilisée pour classifier, avec une instance de </w:t>
      </w:r>
      <w:r>
        <w:rPr>
          <w:rStyle w:val="VerbatimChar"/>
        </w:rPr>
        <w:t>E55_Type</w:t>
      </w:r>
      <w:r>
        <w:t xml:space="preserve">, une instance de </w:t>
      </w:r>
      <w:r>
        <w:rPr>
          <w:rStyle w:val="VerbatimChar"/>
        </w:rPr>
        <w:t>E70_Chose</w:t>
      </w:r>
      <w:r>
        <w:t xml:space="preserve"> utilisée dans une instance de </w:t>
      </w:r>
      <w:r>
        <w:rPr>
          <w:rStyle w:val="VerbatimChar"/>
        </w:rPr>
        <w:t>E7_Activité</w:t>
      </w:r>
      <w:r>
        <w:t xml:space="preserve"> lorsque la nature spécifique de cette instance de </w:t>
      </w:r>
      <w:r>
        <w:rPr>
          <w:rStyle w:val="VerbatimChar"/>
        </w:rPr>
        <w:t>E70_Chose</w:t>
      </w:r>
      <w:r>
        <w:t xml:space="preserve"> ne présente pas d</w:t>
      </w:r>
      <w:r w:rsidR="00E84B0E">
        <w:t>’</w:t>
      </w:r>
      <w:r>
        <w:t>intérêt ou est inconnue, comme l</w:t>
      </w:r>
      <w:r w:rsidR="00E84B0E">
        <w:t>’</w:t>
      </w:r>
      <w:r>
        <w:t>utilisation d</w:t>
      </w:r>
      <w:r w:rsidR="00E84B0E">
        <w:t>’</w:t>
      </w:r>
      <w:r>
        <w:t>« un marteau ».</w:t>
      </w:r>
    </w:p>
    <w:p w14:paraId="3529A416" w14:textId="302B4C83" w:rsidR="00065317" w:rsidRDefault="005C7BF7">
      <w:pPr>
        <w:pStyle w:val="Corpsdetexte"/>
      </w:pPr>
      <w:r>
        <w:t xml:space="preserve">Cette propriété est un raccourci du chemin sémantique suivant </w:t>
      </w:r>
      <w:r>
        <w:rPr>
          <w:rStyle w:val="VerbatimChar"/>
        </w:rPr>
        <w:t>E7_Activité</w:t>
      </w:r>
      <w:r>
        <w:t xml:space="preserve">. </w:t>
      </w:r>
      <w:r>
        <w:rPr>
          <w:rStyle w:val="VerbatimChar"/>
        </w:rPr>
        <w:t>P16_a_mobilisé_l</w:t>
      </w:r>
      <w:r w:rsidR="00E84B0E">
        <w:rPr>
          <w:rStyle w:val="VerbatimChar"/>
        </w:rPr>
        <w:t>’</w:t>
      </w:r>
      <w:r>
        <w:rPr>
          <w:rStyle w:val="VerbatimChar"/>
        </w:rPr>
        <w:t>objet_spécifique</w:t>
      </w:r>
      <w:r>
        <w:t xml:space="preserve"> : </w:t>
      </w:r>
      <w:r>
        <w:rPr>
          <w:rStyle w:val="VerbatimChar"/>
        </w:rPr>
        <w:t>E70_Chose</w:t>
      </w:r>
      <w:r>
        <w:t xml:space="preserve">. </w:t>
      </w:r>
      <w:r>
        <w:rPr>
          <w:rStyle w:val="VerbatimChar"/>
        </w:rPr>
        <w:t>P2_a_pour_type</w:t>
      </w:r>
      <w:r>
        <w:t xml:space="preserve"> : </w:t>
      </w:r>
      <w:r>
        <w:rPr>
          <w:rStyle w:val="VerbatimChar"/>
        </w:rPr>
        <w:t>E55_Type</w:t>
      </w:r>
      <w:r>
        <w:t>.</w:t>
      </w:r>
    </w:p>
    <w:p w14:paraId="1988AE38" w14:textId="77777777" w:rsidR="00065317" w:rsidRDefault="005C7BF7">
      <w:pPr>
        <w:pStyle w:val="Corpsdetexte"/>
      </w:pPr>
      <w:r>
        <w:rPr>
          <w:b/>
          <w:bCs/>
        </w:rPr>
        <w:t>Exemples</w:t>
      </w:r>
    </w:p>
    <w:p w14:paraId="2B906619" w14:textId="7F23AA7A" w:rsidR="00065317" w:rsidRDefault="005C7BF7">
      <w:pPr>
        <w:numPr>
          <w:ilvl w:val="0"/>
          <w:numId w:val="242"/>
        </w:numPr>
      </w:pPr>
      <w:r>
        <w:t>Les activités des archers anglais lors de la bataille d</w:t>
      </w:r>
      <w:r w:rsidR="00E84B0E">
        <w:t>’</w:t>
      </w:r>
      <w:r>
        <w:t>Azincourt (</w:t>
      </w:r>
      <w:r>
        <w:rPr>
          <w:rStyle w:val="VerbatimChar"/>
        </w:rPr>
        <w:t>E7_Activité</w:t>
      </w:r>
      <w:r>
        <w:t>) ont mobilisé les objets du type (</w:t>
      </w:r>
      <w:r>
        <w:rPr>
          <w:rStyle w:val="VerbatimChar"/>
        </w:rPr>
        <w:t>P125_a_mobilisé_l</w:t>
      </w:r>
      <w:r w:rsidR="00E84B0E">
        <w:rPr>
          <w:rStyle w:val="VerbatimChar"/>
        </w:rPr>
        <w:t>’</w:t>
      </w:r>
      <w:r>
        <w:rPr>
          <w:rStyle w:val="VerbatimChar"/>
        </w:rPr>
        <w:t>objet_du_type</w:t>
      </w:r>
      <w:r>
        <w:t>) « arc long » (</w:t>
      </w:r>
      <w:r>
        <w:rPr>
          <w:rStyle w:val="VerbatimChar"/>
        </w:rPr>
        <w:t>E55_Type</w:t>
      </w:r>
      <w:r>
        <w:t>) (Curry, 2015)</w:t>
      </w:r>
    </w:p>
    <w:p w14:paraId="5DA9990F" w14:textId="77777777" w:rsidR="00065317" w:rsidRDefault="005C7BF7">
      <w:pPr>
        <w:pStyle w:val="FirstParagraph"/>
      </w:pPr>
      <w:r>
        <w:rPr>
          <w:b/>
          <w:bCs/>
        </w:rPr>
        <w:t>Logique</w:t>
      </w:r>
    </w:p>
    <w:p w14:paraId="4E61B555" w14:textId="77777777" w:rsidR="00065317" w:rsidRDefault="005C7BF7">
      <w:pPr>
        <w:pStyle w:val="Corpsdetexte"/>
      </w:pPr>
      <w:r>
        <w:t>P125(x,y) ⇒ E7(x)</w:t>
      </w:r>
    </w:p>
    <w:p w14:paraId="15765267" w14:textId="77777777" w:rsidR="00065317" w:rsidRDefault="005C7BF7">
      <w:pPr>
        <w:pStyle w:val="Corpsdetexte"/>
      </w:pPr>
      <w:r>
        <w:t>P125(x,y) ⇒ E55(y)</w:t>
      </w:r>
    </w:p>
    <w:p w14:paraId="7743E8B2" w14:textId="77777777" w:rsidR="00065317" w:rsidRDefault="005C7BF7">
      <w:pPr>
        <w:pStyle w:val="Corpsdetexte"/>
      </w:pPr>
      <w:r>
        <w:t>P125(x,y) ⇔ (∃z) [E70(z) ∧ P16(x,z) ∧ P2(z,y)]</w:t>
      </w:r>
    </w:p>
    <w:p w14:paraId="0342E61C" w14:textId="77777777" w:rsidR="00065317" w:rsidRDefault="005C7BF7">
      <w:pPr>
        <w:pStyle w:val="Corpsdetexte"/>
      </w:pPr>
      <w:r>
        <w:rPr>
          <w:b/>
          <w:bCs/>
        </w:rPr>
        <w:t>Propriétés</w:t>
      </w:r>
    </w:p>
    <w:p w14:paraId="388273F3" w14:textId="77777777" w:rsidR="00065317" w:rsidRDefault="005C7BF7">
      <w:pPr>
        <w:pStyle w:val="Normalcentr"/>
      </w:pPr>
      <w:r>
        <w:rPr>
          <w:b/>
          <w:bCs/>
          <w:i/>
          <w:iCs/>
        </w:rPr>
        <w:t>Note de traduction</w:t>
      </w:r>
    </w:p>
    <w:p w14:paraId="4396A6C7" w14:textId="0424CE40" w:rsidR="00065317" w:rsidRDefault="005C7BF7" w:rsidP="00F93A46">
      <w:pPr>
        <w:pStyle w:val="Normalcentr"/>
      </w:pPr>
      <w:r>
        <w:rPr>
          <w:b/>
          <w:bCs/>
          <w:i/>
          <w:iCs/>
        </w:rPr>
        <w:t>Références</w:t>
      </w:r>
    </w:p>
    <w:p w14:paraId="0588E6F4" w14:textId="77777777" w:rsidR="00065317" w:rsidRDefault="005C7BF7" w:rsidP="00914F34">
      <w:pPr>
        <w:pStyle w:val="Titre3"/>
      </w:pPr>
      <w:bookmarkStart w:id="472" w:name="_Toc154048921"/>
      <w:bookmarkStart w:id="473" w:name="p126-a-employe-(a-ete-employe-dans)"/>
      <w:bookmarkEnd w:id="471"/>
      <w:r>
        <w:t>P126 a employé (a été employé dans)</w:t>
      </w:r>
      <w:bookmarkEnd w:id="472"/>
    </w:p>
    <w:p w14:paraId="7010DD21" w14:textId="77777777" w:rsidR="00065317" w:rsidRDefault="005C7BF7">
      <w:pPr>
        <w:pStyle w:val="FirstParagraph"/>
      </w:pPr>
      <w:r>
        <w:rPr>
          <w:b/>
          <w:bCs/>
        </w:rPr>
        <w:t>Domaine</w:t>
      </w:r>
    </w:p>
    <w:p w14:paraId="5200278F" w14:textId="77777777" w:rsidR="00065317" w:rsidRDefault="005C7BF7">
      <w:pPr>
        <w:pStyle w:val="Corpsdetexte"/>
      </w:pPr>
      <w:r>
        <w:rPr>
          <w:rStyle w:val="VerbatimChar"/>
        </w:rPr>
        <w:t>E11_Modification</w:t>
      </w:r>
    </w:p>
    <w:p w14:paraId="6AFA7A6E" w14:textId="77777777" w:rsidR="00065317" w:rsidRDefault="005C7BF7">
      <w:pPr>
        <w:pStyle w:val="Corpsdetexte"/>
      </w:pPr>
      <w:r>
        <w:rPr>
          <w:b/>
          <w:bCs/>
        </w:rPr>
        <w:t>Portée</w:t>
      </w:r>
    </w:p>
    <w:p w14:paraId="2637B3DE" w14:textId="77777777" w:rsidR="00065317" w:rsidRDefault="005C7BF7">
      <w:pPr>
        <w:pStyle w:val="Corpsdetexte"/>
      </w:pPr>
      <w:r>
        <w:rPr>
          <w:rStyle w:val="VerbatimChar"/>
        </w:rPr>
        <w:t>E57_Matériau</w:t>
      </w:r>
    </w:p>
    <w:p w14:paraId="41FC0053" w14:textId="77777777" w:rsidR="00065317" w:rsidRDefault="005C7BF7">
      <w:pPr>
        <w:pStyle w:val="Corpsdetexte"/>
      </w:pPr>
      <w:r>
        <w:rPr>
          <w:b/>
          <w:bCs/>
        </w:rPr>
        <w:t>Sous-propriété de</w:t>
      </w:r>
    </w:p>
    <w:p w14:paraId="7BA53E39" w14:textId="77777777" w:rsidR="00065317" w:rsidRDefault="005C7BF7">
      <w:pPr>
        <w:pStyle w:val="Corpsdetexte"/>
      </w:pPr>
      <w:r>
        <w:rPr>
          <w:b/>
          <w:bCs/>
        </w:rPr>
        <w:t>Super-propriété de</w:t>
      </w:r>
    </w:p>
    <w:p w14:paraId="0D511B41" w14:textId="77777777" w:rsidR="00065317" w:rsidRDefault="005C7BF7">
      <w:pPr>
        <w:pStyle w:val="Corpsdetexte"/>
      </w:pPr>
      <w:r>
        <w:rPr>
          <w:b/>
          <w:bCs/>
        </w:rPr>
        <w:t>Quantification</w:t>
      </w:r>
    </w:p>
    <w:p w14:paraId="7B8F3A8B" w14:textId="77777777" w:rsidR="00065317" w:rsidRDefault="005C7BF7">
      <w:pPr>
        <w:pStyle w:val="Corpsdetexte"/>
      </w:pPr>
      <w:r>
        <w:t>plusieurs à plusieurs (0,n:0,n)</w:t>
      </w:r>
    </w:p>
    <w:p w14:paraId="2417DC47" w14:textId="77777777" w:rsidR="00DE6C24" w:rsidRDefault="00DE6C24">
      <w:pPr>
        <w:spacing w:after="0"/>
        <w:rPr>
          <w:b/>
          <w:bCs/>
        </w:rPr>
      </w:pPr>
      <w:r>
        <w:rPr>
          <w:b/>
          <w:bCs/>
        </w:rPr>
        <w:br w:type="page"/>
      </w:r>
    </w:p>
    <w:p w14:paraId="40C5CD99" w14:textId="6D2AF578" w:rsidR="00065317" w:rsidRDefault="005C7BF7">
      <w:pPr>
        <w:pStyle w:val="Corpsdetexte"/>
      </w:pPr>
      <w:r>
        <w:rPr>
          <w:b/>
          <w:bCs/>
        </w:rPr>
        <w:lastRenderedPageBreak/>
        <w:t>Note d</w:t>
      </w:r>
      <w:r w:rsidR="00E84B0E">
        <w:rPr>
          <w:b/>
          <w:bCs/>
        </w:rPr>
        <w:t>’</w:t>
      </w:r>
      <w:r>
        <w:rPr>
          <w:b/>
          <w:bCs/>
        </w:rPr>
        <w:t>application</w:t>
      </w:r>
    </w:p>
    <w:p w14:paraId="7F6D3E05" w14:textId="2F42E1A1" w:rsidR="00065317" w:rsidRDefault="005C7BF7">
      <w:pPr>
        <w:pStyle w:val="Corpsdetexte"/>
      </w:pPr>
      <w:r>
        <w:t xml:space="preserve">Cette propriété identifie une instance de </w:t>
      </w:r>
      <w:r>
        <w:rPr>
          <w:rStyle w:val="VerbatimChar"/>
        </w:rPr>
        <w:t>E57_Matériau</w:t>
      </w:r>
      <w:r>
        <w:t xml:space="preserve"> employée dans le cadre d</w:t>
      </w:r>
      <w:r w:rsidR="00E84B0E">
        <w:t>’</w:t>
      </w:r>
      <w:r>
        <w:t xml:space="preserve">une instance de </w:t>
      </w:r>
      <w:r>
        <w:rPr>
          <w:rStyle w:val="VerbatimChar"/>
        </w:rPr>
        <w:t>E11_Modification</w:t>
      </w:r>
      <w:r>
        <w:t>.</w:t>
      </w:r>
    </w:p>
    <w:p w14:paraId="1CF1450C" w14:textId="5EC4EABE" w:rsidR="00065317" w:rsidRDefault="005C7BF7">
      <w:pPr>
        <w:pStyle w:val="Corpsdetexte"/>
      </w:pPr>
      <w:r>
        <w:t>L</w:t>
      </w:r>
      <w:r w:rsidR="00E84B0E">
        <w:t>’</w:t>
      </w:r>
      <w:r>
        <w:t xml:space="preserve">instance de </w:t>
      </w:r>
      <w:r>
        <w:rPr>
          <w:rStyle w:val="VerbatimChar"/>
        </w:rPr>
        <w:t>E57_Matériau</w:t>
      </w:r>
      <w:r>
        <w:t xml:space="preserve"> utilisée dans le cadre de l</w:t>
      </w:r>
      <w:r w:rsidR="00E84B0E">
        <w:t>’</w:t>
      </w:r>
      <w:r>
        <w:t xml:space="preserve">instance de </w:t>
      </w:r>
      <w:r>
        <w:rPr>
          <w:rStyle w:val="VerbatimChar"/>
        </w:rPr>
        <w:t>E11_Modification</w:t>
      </w:r>
      <w:r>
        <w:t xml:space="preserve"> n</w:t>
      </w:r>
      <w:r w:rsidR="00E84B0E">
        <w:t>’</w:t>
      </w:r>
      <w:r>
        <w:t>est pas par défaut incorporée dans l</w:t>
      </w:r>
      <w:r w:rsidR="00E84B0E">
        <w:t>’</w:t>
      </w:r>
      <w:r>
        <w:t xml:space="preserve">instance de </w:t>
      </w:r>
      <w:r>
        <w:rPr>
          <w:rStyle w:val="VerbatimChar"/>
        </w:rPr>
        <w:t>E24_Chose_matérielle_élaborée_par_l</w:t>
      </w:r>
      <w:r w:rsidR="00E84B0E">
        <w:rPr>
          <w:rStyle w:val="VerbatimChar"/>
        </w:rPr>
        <w:t>’</w:t>
      </w:r>
      <w:r>
        <w:rPr>
          <w:rStyle w:val="VerbatimChar"/>
        </w:rPr>
        <w:t>humain</w:t>
      </w:r>
      <w:r>
        <w:t xml:space="preserve"> sujette à l</w:t>
      </w:r>
      <w:r w:rsidR="00E84B0E">
        <w:t>’</w:t>
      </w:r>
      <w:r>
        <w:t xml:space="preserve">instance de </w:t>
      </w:r>
      <w:r>
        <w:rPr>
          <w:rStyle w:val="VerbatimChar"/>
        </w:rPr>
        <w:t>E11_Modification</w:t>
      </w:r>
      <w:r>
        <w:t>.</w:t>
      </w:r>
    </w:p>
    <w:p w14:paraId="6EF2A151" w14:textId="77777777" w:rsidR="00065317" w:rsidRDefault="005C7BF7">
      <w:pPr>
        <w:pStyle w:val="Corpsdetexte"/>
      </w:pPr>
      <w:r>
        <w:rPr>
          <w:b/>
          <w:bCs/>
        </w:rPr>
        <w:t>Exemples</w:t>
      </w:r>
    </w:p>
    <w:p w14:paraId="6D2396F6" w14:textId="48C3AE05" w:rsidR="00065317" w:rsidRDefault="005C7BF7">
      <w:pPr>
        <w:numPr>
          <w:ilvl w:val="0"/>
          <w:numId w:val="243"/>
        </w:numPr>
      </w:pPr>
      <w:r>
        <w:t>La réparation du RMS Queen Mary (</w:t>
      </w:r>
      <w:r>
        <w:rPr>
          <w:rStyle w:val="VerbatimChar"/>
        </w:rPr>
        <w:t>E11_Modification</w:t>
      </w:r>
      <w:r>
        <w:t>) a employé (</w:t>
      </w:r>
      <w:r>
        <w:rPr>
          <w:rStyle w:val="VerbatimChar"/>
        </w:rPr>
        <w:t>P126_a_employé</w:t>
      </w:r>
      <w:r>
        <w:t>) de l</w:t>
      </w:r>
      <w:r w:rsidR="00E84B0E">
        <w:t>’</w:t>
      </w:r>
      <w:r>
        <w:t>acier (</w:t>
      </w:r>
      <w:r>
        <w:rPr>
          <w:rStyle w:val="VerbatimChar"/>
        </w:rPr>
        <w:t>E57_Matériau</w:t>
      </w:r>
      <w:r>
        <w:t>) [à compter d</w:t>
      </w:r>
      <w:r w:rsidR="00E84B0E">
        <w:t>’</w:t>
      </w:r>
      <w:r>
        <w:t>octobre 1942] (Britton, 2012)</w:t>
      </w:r>
    </w:p>
    <w:p w14:paraId="096342FF" w14:textId="5E4DD88E" w:rsidR="00065317" w:rsidRDefault="005C7BF7">
      <w:pPr>
        <w:numPr>
          <w:ilvl w:val="0"/>
          <w:numId w:val="243"/>
        </w:numPr>
      </w:pPr>
      <w:r>
        <w:t>De l</w:t>
      </w:r>
      <w:r w:rsidR="00E84B0E">
        <w:t>’</w:t>
      </w:r>
      <w:r>
        <w:t>eau distillée (</w:t>
      </w:r>
      <w:r>
        <w:rPr>
          <w:rStyle w:val="VerbatimChar"/>
        </w:rPr>
        <w:t>E57_Matériau</w:t>
      </w:r>
      <w:r>
        <w:t>) a été employée (</w:t>
      </w:r>
      <w:r>
        <w:rPr>
          <w:rStyle w:val="VerbatimChar"/>
        </w:rPr>
        <w:t>P126i_a_été_employé_dans</w:t>
      </w:r>
      <w:r>
        <w:t>) dans la restauration de la chapelle Sixtine (</w:t>
      </w:r>
      <w:r>
        <w:rPr>
          <w:rStyle w:val="VerbatimChar"/>
        </w:rPr>
        <w:t>E11_Modification</w:t>
      </w:r>
      <w:r>
        <w:t>) (Pietrangeli, 1986)</w:t>
      </w:r>
    </w:p>
    <w:p w14:paraId="400DEC34" w14:textId="77777777" w:rsidR="00065317" w:rsidRDefault="005C7BF7">
      <w:pPr>
        <w:pStyle w:val="FirstParagraph"/>
      </w:pPr>
      <w:r>
        <w:rPr>
          <w:b/>
          <w:bCs/>
        </w:rPr>
        <w:t>Logique</w:t>
      </w:r>
    </w:p>
    <w:p w14:paraId="712B703D" w14:textId="77777777" w:rsidR="00065317" w:rsidRDefault="005C7BF7">
      <w:pPr>
        <w:pStyle w:val="Corpsdetexte"/>
      </w:pPr>
      <w:r>
        <w:t>P126(x,y) ⇒ E11(x)</w:t>
      </w:r>
    </w:p>
    <w:p w14:paraId="2A7DBCD6" w14:textId="77777777" w:rsidR="00065317" w:rsidRDefault="005C7BF7">
      <w:pPr>
        <w:pStyle w:val="Corpsdetexte"/>
      </w:pPr>
      <w:r>
        <w:t>P126(x,y) ⇒ E57(y)</w:t>
      </w:r>
    </w:p>
    <w:p w14:paraId="34C22E24" w14:textId="77777777" w:rsidR="00065317" w:rsidRDefault="005C7BF7">
      <w:pPr>
        <w:pStyle w:val="Corpsdetexte"/>
      </w:pPr>
      <w:r>
        <w:rPr>
          <w:b/>
          <w:bCs/>
        </w:rPr>
        <w:t>Propriétés</w:t>
      </w:r>
    </w:p>
    <w:p w14:paraId="1870F119" w14:textId="77777777" w:rsidR="00065317" w:rsidRDefault="005C7BF7">
      <w:pPr>
        <w:pStyle w:val="Normalcentr"/>
      </w:pPr>
      <w:r>
        <w:rPr>
          <w:b/>
          <w:bCs/>
          <w:i/>
          <w:iCs/>
        </w:rPr>
        <w:t>Note de traduction</w:t>
      </w:r>
    </w:p>
    <w:p w14:paraId="45A43FF6" w14:textId="13092AEB" w:rsidR="00065317" w:rsidRDefault="005C7BF7" w:rsidP="00F93A46">
      <w:pPr>
        <w:pStyle w:val="Normalcentr"/>
      </w:pPr>
      <w:r>
        <w:rPr>
          <w:b/>
          <w:bCs/>
          <w:i/>
          <w:iCs/>
        </w:rPr>
        <w:t>Références</w:t>
      </w:r>
    </w:p>
    <w:p w14:paraId="4936A1D9" w14:textId="77777777" w:rsidR="00065317" w:rsidRDefault="005C7BF7" w:rsidP="00914F34">
      <w:pPr>
        <w:pStyle w:val="Titre3"/>
      </w:pPr>
      <w:bookmarkStart w:id="474" w:name="_Toc154048922"/>
      <w:bookmarkStart w:id="475" w:name="X094737d87bf72b57170c273be8da954cc0b43e2"/>
      <w:bookmarkEnd w:id="473"/>
      <w:r>
        <w:t>P127 a pour terme général (a pour terme spécifique)</w:t>
      </w:r>
      <w:bookmarkEnd w:id="474"/>
    </w:p>
    <w:p w14:paraId="4FEBE7BC" w14:textId="77777777" w:rsidR="00065317" w:rsidRDefault="005C7BF7">
      <w:pPr>
        <w:pStyle w:val="FirstParagraph"/>
      </w:pPr>
      <w:r>
        <w:rPr>
          <w:b/>
          <w:bCs/>
        </w:rPr>
        <w:t>Domaine</w:t>
      </w:r>
    </w:p>
    <w:p w14:paraId="2825F256" w14:textId="77777777" w:rsidR="00065317" w:rsidRDefault="005C7BF7">
      <w:pPr>
        <w:pStyle w:val="Corpsdetexte"/>
      </w:pPr>
      <w:r>
        <w:rPr>
          <w:rStyle w:val="VerbatimChar"/>
        </w:rPr>
        <w:t>E55_Type</w:t>
      </w:r>
    </w:p>
    <w:p w14:paraId="52CE9B51" w14:textId="77777777" w:rsidR="00065317" w:rsidRDefault="005C7BF7">
      <w:pPr>
        <w:pStyle w:val="Corpsdetexte"/>
      </w:pPr>
      <w:r>
        <w:rPr>
          <w:b/>
          <w:bCs/>
        </w:rPr>
        <w:t>Portée</w:t>
      </w:r>
    </w:p>
    <w:p w14:paraId="5B29569B" w14:textId="77777777" w:rsidR="00065317" w:rsidRDefault="005C7BF7">
      <w:pPr>
        <w:pStyle w:val="Corpsdetexte"/>
      </w:pPr>
      <w:r>
        <w:rPr>
          <w:rStyle w:val="VerbatimChar"/>
        </w:rPr>
        <w:t>E55_Type</w:t>
      </w:r>
    </w:p>
    <w:p w14:paraId="5BEC4C87" w14:textId="77777777" w:rsidR="00065317" w:rsidRDefault="005C7BF7">
      <w:pPr>
        <w:pStyle w:val="Corpsdetexte"/>
      </w:pPr>
      <w:r>
        <w:rPr>
          <w:b/>
          <w:bCs/>
        </w:rPr>
        <w:t>Sous-propriété de</w:t>
      </w:r>
    </w:p>
    <w:p w14:paraId="1340B72E" w14:textId="77777777" w:rsidR="00065317" w:rsidRDefault="005C7BF7">
      <w:pPr>
        <w:pStyle w:val="Corpsdetexte"/>
      </w:pPr>
      <w:r>
        <w:rPr>
          <w:b/>
          <w:bCs/>
        </w:rPr>
        <w:t>Super-propriété de</w:t>
      </w:r>
    </w:p>
    <w:p w14:paraId="34C014E9" w14:textId="77777777" w:rsidR="00065317" w:rsidRDefault="005C7BF7">
      <w:pPr>
        <w:pStyle w:val="Corpsdetexte"/>
      </w:pPr>
      <w:r>
        <w:rPr>
          <w:b/>
          <w:bCs/>
        </w:rPr>
        <w:t>Quantification</w:t>
      </w:r>
    </w:p>
    <w:p w14:paraId="47EF0722" w14:textId="77777777" w:rsidR="00065317" w:rsidRDefault="005C7BF7">
      <w:pPr>
        <w:pStyle w:val="Corpsdetexte"/>
      </w:pPr>
      <w:r>
        <w:t>plusieurs à plusieurs (0,n:0,n)</w:t>
      </w:r>
    </w:p>
    <w:p w14:paraId="37F1910C" w14:textId="36EAEF23" w:rsidR="00065317" w:rsidRDefault="005C7BF7">
      <w:pPr>
        <w:pStyle w:val="Corpsdetexte"/>
      </w:pPr>
      <w:r>
        <w:rPr>
          <w:b/>
          <w:bCs/>
        </w:rPr>
        <w:t>Note d</w:t>
      </w:r>
      <w:r w:rsidR="00E84B0E">
        <w:rPr>
          <w:b/>
          <w:bCs/>
        </w:rPr>
        <w:t>’</w:t>
      </w:r>
      <w:r>
        <w:rPr>
          <w:b/>
          <w:bCs/>
        </w:rPr>
        <w:t>application</w:t>
      </w:r>
    </w:p>
    <w:p w14:paraId="49565033" w14:textId="77777777" w:rsidR="00065317" w:rsidRDefault="005C7BF7">
      <w:pPr>
        <w:pStyle w:val="Corpsdetexte"/>
      </w:pPr>
      <w:r>
        <w:t xml:space="preserve">Cette propriété associe une instance de </w:t>
      </w:r>
      <w:r>
        <w:rPr>
          <w:rStyle w:val="VerbatimChar"/>
        </w:rPr>
        <w:t>E55_Type</w:t>
      </w:r>
      <w:r>
        <w:t xml:space="preserve"> à une autre instance de </w:t>
      </w:r>
      <w:r>
        <w:rPr>
          <w:rStyle w:val="VerbatimChar"/>
        </w:rPr>
        <w:t>E55_Type</w:t>
      </w:r>
      <w:r>
        <w:t xml:space="preserve"> qui a une signification plus générale.</w:t>
      </w:r>
    </w:p>
    <w:p w14:paraId="00CD3977" w14:textId="77777777" w:rsidR="003F7E4B" w:rsidRDefault="005C7BF7">
      <w:pPr>
        <w:pStyle w:val="Corpsdetexte"/>
      </w:pPr>
      <w:r>
        <w:t xml:space="preserve">Cette propriété permet aux instances de </w:t>
      </w:r>
      <w:r>
        <w:rPr>
          <w:rStyle w:val="VerbatimChar"/>
        </w:rPr>
        <w:t>E55_Type</w:t>
      </w:r>
      <w:r>
        <w:t xml:space="preserve"> d</w:t>
      </w:r>
      <w:r w:rsidR="00E84B0E">
        <w:t>’</w:t>
      </w:r>
      <w:r>
        <w:t>être organisées en hiérarchies. Cela explique le sens du « terme générique (général) (TGG) » tel que défini par la norme ISO 25964-2:2013 (International Organization for Standardization</w:t>
      </w:r>
      <w:r w:rsidR="008D582B">
        <w:t>,</w:t>
      </w:r>
      <w:r>
        <w:t xml:space="preserve"> 2013).</w:t>
      </w:r>
    </w:p>
    <w:p w14:paraId="7D14FB49" w14:textId="28AFF16A" w:rsidR="00065317" w:rsidRDefault="005C7BF7">
      <w:pPr>
        <w:pStyle w:val="Corpsdetexte"/>
      </w:pPr>
      <w:r>
        <w:t>Cette propriété est transitive et asymétrique.</w:t>
      </w:r>
    </w:p>
    <w:p w14:paraId="0724005F" w14:textId="77777777" w:rsidR="00DE6C24" w:rsidRDefault="00DE6C24">
      <w:pPr>
        <w:spacing w:after="0"/>
        <w:rPr>
          <w:b/>
          <w:bCs/>
        </w:rPr>
      </w:pPr>
      <w:r>
        <w:rPr>
          <w:b/>
          <w:bCs/>
        </w:rPr>
        <w:br w:type="page"/>
      </w:r>
    </w:p>
    <w:p w14:paraId="28F92B7D" w14:textId="426A67FC" w:rsidR="00065317" w:rsidRDefault="005C7BF7">
      <w:pPr>
        <w:pStyle w:val="Corpsdetexte"/>
      </w:pPr>
      <w:r>
        <w:rPr>
          <w:b/>
          <w:bCs/>
        </w:rPr>
        <w:lastRenderedPageBreak/>
        <w:t>Exemples</w:t>
      </w:r>
    </w:p>
    <w:p w14:paraId="7A061992" w14:textId="77777777" w:rsidR="00065317" w:rsidRDefault="005C7BF7">
      <w:pPr>
        <w:numPr>
          <w:ilvl w:val="0"/>
          <w:numId w:val="244"/>
        </w:numPr>
      </w:pPr>
      <w:r>
        <w:t>La pièce de dix cents (</w:t>
      </w:r>
      <w:r>
        <w:rPr>
          <w:rStyle w:val="VerbatimChar"/>
        </w:rPr>
        <w:t>E55_Type</w:t>
      </w:r>
      <w:r>
        <w:t>) a pour terme général (</w:t>
      </w:r>
      <w:r>
        <w:rPr>
          <w:rStyle w:val="VerbatimChar"/>
        </w:rPr>
        <w:t>P127_a_pour_terme_général</w:t>
      </w:r>
      <w:r>
        <w:t>) monnaie (</w:t>
      </w:r>
      <w:r>
        <w:rPr>
          <w:rStyle w:val="VerbatimChar"/>
        </w:rPr>
        <w:t>E55_Type</w:t>
      </w:r>
      <w:r>
        <w:t>) (Yerkes, 1989)</w:t>
      </w:r>
    </w:p>
    <w:p w14:paraId="570FFAF6" w14:textId="77777777" w:rsidR="00065317" w:rsidRDefault="005C7BF7">
      <w:pPr>
        <w:pStyle w:val="FirstParagraph"/>
      </w:pPr>
      <w:r>
        <w:rPr>
          <w:b/>
          <w:bCs/>
        </w:rPr>
        <w:t>Logique</w:t>
      </w:r>
    </w:p>
    <w:p w14:paraId="1B1B9233" w14:textId="77777777" w:rsidR="00065317" w:rsidRDefault="005C7BF7">
      <w:pPr>
        <w:pStyle w:val="Corpsdetexte"/>
      </w:pPr>
      <w:r>
        <w:t>P127(x,y) ⇒ E55(x)</w:t>
      </w:r>
    </w:p>
    <w:p w14:paraId="0BC47869" w14:textId="77777777" w:rsidR="00065317" w:rsidRDefault="005C7BF7">
      <w:pPr>
        <w:pStyle w:val="Corpsdetexte"/>
      </w:pPr>
      <w:r>
        <w:t>P127(x,y) ⇒ E55(y)</w:t>
      </w:r>
    </w:p>
    <w:p w14:paraId="0B4C0B5F" w14:textId="77777777" w:rsidR="00065317" w:rsidRDefault="005C7BF7">
      <w:pPr>
        <w:pStyle w:val="Corpsdetexte"/>
      </w:pPr>
      <w:r>
        <w:t>[P127(x,y) ∧ P127(y,z)] ⇒ P127(x,z)</w:t>
      </w:r>
    </w:p>
    <w:p w14:paraId="7F5CE9F7" w14:textId="77777777" w:rsidR="00065317" w:rsidRDefault="005C7BF7">
      <w:pPr>
        <w:pStyle w:val="Corpsdetexte"/>
      </w:pPr>
      <w:r>
        <w:t>P127(x,y) ⇒ ¬P127(y,x)</w:t>
      </w:r>
    </w:p>
    <w:p w14:paraId="2A889A40" w14:textId="77777777" w:rsidR="00065317" w:rsidRDefault="005C7BF7">
      <w:pPr>
        <w:pStyle w:val="Corpsdetexte"/>
      </w:pPr>
      <w:r>
        <w:rPr>
          <w:b/>
          <w:bCs/>
        </w:rPr>
        <w:t>Propriétés</w:t>
      </w:r>
    </w:p>
    <w:p w14:paraId="559243EB" w14:textId="77777777" w:rsidR="00065317" w:rsidRDefault="005C7BF7">
      <w:pPr>
        <w:pStyle w:val="Normalcentr"/>
      </w:pPr>
      <w:r>
        <w:rPr>
          <w:b/>
          <w:bCs/>
          <w:i/>
          <w:iCs/>
        </w:rPr>
        <w:t>Note de traduction</w:t>
      </w:r>
    </w:p>
    <w:p w14:paraId="47A9426B" w14:textId="61C03FA7" w:rsidR="00065317" w:rsidRDefault="005C7BF7" w:rsidP="00F93A46">
      <w:pPr>
        <w:pStyle w:val="Normalcentr"/>
      </w:pPr>
      <w:r>
        <w:rPr>
          <w:b/>
          <w:bCs/>
          <w:i/>
          <w:iCs/>
        </w:rPr>
        <w:t>Références</w:t>
      </w:r>
    </w:p>
    <w:p w14:paraId="4365CEB3" w14:textId="77777777" w:rsidR="00065317" w:rsidRDefault="005C7BF7" w:rsidP="00914F34">
      <w:pPr>
        <w:pStyle w:val="Titre3"/>
      </w:pPr>
      <w:bookmarkStart w:id="476" w:name="_Toc154048923"/>
      <w:bookmarkStart w:id="477" w:name="p128-est-le-support-de-(a-pour-support)"/>
      <w:bookmarkEnd w:id="475"/>
      <w:r>
        <w:t>P128 est le support de (a pour support)</w:t>
      </w:r>
      <w:bookmarkEnd w:id="476"/>
    </w:p>
    <w:p w14:paraId="33B77BF9" w14:textId="77777777" w:rsidR="00065317" w:rsidRDefault="005C7BF7">
      <w:pPr>
        <w:pStyle w:val="FirstParagraph"/>
      </w:pPr>
      <w:r>
        <w:rPr>
          <w:b/>
          <w:bCs/>
        </w:rPr>
        <w:t>Domaine</w:t>
      </w:r>
    </w:p>
    <w:p w14:paraId="211BDC38" w14:textId="77777777" w:rsidR="00065317" w:rsidRDefault="005C7BF7">
      <w:pPr>
        <w:pStyle w:val="Corpsdetexte"/>
      </w:pPr>
      <w:r>
        <w:rPr>
          <w:rStyle w:val="VerbatimChar"/>
        </w:rPr>
        <w:t>E18_Chose_matérielle</w:t>
      </w:r>
    </w:p>
    <w:p w14:paraId="44DC253D" w14:textId="77777777" w:rsidR="00065317" w:rsidRDefault="005C7BF7">
      <w:pPr>
        <w:pStyle w:val="Corpsdetexte"/>
      </w:pPr>
      <w:r>
        <w:rPr>
          <w:b/>
          <w:bCs/>
        </w:rPr>
        <w:t>Portée</w:t>
      </w:r>
    </w:p>
    <w:p w14:paraId="4C8D6748" w14:textId="77777777" w:rsidR="00065317" w:rsidRDefault="005C7BF7">
      <w:pPr>
        <w:pStyle w:val="Corpsdetexte"/>
      </w:pPr>
      <w:r>
        <w:rPr>
          <w:rStyle w:val="VerbatimChar"/>
        </w:rPr>
        <w:t>E90_Objet_symbolique</w:t>
      </w:r>
    </w:p>
    <w:p w14:paraId="67C011FE" w14:textId="77777777" w:rsidR="00065317" w:rsidRDefault="005C7BF7">
      <w:pPr>
        <w:pStyle w:val="Corpsdetexte"/>
      </w:pPr>
      <w:r>
        <w:rPr>
          <w:b/>
          <w:bCs/>
        </w:rPr>
        <w:t>Sous-propriété de</w:t>
      </w:r>
    </w:p>
    <w:p w14:paraId="4E7F1923" w14:textId="77777777" w:rsidR="00065317" w:rsidRDefault="005C7BF7">
      <w:pPr>
        <w:pStyle w:val="Corpsdetexte"/>
      </w:pPr>
      <w:r>
        <w:rPr>
          <w:rStyle w:val="VerbatimChar"/>
        </w:rPr>
        <w:t>E70_Chose</w:t>
      </w:r>
      <w:r>
        <w:t xml:space="preserve">. </w:t>
      </w:r>
      <w:r>
        <w:rPr>
          <w:rStyle w:val="VerbatimChar"/>
        </w:rPr>
        <w:t>P130_présente_les_caractéristiques_de (a_les_caractéristiques_également_présentes_sur)</w:t>
      </w:r>
      <w:r>
        <w:t xml:space="preserve"> : </w:t>
      </w:r>
      <w:r>
        <w:rPr>
          <w:rStyle w:val="VerbatimChar"/>
        </w:rPr>
        <w:t>E70_Chose</w:t>
      </w:r>
    </w:p>
    <w:p w14:paraId="7CF421B6" w14:textId="77777777" w:rsidR="00065317" w:rsidRDefault="005C7BF7">
      <w:pPr>
        <w:pStyle w:val="Corpsdetexte"/>
      </w:pPr>
      <w:r>
        <w:rPr>
          <w:b/>
          <w:bCs/>
        </w:rPr>
        <w:t>Super-propriété de</w:t>
      </w:r>
    </w:p>
    <w:p w14:paraId="3CBE46B1" w14:textId="6E6671B6" w:rsidR="00065317" w:rsidRDefault="005C7BF7">
      <w:pPr>
        <w:pStyle w:val="Corpsdetexte"/>
      </w:pPr>
      <w:r>
        <w:rPr>
          <w:rStyle w:val="VerbatimChar"/>
        </w:rPr>
        <w:t>E24_Chose_matérielle_élaborée_par_l</w:t>
      </w:r>
      <w:r w:rsidR="00E84B0E">
        <w:rPr>
          <w:rStyle w:val="VerbatimChar"/>
        </w:rPr>
        <w:t>’</w:t>
      </w:r>
      <w:r>
        <w:rPr>
          <w:rStyle w:val="VerbatimChar"/>
        </w:rPr>
        <w:t>humain</w:t>
      </w:r>
      <w:r>
        <w:t xml:space="preserve">. </w:t>
      </w:r>
      <w:r>
        <w:rPr>
          <w:rStyle w:val="VerbatimChar"/>
        </w:rPr>
        <w:t>P65_représente_l</w:t>
      </w:r>
      <w:r w:rsidR="00E84B0E">
        <w:rPr>
          <w:rStyle w:val="VerbatimChar"/>
        </w:rPr>
        <w:t>’</w:t>
      </w:r>
      <w:r>
        <w:rPr>
          <w:rStyle w:val="VerbatimChar"/>
        </w:rPr>
        <w:t>entité_visuelle (est_représenté_par)</w:t>
      </w:r>
      <w:r>
        <w:t xml:space="preserve"> : </w:t>
      </w:r>
      <w:r>
        <w:rPr>
          <w:rStyle w:val="VerbatimChar"/>
        </w:rPr>
        <w:t>E36_Entité_visuelle</w:t>
      </w:r>
    </w:p>
    <w:p w14:paraId="6AAACCA4" w14:textId="77777777" w:rsidR="00065317" w:rsidRDefault="005C7BF7">
      <w:pPr>
        <w:pStyle w:val="Corpsdetexte"/>
      </w:pPr>
      <w:r>
        <w:rPr>
          <w:b/>
          <w:bCs/>
        </w:rPr>
        <w:t>Quantification</w:t>
      </w:r>
    </w:p>
    <w:p w14:paraId="35798F56" w14:textId="77777777" w:rsidR="00065317" w:rsidRDefault="005C7BF7">
      <w:pPr>
        <w:pStyle w:val="Corpsdetexte"/>
      </w:pPr>
      <w:r>
        <w:t>plusieurs à plusieurs (0,n:0,n)</w:t>
      </w:r>
    </w:p>
    <w:p w14:paraId="137CB554" w14:textId="0F28C2ED" w:rsidR="00065317" w:rsidRDefault="005C7BF7">
      <w:pPr>
        <w:pStyle w:val="Corpsdetexte"/>
      </w:pPr>
      <w:r>
        <w:rPr>
          <w:b/>
          <w:bCs/>
        </w:rPr>
        <w:t>Note d</w:t>
      </w:r>
      <w:r w:rsidR="00E84B0E">
        <w:rPr>
          <w:b/>
          <w:bCs/>
        </w:rPr>
        <w:t>’</w:t>
      </w:r>
      <w:r>
        <w:rPr>
          <w:b/>
          <w:bCs/>
        </w:rPr>
        <w:t>application</w:t>
      </w:r>
    </w:p>
    <w:p w14:paraId="32451E40" w14:textId="77777777" w:rsidR="00065317" w:rsidRDefault="005C7BF7">
      <w:pPr>
        <w:pStyle w:val="Corpsdetexte"/>
      </w:pPr>
      <w:r>
        <w:t xml:space="preserve">Cette propriété identifie une instance de </w:t>
      </w:r>
      <w:r>
        <w:rPr>
          <w:rStyle w:val="VerbatimChar"/>
        </w:rPr>
        <w:t>E90_Objet_symbolique</w:t>
      </w:r>
      <w:r>
        <w:t xml:space="preserve"> qui a pour support une instance de </w:t>
      </w:r>
      <w:r>
        <w:rPr>
          <w:rStyle w:val="VerbatimChar"/>
        </w:rPr>
        <w:t>E18_Chose_matérielle</w:t>
      </w:r>
      <w:r>
        <w:t>.</w:t>
      </w:r>
    </w:p>
    <w:p w14:paraId="20A642B6" w14:textId="23BE086B" w:rsidR="00065317" w:rsidRDefault="005C7BF7">
      <w:pPr>
        <w:pStyle w:val="Corpsdetexte"/>
      </w:pPr>
      <w:r>
        <w:t>Puisqu</w:t>
      </w:r>
      <w:r w:rsidR="00E84B0E">
        <w:t>’</w:t>
      </w:r>
      <w:r>
        <w:t xml:space="preserve">une instance de </w:t>
      </w:r>
      <w:r>
        <w:rPr>
          <w:rStyle w:val="VerbatimChar"/>
        </w:rPr>
        <w:t>E90_Objet_symbolique</w:t>
      </w:r>
      <w:r>
        <w:t xml:space="preserve"> est définie comme étant une idéalisation immatérielle portée par des supports potentiellement multiples, toute concrétisation spécifique de cette idéalisation sur un support physique peut être défectueuse par rapport à l</w:t>
      </w:r>
      <w:r w:rsidR="00E84B0E">
        <w:t>’</w:t>
      </w:r>
      <w:r>
        <w:t>idéal visé, en raison d</w:t>
      </w:r>
      <w:r w:rsidR="00E84B0E">
        <w:t>’</w:t>
      </w:r>
      <w:r>
        <w:t>une détérioration ou de lacunes dans le processus de création de la réalisation.</w:t>
      </w:r>
    </w:p>
    <w:p w14:paraId="255A0235" w14:textId="4A4DAC05" w:rsidR="00065317" w:rsidRDefault="005C7BF7">
      <w:pPr>
        <w:pStyle w:val="Corpsdetexte"/>
      </w:pPr>
      <w:r>
        <w:t>Tant que ces défauts n</w:t>
      </w:r>
      <w:r w:rsidR="00E84B0E">
        <w:t>’</w:t>
      </w:r>
      <w:r>
        <w:t>affectent pas substantiellement la reconnaissance complète de l</w:t>
      </w:r>
      <w:r w:rsidR="00E84B0E">
        <w:t>’</w:t>
      </w:r>
      <w:r>
        <w:t>objet symbolique, ce dernier est toujours considéré comme porteur d</w:t>
      </w:r>
      <w:r w:rsidR="00E84B0E">
        <w:t>’</w:t>
      </w:r>
      <w:r>
        <w:t xml:space="preserve">une instance de </w:t>
      </w:r>
      <w:r>
        <w:rPr>
          <w:rStyle w:val="VerbatimChar"/>
        </w:rPr>
        <w:t>E90_Objet_symbolique</w:t>
      </w:r>
      <w:r>
        <w:t xml:space="preserve">. Si ces défauts présentent un intérêt scientifique, la concrétisation spécifique peut être modélisée comme une instance de </w:t>
      </w:r>
      <w:r>
        <w:rPr>
          <w:rStyle w:val="VerbatimChar"/>
        </w:rPr>
        <w:t>E25_Caractéristique_élaborée_par_l</w:t>
      </w:r>
      <w:r w:rsidR="00E84B0E">
        <w:rPr>
          <w:rStyle w:val="VerbatimChar"/>
        </w:rPr>
        <w:t>’</w:t>
      </w:r>
      <w:r>
        <w:rPr>
          <w:rStyle w:val="VerbatimChar"/>
        </w:rPr>
        <w:t>humain</w:t>
      </w:r>
      <w:r>
        <w:t>.</w:t>
      </w:r>
    </w:p>
    <w:p w14:paraId="091366AD" w14:textId="7665C3F8" w:rsidR="00065317" w:rsidRDefault="005C7BF7">
      <w:pPr>
        <w:pStyle w:val="Corpsdetexte"/>
      </w:pPr>
      <w:r>
        <w:lastRenderedPageBreak/>
        <w:t xml:space="preserve">Il est à noter que toute instance de </w:t>
      </w:r>
      <w:r>
        <w:rPr>
          <w:rStyle w:val="VerbatimChar"/>
        </w:rPr>
        <w:t>E90_Objet_symbolique</w:t>
      </w:r>
      <w:r>
        <w:t xml:space="preserve"> incluse dans (</w:t>
      </w:r>
      <w:r>
        <w:rPr>
          <w:rStyle w:val="VerbatimChar"/>
        </w:rPr>
        <w:t>P165_inclut (est_inclus_dans</w:t>
      </w:r>
      <w:r>
        <w:t>) l</w:t>
      </w:r>
      <w:r w:rsidR="00E84B0E">
        <w:t>’</w:t>
      </w:r>
      <w:r>
        <w:t xml:space="preserve">objet symbolique supporté est également supportée par la même instance de </w:t>
      </w:r>
      <w:r>
        <w:rPr>
          <w:rStyle w:val="VerbatimChar"/>
        </w:rPr>
        <w:t>E18_Chose_matérielle</w:t>
      </w:r>
      <w:r>
        <w:t>.</w:t>
      </w:r>
    </w:p>
    <w:p w14:paraId="175FE47F" w14:textId="77777777" w:rsidR="003F7E4B" w:rsidRDefault="005C7BF7" w:rsidP="003F7E4B">
      <w:pPr>
        <w:pStyle w:val="Corpsdetexte"/>
        <w:rPr>
          <w:b/>
          <w:bCs/>
        </w:rPr>
      </w:pPr>
      <w:r>
        <w:rPr>
          <w:b/>
          <w:bCs/>
        </w:rPr>
        <w:t>Exemples</w:t>
      </w:r>
    </w:p>
    <w:p w14:paraId="24F418CA" w14:textId="77777777" w:rsidR="003F7E4B" w:rsidRDefault="005C7BF7" w:rsidP="003F7E4B">
      <w:pPr>
        <w:pStyle w:val="Corpsdetexte"/>
        <w:numPr>
          <w:ilvl w:val="0"/>
          <w:numId w:val="315"/>
        </w:numPr>
      </w:pPr>
      <w:r>
        <w:t>L</w:t>
      </w:r>
      <w:r w:rsidR="00E84B0E">
        <w:t>’</w:t>
      </w:r>
      <w:r>
        <w:t xml:space="preserve">exemplaire broché de </w:t>
      </w:r>
      <w:r w:rsidRPr="003F7E4B">
        <w:rPr>
          <w:i/>
          <w:iCs/>
        </w:rPr>
        <w:t>Reach for the Sky</w:t>
      </w:r>
      <w:r>
        <w:t xml:space="preserve"> (</w:t>
      </w:r>
      <w:r>
        <w:rPr>
          <w:rStyle w:val="VerbatimChar"/>
        </w:rPr>
        <w:t>E18_Chose_matérielle</w:t>
      </w:r>
      <w:r>
        <w:t>) que possède Mathieu est le support (</w:t>
      </w:r>
      <w:r>
        <w:rPr>
          <w:rStyle w:val="VerbatimChar"/>
        </w:rPr>
        <w:t>P128_est_le_support_de</w:t>
      </w:r>
      <w:r>
        <w:t xml:space="preserve">) du texte de </w:t>
      </w:r>
      <w:r w:rsidRPr="003F7E4B">
        <w:rPr>
          <w:i/>
          <w:iCs/>
        </w:rPr>
        <w:t>Reach for the Sky</w:t>
      </w:r>
      <w:r>
        <w:t xml:space="preserve"> (</w:t>
      </w:r>
      <w:r>
        <w:rPr>
          <w:rStyle w:val="VerbatimChar"/>
        </w:rPr>
        <w:t>E73_Objet_informationnel</w:t>
      </w:r>
      <w:r>
        <w:t>) [voir aussi (Brickhill, 2001)] (fictif)</w:t>
      </w:r>
    </w:p>
    <w:p w14:paraId="5B4A62BF" w14:textId="2A4E9D45" w:rsidR="00065317" w:rsidRDefault="005C7BF7" w:rsidP="003F7E4B">
      <w:pPr>
        <w:pStyle w:val="Corpsdetexte"/>
      </w:pPr>
      <w:r>
        <w:rPr>
          <w:b/>
          <w:bCs/>
        </w:rPr>
        <w:t>Logique</w:t>
      </w:r>
    </w:p>
    <w:p w14:paraId="4FBB0F7B" w14:textId="77777777" w:rsidR="00065317" w:rsidRDefault="005C7BF7">
      <w:pPr>
        <w:pStyle w:val="Corpsdetexte"/>
      </w:pPr>
      <w:r>
        <w:t>P128(x,y) ⇒ E18(x)</w:t>
      </w:r>
    </w:p>
    <w:p w14:paraId="564DB035" w14:textId="77777777" w:rsidR="00065317" w:rsidRDefault="005C7BF7">
      <w:pPr>
        <w:pStyle w:val="Corpsdetexte"/>
      </w:pPr>
      <w:r>
        <w:t>P128(x,y) ⇒ E90(y)</w:t>
      </w:r>
    </w:p>
    <w:p w14:paraId="7D6DC8E0" w14:textId="77777777" w:rsidR="00065317" w:rsidRDefault="005C7BF7">
      <w:pPr>
        <w:pStyle w:val="Corpsdetexte"/>
      </w:pPr>
      <w:r>
        <w:t>P128(x,y) ⇒ P130(x,y)</w:t>
      </w:r>
    </w:p>
    <w:p w14:paraId="77C04197" w14:textId="77777777" w:rsidR="00065317" w:rsidRDefault="005C7BF7">
      <w:pPr>
        <w:pStyle w:val="Corpsdetexte"/>
      </w:pPr>
      <w:r>
        <w:rPr>
          <w:b/>
          <w:bCs/>
        </w:rPr>
        <w:t>Propriétés</w:t>
      </w:r>
    </w:p>
    <w:p w14:paraId="25A146C0" w14:textId="77777777" w:rsidR="00065317" w:rsidRDefault="005C7BF7">
      <w:pPr>
        <w:pStyle w:val="Normalcentr"/>
      </w:pPr>
      <w:r>
        <w:rPr>
          <w:b/>
          <w:bCs/>
          <w:i/>
          <w:iCs/>
        </w:rPr>
        <w:t>Note de traduction</w:t>
      </w:r>
    </w:p>
    <w:p w14:paraId="7C5B34D6" w14:textId="2756D20B" w:rsidR="00065317" w:rsidRDefault="005C7BF7" w:rsidP="001B7C4A">
      <w:pPr>
        <w:pStyle w:val="Normalcentr"/>
      </w:pPr>
      <w:r>
        <w:rPr>
          <w:b/>
          <w:bCs/>
          <w:i/>
          <w:iCs/>
        </w:rPr>
        <w:t>Références</w:t>
      </w:r>
    </w:p>
    <w:p w14:paraId="5206EB4E" w14:textId="77777777" w:rsidR="00065317" w:rsidRDefault="005C7BF7" w:rsidP="00914F34">
      <w:pPr>
        <w:pStyle w:val="Titre3"/>
      </w:pPr>
      <w:bookmarkStart w:id="478" w:name="_Toc154048924"/>
      <w:bookmarkStart w:id="479" w:name="p129-a-pour-sujet-(est-le-sujet-de)"/>
      <w:bookmarkEnd w:id="477"/>
      <w:r>
        <w:t>P129 a pour sujet (est le sujet de)</w:t>
      </w:r>
      <w:bookmarkEnd w:id="478"/>
    </w:p>
    <w:p w14:paraId="6E7DE906" w14:textId="77777777" w:rsidR="00065317" w:rsidRDefault="005C7BF7">
      <w:pPr>
        <w:pStyle w:val="FirstParagraph"/>
      </w:pPr>
      <w:r>
        <w:rPr>
          <w:b/>
          <w:bCs/>
        </w:rPr>
        <w:t>Domaine</w:t>
      </w:r>
    </w:p>
    <w:p w14:paraId="6F617547" w14:textId="77777777" w:rsidR="00065317" w:rsidRDefault="005C7BF7">
      <w:pPr>
        <w:pStyle w:val="Corpsdetexte"/>
      </w:pPr>
      <w:r>
        <w:rPr>
          <w:rStyle w:val="VerbatimChar"/>
        </w:rPr>
        <w:t>E89_Objet_propositionnel</w:t>
      </w:r>
    </w:p>
    <w:p w14:paraId="08DD066E" w14:textId="77777777" w:rsidR="00065317" w:rsidRDefault="005C7BF7">
      <w:pPr>
        <w:pStyle w:val="Corpsdetexte"/>
      </w:pPr>
      <w:r>
        <w:rPr>
          <w:b/>
          <w:bCs/>
        </w:rPr>
        <w:t>Portée</w:t>
      </w:r>
    </w:p>
    <w:p w14:paraId="224C5127" w14:textId="77777777" w:rsidR="00065317" w:rsidRDefault="005C7BF7">
      <w:pPr>
        <w:pStyle w:val="Corpsdetexte"/>
      </w:pPr>
      <w:r>
        <w:rPr>
          <w:rStyle w:val="VerbatimChar"/>
        </w:rPr>
        <w:t>E1_Entité_CRM</w:t>
      </w:r>
    </w:p>
    <w:p w14:paraId="64D1F891" w14:textId="77777777" w:rsidR="00065317" w:rsidRDefault="005C7BF7">
      <w:pPr>
        <w:pStyle w:val="Corpsdetexte"/>
      </w:pPr>
      <w:r>
        <w:rPr>
          <w:b/>
          <w:bCs/>
        </w:rPr>
        <w:t>Sous-propriété de</w:t>
      </w:r>
    </w:p>
    <w:p w14:paraId="6639C3BE" w14:textId="3FF95582" w:rsidR="00065317" w:rsidRDefault="005C7BF7">
      <w:pPr>
        <w:pStyle w:val="Corpsdetexte"/>
      </w:pPr>
      <w:r>
        <w:rPr>
          <w:rStyle w:val="VerbatimChar"/>
        </w:rPr>
        <w:t>E89_Objet_propositionnel</w:t>
      </w:r>
      <w:r>
        <w:t xml:space="preserve">. </w:t>
      </w: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 </w:t>
      </w:r>
      <w:r>
        <w:rPr>
          <w:rStyle w:val="VerbatimChar"/>
        </w:rPr>
        <w:t>E1_Entité_CRM</w:t>
      </w:r>
    </w:p>
    <w:p w14:paraId="51172D89" w14:textId="77777777" w:rsidR="00065317" w:rsidRDefault="005C7BF7">
      <w:pPr>
        <w:pStyle w:val="Corpsdetexte"/>
      </w:pPr>
      <w:r>
        <w:rPr>
          <w:b/>
          <w:bCs/>
        </w:rPr>
        <w:t>Super-propriété de</w:t>
      </w:r>
    </w:p>
    <w:p w14:paraId="013AAEA0" w14:textId="77777777" w:rsidR="00065317" w:rsidRDefault="005C7BF7">
      <w:pPr>
        <w:pStyle w:val="Corpsdetexte"/>
      </w:pPr>
      <w:r>
        <w:rPr>
          <w:b/>
          <w:bCs/>
        </w:rPr>
        <w:t>Quantification</w:t>
      </w:r>
    </w:p>
    <w:p w14:paraId="4349D909" w14:textId="77777777" w:rsidR="00065317" w:rsidRDefault="005C7BF7">
      <w:pPr>
        <w:pStyle w:val="Corpsdetexte"/>
      </w:pPr>
      <w:r>
        <w:t>plusieurs à plusieurs (0,n:0,n)</w:t>
      </w:r>
    </w:p>
    <w:p w14:paraId="03180EDB" w14:textId="7941FAC1" w:rsidR="00065317" w:rsidRDefault="005C7BF7">
      <w:pPr>
        <w:pStyle w:val="Corpsdetexte"/>
      </w:pPr>
      <w:r>
        <w:rPr>
          <w:b/>
          <w:bCs/>
        </w:rPr>
        <w:t>Note d</w:t>
      </w:r>
      <w:r w:rsidR="00E84B0E">
        <w:rPr>
          <w:b/>
          <w:bCs/>
        </w:rPr>
        <w:t>’</w:t>
      </w:r>
      <w:r>
        <w:rPr>
          <w:b/>
          <w:bCs/>
        </w:rPr>
        <w:t>application</w:t>
      </w:r>
    </w:p>
    <w:p w14:paraId="4CFEABAB" w14:textId="20C9B1A0" w:rsidR="00065317" w:rsidRDefault="005C7BF7">
      <w:pPr>
        <w:pStyle w:val="Corpsdetexte"/>
      </w:pPr>
      <w:r>
        <w:t>Cette propriété documente qu</w:t>
      </w:r>
      <w:r w:rsidR="00E84B0E">
        <w:t>’</w:t>
      </w:r>
      <w:r>
        <w:t xml:space="preserve">une instance de </w:t>
      </w:r>
      <w:r>
        <w:rPr>
          <w:rStyle w:val="VerbatimChar"/>
        </w:rPr>
        <w:t>E89_Objet_propositionnel</w:t>
      </w:r>
      <w:r>
        <w:t xml:space="preserve"> a pour sujet une instance de </w:t>
      </w:r>
      <w:r>
        <w:rPr>
          <w:rStyle w:val="VerbatimChar"/>
        </w:rPr>
        <w:t>E1_Entité_CRM</w:t>
      </w:r>
      <w:r>
        <w:t>.</w:t>
      </w:r>
    </w:p>
    <w:p w14:paraId="610C9D3B" w14:textId="4ED29434" w:rsidR="00065317" w:rsidRDefault="005C7BF7">
      <w:pPr>
        <w:pStyle w:val="Corpsdetexte"/>
      </w:pPr>
      <w:r>
        <w:t xml:space="preserve">La propriété </w:t>
      </w:r>
      <w:r>
        <w:rPr>
          <w:rStyle w:val="VerbatimChar"/>
        </w:rPr>
        <w:t>P129_a_pour_sujet (est_le_sujet_de)</w:t>
      </w:r>
      <w:r>
        <w:t xml:space="preserve"> diffère de </w:t>
      </w: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qui réfère à une instance de </w:t>
      </w:r>
      <w:r>
        <w:rPr>
          <w:rStyle w:val="VerbatimChar"/>
        </w:rPr>
        <w:t>E1_Entité_CRM</w:t>
      </w:r>
      <w:r>
        <w:t>, en ce qu</w:t>
      </w:r>
      <w:r w:rsidR="00E84B0E">
        <w:t>’</w:t>
      </w:r>
      <w:r>
        <w:t>elle décrit le ou les sujets principaux d</w:t>
      </w:r>
      <w:r w:rsidR="00E84B0E">
        <w:t>’</w:t>
      </w:r>
      <w:r>
        <w:t xml:space="preserve">une instance de </w:t>
      </w:r>
      <w:r>
        <w:rPr>
          <w:rStyle w:val="VerbatimChar"/>
        </w:rPr>
        <w:t>E89_Objet_propositionnel</w:t>
      </w:r>
      <w:r>
        <w:t>.</w:t>
      </w:r>
    </w:p>
    <w:p w14:paraId="3BF8D6AC" w14:textId="77777777" w:rsidR="00065317" w:rsidRDefault="005C7BF7">
      <w:pPr>
        <w:pStyle w:val="Corpsdetexte"/>
      </w:pPr>
      <w:r>
        <w:rPr>
          <w:b/>
          <w:bCs/>
        </w:rPr>
        <w:t>Exemples</w:t>
      </w:r>
    </w:p>
    <w:p w14:paraId="54505016" w14:textId="77777777" w:rsidR="00065317" w:rsidRDefault="005C7BF7">
      <w:pPr>
        <w:numPr>
          <w:ilvl w:val="0"/>
          <w:numId w:val="246"/>
        </w:numPr>
      </w:pPr>
      <w:r>
        <w:t>Le texte intitulé « Reach for the sky » (</w:t>
      </w:r>
      <w:r>
        <w:rPr>
          <w:rStyle w:val="VerbatimChar"/>
        </w:rPr>
        <w:t>E33_Objet_linguistique</w:t>
      </w:r>
      <w:r>
        <w:t>) a pour sujet (</w:t>
      </w:r>
      <w:r>
        <w:rPr>
          <w:rStyle w:val="VerbatimChar"/>
        </w:rPr>
        <w:t>P129_a_pour_sujet</w:t>
      </w:r>
      <w:r>
        <w:t>) Douglas Bader (</w:t>
      </w:r>
      <w:r>
        <w:rPr>
          <w:rStyle w:val="VerbatimChar"/>
        </w:rPr>
        <w:t>E21_Personne</w:t>
      </w:r>
      <w:r>
        <w:t>) (Brickhill, 2001)</w:t>
      </w:r>
    </w:p>
    <w:p w14:paraId="24BEF74E" w14:textId="77777777" w:rsidR="00DE6C24" w:rsidRDefault="00DE6C24">
      <w:pPr>
        <w:spacing w:after="0"/>
        <w:rPr>
          <w:b/>
          <w:bCs/>
        </w:rPr>
      </w:pPr>
      <w:r>
        <w:rPr>
          <w:b/>
          <w:bCs/>
        </w:rPr>
        <w:br w:type="page"/>
      </w:r>
    </w:p>
    <w:p w14:paraId="281D4066" w14:textId="0B2EFD7A" w:rsidR="00065317" w:rsidRDefault="005C7BF7">
      <w:pPr>
        <w:pStyle w:val="FirstParagraph"/>
      </w:pPr>
      <w:r>
        <w:rPr>
          <w:b/>
          <w:bCs/>
        </w:rPr>
        <w:lastRenderedPageBreak/>
        <w:t>Logique</w:t>
      </w:r>
    </w:p>
    <w:p w14:paraId="053C4BD2" w14:textId="77777777" w:rsidR="00065317" w:rsidRDefault="005C7BF7">
      <w:pPr>
        <w:pStyle w:val="Corpsdetexte"/>
      </w:pPr>
      <w:r>
        <w:t>P129(x,y) ⇒ E89(x)</w:t>
      </w:r>
    </w:p>
    <w:p w14:paraId="753564B1" w14:textId="77777777" w:rsidR="00065317" w:rsidRDefault="005C7BF7">
      <w:pPr>
        <w:pStyle w:val="Corpsdetexte"/>
      </w:pPr>
      <w:r>
        <w:t>P129(x,y) ⇒ E1(y)</w:t>
      </w:r>
    </w:p>
    <w:p w14:paraId="1C64DD5A" w14:textId="77777777" w:rsidR="00065317" w:rsidRDefault="005C7BF7">
      <w:pPr>
        <w:pStyle w:val="Corpsdetexte"/>
      </w:pPr>
      <w:r>
        <w:t>P129(x,y) ⇒ P67(x,y)</w:t>
      </w:r>
    </w:p>
    <w:p w14:paraId="648C93B2" w14:textId="77777777" w:rsidR="00065317" w:rsidRDefault="005C7BF7">
      <w:pPr>
        <w:pStyle w:val="Corpsdetexte"/>
      </w:pPr>
      <w:r>
        <w:rPr>
          <w:b/>
          <w:bCs/>
        </w:rPr>
        <w:t>Propriétés</w:t>
      </w:r>
    </w:p>
    <w:p w14:paraId="000AF0E1" w14:textId="77777777" w:rsidR="00065317" w:rsidRDefault="005C7BF7">
      <w:pPr>
        <w:pStyle w:val="Normalcentr"/>
      </w:pPr>
      <w:r>
        <w:rPr>
          <w:b/>
          <w:bCs/>
          <w:i/>
          <w:iCs/>
        </w:rPr>
        <w:t>Note de traduction</w:t>
      </w:r>
    </w:p>
    <w:p w14:paraId="0A60E13E" w14:textId="48C4CACF" w:rsidR="00065317" w:rsidRDefault="005C7BF7" w:rsidP="001B7C4A">
      <w:pPr>
        <w:pStyle w:val="Normalcentr"/>
      </w:pPr>
      <w:r>
        <w:rPr>
          <w:b/>
          <w:bCs/>
          <w:i/>
          <w:iCs/>
        </w:rPr>
        <w:t>Références</w:t>
      </w:r>
    </w:p>
    <w:p w14:paraId="41ADCDE2" w14:textId="77777777" w:rsidR="00065317" w:rsidRDefault="005C7BF7" w:rsidP="00914F34">
      <w:pPr>
        <w:pStyle w:val="Titre3"/>
      </w:pPr>
      <w:bookmarkStart w:id="480" w:name="_Toc154048925"/>
      <w:bookmarkStart w:id="481" w:name="X57d65e58978cf08e977f08af0a36929d91cbf7a"/>
      <w:bookmarkEnd w:id="479"/>
      <w:r>
        <w:t>P130 présente les caractéristiques de (a les caractéristiques aussi présentes sur)</w:t>
      </w:r>
      <w:bookmarkEnd w:id="480"/>
    </w:p>
    <w:p w14:paraId="43C02015" w14:textId="77777777" w:rsidR="00065317" w:rsidRDefault="005C7BF7">
      <w:pPr>
        <w:pStyle w:val="FirstParagraph"/>
      </w:pPr>
      <w:r>
        <w:rPr>
          <w:b/>
          <w:bCs/>
        </w:rPr>
        <w:t>Domaine</w:t>
      </w:r>
    </w:p>
    <w:p w14:paraId="3C9B9C52" w14:textId="77777777" w:rsidR="00065317" w:rsidRDefault="005C7BF7">
      <w:pPr>
        <w:pStyle w:val="Corpsdetexte"/>
      </w:pPr>
      <w:r>
        <w:rPr>
          <w:rStyle w:val="VerbatimChar"/>
        </w:rPr>
        <w:t>E70_Chose</w:t>
      </w:r>
    </w:p>
    <w:p w14:paraId="38C8D5B3" w14:textId="77777777" w:rsidR="00065317" w:rsidRDefault="005C7BF7">
      <w:pPr>
        <w:pStyle w:val="Corpsdetexte"/>
      </w:pPr>
      <w:r>
        <w:rPr>
          <w:b/>
          <w:bCs/>
        </w:rPr>
        <w:t>Portée</w:t>
      </w:r>
    </w:p>
    <w:p w14:paraId="0BBAFAB0" w14:textId="77777777" w:rsidR="00065317" w:rsidRDefault="005C7BF7">
      <w:pPr>
        <w:pStyle w:val="Corpsdetexte"/>
      </w:pPr>
      <w:r>
        <w:rPr>
          <w:rStyle w:val="VerbatimChar"/>
        </w:rPr>
        <w:t>E70_Chose</w:t>
      </w:r>
    </w:p>
    <w:p w14:paraId="1F2FF06E" w14:textId="77777777" w:rsidR="00065317" w:rsidRDefault="005C7BF7">
      <w:pPr>
        <w:pStyle w:val="Corpsdetexte"/>
      </w:pPr>
      <w:r>
        <w:rPr>
          <w:b/>
          <w:bCs/>
        </w:rPr>
        <w:t>Sous-propriété de</w:t>
      </w:r>
    </w:p>
    <w:p w14:paraId="0D27722C" w14:textId="77777777" w:rsidR="00065317" w:rsidRDefault="005C7BF7">
      <w:pPr>
        <w:pStyle w:val="Corpsdetexte"/>
      </w:pPr>
      <w:r>
        <w:rPr>
          <w:b/>
          <w:bCs/>
        </w:rPr>
        <w:t>Super-propriété de</w:t>
      </w:r>
    </w:p>
    <w:p w14:paraId="3D53BD07" w14:textId="77777777" w:rsidR="00065317" w:rsidRDefault="005C7BF7">
      <w:pPr>
        <w:pStyle w:val="Corpsdetexte"/>
      </w:pPr>
      <w:r>
        <w:rPr>
          <w:rStyle w:val="VerbatimChar"/>
        </w:rPr>
        <w:t>E33_Objet_linguistique</w:t>
      </w:r>
      <w:r>
        <w:t xml:space="preserve">. </w:t>
      </w:r>
      <w:r>
        <w:rPr>
          <w:rStyle w:val="VerbatimChar"/>
        </w:rPr>
        <w:t>P73i_est_traduction_de</w:t>
      </w:r>
      <w:r>
        <w:t xml:space="preserve"> : </w:t>
      </w:r>
      <w:r>
        <w:rPr>
          <w:rStyle w:val="VerbatimChar"/>
        </w:rPr>
        <w:t>E33_Objet_linguistique</w:t>
      </w:r>
    </w:p>
    <w:p w14:paraId="5087947A" w14:textId="77777777" w:rsidR="00065317" w:rsidRDefault="005C7BF7">
      <w:pPr>
        <w:pStyle w:val="Corpsdetexte"/>
      </w:pPr>
      <w:r>
        <w:rPr>
          <w:rStyle w:val="VerbatimChar"/>
        </w:rPr>
        <w:t>E18_Chose_matérielle</w:t>
      </w:r>
      <w:r>
        <w:t xml:space="preserve">. </w:t>
      </w:r>
      <w:r>
        <w:rPr>
          <w:rStyle w:val="VerbatimChar"/>
        </w:rPr>
        <w:t>P128_est_le_support_de (a_pour_support)</w:t>
      </w:r>
      <w:r>
        <w:t xml:space="preserve"> : </w:t>
      </w:r>
      <w:r>
        <w:rPr>
          <w:rStyle w:val="VerbatimChar"/>
        </w:rPr>
        <w:t>E90_Objet_symbolique</w:t>
      </w:r>
      <w:r>
        <w:t xml:space="preserve"> </w:t>
      </w:r>
    </w:p>
    <w:p w14:paraId="7C57EB7A" w14:textId="77777777" w:rsidR="00065317" w:rsidRDefault="005C7BF7">
      <w:pPr>
        <w:pStyle w:val="Corpsdetexte"/>
      </w:pPr>
      <w:r>
        <w:rPr>
          <w:b/>
          <w:bCs/>
        </w:rPr>
        <w:t>Quantification</w:t>
      </w:r>
    </w:p>
    <w:p w14:paraId="53F19B62" w14:textId="77777777" w:rsidR="00065317" w:rsidRDefault="005C7BF7">
      <w:pPr>
        <w:pStyle w:val="Corpsdetexte"/>
      </w:pPr>
      <w:r>
        <w:t>plusieurs à plusieurs (0,n:0,n)</w:t>
      </w:r>
    </w:p>
    <w:p w14:paraId="76E2E660" w14:textId="483BC3DF" w:rsidR="00065317" w:rsidRDefault="005C7BF7">
      <w:pPr>
        <w:pStyle w:val="Corpsdetexte"/>
      </w:pPr>
      <w:r>
        <w:rPr>
          <w:b/>
          <w:bCs/>
        </w:rPr>
        <w:t>Note d</w:t>
      </w:r>
      <w:r w:rsidR="00E84B0E">
        <w:rPr>
          <w:b/>
          <w:bCs/>
        </w:rPr>
        <w:t>’</w:t>
      </w:r>
      <w:r>
        <w:rPr>
          <w:b/>
          <w:bCs/>
        </w:rPr>
        <w:t>application</w:t>
      </w:r>
    </w:p>
    <w:p w14:paraId="79ACE0AA" w14:textId="40A546BC" w:rsidR="00065317" w:rsidRDefault="005C7BF7">
      <w:pPr>
        <w:pStyle w:val="Corpsdetexte"/>
      </w:pPr>
      <w:r>
        <w:t>Cette propriété généralise les notions de « copie de » et « similaire à » en une relation directe, où le domaine témoigne de l</w:t>
      </w:r>
      <w:r w:rsidR="00E84B0E">
        <w:t>’</w:t>
      </w:r>
      <w:r>
        <w:t>élément dérivé ou influencé et la portée témoigne de la source ou de l</w:t>
      </w:r>
      <w:r w:rsidR="00E84B0E">
        <w:t>’</w:t>
      </w:r>
      <w:r>
        <w:t>élément exerçant l</w:t>
      </w:r>
      <w:r w:rsidR="00E84B0E">
        <w:t>’</w:t>
      </w:r>
      <w:r>
        <w:t>influence, lorsqu</w:t>
      </w:r>
      <w:r w:rsidR="00E84B0E">
        <w:t>’</w:t>
      </w:r>
      <w:r>
        <w:t>une telle direction peut être établie. La propriété peut également être utilisée afin d</w:t>
      </w:r>
      <w:r w:rsidR="00E84B0E">
        <w:t>’</w:t>
      </w:r>
      <w:r>
        <w:t>exprimer la similitude dans les cas où celle-ci peut être déclarée entre deux objets seulement, sans connaissance historique quant aux raisons liées à cette similitude. Cette propriété exprime une relation symétrique lorsqu</w:t>
      </w:r>
      <w:r w:rsidR="00E84B0E">
        <w:t>’</w:t>
      </w:r>
      <w:r>
        <w:t>aucune direction quant à l</w:t>
      </w:r>
      <w:r w:rsidR="00E84B0E">
        <w:t>’</w:t>
      </w:r>
      <w:r>
        <w:t>influence d</w:t>
      </w:r>
      <w:r w:rsidR="00E84B0E">
        <w:t>’</w:t>
      </w:r>
      <w:r>
        <w:t>un élément sur un autre ne peut être établie, soit par le biais d</w:t>
      </w:r>
      <w:r w:rsidR="00E84B0E">
        <w:t>’</w:t>
      </w:r>
      <w:r>
        <w:t>une preuve sur l</w:t>
      </w:r>
      <w:r w:rsidR="00E84B0E">
        <w:t>’</w:t>
      </w:r>
      <w:r>
        <w:t>élément lui-même, soit par la connaissance historique. Cela vaut en particulier pour les éléments découlant d</w:t>
      </w:r>
      <w:r w:rsidR="00E84B0E">
        <w:t>’</w:t>
      </w:r>
      <w:r>
        <w:t>un même processus de dérivation d</w:t>
      </w:r>
      <w:r w:rsidR="00E84B0E">
        <w:t>’</w:t>
      </w:r>
      <w:r>
        <w:t>une source commune ou pour des parallèles culturels non</w:t>
      </w:r>
      <w:r w:rsidR="003773B9">
        <w:t xml:space="preserve"> </w:t>
      </w:r>
      <w:r>
        <w:t>causals, tels que des motifs de tissage.</w:t>
      </w:r>
    </w:p>
    <w:p w14:paraId="7833DA42" w14:textId="77777777" w:rsidR="00065317" w:rsidRDefault="005C7BF7">
      <w:pPr>
        <w:pStyle w:val="Corpsdetexte"/>
      </w:pPr>
      <w:r>
        <w:t xml:space="preserve">La propriété </w:t>
      </w:r>
      <w:r>
        <w:rPr>
          <w:rStyle w:val="VerbatimChar"/>
        </w:rPr>
        <w:t>P130.1_sorte_de_similarité</w:t>
      </w:r>
      <w:r>
        <w:t xml:space="preserve"> de la propriété </w:t>
      </w:r>
      <w:r>
        <w:rPr>
          <w:rStyle w:val="VerbatimChar"/>
        </w:rPr>
        <w:t>P130_présente_les_caractéristiques de (a_les_caractéristiques_aussi_présentes_sur)</w:t>
      </w:r>
      <w:r>
        <w:t xml:space="preserve"> permet de clarifier davantage la relation entre le domaine et la portée, le cas échéant. Par exemple, la précision peut être exprimée si les deux éléments sont des produits « du même moule », ou si deux textes « contiennent des paragraphes identiques ».</w:t>
      </w:r>
    </w:p>
    <w:p w14:paraId="78490398" w14:textId="5B706359" w:rsidR="00065317" w:rsidRDefault="005C7BF7">
      <w:pPr>
        <w:pStyle w:val="Corpsdetexte"/>
      </w:pPr>
      <w:r>
        <w:t>Si la cause de la similitude est un type de processus de dérivation, c.-à-d. que le créateur a utilisé ou avait en tête la forme d</w:t>
      </w:r>
      <w:r w:rsidR="00E84B0E">
        <w:t>’</w:t>
      </w:r>
      <w:r>
        <w:t xml:space="preserve">une chose particulière durant la création ou la production, ce processus doit être explicitement modélisé. Dans ces situations, </w:t>
      </w:r>
      <w:r>
        <w:rPr>
          <w:rStyle w:val="VerbatimChar"/>
        </w:rPr>
        <w:t>P130_présente_les_caractéristiques_de</w:t>
      </w:r>
      <w:r>
        <w:t xml:space="preserve"> peut être considéré comme un raccourci d</w:t>
      </w:r>
      <w:r w:rsidR="00E84B0E">
        <w:t>’</w:t>
      </w:r>
      <w:r>
        <w:t>un tel processus. Cependant, le présent modèle ne propose pas de chemin assez spécifique pour permettre l</w:t>
      </w:r>
      <w:r w:rsidR="00E84B0E">
        <w:t>’</w:t>
      </w:r>
      <w:r>
        <w:t xml:space="preserve">inférence de cette propriété. Des extensions du </w:t>
      </w:r>
      <w:r w:rsidR="00C8288F">
        <w:t>CIDOC CRM</w:t>
      </w:r>
      <w:r>
        <w:t xml:space="preserve"> pourraient cependant être plus explicites, en décrivant par exemple l</w:t>
      </w:r>
      <w:r w:rsidR="00E84B0E">
        <w:t>’</w:t>
      </w:r>
      <w:r>
        <w:t>utilisation de moules.</w:t>
      </w:r>
    </w:p>
    <w:p w14:paraId="241BD488" w14:textId="68D687F3" w:rsidR="00065317" w:rsidRDefault="005C7BF7">
      <w:pPr>
        <w:pStyle w:val="Corpsdetexte"/>
      </w:pPr>
      <w:r>
        <w:lastRenderedPageBreak/>
        <w:t>Cette propriété n</w:t>
      </w:r>
      <w:r w:rsidR="00E84B0E">
        <w:t>’</w:t>
      </w:r>
      <w:r>
        <w:t>est pas transitive et est irréflexive.</w:t>
      </w:r>
    </w:p>
    <w:p w14:paraId="5AB5380D" w14:textId="77777777" w:rsidR="00065317" w:rsidRDefault="005C7BF7">
      <w:pPr>
        <w:pStyle w:val="Corpsdetexte"/>
      </w:pPr>
      <w:r>
        <w:rPr>
          <w:b/>
          <w:bCs/>
        </w:rPr>
        <w:t>Exemples</w:t>
      </w:r>
    </w:p>
    <w:p w14:paraId="753431F9" w14:textId="394ABB1A" w:rsidR="00065317" w:rsidRDefault="005C7BF7">
      <w:pPr>
        <w:numPr>
          <w:ilvl w:val="0"/>
          <w:numId w:val="247"/>
        </w:numPr>
      </w:pPr>
      <w:r>
        <w:rPr>
          <w:i/>
          <w:iCs/>
        </w:rPr>
        <w:t>Cymbeline</w:t>
      </w:r>
      <w:r>
        <w:t xml:space="preserve"> de Mary Lamb, issue des </w:t>
      </w:r>
      <w:r>
        <w:rPr>
          <w:i/>
          <w:iCs/>
        </w:rPr>
        <w:t>Contes d</w:t>
      </w:r>
      <w:r w:rsidR="00E84B0E">
        <w:rPr>
          <w:i/>
          <w:iCs/>
        </w:rPr>
        <w:t>’</w:t>
      </w:r>
      <w:r>
        <w:rPr>
          <w:i/>
          <w:iCs/>
        </w:rPr>
        <w:t>après Shakespeare</w:t>
      </w:r>
      <w:r>
        <w:t xml:space="preserve"> de Charles et Mary Lamb (</w:t>
      </w:r>
      <w:r>
        <w:rPr>
          <w:rStyle w:val="VerbatimChar"/>
        </w:rPr>
        <w:t>E89_Objet_propositionnel</w:t>
      </w:r>
      <w:r>
        <w:t>), présente les caractéristiques de (</w:t>
      </w:r>
      <w:r>
        <w:rPr>
          <w:rStyle w:val="VerbatimChar"/>
        </w:rPr>
        <w:t>P130_présente_les_caractéristiques_de</w:t>
      </w:r>
      <w:r>
        <w:t xml:space="preserve">) </w:t>
      </w:r>
      <w:r>
        <w:rPr>
          <w:i/>
          <w:iCs/>
        </w:rPr>
        <w:t>Cymbeline</w:t>
      </w:r>
      <w:r>
        <w:t xml:space="preserve"> de William Shakespeare (</w:t>
      </w:r>
      <w:r>
        <w:rPr>
          <w:rStyle w:val="VerbatimChar"/>
        </w:rPr>
        <w:t>E89_Objet_propositionnel</w:t>
      </w:r>
      <w:r>
        <w:t>) (Carrington, 1954)</w:t>
      </w:r>
    </w:p>
    <w:p w14:paraId="6E6E02D5" w14:textId="6B08453C" w:rsidR="00065317" w:rsidRDefault="005C7BF7">
      <w:pPr>
        <w:numPr>
          <w:ilvl w:val="0"/>
          <w:numId w:val="247"/>
        </w:numPr>
      </w:pPr>
      <w:r>
        <w:t>L</w:t>
      </w:r>
      <w:r w:rsidR="00E84B0E">
        <w:t>’</w:t>
      </w:r>
      <w:r>
        <w:t>enregistrement audio de la lecture, par Enrico de Negri, de l</w:t>
      </w:r>
      <w:r w:rsidR="00E84B0E">
        <w:t>’</w:t>
      </w:r>
      <w:r>
        <w:t xml:space="preserve">œuvre </w:t>
      </w:r>
      <w:r>
        <w:rPr>
          <w:i/>
          <w:iCs/>
        </w:rPr>
        <w:t>Divine Comédie</w:t>
      </w:r>
      <w:r>
        <w:t xml:space="preserve"> de Dante Alighieri (</w:t>
      </w:r>
      <w:r>
        <w:rPr>
          <w:rStyle w:val="VerbatimChar"/>
        </w:rPr>
        <w:t>E73_Objet_informationnel</w:t>
      </w:r>
      <w:r>
        <w:t>) présente les caractéristiques du (</w:t>
      </w:r>
      <w:r>
        <w:rPr>
          <w:rStyle w:val="VerbatimChar"/>
        </w:rPr>
        <w:t>P130_présente_les_caractéristiques_de</w:t>
      </w:r>
      <w:r>
        <w:t xml:space="preserve">) texte de la </w:t>
      </w:r>
      <w:r>
        <w:rPr>
          <w:i/>
          <w:iCs/>
        </w:rPr>
        <w:t>Divine Comédie</w:t>
      </w:r>
      <w:r>
        <w:t xml:space="preserve"> de Dante Alighieri (</w:t>
      </w:r>
      <w:r>
        <w:rPr>
          <w:rStyle w:val="VerbatimChar"/>
        </w:rPr>
        <w:t>E89_Objet_propositionnel</w:t>
      </w:r>
      <w:r>
        <w:t>) (Alighieri, 1956)</w:t>
      </w:r>
    </w:p>
    <w:p w14:paraId="0D6F9C72" w14:textId="77777777" w:rsidR="00065317" w:rsidRDefault="005C7BF7">
      <w:pPr>
        <w:pStyle w:val="FirstParagraph"/>
      </w:pPr>
      <w:r>
        <w:rPr>
          <w:b/>
          <w:bCs/>
        </w:rPr>
        <w:t>Logique</w:t>
      </w:r>
    </w:p>
    <w:p w14:paraId="0DD166A8" w14:textId="77777777" w:rsidR="00065317" w:rsidRDefault="005C7BF7">
      <w:pPr>
        <w:pStyle w:val="Corpsdetexte"/>
      </w:pPr>
      <w:r>
        <w:t>P130(x,y) ⇒ E70(x)</w:t>
      </w:r>
    </w:p>
    <w:p w14:paraId="355BF913" w14:textId="77777777" w:rsidR="00065317" w:rsidRDefault="005C7BF7">
      <w:pPr>
        <w:pStyle w:val="Corpsdetexte"/>
      </w:pPr>
      <w:r>
        <w:t>P130(x,y) ⇒ E70(y)</w:t>
      </w:r>
    </w:p>
    <w:p w14:paraId="246F10AA" w14:textId="77777777" w:rsidR="00065317" w:rsidRDefault="005C7BF7">
      <w:pPr>
        <w:pStyle w:val="Corpsdetexte"/>
      </w:pPr>
      <w:r>
        <w:t>P130(x,y,z) ⇒ [P130(x,y) ∧ E55(z)]</w:t>
      </w:r>
    </w:p>
    <w:p w14:paraId="53DF1D87" w14:textId="77777777" w:rsidR="00065317" w:rsidRDefault="005C7BF7">
      <w:pPr>
        <w:pStyle w:val="Corpsdetexte"/>
      </w:pPr>
      <w:r>
        <w:t>¬P130(x,x)</w:t>
      </w:r>
    </w:p>
    <w:p w14:paraId="317CA0BB" w14:textId="77777777" w:rsidR="00065317" w:rsidRDefault="005C7BF7">
      <w:pPr>
        <w:pStyle w:val="Corpsdetexte"/>
      </w:pPr>
      <w:r>
        <w:rPr>
          <w:b/>
          <w:bCs/>
        </w:rPr>
        <w:t>Propriétés</w:t>
      </w:r>
    </w:p>
    <w:p w14:paraId="152EF3DD" w14:textId="77777777" w:rsidR="00065317" w:rsidRDefault="005C7BF7">
      <w:pPr>
        <w:pStyle w:val="Corpsdetexte"/>
      </w:pPr>
      <w:r>
        <w:rPr>
          <w:rStyle w:val="VerbatimChar"/>
        </w:rPr>
        <w:t>P130.1_sorte_de_similarité</w:t>
      </w:r>
      <w:r>
        <w:t xml:space="preserve"> : </w:t>
      </w:r>
      <w:r>
        <w:rPr>
          <w:rStyle w:val="VerbatimChar"/>
        </w:rPr>
        <w:t>E55_Type</w:t>
      </w:r>
    </w:p>
    <w:p w14:paraId="454E152A" w14:textId="77777777" w:rsidR="00065317" w:rsidRDefault="005C7BF7">
      <w:pPr>
        <w:pStyle w:val="Normalcentr"/>
      </w:pPr>
      <w:r>
        <w:rPr>
          <w:b/>
          <w:bCs/>
          <w:i/>
          <w:iCs/>
        </w:rPr>
        <w:t>Note de traduction</w:t>
      </w:r>
    </w:p>
    <w:p w14:paraId="03B71A3B" w14:textId="1F97647A" w:rsidR="00065317" w:rsidRDefault="005C7BF7" w:rsidP="001B7C4A">
      <w:pPr>
        <w:pStyle w:val="Normalcentr"/>
      </w:pPr>
      <w:r>
        <w:rPr>
          <w:b/>
          <w:bCs/>
          <w:i/>
          <w:iCs/>
        </w:rPr>
        <w:t>Références</w:t>
      </w:r>
    </w:p>
    <w:p w14:paraId="227605AE" w14:textId="77777777" w:rsidR="00065317" w:rsidRDefault="005C7BF7" w:rsidP="00914F34">
      <w:pPr>
        <w:pStyle w:val="Titre3"/>
      </w:pPr>
      <w:bookmarkStart w:id="482" w:name="_Toc154048926"/>
      <w:bookmarkStart w:id="483" w:name="p132-recoupe-spatio-temporellement"/>
      <w:bookmarkEnd w:id="481"/>
      <w:r>
        <w:t>P132 recoupe spatio-temporellement</w:t>
      </w:r>
      <w:bookmarkEnd w:id="482"/>
    </w:p>
    <w:p w14:paraId="24C49930" w14:textId="77777777" w:rsidR="00065317" w:rsidRDefault="005C7BF7">
      <w:pPr>
        <w:pStyle w:val="FirstParagraph"/>
      </w:pPr>
      <w:r>
        <w:rPr>
          <w:b/>
          <w:bCs/>
        </w:rPr>
        <w:t>Domaine</w:t>
      </w:r>
    </w:p>
    <w:p w14:paraId="25358A06" w14:textId="77777777" w:rsidR="00065317" w:rsidRDefault="005C7BF7">
      <w:pPr>
        <w:pStyle w:val="Corpsdetexte"/>
      </w:pPr>
      <w:r>
        <w:rPr>
          <w:rStyle w:val="VerbatimChar"/>
        </w:rPr>
        <w:t>E92_Volume_spatio-temporel</w:t>
      </w:r>
    </w:p>
    <w:p w14:paraId="11FCDBE1" w14:textId="77777777" w:rsidR="00065317" w:rsidRDefault="005C7BF7">
      <w:pPr>
        <w:pStyle w:val="Corpsdetexte"/>
      </w:pPr>
      <w:r>
        <w:rPr>
          <w:b/>
          <w:bCs/>
        </w:rPr>
        <w:t>Portée</w:t>
      </w:r>
    </w:p>
    <w:p w14:paraId="2C8BF618" w14:textId="77777777" w:rsidR="00065317" w:rsidRDefault="005C7BF7">
      <w:pPr>
        <w:pStyle w:val="Corpsdetexte"/>
      </w:pPr>
      <w:r>
        <w:rPr>
          <w:rStyle w:val="VerbatimChar"/>
        </w:rPr>
        <w:t>E92_Volume_spatio-temporel</w:t>
      </w:r>
    </w:p>
    <w:p w14:paraId="106CC8C5" w14:textId="77777777" w:rsidR="00065317" w:rsidRDefault="005C7BF7">
      <w:pPr>
        <w:pStyle w:val="Corpsdetexte"/>
      </w:pPr>
      <w:r>
        <w:rPr>
          <w:b/>
          <w:bCs/>
        </w:rPr>
        <w:t>Sous-propriété de</w:t>
      </w:r>
    </w:p>
    <w:p w14:paraId="385EDD12" w14:textId="77777777" w:rsidR="00065317" w:rsidRDefault="005C7BF7">
      <w:pPr>
        <w:pStyle w:val="Corpsdetexte"/>
      </w:pPr>
      <w:r>
        <w:rPr>
          <w:b/>
          <w:bCs/>
        </w:rPr>
        <w:t>Super-propriété de</w:t>
      </w:r>
    </w:p>
    <w:p w14:paraId="2A53DB86" w14:textId="51E8CA4E" w:rsidR="00065317" w:rsidRDefault="005C7BF7">
      <w:pPr>
        <w:pStyle w:val="Corpsdetexte"/>
      </w:pPr>
      <w:r>
        <w:rPr>
          <w:rStyle w:val="VerbatimChar"/>
        </w:rPr>
        <w:t>E92_Volume_spatio-temporel</w:t>
      </w:r>
      <w:r>
        <w:t xml:space="preserve">. </w:t>
      </w:r>
      <w:r>
        <w:rPr>
          <w:rStyle w:val="VerbatimChar"/>
        </w:rPr>
        <w:t>P10_s</w:t>
      </w:r>
      <w:r w:rsidR="00E84B0E">
        <w:rPr>
          <w:rStyle w:val="VerbatimChar"/>
        </w:rPr>
        <w:t>’</w:t>
      </w:r>
      <w:r>
        <w:rPr>
          <w:rStyle w:val="VerbatimChar"/>
        </w:rPr>
        <w:t>insère_dans (contient)</w:t>
      </w:r>
      <w:r>
        <w:t xml:space="preserve"> : </w:t>
      </w:r>
      <w:r>
        <w:rPr>
          <w:rStyle w:val="VerbatimChar"/>
        </w:rPr>
        <w:t>E92_Volume_spatio-temporel</w:t>
      </w:r>
    </w:p>
    <w:p w14:paraId="6E19714E" w14:textId="77777777" w:rsidR="00065317" w:rsidRDefault="005C7BF7">
      <w:pPr>
        <w:pStyle w:val="Corpsdetexte"/>
      </w:pPr>
      <w:r>
        <w:rPr>
          <w:b/>
          <w:bCs/>
        </w:rPr>
        <w:t>Quantification</w:t>
      </w:r>
    </w:p>
    <w:p w14:paraId="611C9E11" w14:textId="77777777" w:rsidR="00065317" w:rsidRDefault="005C7BF7">
      <w:pPr>
        <w:pStyle w:val="Corpsdetexte"/>
      </w:pPr>
      <w:r>
        <w:t>plusieurs à plusieurs (0,n:0,n)</w:t>
      </w:r>
    </w:p>
    <w:p w14:paraId="21E8DF33" w14:textId="7BCF5B97" w:rsidR="00065317" w:rsidRDefault="005C7BF7">
      <w:pPr>
        <w:pStyle w:val="Corpsdetexte"/>
      </w:pPr>
      <w:r>
        <w:rPr>
          <w:b/>
          <w:bCs/>
        </w:rPr>
        <w:t>Note d</w:t>
      </w:r>
      <w:r w:rsidR="00E84B0E">
        <w:rPr>
          <w:b/>
          <w:bCs/>
        </w:rPr>
        <w:t>’</w:t>
      </w:r>
      <w:r>
        <w:rPr>
          <w:b/>
          <w:bCs/>
        </w:rPr>
        <w:t>application</w:t>
      </w:r>
    </w:p>
    <w:p w14:paraId="7DC76604" w14:textId="77777777" w:rsidR="00065317" w:rsidRDefault="005C7BF7">
      <w:pPr>
        <w:pStyle w:val="Corpsdetexte"/>
      </w:pPr>
      <w:r>
        <w:t xml:space="preserve">Cette propriété symétrique associe deux instances de </w:t>
      </w:r>
      <w:r>
        <w:rPr>
          <w:rStyle w:val="VerbatimChar"/>
        </w:rPr>
        <w:t>E92_Volume_spatio-temporel</w:t>
      </w:r>
      <w:r>
        <w:t xml:space="preserve"> qui possèdent une part de leur étendue en commun.</w:t>
      </w:r>
    </w:p>
    <w:p w14:paraId="65A19406" w14:textId="73E0CA3A" w:rsidR="00065317" w:rsidRDefault="005C7BF7">
      <w:pPr>
        <w:pStyle w:val="Corpsdetexte"/>
      </w:pPr>
      <w:r>
        <w:t xml:space="preserve">Si le recoupement ne concerne que les limites floues des instances de </w:t>
      </w:r>
      <w:r>
        <w:rPr>
          <w:rStyle w:val="VerbatimChar"/>
        </w:rPr>
        <w:t>E92_Volume_spatio-temporel</w:t>
      </w:r>
      <w:r>
        <w:t xml:space="preserve">, la propriété </w:t>
      </w:r>
      <w:r>
        <w:rPr>
          <w:rStyle w:val="VerbatimChar"/>
        </w:rPr>
        <w:t>P132_recoupe_spatio-temporellement</w:t>
      </w:r>
      <w:r>
        <w:t xml:space="preserve"> ne peut être déterminée par la seule observation et ne devrait donc pas être utilisée. Cependant, certaines situations peuvent justifier que les deux instances de </w:t>
      </w:r>
      <w:r>
        <w:rPr>
          <w:rStyle w:val="VerbatimChar"/>
        </w:rPr>
        <w:lastRenderedPageBreak/>
        <w:t>E92_Volume_spatio-temporel</w:t>
      </w:r>
      <w:r>
        <w:t xml:space="preserve"> partagent une partie de leur étendue en commun, sans qu</w:t>
      </w:r>
      <w:r w:rsidR="00E84B0E">
        <w:t>’</w:t>
      </w:r>
      <w:r>
        <w:t>il soit nécessaire de préciser où et quand.</w:t>
      </w:r>
    </w:p>
    <w:p w14:paraId="02B88BAA" w14:textId="533D9A58" w:rsidR="00065317" w:rsidRDefault="005C7BF7">
      <w:pPr>
        <w:pStyle w:val="Corpsdetexte"/>
      </w:pPr>
      <w:r>
        <w:t>Si cette propriété s</w:t>
      </w:r>
      <w:r w:rsidR="00E84B0E">
        <w:t>’</w:t>
      </w:r>
      <w:r>
        <w:t xml:space="preserve">applique à deux instances de </w:t>
      </w:r>
      <w:r>
        <w:rPr>
          <w:rStyle w:val="VerbatimChar"/>
        </w:rPr>
        <w:t>E92_Volume_spatio-temporel</w:t>
      </w:r>
      <w:r>
        <w:t>, alors il n</w:t>
      </w:r>
      <w:r w:rsidR="00E84B0E">
        <w:t>’</w:t>
      </w:r>
      <w:r>
        <w:t xml:space="preserve">est pas possible que ces deux instances soient aussi reliées par la propriété </w:t>
      </w:r>
      <w:r>
        <w:rPr>
          <w:rStyle w:val="VerbatimChar"/>
        </w:rPr>
        <w:t>P133_est_distinct_spatio-temporellement_de</w:t>
      </w:r>
      <w:r>
        <w:t xml:space="preserve">. De plus, il existe des cas où ni la propriété </w:t>
      </w:r>
      <w:r>
        <w:rPr>
          <w:rStyle w:val="VerbatimChar"/>
        </w:rPr>
        <w:t>P132_recoupe_spatio-temporellement_et_partiellement</w:t>
      </w:r>
      <w:r>
        <w:t xml:space="preserve"> ni la propriété </w:t>
      </w:r>
      <w:r>
        <w:rPr>
          <w:rStyle w:val="VerbatimChar"/>
        </w:rPr>
        <w:t>P133_est_distinct_spatio-temporellement_de</w:t>
      </w:r>
      <w:r>
        <w:t xml:space="preserve"> ne peuvent s</w:t>
      </w:r>
      <w:r w:rsidR="00E84B0E">
        <w:t>’</w:t>
      </w:r>
      <w:r>
        <w:t xml:space="preserve">appliquer entre deux instances de </w:t>
      </w:r>
      <w:r>
        <w:rPr>
          <w:rStyle w:val="VerbatimChar"/>
        </w:rPr>
        <w:t>E92_Volume_spatio-temporel</w:t>
      </w:r>
      <w:r>
        <w:t>, notamment lorsque les deux instances ne se recoupent qu</w:t>
      </w:r>
      <w:r w:rsidR="00E84B0E">
        <w:t>’</w:t>
      </w:r>
      <w:r>
        <w:t>à leurs limites floues et qu</w:t>
      </w:r>
      <w:r w:rsidR="00E84B0E">
        <w:t>’</w:t>
      </w:r>
      <w:r>
        <w:t>aucun témoignage ou preuve n</w:t>
      </w:r>
      <w:r w:rsidR="00E84B0E">
        <w:t>’</w:t>
      </w:r>
      <w:r>
        <w:t>est disponible pour valider ou invalider la relation.</w:t>
      </w:r>
    </w:p>
    <w:p w14:paraId="7CD2B84B" w14:textId="0B97166E" w:rsidR="00065317" w:rsidRDefault="005C7BF7">
      <w:pPr>
        <w:pStyle w:val="Corpsdetexte"/>
      </w:pPr>
      <w:r>
        <w:t>Cette propriété n</w:t>
      </w:r>
      <w:r w:rsidR="00E84B0E">
        <w:t>’</w:t>
      </w:r>
      <w:r>
        <w:t>est pas transitive, mais elle est symétrique et réflexive.</w:t>
      </w:r>
    </w:p>
    <w:p w14:paraId="3AF516A6" w14:textId="77777777" w:rsidR="00065317" w:rsidRDefault="005C7BF7">
      <w:pPr>
        <w:pStyle w:val="Corpsdetexte"/>
      </w:pPr>
      <w:r>
        <w:rPr>
          <w:b/>
          <w:bCs/>
        </w:rPr>
        <w:t>Exemples</w:t>
      </w:r>
    </w:p>
    <w:p w14:paraId="6772C362" w14:textId="5714846E" w:rsidR="00065317" w:rsidRDefault="005C7BF7">
      <w:pPr>
        <w:numPr>
          <w:ilvl w:val="0"/>
          <w:numId w:val="248"/>
        </w:numPr>
      </w:pPr>
      <w:r>
        <w:t>La période de la culture des champs d</w:t>
      </w:r>
      <w:r w:rsidR="00E84B0E">
        <w:t>’</w:t>
      </w:r>
      <w:r>
        <w:t>urne (</w:t>
      </w:r>
      <w:r>
        <w:rPr>
          <w:rStyle w:val="VerbatimChar"/>
        </w:rPr>
        <w:t>E4_Période</w:t>
      </w:r>
      <w:r>
        <w:t>) recoupe spatio-temporellement (</w:t>
      </w:r>
      <w:r>
        <w:rPr>
          <w:rStyle w:val="VerbatimChar"/>
        </w:rPr>
        <w:t>P132_recoupe_spatio-temporellement</w:t>
      </w:r>
      <w:r>
        <w:t>) la période de Hallstatt (</w:t>
      </w:r>
      <w:r>
        <w:rPr>
          <w:rStyle w:val="VerbatimChar"/>
        </w:rPr>
        <w:t>E4_Période</w:t>
      </w:r>
      <w:r>
        <w:t>) (Gimbutas, 1965)</w:t>
      </w:r>
    </w:p>
    <w:p w14:paraId="38BE61B7" w14:textId="77777777" w:rsidR="00065317" w:rsidRDefault="005C7BF7">
      <w:pPr>
        <w:pStyle w:val="FirstParagraph"/>
      </w:pPr>
      <w:r>
        <w:rPr>
          <w:b/>
          <w:bCs/>
        </w:rPr>
        <w:t>Logique</w:t>
      </w:r>
    </w:p>
    <w:p w14:paraId="7AB77E85" w14:textId="77777777" w:rsidR="00065317" w:rsidRDefault="005C7BF7">
      <w:pPr>
        <w:pStyle w:val="Corpsdetexte"/>
      </w:pPr>
      <w:r>
        <w:t>P132(x,y) ⇒ E92(x)</w:t>
      </w:r>
    </w:p>
    <w:p w14:paraId="6C7DBABC" w14:textId="77777777" w:rsidR="00065317" w:rsidRDefault="005C7BF7">
      <w:pPr>
        <w:pStyle w:val="Corpsdetexte"/>
      </w:pPr>
      <w:r>
        <w:t>P132(x,y) ⇒ E92(y)</w:t>
      </w:r>
    </w:p>
    <w:p w14:paraId="2E71B968" w14:textId="77777777" w:rsidR="00065317" w:rsidRDefault="005C7BF7">
      <w:pPr>
        <w:pStyle w:val="Corpsdetexte"/>
      </w:pPr>
      <w:r>
        <w:t>P132(x,y) ⇒ P132(y,x)</w:t>
      </w:r>
    </w:p>
    <w:p w14:paraId="5BE28F0A" w14:textId="77777777" w:rsidR="00065317" w:rsidRDefault="005C7BF7">
      <w:pPr>
        <w:pStyle w:val="Corpsdetexte"/>
      </w:pPr>
      <w:r>
        <w:t>P132(x,y) ⇒ P132 (x,y)</w:t>
      </w:r>
    </w:p>
    <w:p w14:paraId="1D965EAF" w14:textId="77777777" w:rsidR="00065317" w:rsidRDefault="005C7BF7">
      <w:pPr>
        <w:pStyle w:val="Corpsdetexte"/>
      </w:pPr>
      <w:r>
        <w:t>P132(x,x)</w:t>
      </w:r>
    </w:p>
    <w:p w14:paraId="2CBB1034" w14:textId="77777777" w:rsidR="00065317" w:rsidRDefault="005C7BF7">
      <w:pPr>
        <w:pStyle w:val="Corpsdetexte"/>
      </w:pPr>
      <w:r>
        <w:rPr>
          <w:b/>
          <w:bCs/>
        </w:rPr>
        <w:t>Propriétés</w:t>
      </w:r>
    </w:p>
    <w:p w14:paraId="1F697050" w14:textId="77777777" w:rsidR="00065317" w:rsidRDefault="005C7BF7">
      <w:pPr>
        <w:pStyle w:val="Normalcentr"/>
      </w:pPr>
      <w:r>
        <w:rPr>
          <w:b/>
          <w:bCs/>
          <w:i/>
          <w:iCs/>
        </w:rPr>
        <w:t>Note de traduction</w:t>
      </w:r>
    </w:p>
    <w:p w14:paraId="2F19DB26" w14:textId="0DF66F6B" w:rsidR="00065317" w:rsidRDefault="005C7BF7" w:rsidP="00826CB0">
      <w:pPr>
        <w:pStyle w:val="Normalcentr"/>
      </w:pPr>
      <w:r>
        <w:rPr>
          <w:b/>
          <w:bCs/>
          <w:i/>
          <w:iCs/>
        </w:rPr>
        <w:t>Références</w:t>
      </w:r>
    </w:p>
    <w:p w14:paraId="0DF91F4B" w14:textId="77777777" w:rsidR="00065317" w:rsidRDefault="005C7BF7" w:rsidP="00914F34">
      <w:pPr>
        <w:pStyle w:val="Titre3"/>
      </w:pPr>
      <w:bookmarkStart w:id="484" w:name="_Toc154048927"/>
      <w:bookmarkStart w:id="485" w:name="X64e7cf2106da7c1f40e0b06a1642da9b45bea0c"/>
      <w:bookmarkEnd w:id="483"/>
      <w:r>
        <w:t>P133 est distinct spatio-temporellement de</w:t>
      </w:r>
      <w:bookmarkEnd w:id="484"/>
    </w:p>
    <w:p w14:paraId="29323599" w14:textId="77777777" w:rsidR="00065317" w:rsidRDefault="005C7BF7">
      <w:pPr>
        <w:pStyle w:val="FirstParagraph"/>
      </w:pPr>
      <w:r>
        <w:rPr>
          <w:b/>
          <w:bCs/>
        </w:rPr>
        <w:t>Domaine</w:t>
      </w:r>
    </w:p>
    <w:p w14:paraId="063EEEA6" w14:textId="77777777" w:rsidR="00065317" w:rsidRDefault="005C7BF7">
      <w:pPr>
        <w:pStyle w:val="Corpsdetexte"/>
      </w:pPr>
      <w:r>
        <w:rPr>
          <w:rStyle w:val="VerbatimChar"/>
        </w:rPr>
        <w:t>E92_Volume_spatio-temporel</w:t>
      </w:r>
    </w:p>
    <w:p w14:paraId="37561565" w14:textId="77777777" w:rsidR="00065317" w:rsidRDefault="005C7BF7">
      <w:pPr>
        <w:pStyle w:val="Corpsdetexte"/>
      </w:pPr>
      <w:r>
        <w:rPr>
          <w:b/>
          <w:bCs/>
        </w:rPr>
        <w:t>Portée</w:t>
      </w:r>
    </w:p>
    <w:p w14:paraId="7C7F9B47" w14:textId="77777777" w:rsidR="00065317" w:rsidRDefault="005C7BF7">
      <w:pPr>
        <w:pStyle w:val="Corpsdetexte"/>
      </w:pPr>
      <w:r>
        <w:rPr>
          <w:rStyle w:val="VerbatimChar"/>
        </w:rPr>
        <w:t>E92_Volume_spatio-temporel</w:t>
      </w:r>
    </w:p>
    <w:p w14:paraId="4674FFF5" w14:textId="77777777" w:rsidR="00065317" w:rsidRDefault="005C7BF7">
      <w:pPr>
        <w:pStyle w:val="Corpsdetexte"/>
      </w:pPr>
      <w:r>
        <w:rPr>
          <w:b/>
          <w:bCs/>
        </w:rPr>
        <w:t>Sous-propriété de</w:t>
      </w:r>
    </w:p>
    <w:p w14:paraId="118C3BF0" w14:textId="77777777" w:rsidR="00065317" w:rsidRDefault="005C7BF7">
      <w:pPr>
        <w:pStyle w:val="Corpsdetexte"/>
      </w:pPr>
      <w:r>
        <w:rPr>
          <w:b/>
          <w:bCs/>
        </w:rPr>
        <w:t>Super-propriété de</w:t>
      </w:r>
    </w:p>
    <w:p w14:paraId="4BE4292C" w14:textId="77777777" w:rsidR="00065317" w:rsidRDefault="005C7BF7">
      <w:pPr>
        <w:pStyle w:val="Corpsdetexte"/>
      </w:pPr>
      <w:r>
        <w:rPr>
          <w:b/>
          <w:bCs/>
        </w:rPr>
        <w:t>Quantification</w:t>
      </w:r>
    </w:p>
    <w:p w14:paraId="0B0C65AA" w14:textId="77777777" w:rsidR="00065317" w:rsidRDefault="005C7BF7">
      <w:pPr>
        <w:pStyle w:val="Corpsdetexte"/>
      </w:pPr>
      <w:r>
        <w:t>plusieurs à plusieurs (0,n:0,n)</w:t>
      </w:r>
    </w:p>
    <w:p w14:paraId="75A4D4B7" w14:textId="50F84406" w:rsidR="00065317" w:rsidRDefault="005C7BF7">
      <w:pPr>
        <w:pStyle w:val="Corpsdetexte"/>
      </w:pPr>
      <w:r>
        <w:rPr>
          <w:b/>
          <w:bCs/>
        </w:rPr>
        <w:t>Note d</w:t>
      </w:r>
      <w:r w:rsidR="00E84B0E">
        <w:rPr>
          <w:b/>
          <w:bCs/>
        </w:rPr>
        <w:t>’</w:t>
      </w:r>
      <w:r>
        <w:rPr>
          <w:b/>
          <w:bCs/>
        </w:rPr>
        <w:t>application</w:t>
      </w:r>
    </w:p>
    <w:p w14:paraId="4F8165E4" w14:textId="73784DBE" w:rsidR="00065317" w:rsidRDefault="005C7BF7">
      <w:pPr>
        <w:pStyle w:val="Corpsdetexte"/>
      </w:pPr>
      <w:r>
        <w:t xml:space="preserve">Cette propriété symétrique associe deux instances de </w:t>
      </w:r>
      <w:r>
        <w:rPr>
          <w:rStyle w:val="VerbatimChar"/>
        </w:rPr>
        <w:t>E92_Volume_spatio-temporel</w:t>
      </w:r>
      <w:r>
        <w:t xml:space="preserve"> qui n</w:t>
      </w:r>
      <w:r w:rsidR="00E84B0E">
        <w:t>’</w:t>
      </w:r>
      <w:r>
        <w:t>ont pas d</w:t>
      </w:r>
      <w:r w:rsidR="00E84B0E">
        <w:t>’</w:t>
      </w:r>
      <w:r>
        <w:t>étendue en commun.</w:t>
      </w:r>
    </w:p>
    <w:p w14:paraId="322ECDF2" w14:textId="0ADD95B0" w:rsidR="00065317" w:rsidRDefault="005C7BF7">
      <w:pPr>
        <w:pStyle w:val="Corpsdetexte"/>
      </w:pPr>
      <w:r>
        <w:lastRenderedPageBreak/>
        <w:t xml:space="preserve">Si le recoupement ne concerne que les limites floues des instances de </w:t>
      </w:r>
      <w:r>
        <w:rPr>
          <w:rStyle w:val="VerbatimChar"/>
        </w:rPr>
        <w:t>E92_Volume_spatio-temporel</w:t>
      </w:r>
      <w:r>
        <w:t xml:space="preserve">, la propriété </w:t>
      </w:r>
      <w:r>
        <w:rPr>
          <w:rStyle w:val="VerbatimChar"/>
        </w:rPr>
        <w:t>P133_est_distinct_spatio-temporellement_de</w:t>
      </w:r>
      <w:r>
        <w:t xml:space="preserve"> ne peut être déterminée par la seule observation et ne devrait donc pas être utilisée. Cependant, certaines situations peuvent justifier que les deux instances de </w:t>
      </w:r>
      <w:r>
        <w:rPr>
          <w:rStyle w:val="VerbatimChar"/>
        </w:rPr>
        <w:t>E92_Volume_spatio-temporel</w:t>
      </w:r>
      <w:r>
        <w:t xml:space="preserve"> ne partagent aucune de leur étendue, sans qu</w:t>
      </w:r>
      <w:r w:rsidR="00E84B0E">
        <w:t>’</w:t>
      </w:r>
      <w:r>
        <w:t>il soit nécessaire de préciser où et quand.</w:t>
      </w:r>
    </w:p>
    <w:p w14:paraId="489F88E4" w14:textId="72D0A97A" w:rsidR="00065317" w:rsidRDefault="005C7BF7">
      <w:pPr>
        <w:pStyle w:val="Corpsdetexte"/>
      </w:pPr>
      <w:r>
        <w:t>Si cette propriété s</w:t>
      </w:r>
      <w:r w:rsidR="00E84B0E">
        <w:t>’</w:t>
      </w:r>
      <w:r>
        <w:t xml:space="preserve">applique à deux instances de </w:t>
      </w:r>
      <w:r>
        <w:rPr>
          <w:rStyle w:val="VerbatimChar"/>
        </w:rPr>
        <w:t>E92_Volume_spatio-temporel</w:t>
      </w:r>
      <w:r>
        <w:t>, alors il n</w:t>
      </w:r>
      <w:r w:rsidR="00E84B0E">
        <w:t>’</w:t>
      </w:r>
      <w:r>
        <w:t xml:space="preserve">est pas possible que ces deux instances soient aussi reliées par la propriété </w:t>
      </w:r>
      <w:r>
        <w:rPr>
          <w:rStyle w:val="VerbatimChar"/>
        </w:rPr>
        <w:t>P132_recoupe_spatio-temporellement</w:t>
      </w:r>
      <w:r>
        <w:t xml:space="preserve">. De plus, il existe des cas où ni la propriété </w:t>
      </w:r>
      <w:r>
        <w:rPr>
          <w:rStyle w:val="VerbatimChar"/>
        </w:rPr>
        <w:t>P132_recoupe_spatio-temporellement</w:t>
      </w:r>
      <w:r>
        <w:t xml:space="preserve"> ni la </w:t>
      </w:r>
      <w:r>
        <w:rPr>
          <w:rStyle w:val="VerbatimChar"/>
        </w:rPr>
        <w:t>P133_est_distinct_spatio-temporellement_de</w:t>
      </w:r>
      <w:r>
        <w:t xml:space="preserve"> ne peut s</w:t>
      </w:r>
      <w:r w:rsidR="00E84B0E">
        <w:t>’</w:t>
      </w:r>
      <w:r>
        <w:t xml:space="preserve">appliquer entre deux instances de </w:t>
      </w:r>
      <w:r>
        <w:rPr>
          <w:rStyle w:val="VerbatimChar"/>
        </w:rPr>
        <w:t>E92_Volume_spatio-temporel</w:t>
      </w:r>
      <w:r>
        <w:t>. Cela se produit lorsque les limites floues des deux instances se recoupent et qu</w:t>
      </w:r>
      <w:r w:rsidR="00E84B0E">
        <w:t>’</w:t>
      </w:r>
      <w:r>
        <w:t>aucune autre indication quant à la temporalité n</w:t>
      </w:r>
      <w:r w:rsidR="00E84B0E">
        <w:t>’</w:t>
      </w:r>
      <w:r>
        <w:t>est disponible.</w:t>
      </w:r>
    </w:p>
    <w:p w14:paraId="2B5373B6" w14:textId="645A58E7" w:rsidR="00065317" w:rsidRDefault="005C7BF7">
      <w:pPr>
        <w:pStyle w:val="Corpsdetexte"/>
      </w:pPr>
      <w:r>
        <w:t>Cette propriété n</w:t>
      </w:r>
      <w:r w:rsidR="00E84B0E">
        <w:t>’</w:t>
      </w:r>
      <w:r>
        <w:t>est pas transitive, mais elle est symétrique et irréflexive.</w:t>
      </w:r>
    </w:p>
    <w:p w14:paraId="3B8AE1A3" w14:textId="77777777" w:rsidR="00065317" w:rsidRDefault="005C7BF7">
      <w:pPr>
        <w:pStyle w:val="Corpsdetexte"/>
      </w:pPr>
      <w:r>
        <w:rPr>
          <w:b/>
          <w:bCs/>
        </w:rPr>
        <w:t>Exemples</w:t>
      </w:r>
    </w:p>
    <w:p w14:paraId="59FEFFDB" w14:textId="31FE1D57" w:rsidR="00065317" w:rsidRDefault="005C7BF7">
      <w:pPr>
        <w:numPr>
          <w:ilvl w:val="0"/>
          <w:numId w:val="249"/>
        </w:numPr>
      </w:pPr>
      <w:r>
        <w:t>La période de la Hallstatt (</w:t>
      </w:r>
      <w:r>
        <w:rPr>
          <w:rStyle w:val="VerbatimChar"/>
        </w:rPr>
        <w:t>E4_Période</w:t>
      </w:r>
      <w:r>
        <w:t>) est distincte spatio-temporellement de (</w:t>
      </w:r>
      <w:r>
        <w:rPr>
          <w:rStyle w:val="VerbatimChar"/>
        </w:rPr>
        <w:t>P133_est_distinct_spatio-temporellement_de</w:t>
      </w:r>
      <w:r>
        <w:t>) l</w:t>
      </w:r>
      <w:r w:rsidR="00E84B0E">
        <w:t>’</w:t>
      </w:r>
      <w:r>
        <w:t>ère de La Tène (</w:t>
      </w:r>
      <w:r>
        <w:rPr>
          <w:rStyle w:val="VerbatimChar"/>
        </w:rPr>
        <w:t>E4_Période</w:t>
      </w:r>
      <w:r>
        <w:t>) (Marion, 2004)</w:t>
      </w:r>
    </w:p>
    <w:p w14:paraId="26AA6600" w14:textId="49FCE4E5" w:rsidR="00065317" w:rsidRDefault="005C7BF7">
      <w:pPr>
        <w:numPr>
          <w:ilvl w:val="0"/>
          <w:numId w:val="249"/>
        </w:numPr>
      </w:pPr>
      <w:r>
        <w:t>Le royaume de Grèce (1831-1924) (</w:t>
      </w:r>
      <w:r>
        <w:rPr>
          <w:rStyle w:val="VerbatimChar"/>
        </w:rPr>
        <w:t>E92_Volume_spatio-temporel</w:t>
      </w:r>
      <w:r>
        <w:t>) est distinct spatio-temporellement de (</w:t>
      </w:r>
      <w:r>
        <w:rPr>
          <w:rStyle w:val="VerbatimChar"/>
        </w:rPr>
        <w:t>P133_est_distinct_spatio-temporellement_de</w:t>
      </w:r>
      <w:r>
        <w:t>) l</w:t>
      </w:r>
      <w:r w:rsidR="00E84B0E">
        <w:t>’</w:t>
      </w:r>
      <w:r>
        <w:t>Empire ottoman (1299-1922) (</w:t>
      </w:r>
      <w:r>
        <w:rPr>
          <w:rStyle w:val="VerbatimChar"/>
        </w:rPr>
        <w:t>E92_Volume_spatio-temporel</w:t>
      </w:r>
      <w:r>
        <w:t>)</w:t>
      </w:r>
    </w:p>
    <w:p w14:paraId="7217E7FC" w14:textId="5EACCBE8" w:rsidR="00065317" w:rsidRDefault="005C7BF7">
      <w:pPr>
        <w:numPr>
          <w:ilvl w:val="0"/>
          <w:numId w:val="249"/>
        </w:numPr>
      </w:pPr>
      <w:r>
        <w:t>Le parcours de l</w:t>
      </w:r>
      <w:r w:rsidR="00E84B0E">
        <w:t>’</w:t>
      </w:r>
      <w:r>
        <w:t>armée d</w:t>
      </w:r>
      <w:r w:rsidR="00E84B0E">
        <w:t>’</w:t>
      </w:r>
      <w:r>
        <w:t>Alexandre (335-323 AEC) (</w:t>
      </w:r>
      <w:r>
        <w:rPr>
          <w:rStyle w:val="VerbatimChar"/>
        </w:rPr>
        <w:t>E7_Activité</w:t>
      </w:r>
      <w:r>
        <w:t>) est distinct spatio-temporellement de (</w:t>
      </w:r>
      <w:r>
        <w:rPr>
          <w:rStyle w:val="VerbatimChar"/>
        </w:rPr>
        <w:t>P133_est_distinct_spatio-temporellement_de</w:t>
      </w:r>
      <w:r>
        <w:t>) l</w:t>
      </w:r>
      <w:r w:rsidR="00E84B0E">
        <w:t>’</w:t>
      </w:r>
      <w:r>
        <w:t>Empire maurya (environ 321 à 185 AEC) (</w:t>
      </w:r>
      <w:r>
        <w:rPr>
          <w:rStyle w:val="VerbatimChar"/>
        </w:rPr>
        <w:t>E4_Période</w:t>
      </w:r>
      <w:r>
        <w:t>) (Lane Fox, 2004)</w:t>
      </w:r>
    </w:p>
    <w:p w14:paraId="1A2BB485" w14:textId="77777777" w:rsidR="00065317" w:rsidRDefault="005C7BF7">
      <w:pPr>
        <w:pStyle w:val="FirstParagraph"/>
      </w:pPr>
      <w:r>
        <w:rPr>
          <w:b/>
          <w:bCs/>
        </w:rPr>
        <w:t>Logique</w:t>
      </w:r>
    </w:p>
    <w:p w14:paraId="19B92377" w14:textId="77777777" w:rsidR="00065317" w:rsidRDefault="005C7BF7">
      <w:pPr>
        <w:pStyle w:val="Corpsdetexte"/>
      </w:pPr>
      <w:r>
        <w:t>P133(x,y) ⇒ E92(x)</w:t>
      </w:r>
    </w:p>
    <w:p w14:paraId="6E925B34" w14:textId="77777777" w:rsidR="00065317" w:rsidRDefault="005C7BF7">
      <w:pPr>
        <w:pStyle w:val="Corpsdetexte"/>
      </w:pPr>
      <w:r>
        <w:t>P133(x,y) ⇒ E92(y)</w:t>
      </w:r>
    </w:p>
    <w:p w14:paraId="7FC1C4F6" w14:textId="77777777" w:rsidR="00065317" w:rsidRDefault="005C7BF7">
      <w:pPr>
        <w:pStyle w:val="Corpsdetexte"/>
      </w:pPr>
      <w:r>
        <w:t>P133(x,y) ⇒ P133(y,x)</w:t>
      </w:r>
    </w:p>
    <w:p w14:paraId="47AE00EF" w14:textId="421D2035" w:rsidR="00065317" w:rsidRDefault="005C7BF7">
      <w:pPr>
        <w:pStyle w:val="Corpsdetexte"/>
      </w:pPr>
      <w:r>
        <w:t>P133(x,y) ⇒ P133 (x,y)</w:t>
      </w:r>
    </w:p>
    <w:p w14:paraId="7966BC7E" w14:textId="77777777" w:rsidR="00065317" w:rsidRDefault="005C7BF7">
      <w:pPr>
        <w:pStyle w:val="Corpsdetexte"/>
      </w:pPr>
      <w:r>
        <w:t>¬P133(x,x)</w:t>
      </w:r>
    </w:p>
    <w:p w14:paraId="755A2EA6" w14:textId="77777777" w:rsidR="00065317" w:rsidRDefault="005C7BF7">
      <w:pPr>
        <w:pStyle w:val="Corpsdetexte"/>
      </w:pPr>
      <w:r>
        <w:rPr>
          <w:b/>
          <w:bCs/>
        </w:rPr>
        <w:t>Propriétés</w:t>
      </w:r>
    </w:p>
    <w:p w14:paraId="1FBC8055" w14:textId="77777777" w:rsidR="00065317" w:rsidRDefault="005C7BF7">
      <w:pPr>
        <w:pStyle w:val="Normalcentr"/>
      </w:pPr>
      <w:r>
        <w:rPr>
          <w:b/>
          <w:bCs/>
          <w:i/>
          <w:iCs/>
        </w:rPr>
        <w:t>Note de traduction</w:t>
      </w:r>
    </w:p>
    <w:p w14:paraId="4F9B232E" w14:textId="72695DE7" w:rsidR="00065317" w:rsidRDefault="005C7BF7" w:rsidP="00826CB0">
      <w:pPr>
        <w:pStyle w:val="Normalcentr"/>
      </w:pPr>
      <w:r>
        <w:rPr>
          <w:b/>
          <w:bCs/>
          <w:i/>
          <w:iCs/>
        </w:rPr>
        <w:t>Références</w:t>
      </w:r>
    </w:p>
    <w:p w14:paraId="0DA16A04" w14:textId="77777777" w:rsidR="00065317" w:rsidRDefault="005C7BF7" w:rsidP="00914F34">
      <w:pPr>
        <w:pStyle w:val="Titre3"/>
      </w:pPr>
      <w:bookmarkStart w:id="486" w:name="_Toc154048928"/>
      <w:bookmarkStart w:id="487" w:name="p134-a-continue-(a-ete-continue-par)"/>
      <w:bookmarkEnd w:id="485"/>
      <w:r>
        <w:t>P134 a continué (a été continué par)</w:t>
      </w:r>
      <w:bookmarkEnd w:id="486"/>
    </w:p>
    <w:p w14:paraId="046CC7D1" w14:textId="77777777" w:rsidR="00065317" w:rsidRDefault="005C7BF7">
      <w:pPr>
        <w:pStyle w:val="FirstParagraph"/>
      </w:pPr>
      <w:r>
        <w:rPr>
          <w:b/>
          <w:bCs/>
        </w:rPr>
        <w:t>Domaine</w:t>
      </w:r>
    </w:p>
    <w:p w14:paraId="5C3A3E6B" w14:textId="77777777" w:rsidR="00065317" w:rsidRDefault="005C7BF7">
      <w:pPr>
        <w:pStyle w:val="Corpsdetexte"/>
      </w:pPr>
      <w:r>
        <w:rPr>
          <w:rStyle w:val="VerbatimChar"/>
        </w:rPr>
        <w:t>E7_Activité</w:t>
      </w:r>
    </w:p>
    <w:p w14:paraId="41797021" w14:textId="77777777" w:rsidR="00065317" w:rsidRDefault="005C7BF7">
      <w:pPr>
        <w:pStyle w:val="Corpsdetexte"/>
      </w:pPr>
      <w:r>
        <w:rPr>
          <w:b/>
          <w:bCs/>
        </w:rPr>
        <w:t>Portée</w:t>
      </w:r>
    </w:p>
    <w:p w14:paraId="6ACF72FC" w14:textId="77777777" w:rsidR="00065317" w:rsidRDefault="005C7BF7">
      <w:pPr>
        <w:pStyle w:val="Corpsdetexte"/>
      </w:pPr>
      <w:r>
        <w:rPr>
          <w:rStyle w:val="VerbatimChar"/>
        </w:rPr>
        <w:t>E7_Activité</w:t>
      </w:r>
    </w:p>
    <w:p w14:paraId="34C4F80A" w14:textId="77777777" w:rsidR="00DE6C24" w:rsidRDefault="00DE6C24">
      <w:pPr>
        <w:spacing w:after="0"/>
        <w:rPr>
          <w:b/>
          <w:bCs/>
        </w:rPr>
      </w:pPr>
      <w:r>
        <w:rPr>
          <w:b/>
          <w:bCs/>
        </w:rPr>
        <w:br w:type="page"/>
      </w:r>
    </w:p>
    <w:p w14:paraId="337B14F3" w14:textId="4D2237D6" w:rsidR="00065317" w:rsidRDefault="005C7BF7">
      <w:pPr>
        <w:pStyle w:val="Corpsdetexte"/>
      </w:pPr>
      <w:r>
        <w:rPr>
          <w:b/>
          <w:bCs/>
        </w:rPr>
        <w:lastRenderedPageBreak/>
        <w:t>Sous-propriété de</w:t>
      </w:r>
    </w:p>
    <w:p w14:paraId="13DF7B3B" w14:textId="77777777" w:rsidR="00065317" w:rsidRDefault="005C7BF7">
      <w:pPr>
        <w:pStyle w:val="Corpsdetexte"/>
      </w:pPr>
      <w:r>
        <w:rPr>
          <w:rStyle w:val="VerbatimChar"/>
        </w:rPr>
        <w:t>E7_Activité</w:t>
      </w:r>
      <w:r>
        <w:t xml:space="preserve"> . </w:t>
      </w:r>
      <w:r>
        <w:rPr>
          <w:rStyle w:val="VerbatimChar"/>
        </w:rPr>
        <w:t>P15_a_été_influencé_par (a_influencé)</w:t>
      </w:r>
      <w:r>
        <w:t xml:space="preserve"> : </w:t>
      </w:r>
      <w:r>
        <w:rPr>
          <w:rStyle w:val="VerbatimChar"/>
        </w:rPr>
        <w:t>E1_Entité_CRM</w:t>
      </w:r>
    </w:p>
    <w:p w14:paraId="7F874ED0" w14:textId="4F446027" w:rsidR="00065317" w:rsidRDefault="005C7BF7">
      <w:pPr>
        <w:pStyle w:val="Corpsdetexte"/>
      </w:pPr>
      <w:r>
        <w:rPr>
          <w:rStyle w:val="VerbatimChar"/>
        </w:rPr>
        <w:t>E2_Entité_temporelle</w:t>
      </w:r>
      <w:r>
        <w:t xml:space="preserve"> . </w:t>
      </w:r>
      <w:r>
        <w:rPr>
          <w:rStyle w:val="VerbatimChar"/>
        </w:rPr>
        <w:t>P176i_commence_après_le_début_de (commence_avant_le_début_de)</w:t>
      </w:r>
      <w:r w:rsidR="006504BB">
        <w:t> </w:t>
      </w:r>
      <w:r>
        <w:t xml:space="preserve">: </w:t>
      </w:r>
      <w:r>
        <w:rPr>
          <w:rStyle w:val="VerbatimChar"/>
        </w:rPr>
        <w:t>E2_Entité_temporelle</w:t>
      </w:r>
    </w:p>
    <w:p w14:paraId="04E76D3D" w14:textId="77777777" w:rsidR="00065317" w:rsidRDefault="005C7BF7">
      <w:pPr>
        <w:pStyle w:val="Corpsdetexte"/>
      </w:pPr>
      <w:r>
        <w:rPr>
          <w:b/>
          <w:bCs/>
        </w:rPr>
        <w:t>Super-propriété de</w:t>
      </w:r>
    </w:p>
    <w:p w14:paraId="3D567163" w14:textId="77777777" w:rsidR="00065317" w:rsidRDefault="005C7BF7">
      <w:pPr>
        <w:pStyle w:val="Corpsdetexte"/>
      </w:pPr>
      <w:r>
        <w:rPr>
          <w:b/>
          <w:bCs/>
        </w:rPr>
        <w:t>Quantification</w:t>
      </w:r>
    </w:p>
    <w:p w14:paraId="3848AD98" w14:textId="77777777" w:rsidR="00065317" w:rsidRDefault="005C7BF7">
      <w:pPr>
        <w:pStyle w:val="Corpsdetexte"/>
      </w:pPr>
      <w:r>
        <w:t>plusieurs à plusieurs (0,n:0,n)</w:t>
      </w:r>
    </w:p>
    <w:p w14:paraId="573876C3" w14:textId="6D363393" w:rsidR="00065317" w:rsidRDefault="005C7BF7">
      <w:pPr>
        <w:pStyle w:val="Corpsdetexte"/>
      </w:pPr>
      <w:r>
        <w:rPr>
          <w:b/>
          <w:bCs/>
        </w:rPr>
        <w:t>Note d</w:t>
      </w:r>
      <w:r w:rsidR="00E84B0E">
        <w:rPr>
          <w:b/>
          <w:bCs/>
        </w:rPr>
        <w:t>’</w:t>
      </w:r>
      <w:r>
        <w:rPr>
          <w:b/>
          <w:bCs/>
        </w:rPr>
        <w:t>application</w:t>
      </w:r>
    </w:p>
    <w:p w14:paraId="2C30E8D0" w14:textId="77777777" w:rsidR="00065317" w:rsidRDefault="005C7BF7">
      <w:pPr>
        <w:pStyle w:val="Corpsdetexte"/>
      </w:pPr>
      <w:r>
        <w:t xml:space="preserve">Cette propriété associe deux instances de </w:t>
      </w:r>
      <w:r>
        <w:rPr>
          <w:rStyle w:val="VerbatimChar"/>
        </w:rPr>
        <w:t>E7_Activité</w:t>
      </w:r>
      <w:r>
        <w:t xml:space="preserve"> lorsque le domaine de la propriété est considéré être une continuation intentionnelle de sa portée.</w:t>
      </w:r>
    </w:p>
    <w:p w14:paraId="6B604276" w14:textId="0D298E1D" w:rsidR="00065317" w:rsidRDefault="005C7BF7">
      <w:pPr>
        <w:pStyle w:val="Corpsdetexte"/>
      </w:pPr>
      <w:r>
        <w:t>La continuation d</w:t>
      </w:r>
      <w:r w:rsidR="00E84B0E">
        <w:t>’</w:t>
      </w:r>
      <w:r>
        <w:t>une activité peut se produire soit lorsque cette dernière est toujours en cours, soit après que cette activité a complètement pris fin. Une activité en cours peut avoir commencé avant d</w:t>
      </w:r>
      <w:r w:rsidR="00E84B0E">
        <w:t>’</w:t>
      </w:r>
      <w:r>
        <w:t>être devenue une continuation d</w:t>
      </w:r>
      <w:r w:rsidR="00E84B0E">
        <w:t>’</w:t>
      </w:r>
      <w:r>
        <w:t>une autre activité. La continuation suppose une cohérence dans les intentions et les résultats attendus des activités impliquées.</w:t>
      </w:r>
    </w:p>
    <w:p w14:paraId="66E28CF8" w14:textId="5AB3AE65" w:rsidR="00065317" w:rsidRDefault="005C7BF7">
      <w:pPr>
        <w:pStyle w:val="Corpsdetexte"/>
      </w:pPr>
      <w:r>
        <w:t>Cette propriété n</w:t>
      </w:r>
      <w:r w:rsidR="00E84B0E">
        <w:t>’</w:t>
      </w:r>
      <w:r>
        <w:t>est pas transitive et est asymétrique.</w:t>
      </w:r>
    </w:p>
    <w:p w14:paraId="1C46F9B6" w14:textId="77777777" w:rsidR="00065317" w:rsidRDefault="005C7BF7">
      <w:pPr>
        <w:pStyle w:val="Corpsdetexte"/>
      </w:pPr>
      <w:r>
        <w:rPr>
          <w:b/>
          <w:bCs/>
        </w:rPr>
        <w:t>Exemples</w:t>
      </w:r>
    </w:p>
    <w:p w14:paraId="69E67901" w14:textId="57FBAFA8" w:rsidR="00065317" w:rsidRDefault="005C7BF7">
      <w:pPr>
        <w:numPr>
          <w:ilvl w:val="0"/>
          <w:numId w:val="250"/>
        </w:numPr>
      </w:pPr>
      <w:r>
        <w:t>La construction de la cathédrale de Cologne (</w:t>
      </w:r>
      <w:r>
        <w:rPr>
          <w:rStyle w:val="VerbatimChar"/>
        </w:rPr>
        <w:t>E7_Activité</w:t>
      </w:r>
      <w:r>
        <w:t>), abandonnée au XV</w:t>
      </w:r>
      <w:r>
        <w:rPr>
          <w:vertAlign w:val="superscript"/>
        </w:rPr>
        <w:t>e</w:t>
      </w:r>
      <w:r>
        <w:t xml:space="preserve"> siècle, a repris (</w:t>
      </w:r>
      <w:r>
        <w:rPr>
          <w:rStyle w:val="VerbatimChar"/>
        </w:rPr>
        <w:t>P134_a_continué</w:t>
      </w:r>
      <w:r>
        <w:t>) au XIX</w:t>
      </w:r>
      <w:r>
        <w:rPr>
          <w:vertAlign w:val="superscript"/>
        </w:rPr>
        <w:t>e</w:t>
      </w:r>
      <w:r w:rsidR="00056DCD">
        <w:t> siècle </w:t>
      </w:r>
      <w:r>
        <w:t>(</w:t>
      </w:r>
      <w:r>
        <w:rPr>
          <w:rStyle w:val="VerbatimChar"/>
        </w:rPr>
        <w:t>E7_Activité</w:t>
      </w:r>
      <w:r>
        <w:t>) [avec l</w:t>
      </w:r>
      <w:r w:rsidR="00E84B0E">
        <w:t>’</w:t>
      </w:r>
      <w:r>
        <w:t>adaptation des plans initiaux afin de préserver l</w:t>
      </w:r>
      <w:r w:rsidR="00E84B0E">
        <w:t>’</w:t>
      </w:r>
      <w:r>
        <w:t>apparence prévue du bâtiment] (Wolff, 1999)</w:t>
      </w:r>
    </w:p>
    <w:p w14:paraId="49BD1CEA" w14:textId="77777777" w:rsidR="00065317" w:rsidRDefault="005C7BF7">
      <w:pPr>
        <w:pStyle w:val="FirstParagraph"/>
      </w:pPr>
      <w:r>
        <w:rPr>
          <w:b/>
          <w:bCs/>
        </w:rPr>
        <w:t>Logique</w:t>
      </w:r>
    </w:p>
    <w:p w14:paraId="770B1904" w14:textId="77777777" w:rsidR="00065317" w:rsidRDefault="005C7BF7">
      <w:pPr>
        <w:pStyle w:val="Corpsdetexte"/>
      </w:pPr>
      <w:r>
        <w:t>P134(x,y) ⇒ E7(x)</w:t>
      </w:r>
    </w:p>
    <w:p w14:paraId="7FCBB0C0" w14:textId="77777777" w:rsidR="00065317" w:rsidRDefault="005C7BF7">
      <w:pPr>
        <w:pStyle w:val="Corpsdetexte"/>
      </w:pPr>
      <w:r>
        <w:t>P134(x,y)⇒ E7(y)</w:t>
      </w:r>
    </w:p>
    <w:p w14:paraId="4448B128" w14:textId="77777777" w:rsidR="00065317" w:rsidRDefault="005C7BF7">
      <w:pPr>
        <w:pStyle w:val="Corpsdetexte"/>
      </w:pPr>
      <w:r>
        <w:t>P134(x,y) ⇒ P15(x,y)</w:t>
      </w:r>
    </w:p>
    <w:p w14:paraId="33C12BAA" w14:textId="77777777" w:rsidR="00065317" w:rsidRDefault="005C7BF7">
      <w:pPr>
        <w:pStyle w:val="Corpsdetexte"/>
      </w:pPr>
      <w:r>
        <w:t>P134(x,y) ⇒ P176i(x,y)</w:t>
      </w:r>
    </w:p>
    <w:p w14:paraId="14B4F453" w14:textId="0E3DAF20" w:rsidR="00065317" w:rsidRDefault="005C7BF7">
      <w:pPr>
        <w:pStyle w:val="Corpsdetexte"/>
      </w:pPr>
      <w:r>
        <w:t>P134(x,y) ⇒ P134(y,x)</w:t>
      </w:r>
    </w:p>
    <w:p w14:paraId="7D0DC647" w14:textId="77777777" w:rsidR="00065317" w:rsidRDefault="005C7BF7">
      <w:pPr>
        <w:pStyle w:val="Corpsdetexte"/>
      </w:pPr>
      <w:r>
        <w:rPr>
          <w:b/>
          <w:bCs/>
        </w:rPr>
        <w:t>Propriétés</w:t>
      </w:r>
    </w:p>
    <w:p w14:paraId="147C7F7E" w14:textId="77777777" w:rsidR="00065317" w:rsidRDefault="005C7BF7">
      <w:pPr>
        <w:pStyle w:val="Normalcentr"/>
      </w:pPr>
      <w:r>
        <w:rPr>
          <w:b/>
          <w:bCs/>
          <w:i/>
          <w:iCs/>
        </w:rPr>
        <w:t>Note de traduction</w:t>
      </w:r>
    </w:p>
    <w:p w14:paraId="65BD4618" w14:textId="6F742821" w:rsidR="00065317" w:rsidRDefault="005C7BF7" w:rsidP="00826CB0">
      <w:pPr>
        <w:pStyle w:val="Normalcentr"/>
      </w:pPr>
      <w:r>
        <w:rPr>
          <w:b/>
          <w:bCs/>
          <w:i/>
          <w:iCs/>
        </w:rPr>
        <w:t>Références</w:t>
      </w:r>
    </w:p>
    <w:p w14:paraId="2936EB80" w14:textId="77777777" w:rsidR="00065317" w:rsidRDefault="005C7BF7" w:rsidP="00914F34">
      <w:pPr>
        <w:pStyle w:val="Titre3"/>
      </w:pPr>
      <w:bookmarkStart w:id="488" w:name="_Toc154048929"/>
      <w:bookmarkStart w:id="489" w:name="p135-a-cree-le-type-(a-ete-cree-par)"/>
      <w:bookmarkEnd w:id="487"/>
      <w:r>
        <w:t>P135 a créé le type (a été créé par)</w:t>
      </w:r>
      <w:bookmarkEnd w:id="488"/>
    </w:p>
    <w:p w14:paraId="3AF54CBD" w14:textId="77777777" w:rsidR="00065317" w:rsidRDefault="005C7BF7">
      <w:pPr>
        <w:pStyle w:val="FirstParagraph"/>
      </w:pPr>
      <w:r>
        <w:rPr>
          <w:b/>
          <w:bCs/>
        </w:rPr>
        <w:t>Domaine</w:t>
      </w:r>
    </w:p>
    <w:p w14:paraId="6F8DD42F" w14:textId="77777777" w:rsidR="00065317" w:rsidRDefault="005C7BF7">
      <w:pPr>
        <w:pStyle w:val="Corpsdetexte"/>
      </w:pPr>
      <w:r>
        <w:rPr>
          <w:rStyle w:val="VerbatimChar"/>
        </w:rPr>
        <w:t>E83_Création_de_type</w:t>
      </w:r>
    </w:p>
    <w:p w14:paraId="2F121400" w14:textId="77777777" w:rsidR="00065317" w:rsidRDefault="005C7BF7">
      <w:pPr>
        <w:pStyle w:val="Corpsdetexte"/>
      </w:pPr>
      <w:r>
        <w:rPr>
          <w:b/>
          <w:bCs/>
        </w:rPr>
        <w:t>Portée</w:t>
      </w:r>
    </w:p>
    <w:p w14:paraId="63960077" w14:textId="77777777" w:rsidR="00065317" w:rsidRDefault="005C7BF7">
      <w:pPr>
        <w:pStyle w:val="Corpsdetexte"/>
      </w:pPr>
      <w:r>
        <w:rPr>
          <w:rStyle w:val="VerbatimChar"/>
        </w:rPr>
        <w:t>E55_Type</w:t>
      </w:r>
    </w:p>
    <w:p w14:paraId="72EAF962" w14:textId="77777777" w:rsidR="00DE6C24" w:rsidRDefault="00DE6C24">
      <w:pPr>
        <w:spacing w:after="0"/>
        <w:rPr>
          <w:b/>
          <w:bCs/>
        </w:rPr>
      </w:pPr>
      <w:r>
        <w:rPr>
          <w:b/>
          <w:bCs/>
        </w:rPr>
        <w:br w:type="page"/>
      </w:r>
    </w:p>
    <w:p w14:paraId="0C9CC57A" w14:textId="036C75AC" w:rsidR="00065317" w:rsidRDefault="005C7BF7">
      <w:pPr>
        <w:pStyle w:val="Corpsdetexte"/>
      </w:pPr>
      <w:r>
        <w:rPr>
          <w:b/>
          <w:bCs/>
        </w:rPr>
        <w:lastRenderedPageBreak/>
        <w:t>Sous-propriété de</w:t>
      </w:r>
    </w:p>
    <w:p w14:paraId="7550908A" w14:textId="77777777" w:rsidR="00065317" w:rsidRDefault="005C7BF7">
      <w:pPr>
        <w:pStyle w:val="Corpsdetexte"/>
      </w:pPr>
      <w:r>
        <w:rPr>
          <w:rStyle w:val="VerbatimChar"/>
        </w:rPr>
        <w:t>E65_Création</w:t>
      </w:r>
      <w:r>
        <w:t xml:space="preserve">. </w:t>
      </w:r>
      <w:r>
        <w:rPr>
          <w:rStyle w:val="VerbatimChar"/>
        </w:rPr>
        <w:t>P94_a_créé (a_été_créé_par)</w:t>
      </w:r>
      <w:r>
        <w:t xml:space="preserve"> : </w:t>
      </w:r>
      <w:r>
        <w:rPr>
          <w:rStyle w:val="VerbatimChar"/>
        </w:rPr>
        <w:t>E28_Objet_conceptuel</w:t>
      </w:r>
    </w:p>
    <w:p w14:paraId="2EC5F951" w14:textId="77777777" w:rsidR="00065317" w:rsidRDefault="005C7BF7">
      <w:pPr>
        <w:pStyle w:val="Corpsdetexte"/>
      </w:pPr>
      <w:r>
        <w:rPr>
          <w:b/>
          <w:bCs/>
        </w:rPr>
        <w:t>Super-propriété de</w:t>
      </w:r>
    </w:p>
    <w:p w14:paraId="7BFA6393" w14:textId="77777777" w:rsidR="00065317" w:rsidRDefault="005C7BF7">
      <w:pPr>
        <w:pStyle w:val="Corpsdetexte"/>
      </w:pPr>
      <w:r>
        <w:rPr>
          <w:b/>
          <w:bCs/>
        </w:rPr>
        <w:t>Quantification</w:t>
      </w:r>
    </w:p>
    <w:p w14:paraId="4FCB05B9" w14:textId="77777777" w:rsidR="00065317" w:rsidRDefault="005C7BF7">
      <w:pPr>
        <w:pStyle w:val="Corpsdetexte"/>
      </w:pPr>
      <w:r>
        <w:t>un à plusieurs, nécessaire (1,n:0,1)</w:t>
      </w:r>
    </w:p>
    <w:p w14:paraId="3AA765D8" w14:textId="78DC7604" w:rsidR="00065317" w:rsidRDefault="005C7BF7">
      <w:pPr>
        <w:pStyle w:val="Corpsdetexte"/>
      </w:pPr>
      <w:r>
        <w:rPr>
          <w:b/>
          <w:bCs/>
        </w:rPr>
        <w:t>Note d</w:t>
      </w:r>
      <w:r w:rsidR="00E84B0E">
        <w:rPr>
          <w:b/>
          <w:bCs/>
        </w:rPr>
        <w:t>’</w:t>
      </w:r>
      <w:r>
        <w:rPr>
          <w:b/>
          <w:bCs/>
        </w:rPr>
        <w:t>application</w:t>
      </w:r>
    </w:p>
    <w:p w14:paraId="42FAEEED" w14:textId="39B51168" w:rsidR="00065317" w:rsidRDefault="005C7BF7">
      <w:pPr>
        <w:pStyle w:val="Corpsdetexte"/>
      </w:pPr>
      <w:r>
        <w:t>Cette propriété identifie l</w:t>
      </w:r>
      <w:r w:rsidR="00E84B0E">
        <w:t>’</w:t>
      </w:r>
      <w:r>
        <w:t xml:space="preserve">instance de </w:t>
      </w:r>
      <w:r>
        <w:rPr>
          <w:rStyle w:val="VerbatimChar"/>
        </w:rPr>
        <w:t>E55_Type</w:t>
      </w:r>
      <w:r>
        <w:t>, qui est créée au cours d</w:t>
      </w:r>
      <w:r w:rsidR="00E84B0E">
        <w:t>’</w:t>
      </w:r>
      <w:r>
        <w:t xml:space="preserve">une instance de </w:t>
      </w:r>
      <w:r>
        <w:rPr>
          <w:rStyle w:val="VerbatimChar"/>
        </w:rPr>
        <w:t>E83_Création_de_type</w:t>
      </w:r>
      <w:r>
        <w:t>.</w:t>
      </w:r>
    </w:p>
    <w:p w14:paraId="2FACE3AC" w14:textId="77777777" w:rsidR="00065317" w:rsidRDefault="005C7BF7">
      <w:pPr>
        <w:pStyle w:val="Corpsdetexte"/>
      </w:pPr>
      <w:r>
        <w:rPr>
          <w:b/>
          <w:bCs/>
        </w:rPr>
        <w:t>Exemples</w:t>
      </w:r>
    </w:p>
    <w:p w14:paraId="16A714B4" w14:textId="56404D3D" w:rsidR="00065317" w:rsidRDefault="005C7BF7">
      <w:pPr>
        <w:numPr>
          <w:ilvl w:val="0"/>
          <w:numId w:val="251"/>
        </w:numPr>
      </w:pPr>
      <w:r>
        <w:t>La description d</w:t>
      </w:r>
      <w:r w:rsidR="00E84B0E">
        <w:t>’</w:t>
      </w:r>
      <w:r>
        <w:t>une nouvelle espèce de némertes par Bürger (</w:t>
      </w:r>
      <w:r>
        <w:rPr>
          <w:rStyle w:val="VerbatimChar"/>
        </w:rPr>
        <w:t>E83_Création_de_type</w:t>
      </w:r>
      <w:r>
        <w:t>) a créé le type (</w:t>
      </w:r>
      <w:r>
        <w:rPr>
          <w:rStyle w:val="VerbatimChar"/>
        </w:rPr>
        <w:t>P135_a_créé_le_type</w:t>
      </w:r>
      <w:r>
        <w:t>) « Lineus kennelii » (</w:t>
      </w:r>
      <w:r>
        <w:rPr>
          <w:rStyle w:val="VerbatimChar"/>
        </w:rPr>
        <w:t>E55_Type</w:t>
      </w:r>
      <w:r>
        <w:t>) (Bürger, 1892)</w:t>
      </w:r>
    </w:p>
    <w:p w14:paraId="22D2015A" w14:textId="77777777" w:rsidR="00065317" w:rsidRDefault="005C7BF7">
      <w:pPr>
        <w:pStyle w:val="FirstParagraph"/>
      </w:pPr>
      <w:r>
        <w:rPr>
          <w:b/>
          <w:bCs/>
        </w:rPr>
        <w:t>Logique</w:t>
      </w:r>
    </w:p>
    <w:p w14:paraId="6D8AA9DE" w14:textId="77777777" w:rsidR="00065317" w:rsidRDefault="005C7BF7">
      <w:pPr>
        <w:pStyle w:val="Corpsdetexte"/>
      </w:pPr>
      <w:r>
        <w:t>P135(x,y) ⇒ E83(x)</w:t>
      </w:r>
    </w:p>
    <w:p w14:paraId="7BA3911F" w14:textId="77777777" w:rsidR="00065317" w:rsidRDefault="005C7BF7">
      <w:pPr>
        <w:pStyle w:val="Corpsdetexte"/>
      </w:pPr>
      <w:r>
        <w:t>P135(x,y) ⇒ E55(y)</w:t>
      </w:r>
    </w:p>
    <w:p w14:paraId="4D034C9F" w14:textId="77777777" w:rsidR="00065317" w:rsidRDefault="005C7BF7">
      <w:pPr>
        <w:pStyle w:val="Corpsdetexte"/>
      </w:pPr>
      <w:r>
        <w:t>P135(x,y) ⇒ P94(x,y)</w:t>
      </w:r>
    </w:p>
    <w:p w14:paraId="129F3B11" w14:textId="77777777" w:rsidR="00065317" w:rsidRDefault="005C7BF7">
      <w:pPr>
        <w:pStyle w:val="Corpsdetexte"/>
      </w:pPr>
      <w:r>
        <w:rPr>
          <w:b/>
          <w:bCs/>
        </w:rPr>
        <w:t>Propriétés</w:t>
      </w:r>
    </w:p>
    <w:p w14:paraId="01A9C3B6" w14:textId="77777777" w:rsidR="00065317" w:rsidRDefault="005C7BF7">
      <w:pPr>
        <w:pStyle w:val="Normalcentr"/>
      </w:pPr>
      <w:r>
        <w:rPr>
          <w:b/>
          <w:bCs/>
          <w:i/>
          <w:iCs/>
        </w:rPr>
        <w:t>Note de traduction</w:t>
      </w:r>
    </w:p>
    <w:p w14:paraId="06E33447" w14:textId="56345B18" w:rsidR="00065317" w:rsidRDefault="005C7BF7" w:rsidP="00826CB0">
      <w:pPr>
        <w:pStyle w:val="Normalcentr"/>
      </w:pPr>
      <w:r>
        <w:rPr>
          <w:b/>
          <w:bCs/>
          <w:i/>
          <w:iCs/>
        </w:rPr>
        <w:t>Références</w:t>
      </w:r>
    </w:p>
    <w:p w14:paraId="5559314D" w14:textId="77777777" w:rsidR="00065317" w:rsidRDefault="005C7BF7" w:rsidP="00914F34">
      <w:pPr>
        <w:pStyle w:val="Titre3"/>
      </w:pPr>
      <w:bookmarkStart w:id="490" w:name="_Toc154048930"/>
      <w:bookmarkStart w:id="491" w:name="X2bf6873e345f104a3124fa298d344bbdac7fea7"/>
      <w:bookmarkEnd w:id="489"/>
      <w:r>
        <w:t>P136 a été fondé sur (a fondé la création du type)</w:t>
      </w:r>
      <w:bookmarkEnd w:id="490"/>
    </w:p>
    <w:p w14:paraId="59C548F0" w14:textId="77777777" w:rsidR="00065317" w:rsidRDefault="005C7BF7">
      <w:pPr>
        <w:pStyle w:val="FirstParagraph"/>
      </w:pPr>
      <w:r>
        <w:rPr>
          <w:b/>
          <w:bCs/>
        </w:rPr>
        <w:t>Domaine</w:t>
      </w:r>
    </w:p>
    <w:p w14:paraId="008C0398" w14:textId="77777777" w:rsidR="00065317" w:rsidRDefault="005C7BF7">
      <w:pPr>
        <w:pStyle w:val="Corpsdetexte"/>
      </w:pPr>
      <w:r>
        <w:rPr>
          <w:rStyle w:val="VerbatimChar"/>
        </w:rPr>
        <w:t>E83_Création_de_type</w:t>
      </w:r>
    </w:p>
    <w:p w14:paraId="1672A0FC" w14:textId="77777777" w:rsidR="00065317" w:rsidRDefault="005C7BF7">
      <w:pPr>
        <w:pStyle w:val="Corpsdetexte"/>
      </w:pPr>
      <w:r>
        <w:rPr>
          <w:b/>
          <w:bCs/>
        </w:rPr>
        <w:t>Portée</w:t>
      </w:r>
    </w:p>
    <w:p w14:paraId="469690F4" w14:textId="77777777" w:rsidR="00065317" w:rsidRDefault="005C7BF7">
      <w:pPr>
        <w:pStyle w:val="Corpsdetexte"/>
      </w:pPr>
      <w:r>
        <w:rPr>
          <w:rStyle w:val="VerbatimChar"/>
        </w:rPr>
        <w:t>E1_Entité_CRM</w:t>
      </w:r>
    </w:p>
    <w:p w14:paraId="1943C8D5" w14:textId="77777777" w:rsidR="00065317" w:rsidRDefault="005C7BF7">
      <w:pPr>
        <w:pStyle w:val="Corpsdetexte"/>
      </w:pPr>
      <w:r>
        <w:rPr>
          <w:b/>
          <w:bCs/>
        </w:rPr>
        <w:t>Sous-propriété de</w:t>
      </w:r>
    </w:p>
    <w:p w14:paraId="587C49A0" w14:textId="77777777" w:rsidR="00065317" w:rsidRDefault="005C7BF7">
      <w:pPr>
        <w:pStyle w:val="Corpsdetexte"/>
      </w:pPr>
      <w:r>
        <w:rPr>
          <w:rStyle w:val="VerbatimChar"/>
        </w:rPr>
        <w:t>E7_Activité</w:t>
      </w:r>
      <w:r>
        <w:t xml:space="preserve">. </w:t>
      </w:r>
      <w:r>
        <w:rPr>
          <w:rStyle w:val="VerbatimChar"/>
        </w:rPr>
        <w:t>P15_a_été_influencé_par (a_influencé)</w:t>
      </w:r>
      <w:r>
        <w:t xml:space="preserve"> : </w:t>
      </w:r>
      <w:r>
        <w:rPr>
          <w:rStyle w:val="VerbatimChar"/>
        </w:rPr>
        <w:t>E1_Entité_CRM</w:t>
      </w:r>
    </w:p>
    <w:p w14:paraId="33216C72" w14:textId="77777777" w:rsidR="00065317" w:rsidRDefault="005C7BF7">
      <w:pPr>
        <w:pStyle w:val="Corpsdetexte"/>
      </w:pPr>
      <w:r>
        <w:rPr>
          <w:b/>
          <w:bCs/>
        </w:rPr>
        <w:t>Super-propriété de</w:t>
      </w:r>
    </w:p>
    <w:p w14:paraId="244A2BC8" w14:textId="77777777" w:rsidR="00065317" w:rsidRDefault="005C7BF7">
      <w:pPr>
        <w:pStyle w:val="Corpsdetexte"/>
      </w:pPr>
      <w:r>
        <w:rPr>
          <w:b/>
          <w:bCs/>
        </w:rPr>
        <w:t>Quantification</w:t>
      </w:r>
    </w:p>
    <w:p w14:paraId="4C7E4D61" w14:textId="77777777" w:rsidR="00065317" w:rsidRDefault="005C7BF7">
      <w:pPr>
        <w:pStyle w:val="Corpsdetexte"/>
      </w:pPr>
      <w:r>
        <w:t>plusieurs à plusieurs (0,n:0,n)</w:t>
      </w:r>
    </w:p>
    <w:p w14:paraId="246B6525" w14:textId="5A9206FB" w:rsidR="00065317" w:rsidRDefault="005C7BF7">
      <w:pPr>
        <w:pStyle w:val="Corpsdetexte"/>
      </w:pPr>
      <w:r>
        <w:rPr>
          <w:b/>
          <w:bCs/>
        </w:rPr>
        <w:t>Note d</w:t>
      </w:r>
      <w:r w:rsidR="00E84B0E">
        <w:rPr>
          <w:b/>
          <w:bCs/>
        </w:rPr>
        <w:t>’</w:t>
      </w:r>
      <w:r>
        <w:rPr>
          <w:b/>
          <w:bCs/>
        </w:rPr>
        <w:t>application</w:t>
      </w:r>
    </w:p>
    <w:p w14:paraId="47140D4A" w14:textId="1EA801B9" w:rsidR="00065317" w:rsidRDefault="005C7BF7">
      <w:pPr>
        <w:pStyle w:val="Corpsdetexte"/>
      </w:pPr>
      <w:r>
        <w:t xml:space="preserve">Cette propriété identifie une ou plusieurs instances de </w:t>
      </w:r>
      <w:r>
        <w:rPr>
          <w:rStyle w:val="VerbatimChar"/>
        </w:rPr>
        <w:t>E1_Entité_CRM</w:t>
      </w:r>
      <w:r>
        <w:t xml:space="preserve"> qui ont été utilisées comme preuves pour déclarer une nouvelle instance de </w:t>
      </w:r>
      <w:r>
        <w:rPr>
          <w:rStyle w:val="VerbatimChar"/>
        </w:rPr>
        <w:t>E55_Type</w:t>
      </w:r>
      <w:r>
        <w:t>. L</w:t>
      </w:r>
      <w:r w:rsidR="00E84B0E">
        <w:t>’</w:t>
      </w:r>
      <w:r>
        <w:t>examen de ces entités est souvent le seul moyen objectif de comprendre les caractéristiques précises d</w:t>
      </w:r>
      <w:r w:rsidR="00E84B0E">
        <w:t>’</w:t>
      </w:r>
      <w:r>
        <w:t xml:space="preserve">une nouvelle instance de </w:t>
      </w:r>
      <w:r>
        <w:rPr>
          <w:rStyle w:val="VerbatimChar"/>
        </w:rPr>
        <w:t>E55_Type</w:t>
      </w:r>
      <w:r>
        <w:t xml:space="preserve">. Pour cette raison, de telles entités doivent être déposées dans un musée ou une institution similaire. Le rôle </w:t>
      </w:r>
      <w:r>
        <w:lastRenderedPageBreak/>
        <w:t>taxonomique rend compte de la relation spécifique entre chaque item et son type, par exemple «</w:t>
      </w:r>
      <w:r w:rsidR="006504BB">
        <w:t> </w:t>
      </w:r>
      <w:r>
        <w:t>holotype</w:t>
      </w:r>
      <w:r w:rsidR="006504BB">
        <w:t> </w:t>
      </w:r>
      <w:r>
        <w:t>» ou « élément original ».</w:t>
      </w:r>
    </w:p>
    <w:p w14:paraId="674EA958" w14:textId="77777777" w:rsidR="00065317" w:rsidRDefault="005C7BF7">
      <w:pPr>
        <w:pStyle w:val="Corpsdetexte"/>
      </w:pPr>
      <w:r>
        <w:rPr>
          <w:b/>
          <w:bCs/>
        </w:rPr>
        <w:t>Exemples</w:t>
      </w:r>
    </w:p>
    <w:p w14:paraId="4FC39086" w14:textId="028B1944" w:rsidR="00065317" w:rsidRDefault="005C7BF7">
      <w:pPr>
        <w:numPr>
          <w:ilvl w:val="0"/>
          <w:numId w:val="252"/>
        </w:numPr>
      </w:pPr>
      <w:r>
        <w:t>La création du taxon de l</w:t>
      </w:r>
      <w:r w:rsidR="00E84B0E">
        <w:t>’</w:t>
      </w:r>
      <w:r>
        <w:t>espèce végétale « Serratula glauca » par Linné en 1753 (</w:t>
      </w:r>
      <w:r>
        <w:rPr>
          <w:rStyle w:val="VerbatimChar"/>
        </w:rPr>
        <w:t>E83_Création_de_type</w:t>
      </w:r>
      <w:r>
        <w:t>) a été fondée sur (</w:t>
      </w:r>
      <w:r>
        <w:rPr>
          <w:rStyle w:val="VerbatimChar"/>
        </w:rPr>
        <w:t>P136_a_été_fondé_sur</w:t>
      </w:r>
      <w:r>
        <w:t>) l</w:t>
      </w:r>
      <w:r w:rsidR="00E84B0E">
        <w:t>’</w:t>
      </w:r>
      <w:r>
        <w:t>objet BM000576251 de l</w:t>
      </w:r>
      <w:r w:rsidR="00E84B0E">
        <w:t>’</w:t>
      </w:r>
      <w:r>
        <w:t>herbier Clayton (</w:t>
      </w:r>
      <w:r>
        <w:rPr>
          <w:rStyle w:val="VerbatimChar"/>
        </w:rPr>
        <w:t>E20_Objet_biologique</w:t>
      </w:r>
      <w:r>
        <w:t>) dans le rôle taxonomique (</w:t>
      </w:r>
      <w:r>
        <w:rPr>
          <w:rStyle w:val="VerbatimChar"/>
        </w:rPr>
        <w:t>P136.1_dans_le_rôle_taxonomique_de</w:t>
      </w:r>
      <w:r>
        <w:t>) « élément original » (</w:t>
      </w:r>
      <w:r>
        <w:rPr>
          <w:rStyle w:val="VerbatimChar"/>
        </w:rPr>
        <w:t>E55_Type</w:t>
      </w:r>
      <w:r>
        <w:t>) (Blake, 1918)</w:t>
      </w:r>
    </w:p>
    <w:p w14:paraId="1C8C52AD" w14:textId="77777777" w:rsidR="00065317" w:rsidRDefault="005C7BF7">
      <w:pPr>
        <w:pStyle w:val="FirstParagraph"/>
      </w:pPr>
      <w:r>
        <w:rPr>
          <w:b/>
          <w:bCs/>
        </w:rPr>
        <w:t>Logique</w:t>
      </w:r>
    </w:p>
    <w:p w14:paraId="4E4C8333" w14:textId="77777777" w:rsidR="00065317" w:rsidRDefault="005C7BF7">
      <w:pPr>
        <w:pStyle w:val="Corpsdetexte"/>
      </w:pPr>
      <w:r>
        <w:t>P136(x,y) ⇒ E83(x)</w:t>
      </w:r>
    </w:p>
    <w:p w14:paraId="685218E3" w14:textId="77777777" w:rsidR="00065317" w:rsidRDefault="005C7BF7">
      <w:pPr>
        <w:pStyle w:val="Corpsdetexte"/>
      </w:pPr>
      <w:r>
        <w:t>P136(x,y) ⇒ E1(y)</w:t>
      </w:r>
    </w:p>
    <w:p w14:paraId="3091A2BE" w14:textId="77777777" w:rsidR="00065317" w:rsidRDefault="005C7BF7">
      <w:pPr>
        <w:pStyle w:val="Corpsdetexte"/>
      </w:pPr>
      <w:r>
        <w:t>P136(x,y,z) ⇒ [P136(x,y) ∧ E55(z)]</w:t>
      </w:r>
    </w:p>
    <w:p w14:paraId="5E1D2A8A" w14:textId="77777777" w:rsidR="00065317" w:rsidRDefault="005C7BF7">
      <w:pPr>
        <w:pStyle w:val="Corpsdetexte"/>
      </w:pPr>
      <w:r>
        <w:t>P136(x,y) ⇒ P15(x,y)</w:t>
      </w:r>
    </w:p>
    <w:p w14:paraId="1FF5CFF8" w14:textId="77777777" w:rsidR="00065317" w:rsidRDefault="005C7BF7">
      <w:pPr>
        <w:pStyle w:val="Corpsdetexte"/>
      </w:pPr>
      <w:r>
        <w:rPr>
          <w:b/>
          <w:bCs/>
        </w:rPr>
        <w:t>Propriétés</w:t>
      </w:r>
    </w:p>
    <w:p w14:paraId="34381CC9" w14:textId="77777777" w:rsidR="00065317" w:rsidRDefault="005C7BF7">
      <w:pPr>
        <w:pStyle w:val="Corpsdetexte"/>
      </w:pPr>
      <w:r>
        <w:rPr>
          <w:rStyle w:val="VerbatimChar"/>
        </w:rPr>
        <w:t>P136.1_dans_le_rôle_taxonomique_de</w:t>
      </w:r>
      <w:r>
        <w:t xml:space="preserve"> : </w:t>
      </w:r>
      <w:r>
        <w:rPr>
          <w:rStyle w:val="VerbatimChar"/>
        </w:rPr>
        <w:t>E55_Type</w:t>
      </w:r>
    </w:p>
    <w:p w14:paraId="67B50DA1" w14:textId="77777777" w:rsidR="00065317" w:rsidRDefault="005C7BF7">
      <w:pPr>
        <w:pStyle w:val="Normalcentr"/>
      </w:pPr>
      <w:r>
        <w:rPr>
          <w:b/>
          <w:bCs/>
          <w:i/>
          <w:iCs/>
        </w:rPr>
        <w:t>Note de traduction</w:t>
      </w:r>
    </w:p>
    <w:p w14:paraId="4224AF81" w14:textId="2E56E269" w:rsidR="00065317" w:rsidRDefault="005C7BF7" w:rsidP="00826CB0">
      <w:pPr>
        <w:pStyle w:val="Normalcentr"/>
      </w:pPr>
      <w:r>
        <w:rPr>
          <w:b/>
          <w:bCs/>
          <w:i/>
          <w:iCs/>
        </w:rPr>
        <w:t>Références</w:t>
      </w:r>
    </w:p>
    <w:p w14:paraId="146DB50B" w14:textId="77777777" w:rsidR="00065317" w:rsidRDefault="005C7BF7" w:rsidP="00914F34">
      <w:pPr>
        <w:pStyle w:val="Titre3"/>
      </w:pPr>
      <w:bookmarkStart w:id="492" w:name="_Toc154048931"/>
      <w:bookmarkStart w:id="493" w:name="p137-exemplifie-(est-exemplifie-par)"/>
      <w:bookmarkEnd w:id="491"/>
      <w:r>
        <w:t>P137 exemplifie (est exemplifié par)</w:t>
      </w:r>
      <w:bookmarkEnd w:id="492"/>
    </w:p>
    <w:p w14:paraId="4FC71DEB" w14:textId="77777777" w:rsidR="00065317" w:rsidRDefault="005C7BF7">
      <w:pPr>
        <w:pStyle w:val="FirstParagraph"/>
      </w:pPr>
      <w:r>
        <w:rPr>
          <w:b/>
          <w:bCs/>
        </w:rPr>
        <w:t>Domaine</w:t>
      </w:r>
    </w:p>
    <w:p w14:paraId="24D39FAF" w14:textId="77777777" w:rsidR="00065317" w:rsidRDefault="005C7BF7">
      <w:pPr>
        <w:pStyle w:val="Corpsdetexte"/>
      </w:pPr>
      <w:r>
        <w:rPr>
          <w:rStyle w:val="VerbatimChar"/>
        </w:rPr>
        <w:t>E1_Entité_CRM</w:t>
      </w:r>
    </w:p>
    <w:p w14:paraId="65A1B1D9" w14:textId="77777777" w:rsidR="00065317" w:rsidRDefault="005C7BF7">
      <w:pPr>
        <w:pStyle w:val="Corpsdetexte"/>
      </w:pPr>
      <w:r>
        <w:rPr>
          <w:b/>
          <w:bCs/>
        </w:rPr>
        <w:t>Portée</w:t>
      </w:r>
    </w:p>
    <w:p w14:paraId="0730B14B" w14:textId="77777777" w:rsidR="00065317" w:rsidRDefault="005C7BF7">
      <w:pPr>
        <w:pStyle w:val="Corpsdetexte"/>
      </w:pPr>
      <w:r>
        <w:rPr>
          <w:rStyle w:val="VerbatimChar"/>
        </w:rPr>
        <w:t>E55_Type</w:t>
      </w:r>
    </w:p>
    <w:p w14:paraId="720E4D74" w14:textId="77777777" w:rsidR="00065317" w:rsidRDefault="005C7BF7">
      <w:pPr>
        <w:pStyle w:val="Corpsdetexte"/>
      </w:pPr>
      <w:r>
        <w:rPr>
          <w:b/>
          <w:bCs/>
        </w:rPr>
        <w:t>Sous-propriété de</w:t>
      </w:r>
    </w:p>
    <w:p w14:paraId="29BE58B9" w14:textId="77777777" w:rsidR="00065317" w:rsidRDefault="005C7BF7">
      <w:pPr>
        <w:pStyle w:val="Corpsdetexte"/>
      </w:pPr>
      <w:r>
        <w:rPr>
          <w:rStyle w:val="VerbatimChar"/>
        </w:rPr>
        <w:t>E1_Entité_CRM</w:t>
      </w:r>
      <w:r>
        <w:t xml:space="preserve">. </w:t>
      </w:r>
      <w:r>
        <w:rPr>
          <w:rStyle w:val="VerbatimChar"/>
        </w:rPr>
        <w:t>P2_a_pour_type (est_le_type_de)</w:t>
      </w:r>
      <w:r>
        <w:t xml:space="preserve"> : </w:t>
      </w:r>
      <w:r>
        <w:rPr>
          <w:rStyle w:val="VerbatimChar"/>
        </w:rPr>
        <w:t>E55_Type</w:t>
      </w:r>
    </w:p>
    <w:p w14:paraId="065E752C" w14:textId="77777777" w:rsidR="00065317" w:rsidRDefault="005C7BF7">
      <w:pPr>
        <w:pStyle w:val="Corpsdetexte"/>
      </w:pPr>
      <w:r>
        <w:rPr>
          <w:b/>
          <w:bCs/>
        </w:rPr>
        <w:t>Super-propriété de</w:t>
      </w:r>
    </w:p>
    <w:p w14:paraId="70C1C2CB" w14:textId="77777777" w:rsidR="00065317" w:rsidRDefault="005C7BF7">
      <w:pPr>
        <w:pStyle w:val="Corpsdetexte"/>
      </w:pPr>
      <w:r>
        <w:rPr>
          <w:b/>
          <w:bCs/>
        </w:rPr>
        <w:t>Quantification</w:t>
      </w:r>
    </w:p>
    <w:p w14:paraId="545ACD39" w14:textId="77777777" w:rsidR="00065317" w:rsidRDefault="005C7BF7">
      <w:pPr>
        <w:pStyle w:val="Corpsdetexte"/>
      </w:pPr>
      <w:r>
        <w:t>plusieurs à plusieurs (0,n:0,n)</w:t>
      </w:r>
    </w:p>
    <w:p w14:paraId="3A7FD7B4" w14:textId="2F4CF25F" w:rsidR="00065317" w:rsidRDefault="005C7BF7">
      <w:pPr>
        <w:pStyle w:val="Corpsdetexte"/>
      </w:pPr>
      <w:r>
        <w:rPr>
          <w:b/>
          <w:bCs/>
        </w:rPr>
        <w:t>Note d</w:t>
      </w:r>
      <w:r w:rsidR="00E84B0E">
        <w:rPr>
          <w:b/>
          <w:bCs/>
        </w:rPr>
        <w:t>’</w:t>
      </w:r>
      <w:r>
        <w:rPr>
          <w:b/>
          <w:bCs/>
        </w:rPr>
        <w:t>application</w:t>
      </w:r>
    </w:p>
    <w:p w14:paraId="5582DF9E" w14:textId="77777777" w:rsidR="00065317" w:rsidRDefault="005C7BF7">
      <w:pPr>
        <w:pStyle w:val="Corpsdetexte"/>
      </w:pPr>
      <w:r>
        <w:t xml:space="preserve">Cette propriété associe une instance de </w:t>
      </w:r>
      <w:r>
        <w:rPr>
          <w:rStyle w:val="VerbatimChar"/>
        </w:rPr>
        <w:t>E1_Entité_CRM</w:t>
      </w:r>
      <w:r>
        <w:t xml:space="preserve"> à une instance de </w:t>
      </w:r>
      <w:r>
        <w:rPr>
          <w:rStyle w:val="VerbatimChar"/>
        </w:rPr>
        <w:t>E55_Type</w:t>
      </w:r>
      <w:r>
        <w:t xml:space="preserve"> de laquelle elle a été déclarée comme étant un exemple caractéristique.</w:t>
      </w:r>
    </w:p>
    <w:p w14:paraId="4B89807F" w14:textId="56349A32" w:rsidR="00834C26" w:rsidRDefault="005C7BF7">
      <w:pPr>
        <w:pStyle w:val="Corpsdetexte"/>
        <w:rPr>
          <w:b/>
          <w:bCs/>
        </w:rPr>
      </w:pPr>
      <w:r>
        <w:t xml:space="preserve">La propriété </w:t>
      </w:r>
      <w:r>
        <w:rPr>
          <w:rStyle w:val="VerbatimChar"/>
        </w:rPr>
        <w:t>P137.1_dans_le_rôle_taxonomique_de</w:t>
      </w:r>
      <w:r>
        <w:t xml:space="preserve"> de </w:t>
      </w:r>
      <w:r>
        <w:rPr>
          <w:rStyle w:val="VerbatimChar"/>
        </w:rPr>
        <w:t>P137_exemplifie (est_exemplifié_par)</w:t>
      </w:r>
      <w:r>
        <w:t xml:space="preserve"> permet la distinction des rôles taxonomiques. Ces derniers présentent la relation spécifique entre l</w:t>
      </w:r>
      <w:r w:rsidR="00E84B0E">
        <w:t>’</w:t>
      </w:r>
      <w:r>
        <w:t>exemplaire et le type, par exemple « prototypique », « archétypique », « lectotype », etc. Le rôle taxonomique « lectotype » n</w:t>
      </w:r>
      <w:r w:rsidR="00E84B0E">
        <w:t>’</w:t>
      </w:r>
      <w:r>
        <w:t>est pas associé à l</w:t>
      </w:r>
      <w:r w:rsidR="00E84B0E">
        <w:t>’</w:t>
      </w:r>
      <w:r>
        <w:t xml:space="preserve">instance de </w:t>
      </w:r>
      <w:r>
        <w:rPr>
          <w:rStyle w:val="VerbatimChar"/>
        </w:rPr>
        <w:t>E83_Création_de_type</w:t>
      </w:r>
      <w:r>
        <w:t xml:space="preserve"> elle-même, mais sélectionné ultérieurement.</w:t>
      </w:r>
    </w:p>
    <w:p w14:paraId="0B5E8666" w14:textId="77777777" w:rsidR="00DE6C24" w:rsidRDefault="00DE6C24">
      <w:pPr>
        <w:spacing w:after="0"/>
        <w:rPr>
          <w:b/>
          <w:bCs/>
        </w:rPr>
      </w:pPr>
      <w:r>
        <w:rPr>
          <w:b/>
          <w:bCs/>
        </w:rPr>
        <w:br w:type="page"/>
      </w:r>
    </w:p>
    <w:p w14:paraId="08E57F86" w14:textId="3B6E23C1" w:rsidR="00065317" w:rsidRDefault="005C7BF7">
      <w:pPr>
        <w:pStyle w:val="Corpsdetexte"/>
      </w:pPr>
      <w:r>
        <w:rPr>
          <w:b/>
          <w:bCs/>
        </w:rPr>
        <w:lastRenderedPageBreak/>
        <w:t>Exemples</w:t>
      </w:r>
    </w:p>
    <w:p w14:paraId="6759E336" w14:textId="18C59E8F" w:rsidR="00065317" w:rsidRDefault="005C7BF7">
      <w:pPr>
        <w:numPr>
          <w:ilvl w:val="0"/>
          <w:numId w:val="253"/>
        </w:numPr>
      </w:pPr>
      <w:r>
        <w:t>L</w:t>
      </w:r>
      <w:r w:rsidR="00E84B0E">
        <w:t>’</w:t>
      </w:r>
      <w:r>
        <w:t>objet BM000098044 de l</w:t>
      </w:r>
      <w:r w:rsidR="00E84B0E">
        <w:t>’</w:t>
      </w:r>
      <w:r>
        <w:t>Herbier Clayton (</w:t>
      </w:r>
      <w:r>
        <w:rPr>
          <w:rStyle w:val="VerbatimChar"/>
        </w:rPr>
        <w:t>E20_Objet_biologique</w:t>
      </w:r>
      <w:r>
        <w:t>) exemplifie (</w:t>
      </w:r>
      <w:r>
        <w:rPr>
          <w:rStyle w:val="VerbatimChar"/>
        </w:rPr>
        <w:t>P137_exemplifie</w:t>
      </w:r>
      <w:r>
        <w:t>) Spigelia marilandica (L.) L. (</w:t>
      </w:r>
      <w:r>
        <w:rPr>
          <w:rStyle w:val="VerbatimChar"/>
        </w:rPr>
        <w:t>E55_Type</w:t>
      </w:r>
      <w:r>
        <w:t xml:space="preserve">) </w:t>
      </w:r>
      <w:r>
        <w:rPr>
          <w:i/>
          <w:iCs/>
        </w:rPr>
        <w:t>dans le rôle taxonomique</w:t>
      </w:r>
      <w:r>
        <w:t xml:space="preserve"> (</w:t>
      </w:r>
      <w:r>
        <w:rPr>
          <w:rStyle w:val="VerbatimChar"/>
        </w:rPr>
        <w:t>P137.1_dans_le_rôle_taxonomique_de</w:t>
      </w:r>
      <w:r>
        <w:t>) « lectotype » (Natural History Museum, 2021)</w:t>
      </w:r>
    </w:p>
    <w:p w14:paraId="7E6E7CE8" w14:textId="77777777" w:rsidR="00065317" w:rsidRDefault="005C7BF7">
      <w:pPr>
        <w:pStyle w:val="FirstParagraph"/>
      </w:pPr>
      <w:r>
        <w:rPr>
          <w:b/>
          <w:bCs/>
        </w:rPr>
        <w:t>Logique</w:t>
      </w:r>
    </w:p>
    <w:p w14:paraId="6FBADEDE" w14:textId="77777777" w:rsidR="00065317" w:rsidRDefault="005C7BF7">
      <w:pPr>
        <w:pStyle w:val="Corpsdetexte"/>
      </w:pPr>
      <w:r>
        <w:t>P137(x,y) ⇒ E1(x)</w:t>
      </w:r>
    </w:p>
    <w:p w14:paraId="6F04DDF6" w14:textId="77777777" w:rsidR="00065317" w:rsidRDefault="005C7BF7">
      <w:pPr>
        <w:pStyle w:val="Corpsdetexte"/>
      </w:pPr>
      <w:r>
        <w:t>P137(x,y) ⇒ E55(y)</w:t>
      </w:r>
    </w:p>
    <w:p w14:paraId="28C41530" w14:textId="77777777" w:rsidR="00065317" w:rsidRDefault="005C7BF7">
      <w:pPr>
        <w:pStyle w:val="Corpsdetexte"/>
      </w:pPr>
      <w:r>
        <w:t>P137(x,y,z) ⇒ [P137(x,y) ∧ E55(z)]</w:t>
      </w:r>
    </w:p>
    <w:p w14:paraId="056D9ECB" w14:textId="77777777" w:rsidR="00065317" w:rsidRDefault="005C7BF7">
      <w:pPr>
        <w:pStyle w:val="Corpsdetexte"/>
      </w:pPr>
      <w:r>
        <w:t>P137(x,y) ⇒ P2(x,y)</w:t>
      </w:r>
    </w:p>
    <w:p w14:paraId="597188BE" w14:textId="77777777" w:rsidR="00065317" w:rsidRDefault="005C7BF7">
      <w:pPr>
        <w:pStyle w:val="Corpsdetexte"/>
      </w:pPr>
      <w:r>
        <w:rPr>
          <w:b/>
          <w:bCs/>
        </w:rPr>
        <w:t>Propriétés</w:t>
      </w:r>
    </w:p>
    <w:p w14:paraId="7397C74C" w14:textId="77777777" w:rsidR="00065317" w:rsidRDefault="005C7BF7">
      <w:pPr>
        <w:pStyle w:val="Corpsdetexte"/>
      </w:pPr>
      <w:r>
        <w:rPr>
          <w:rStyle w:val="VerbatimChar"/>
        </w:rPr>
        <w:t>P137.1_dans_le_rôle_taxonomique_de</w:t>
      </w:r>
      <w:r>
        <w:t xml:space="preserve"> : </w:t>
      </w:r>
      <w:r>
        <w:rPr>
          <w:rStyle w:val="VerbatimChar"/>
        </w:rPr>
        <w:t>E55_Type</w:t>
      </w:r>
    </w:p>
    <w:p w14:paraId="20C5AC7E" w14:textId="77777777" w:rsidR="00065317" w:rsidRDefault="005C7BF7">
      <w:pPr>
        <w:pStyle w:val="Normalcentr"/>
      </w:pPr>
      <w:r>
        <w:rPr>
          <w:b/>
          <w:bCs/>
          <w:i/>
          <w:iCs/>
        </w:rPr>
        <w:t>Note de traduction</w:t>
      </w:r>
    </w:p>
    <w:p w14:paraId="25C38B94" w14:textId="3B0C46EF" w:rsidR="00065317" w:rsidRDefault="005C7BF7" w:rsidP="00826CB0">
      <w:pPr>
        <w:pStyle w:val="Normalcentr"/>
      </w:pPr>
      <w:r>
        <w:rPr>
          <w:b/>
          <w:bCs/>
          <w:i/>
          <w:iCs/>
        </w:rPr>
        <w:t>Références</w:t>
      </w:r>
    </w:p>
    <w:p w14:paraId="59CE6F60" w14:textId="77777777" w:rsidR="00065317" w:rsidRDefault="005C7BF7" w:rsidP="00914F34">
      <w:pPr>
        <w:pStyle w:val="Titre3"/>
      </w:pPr>
      <w:bookmarkStart w:id="494" w:name="_Toc154048932"/>
      <w:bookmarkStart w:id="495" w:name="p138-represente-(est-represente-par)"/>
      <w:bookmarkEnd w:id="493"/>
      <w:r>
        <w:t>P138 représente (est représenté par)</w:t>
      </w:r>
      <w:bookmarkEnd w:id="494"/>
    </w:p>
    <w:p w14:paraId="5F93A212" w14:textId="77777777" w:rsidR="00065317" w:rsidRDefault="005C7BF7">
      <w:pPr>
        <w:pStyle w:val="FirstParagraph"/>
      </w:pPr>
      <w:r>
        <w:rPr>
          <w:b/>
          <w:bCs/>
        </w:rPr>
        <w:t>Domaine</w:t>
      </w:r>
    </w:p>
    <w:p w14:paraId="3DBD7178" w14:textId="77777777" w:rsidR="00065317" w:rsidRDefault="005C7BF7">
      <w:pPr>
        <w:pStyle w:val="Corpsdetexte"/>
      </w:pPr>
      <w:r>
        <w:rPr>
          <w:rStyle w:val="VerbatimChar"/>
        </w:rPr>
        <w:t>E36_Entité_visuelle</w:t>
      </w:r>
    </w:p>
    <w:p w14:paraId="27B6D5C6" w14:textId="77777777" w:rsidR="00065317" w:rsidRDefault="005C7BF7">
      <w:pPr>
        <w:pStyle w:val="Corpsdetexte"/>
      </w:pPr>
      <w:r>
        <w:rPr>
          <w:b/>
          <w:bCs/>
        </w:rPr>
        <w:t>Portée</w:t>
      </w:r>
    </w:p>
    <w:p w14:paraId="2C33C3DB" w14:textId="77777777" w:rsidR="00065317" w:rsidRDefault="005C7BF7">
      <w:pPr>
        <w:pStyle w:val="Corpsdetexte"/>
      </w:pPr>
      <w:r>
        <w:rPr>
          <w:rStyle w:val="VerbatimChar"/>
        </w:rPr>
        <w:t>E1_Entité_CRM</w:t>
      </w:r>
    </w:p>
    <w:p w14:paraId="58ED6181" w14:textId="77777777" w:rsidR="00065317" w:rsidRDefault="005C7BF7">
      <w:pPr>
        <w:pStyle w:val="Corpsdetexte"/>
      </w:pPr>
      <w:r>
        <w:rPr>
          <w:b/>
          <w:bCs/>
        </w:rPr>
        <w:t>Sous-propriété de</w:t>
      </w:r>
    </w:p>
    <w:p w14:paraId="25C26D81" w14:textId="45B0A19D" w:rsidR="00065317" w:rsidRDefault="005C7BF7">
      <w:pPr>
        <w:pStyle w:val="Corpsdetexte"/>
      </w:pPr>
      <w:r>
        <w:rPr>
          <w:rStyle w:val="VerbatimChar"/>
        </w:rPr>
        <w:t>E89_Objet_propositionnel</w:t>
      </w:r>
      <w:r>
        <w:t xml:space="preserve">. </w:t>
      </w:r>
      <w:r>
        <w:rPr>
          <w:rStyle w:val="VerbatimChar"/>
        </w:rPr>
        <w:t>P67_renvoie_à (fait_l</w:t>
      </w:r>
      <w:r w:rsidR="00E84B0E">
        <w:rPr>
          <w:rStyle w:val="VerbatimChar"/>
        </w:rPr>
        <w:t>’</w:t>
      </w:r>
      <w:r>
        <w:rPr>
          <w:rStyle w:val="VerbatimChar"/>
        </w:rPr>
        <w:t>objet_d</w:t>
      </w:r>
      <w:r w:rsidR="00E84B0E">
        <w:rPr>
          <w:rStyle w:val="VerbatimChar"/>
        </w:rPr>
        <w:t>’</w:t>
      </w:r>
      <w:r>
        <w:rPr>
          <w:rStyle w:val="VerbatimChar"/>
        </w:rPr>
        <w:t>un_renvoi_par)</w:t>
      </w:r>
      <w:r>
        <w:t xml:space="preserve"> : </w:t>
      </w:r>
      <w:r>
        <w:rPr>
          <w:rStyle w:val="VerbatimChar"/>
        </w:rPr>
        <w:t>E1_Entité_CRM</w:t>
      </w:r>
    </w:p>
    <w:p w14:paraId="2EEFA6F6" w14:textId="77777777" w:rsidR="00065317" w:rsidRDefault="005C7BF7">
      <w:pPr>
        <w:pStyle w:val="Corpsdetexte"/>
      </w:pPr>
      <w:r>
        <w:rPr>
          <w:b/>
          <w:bCs/>
        </w:rPr>
        <w:t>Super-propriété de</w:t>
      </w:r>
    </w:p>
    <w:p w14:paraId="3AE4EE94" w14:textId="77777777" w:rsidR="00065317" w:rsidRDefault="005C7BF7">
      <w:pPr>
        <w:pStyle w:val="Corpsdetexte"/>
      </w:pPr>
      <w:r>
        <w:rPr>
          <w:b/>
          <w:bCs/>
        </w:rPr>
        <w:t>Quantification</w:t>
      </w:r>
    </w:p>
    <w:p w14:paraId="7BA17AFB" w14:textId="77777777" w:rsidR="00065317" w:rsidRDefault="005C7BF7">
      <w:pPr>
        <w:pStyle w:val="Corpsdetexte"/>
      </w:pPr>
      <w:r>
        <w:t>plusieurs à plusieurs (0,n:0,n)</w:t>
      </w:r>
    </w:p>
    <w:p w14:paraId="7CF7D981" w14:textId="1B6A2976" w:rsidR="00065317" w:rsidRDefault="005C7BF7">
      <w:pPr>
        <w:pStyle w:val="Corpsdetexte"/>
      </w:pPr>
      <w:r>
        <w:rPr>
          <w:b/>
          <w:bCs/>
        </w:rPr>
        <w:t>Note d</w:t>
      </w:r>
      <w:r w:rsidR="00E84B0E">
        <w:rPr>
          <w:b/>
          <w:bCs/>
        </w:rPr>
        <w:t>’</w:t>
      </w:r>
      <w:r>
        <w:rPr>
          <w:b/>
          <w:bCs/>
        </w:rPr>
        <w:t>application</w:t>
      </w:r>
    </w:p>
    <w:p w14:paraId="4B602079" w14:textId="7A22D507" w:rsidR="00065317" w:rsidRDefault="005C7BF7">
      <w:pPr>
        <w:pStyle w:val="Corpsdetexte"/>
      </w:pPr>
      <w:r>
        <w:t xml:space="preserve">Cette propriété établit la relation entre une instance de </w:t>
      </w:r>
      <w:r>
        <w:rPr>
          <w:rStyle w:val="VerbatimChar"/>
        </w:rPr>
        <w:t>E36_Entité_visuelle</w:t>
      </w:r>
      <w:r>
        <w:t xml:space="preserve"> et une instance de </w:t>
      </w:r>
      <w:r>
        <w:rPr>
          <w:rStyle w:val="VerbatimChar"/>
        </w:rPr>
        <w:t>E1_Entité_CRM</w:t>
      </w:r>
      <w:r>
        <w:t xml:space="preserve"> qu</w:t>
      </w:r>
      <w:r w:rsidR="00E84B0E">
        <w:t>’</w:t>
      </w:r>
      <w:r>
        <w:t>elle représente visuellement.</w:t>
      </w:r>
    </w:p>
    <w:p w14:paraId="41CAB07A" w14:textId="1BDF7F19" w:rsidR="00065317" w:rsidRDefault="005C7BF7">
      <w:pPr>
        <w:pStyle w:val="Corpsdetexte"/>
      </w:pPr>
      <w:r>
        <w:t xml:space="preserve">Toute entité peut être représentée visuellement. Cette propriété fait partie du chemin sémantique complètement développé </w:t>
      </w:r>
      <w:r>
        <w:rPr>
          <w:rStyle w:val="VerbatimChar"/>
        </w:rPr>
        <w:t>E24_Chose_matérielle_élaborée_par_l</w:t>
      </w:r>
      <w:r w:rsidR="00E84B0E">
        <w:rPr>
          <w:rStyle w:val="VerbatimChar"/>
        </w:rPr>
        <w:t>’</w:t>
      </w:r>
      <w:r>
        <w:rPr>
          <w:rStyle w:val="VerbatimChar"/>
        </w:rPr>
        <w:t>humain</w:t>
      </w:r>
      <w:r>
        <w:t xml:space="preserve">, </w:t>
      </w:r>
      <w:r>
        <w:rPr>
          <w:rStyle w:val="VerbatimChar"/>
        </w:rPr>
        <w:t>P65_représente_l</w:t>
      </w:r>
      <w:r w:rsidR="00E84B0E">
        <w:rPr>
          <w:rStyle w:val="VerbatimChar"/>
        </w:rPr>
        <w:t>’</w:t>
      </w:r>
      <w:r>
        <w:rPr>
          <w:rStyle w:val="VerbatimChar"/>
        </w:rPr>
        <w:t>entité_visuelle (est_représenté_par)</w:t>
      </w:r>
      <w:r>
        <w:t xml:space="preserve">, </w:t>
      </w:r>
      <w:r>
        <w:rPr>
          <w:rStyle w:val="VerbatimChar"/>
        </w:rPr>
        <w:t>E36_Entité_visuelle</w:t>
      </w:r>
      <w:r>
        <w:t xml:space="preserve">, </w:t>
      </w:r>
      <w:r>
        <w:rPr>
          <w:rStyle w:val="VerbatimChar"/>
        </w:rPr>
        <w:t>P138_représente (est_représenté_par)</w:t>
      </w:r>
      <w:r>
        <w:t xml:space="preserve">, </w:t>
      </w:r>
      <w:r>
        <w:rPr>
          <w:rStyle w:val="VerbatimChar"/>
        </w:rPr>
        <w:t>E1_Entité_CRM</w:t>
      </w:r>
      <w:r>
        <w:t>, qui peut être raccourci par l</w:t>
      </w:r>
      <w:r w:rsidR="00E84B0E">
        <w:t>’</w:t>
      </w:r>
      <w:r>
        <w:t xml:space="preserve">utilisation de </w:t>
      </w:r>
      <w:r>
        <w:rPr>
          <w:rStyle w:val="VerbatimChar"/>
        </w:rPr>
        <w:t>P62_illustre (est_illustré_par)</w:t>
      </w:r>
      <w:r>
        <w:t>. L</w:t>
      </w:r>
      <w:r w:rsidR="00E84B0E">
        <w:t>’</w:t>
      </w:r>
      <w:r>
        <w:t xml:space="preserve">utilisation de la propriété </w:t>
      </w:r>
      <w:r>
        <w:rPr>
          <w:rStyle w:val="VerbatimChar"/>
        </w:rPr>
        <w:t>P138.1_mode_de_représentation</w:t>
      </w:r>
      <w:r>
        <w:t xml:space="preserve"> permet de préciser la nature de la représentation.</w:t>
      </w:r>
    </w:p>
    <w:p w14:paraId="17E10F17" w14:textId="4199CA93" w:rsidR="00065317" w:rsidRDefault="005C7BF7">
      <w:pPr>
        <w:pStyle w:val="Corpsdetexte"/>
      </w:pPr>
      <w:r>
        <w:t>Cette propriété est aussi utilisée pour identifier la relation entre un original et une numérisation de celui-ci par l</w:t>
      </w:r>
      <w:r w:rsidR="00E84B0E">
        <w:t>’</w:t>
      </w:r>
      <w:r>
        <w:t xml:space="preserve">utilisation de techniques telles que la photographie numérique, la numérisation par balayage à plat ou par infrarouge. La numérisation est ici considérée comme un processus avec une composante </w:t>
      </w:r>
      <w:r>
        <w:lastRenderedPageBreak/>
        <w:t>mécanique et causale rendant la distribution spatiale des propriétés structurelles et optiques de l</w:t>
      </w:r>
      <w:r w:rsidR="00E84B0E">
        <w:t>’</w:t>
      </w:r>
      <w:r>
        <w:t>original et n</w:t>
      </w:r>
      <w:r w:rsidR="00E84B0E">
        <w:t>’</w:t>
      </w:r>
      <w:r>
        <w:t>inclut pas nécessairement une similitude identifiable par l</w:t>
      </w:r>
      <w:r w:rsidR="00E84B0E">
        <w:t>’</w:t>
      </w:r>
      <w:r>
        <w:t>observation humaine.</w:t>
      </w:r>
    </w:p>
    <w:p w14:paraId="300CA5DF" w14:textId="77777777" w:rsidR="00065317" w:rsidRDefault="005C7BF7">
      <w:pPr>
        <w:pStyle w:val="Corpsdetexte"/>
      </w:pPr>
      <w:r>
        <w:rPr>
          <w:b/>
          <w:bCs/>
        </w:rPr>
        <w:t>Exemples</w:t>
      </w:r>
    </w:p>
    <w:p w14:paraId="70441E8C" w14:textId="412CE35D" w:rsidR="00065317" w:rsidRDefault="005C7BF7">
      <w:pPr>
        <w:numPr>
          <w:ilvl w:val="0"/>
          <w:numId w:val="254"/>
        </w:numPr>
      </w:pPr>
      <w:r>
        <w:t>Le fichier numérique consultable à l</w:t>
      </w:r>
      <w:r w:rsidR="00E84B0E">
        <w:t>’</w:t>
      </w:r>
      <w:r>
        <w:t xml:space="preserve">adresse </w:t>
      </w:r>
      <w:hyperlink r:id="rId255">
        <w:r>
          <w:rPr>
            <w:rStyle w:val="Lienhypertexte"/>
          </w:rPr>
          <w:t>http://www.emunch.no/N/full/No-MM_N0001-01.jpg</w:t>
        </w:r>
      </w:hyperlink>
      <w:r>
        <w:t xml:space="preserve"> (</w:t>
      </w:r>
      <w:r>
        <w:rPr>
          <w:rStyle w:val="VerbatimChar"/>
        </w:rPr>
        <w:t>E36_Entité_visuelle</w:t>
      </w:r>
      <w:r>
        <w:t>) représente (</w:t>
      </w:r>
      <w:r>
        <w:rPr>
          <w:rStyle w:val="VerbatimChar"/>
        </w:rPr>
        <w:t>P138_représente</w:t>
      </w:r>
      <w:r>
        <w:t>) la première page du manuscrit MM N 1, Munchmuseet d</w:t>
      </w:r>
      <w:r w:rsidR="00E84B0E">
        <w:t>’</w:t>
      </w:r>
      <w:r>
        <w:t>Edvard Munch (</w:t>
      </w:r>
      <w:r>
        <w:rPr>
          <w:rStyle w:val="VerbatimChar"/>
        </w:rPr>
        <w:t>E22_Objet_élaboré_par_l</w:t>
      </w:r>
      <w:r w:rsidR="00E84B0E">
        <w:rPr>
          <w:rStyle w:val="VerbatimChar"/>
        </w:rPr>
        <w:t>’</w:t>
      </w:r>
      <w:r>
        <w:rPr>
          <w:rStyle w:val="VerbatimChar"/>
        </w:rPr>
        <w:t>humain</w:t>
      </w:r>
      <w:r>
        <w:t>) et a pour mode de représentation (</w:t>
      </w:r>
      <w:r>
        <w:rPr>
          <w:rStyle w:val="VerbatimChar"/>
        </w:rPr>
        <w:t>P138.1_mode_de_représentation</w:t>
      </w:r>
      <w:r>
        <w:t>) « numérisation » (</w:t>
      </w:r>
      <w:r>
        <w:rPr>
          <w:rStyle w:val="VerbatimChar"/>
        </w:rPr>
        <w:t>E55_Type</w:t>
      </w:r>
      <w:r>
        <w:t>)</w:t>
      </w:r>
    </w:p>
    <w:p w14:paraId="0054C617" w14:textId="183AE671" w:rsidR="00065317" w:rsidRDefault="005C7BF7">
      <w:pPr>
        <w:numPr>
          <w:ilvl w:val="0"/>
          <w:numId w:val="254"/>
        </w:numPr>
      </w:pPr>
      <w:r>
        <w:t>Le modèle 3D VAM_A.200-1946_trace_1M.ply (</w:t>
      </w:r>
      <w:r>
        <w:rPr>
          <w:rStyle w:val="VerbatimChar"/>
        </w:rPr>
        <w:t>E73_Objet_informationnel</w:t>
      </w:r>
      <w:r>
        <w:t>) représente (</w:t>
      </w:r>
      <w:r>
        <w:rPr>
          <w:rStyle w:val="VerbatimChar"/>
        </w:rPr>
        <w:t>P138_représente</w:t>
      </w:r>
      <w:r>
        <w:t xml:space="preserve">) la sculpture </w:t>
      </w:r>
      <w:r>
        <w:rPr>
          <w:i/>
          <w:iCs/>
        </w:rPr>
        <w:t>Virgin and Child</w:t>
      </w:r>
      <w:r>
        <w:t xml:space="preserve"> A.200-1946 (</w:t>
      </w:r>
      <w:r>
        <w:rPr>
          <w:rStyle w:val="VerbatimChar"/>
        </w:rPr>
        <w:t>E22_Objet_élaboré_par_l</w:t>
      </w:r>
      <w:r w:rsidR="00E84B0E">
        <w:rPr>
          <w:rStyle w:val="VerbatimChar"/>
        </w:rPr>
        <w:t>’</w:t>
      </w:r>
      <w:r>
        <w:rPr>
          <w:rStyle w:val="VerbatimChar"/>
        </w:rPr>
        <w:t>humain</w:t>
      </w:r>
      <w:r>
        <w:t>) du Victoria &amp; Albert Museum et a pour mode de représentation (</w:t>
      </w:r>
      <w:r>
        <w:rPr>
          <w:rStyle w:val="VerbatimChar"/>
        </w:rPr>
        <w:t>P138.1_mode_de_représentation</w:t>
      </w:r>
      <w:r>
        <w:t>) « surface 3D » (</w:t>
      </w:r>
      <w:r>
        <w:rPr>
          <w:rStyle w:val="VerbatimChar"/>
        </w:rPr>
        <w:t>E55_Type</w:t>
      </w:r>
      <w:r>
        <w:t>)</w:t>
      </w:r>
    </w:p>
    <w:p w14:paraId="4F40231E" w14:textId="77777777" w:rsidR="00065317" w:rsidRDefault="005C7BF7">
      <w:pPr>
        <w:pStyle w:val="FirstParagraph"/>
      </w:pPr>
      <w:r>
        <w:rPr>
          <w:b/>
          <w:bCs/>
        </w:rPr>
        <w:t>Logique</w:t>
      </w:r>
    </w:p>
    <w:p w14:paraId="6A9009AB" w14:textId="77777777" w:rsidR="00065317" w:rsidRDefault="005C7BF7">
      <w:pPr>
        <w:pStyle w:val="Corpsdetexte"/>
      </w:pPr>
      <w:r>
        <w:t>P138(x,y) ⇒ E36(x)</w:t>
      </w:r>
    </w:p>
    <w:p w14:paraId="32CFD032" w14:textId="77777777" w:rsidR="00065317" w:rsidRDefault="005C7BF7">
      <w:pPr>
        <w:pStyle w:val="Corpsdetexte"/>
      </w:pPr>
      <w:r>
        <w:t>P138(x,y) ⇒ E1(y)</w:t>
      </w:r>
    </w:p>
    <w:p w14:paraId="6972D74B" w14:textId="77777777" w:rsidR="00065317" w:rsidRDefault="005C7BF7">
      <w:pPr>
        <w:pStyle w:val="Corpsdetexte"/>
      </w:pPr>
      <w:r>
        <w:t>P138(x,y,z) ⇒ [P138(x,y) ∧ E55(z)]</w:t>
      </w:r>
    </w:p>
    <w:p w14:paraId="75BA3CDF" w14:textId="77777777" w:rsidR="00065317" w:rsidRDefault="005C7BF7">
      <w:pPr>
        <w:pStyle w:val="Corpsdetexte"/>
      </w:pPr>
      <w:r>
        <w:t>P138(x,y) ⇒ P67(x,y)</w:t>
      </w:r>
    </w:p>
    <w:p w14:paraId="04BE350C" w14:textId="77777777" w:rsidR="00065317" w:rsidRDefault="005C7BF7">
      <w:pPr>
        <w:pStyle w:val="Corpsdetexte"/>
      </w:pPr>
      <w:r>
        <w:rPr>
          <w:b/>
          <w:bCs/>
        </w:rPr>
        <w:t>Propriétés</w:t>
      </w:r>
    </w:p>
    <w:p w14:paraId="1005AE8E" w14:textId="77777777" w:rsidR="00065317" w:rsidRDefault="005C7BF7">
      <w:pPr>
        <w:pStyle w:val="Corpsdetexte"/>
      </w:pPr>
      <w:r>
        <w:rPr>
          <w:rStyle w:val="VerbatimChar"/>
        </w:rPr>
        <w:t>P138.1_mode_de_représentation</w:t>
      </w:r>
      <w:r>
        <w:t xml:space="preserve"> : </w:t>
      </w:r>
      <w:r>
        <w:rPr>
          <w:rStyle w:val="VerbatimChar"/>
        </w:rPr>
        <w:t>E55_Type</w:t>
      </w:r>
    </w:p>
    <w:p w14:paraId="450642F8" w14:textId="77777777" w:rsidR="00065317" w:rsidRDefault="005C7BF7">
      <w:pPr>
        <w:pStyle w:val="Normalcentr"/>
      </w:pPr>
      <w:r>
        <w:rPr>
          <w:b/>
          <w:bCs/>
          <w:i/>
          <w:iCs/>
        </w:rPr>
        <w:t>Note de traduction</w:t>
      </w:r>
    </w:p>
    <w:p w14:paraId="7896BE4D" w14:textId="6109FF56" w:rsidR="00065317" w:rsidRDefault="005C7BF7" w:rsidP="00C2235A">
      <w:pPr>
        <w:pStyle w:val="Normalcentr"/>
      </w:pPr>
      <w:r>
        <w:rPr>
          <w:b/>
          <w:bCs/>
          <w:i/>
          <w:iCs/>
        </w:rPr>
        <w:t>Références</w:t>
      </w:r>
    </w:p>
    <w:p w14:paraId="4A0F9160" w14:textId="77777777" w:rsidR="00065317" w:rsidRDefault="005C7BF7" w:rsidP="00914F34">
      <w:pPr>
        <w:pStyle w:val="Titre3"/>
      </w:pPr>
      <w:bookmarkStart w:id="496" w:name="_Toc154048933"/>
      <w:bookmarkStart w:id="497" w:name="X9020be7370a60ac1cf3011dd62c863c69bb3a99"/>
      <w:bookmarkEnd w:id="495"/>
      <w:r>
        <w:t>P139 a pour forme alternative (est la forme alternative de)</w:t>
      </w:r>
      <w:bookmarkEnd w:id="496"/>
    </w:p>
    <w:p w14:paraId="5248DE06" w14:textId="77777777" w:rsidR="00065317" w:rsidRDefault="005C7BF7">
      <w:pPr>
        <w:pStyle w:val="FirstParagraph"/>
      </w:pPr>
      <w:r>
        <w:rPr>
          <w:b/>
          <w:bCs/>
        </w:rPr>
        <w:t>Domaine</w:t>
      </w:r>
    </w:p>
    <w:p w14:paraId="507A7754" w14:textId="77777777" w:rsidR="00065317" w:rsidRDefault="005C7BF7">
      <w:pPr>
        <w:pStyle w:val="Corpsdetexte"/>
      </w:pPr>
      <w:r>
        <w:rPr>
          <w:rStyle w:val="VerbatimChar"/>
        </w:rPr>
        <w:t>E41_Appellation</w:t>
      </w:r>
    </w:p>
    <w:p w14:paraId="0540A19E" w14:textId="77777777" w:rsidR="00065317" w:rsidRDefault="005C7BF7">
      <w:pPr>
        <w:pStyle w:val="Corpsdetexte"/>
      </w:pPr>
      <w:r>
        <w:rPr>
          <w:b/>
          <w:bCs/>
        </w:rPr>
        <w:t>Portée</w:t>
      </w:r>
    </w:p>
    <w:p w14:paraId="1B84E48C" w14:textId="77777777" w:rsidR="00065317" w:rsidRDefault="005C7BF7">
      <w:pPr>
        <w:pStyle w:val="Corpsdetexte"/>
      </w:pPr>
      <w:r>
        <w:rPr>
          <w:rStyle w:val="VerbatimChar"/>
        </w:rPr>
        <w:t>E41_Appellation</w:t>
      </w:r>
    </w:p>
    <w:p w14:paraId="54408089" w14:textId="77777777" w:rsidR="00065317" w:rsidRDefault="005C7BF7">
      <w:pPr>
        <w:pStyle w:val="Corpsdetexte"/>
      </w:pPr>
      <w:r>
        <w:rPr>
          <w:b/>
          <w:bCs/>
        </w:rPr>
        <w:t>Sous-propriété de</w:t>
      </w:r>
    </w:p>
    <w:p w14:paraId="498FF205" w14:textId="77777777" w:rsidR="00065317" w:rsidRDefault="005C7BF7">
      <w:pPr>
        <w:pStyle w:val="Corpsdetexte"/>
      </w:pPr>
      <w:r>
        <w:rPr>
          <w:b/>
          <w:bCs/>
        </w:rPr>
        <w:t>Super-propriété de</w:t>
      </w:r>
    </w:p>
    <w:p w14:paraId="32447306" w14:textId="77777777" w:rsidR="00065317" w:rsidRDefault="005C7BF7">
      <w:pPr>
        <w:pStyle w:val="Corpsdetexte"/>
      </w:pPr>
      <w:r>
        <w:rPr>
          <w:b/>
          <w:bCs/>
        </w:rPr>
        <w:t>Quantification</w:t>
      </w:r>
    </w:p>
    <w:p w14:paraId="06FD726B" w14:textId="77777777" w:rsidR="00065317" w:rsidRDefault="005C7BF7">
      <w:pPr>
        <w:pStyle w:val="Corpsdetexte"/>
      </w:pPr>
      <w:r>
        <w:t>plusieurs à plusieurs (0,n:0,n)</w:t>
      </w:r>
    </w:p>
    <w:p w14:paraId="441B200E" w14:textId="77A9F4F4" w:rsidR="00065317" w:rsidRDefault="005C7BF7">
      <w:pPr>
        <w:pStyle w:val="Corpsdetexte"/>
      </w:pPr>
      <w:r>
        <w:rPr>
          <w:b/>
          <w:bCs/>
        </w:rPr>
        <w:t>Note d</w:t>
      </w:r>
      <w:r w:rsidR="00E84B0E">
        <w:rPr>
          <w:b/>
          <w:bCs/>
        </w:rPr>
        <w:t>’</w:t>
      </w:r>
      <w:r>
        <w:rPr>
          <w:b/>
          <w:bCs/>
        </w:rPr>
        <w:t>application</w:t>
      </w:r>
    </w:p>
    <w:p w14:paraId="5FA980DE" w14:textId="1E71101C" w:rsidR="00065317" w:rsidRDefault="005C7BF7">
      <w:pPr>
        <w:pStyle w:val="Corpsdetexte"/>
      </w:pPr>
      <w:r>
        <w:t xml:space="preserve">Cette propriété associe une instance de </w:t>
      </w:r>
      <w:r>
        <w:rPr>
          <w:rStyle w:val="VerbatimChar"/>
        </w:rPr>
        <w:t>E41_Appellation</w:t>
      </w:r>
      <w:r>
        <w:t xml:space="preserve"> avec une autre instance de </w:t>
      </w:r>
      <w:r>
        <w:rPr>
          <w:rStyle w:val="VerbatimChar"/>
        </w:rPr>
        <w:t>E41_Appellation</w:t>
      </w:r>
      <w:r>
        <w:t xml:space="preserve"> qui est une dérivée ou une variante de la première. Cette seconde instance peut être utilisée, lorsque le contexte est approprié, pour identifier des éléments identifiés par la première pourvu que cette dernière soit indépendante de l</w:t>
      </w:r>
      <w:r w:rsidR="00E84B0E">
        <w:t>’</w:t>
      </w:r>
      <w:r>
        <w:t>élément particulier qui est sujet de l</w:t>
      </w:r>
      <w:r w:rsidR="00E84B0E">
        <w:t>’</w:t>
      </w:r>
      <w:r>
        <w:t xml:space="preserve">identification. Cette propriété ne doit pas être confondue avec des variantes additionnelles de noms habituellement utilisées pour référer à un élément particulier et unique comme des surnoms individuels. La relation décrite ici est dirigée de telle manière </w:t>
      </w:r>
      <w:r>
        <w:lastRenderedPageBreak/>
        <w:t>que la portée témoigne de l</w:t>
      </w:r>
      <w:r w:rsidR="00E84B0E">
        <w:t>’</w:t>
      </w:r>
      <w:r>
        <w:t>élément dérivé ou variant et le domaine la source de la dérivation ou la forme originelle de la variation, si une telle direction peut être établie. Autrement, la relation est symétrique.</w:t>
      </w:r>
    </w:p>
    <w:p w14:paraId="04C19EF1" w14:textId="4288EB38" w:rsidR="00065317" w:rsidRDefault="005C7BF7">
      <w:pPr>
        <w:pStyle w:val="Corpsdetexte"/>
      </w:pPr>
      <w:r>
        <w:t>Plusieurs noms assignés à un objet et qui ne s</w:t>
      </w:r>
      <w:r w:rsidR="00E84B0E">
        <w:t>’</w:t>
      </w:r>
      <w:r>
        <w:t xml:space="preserve">appliquent pas à toutes les choses identifiées par une instance spécifique de </w:t>
      </w:r>
      <w:r>
        <w:rPr>
          <w:rStyle w:val="VerbatimChar"/>
        </w:rPr>
        <w:t>E41_Appellation</w:t>
      </w:r>
      <w:r>
        <w:t xml:space="preserve"> doivent être modélisés par des valeurs répétées de </w:t>
      </w:r>
      <w:r>
        <w:rPr>
          <w:rStyle w:val="VerbatimChar"/>
        </w:rPr>
        <w:t>P1_est_identifié_par (identifie)</w:t>
      </w:r>
      <w:r>
        <w:t xml:space="preserve"> de cet objet.</w:t>
      </w:r>
    </w:p>
    <w:p w14:paraId="12FB324F" w14:textId="3E6403C0" w:rsidR="00065317" w:rsidRDefault="005C7BF7">
      <w:pPr>
        <w:pStyle w:val="Corpsdetexte"/>
      </w:pPr>
      <w:r>
        <w:t>L</w:t>
      </w:r>
      <w:r w:rsidR="00E84B0E">
        <w:t>’</w:t>
      </w:r>
      <w:r>
        <w:t xml:space="preserve">utilisation de </w:t>
      </w:r>
      <w:r>
        <w:rPr>
          <w:rStyle w:val="VerbatimChar"/>
        </w:rPr>
        <w:t>P139.1_a_pour_type</w:t>
      </w:r>
      <w:r>
        <w:t xml:space="preserve"> permet de clarifier le type de la dérivation, par exemple « la translittération du Latin-1 vers ASCII ».</w:t>
      </w:r>
    </w:p>
    <w:p w14:paraId="49C5C15D" w14:textId="77777777" w:rsidR="00065317" w:rsidRDefault="005C7BF7">
      <w:pPr>
        <w:pStyle w:val="Corpsdetexte"/>
      </w:pPr>
      <w:r>
        <w:rPr>
          <w:b/>
          <w:bCs/>
        </w:rPr>
        <w:t>Exemples</w:t>
      </w:r>
    </w:p>
    <w:p w14:paraId="4297DD42" w14:textId="5CF5C4CB" w:rsidR="00065317" w:rsidRDefault="005C7BF7">
      <w:pPr>
        <w:numPr>
          <w:ilvl w:val="0"/>
          <w:numId w:val="255"/>
        </w:numPr>
      </w:pPr>
      <w:r>
        <w:t xml:space="preserve">« Martin </w:t>
      </w:r>
      <w:r w:rsidR="003C7A4A">
        <w:t>Doerr</w:t>
      </w:r>
      <w:r>
        <w:t> » (</w:t>
      </w:r>
      <w:r>
        <w:rPr>
          <w:rStyle w:val="VerbatimChar"/>
        </w:rPr>
        <w:t>E41_Appellation</w:t>
      </w:r>
      <w:r>
        <w:t>) a pour forme alternative (</w:t>
      </w:r>
      <w:r>
        <w:rPr>
          <w:rStyle w:val="VerbatimChar"/>
        </w:rPr>
        <w:t>P139_a_pour_forme_alternative</w:t>
      </w:r>
      <w:r>
        <w:t>) « Martin Dörr » (</w:t>
      </w:r>
      <w:r>
        <w:rPr>
          <w:rStyle w:val="VerbatimChar"/>
        </w:rPr>
        <w:t>E41_Appellation</w:t>
      </w:r>
      <w:r>
        <w:t>) dont le type est (</w:t>
      </w:r>
      <w:r>
        <w:rPr>
          <w:rStyle w:val="VerbatimChar"/>
        </w:rPr>
        <w:t>P139.1_a_pour_type</w:t>
      </w:r>
      <w:r>
        <w:t>) « graphie alternative » (</w:t>
      </w:r>
      <w:r>
        <w:rPr>
          <w:rStyle w:val="VerbatimChar"/>
        </w:rPr>
        <w:t>E55_Type</w:t>
      </w:r>
      <w:r>
        <w:t>)</w:t>
      </w:r>
    </w:p>
    <w:p w14:paraId="571009F6" w14:textId="19AAB588" w:rsidR="00065317" w:rsidRDefault="005C7BF7">
      <w:pPr>
        <w:numPr>
          <w:ilvl w:val="0"/>
          <w:numId w:val="255"/>
        </w:numPr>
      </w:pPr>
      <w:r>
        <w:t>« Гончарова, Наталья Сергеевна » (</w:t>
      </w:r>
      <w:r>
        <w:rPr>
          <w:rStyle w:val="VerbatimChar"/>
        </w:rPr>
        <w:t>E41_Appellation</w:t>
      </w:r>
      <w:r>
        <w:t>) a pour forme alternative (</w:t>
      </w:r>
      <w:r>
        <w:rPr>
          <w:rStyle w:val="VerbatimChar"/>
        </w:rPr>
        <w:t>P139_a_pour_forme_alternative</w:t>
      </w:r>
      <w:r>
        <w:t>) « Gončarova, Natal´â Sergeevna » (</w:t>
      </w:r>
      <w:r>
        <w:rPr>
          <w:rStyle w:val="VerbatimChar"/>
        </w:rPr>
        <w:t>E41_Appellation</w:t>
      </w:r>
      <w:r>
        <w:t>) dont le type est (</w:t>
      </w:r>
      <w:r>
        <w:rPr>
          <w:rStyle w:val="VerbatimChar"/>
        </w:rPr>
        <w:t>P139.1_a_pour_type</w:t>
      </w:r>
      <w:r>
        <w:t>) « transli</w:t>
      </w:r>
      <w:r w:rsidR="000E52E8">
        <w:t>t</w:t>
      </w:r>
      <w:r>
        <w:t>tération de ISO 9:1995 » (</w:t>
      </w:r>
      <w:r>
        <w:rPr>
          <w:rStyle w:val="VerbatimChar"/>
        </w:rPr>
        <w:t>E55_Type</w:t>
      </w:r>
      <w:r>
        <w:t>)</w:t>
      </w:r>
    </w:p>
    <w:p w14:paraId="1D5B0C2B" w14:textId="77777777" w:rsidR="00065317" w:rsidRDefault="005C7BF7">
      <w:pPr>
        <w:numPr>
          <w:ilvl w:val="0"/>
          <w:numId w:val="255"/>
        </w:numPr>
      </w:pPr>
      <w:r>
        <w:t>« Αθήνα » (</w:t>
      </w:r>
      <w:r>
        <w:rPr>
          <w:rStyle w:val="VerbatimChar"/>
        </w:rPr>
        <w:t>E41_Appellation</w:t>
      </w:r>
      <w:r>
        <w:t>) a pour forme alternative (</w:t>
      </w:r>
      <w:r>
        <w:rPr>
          <w:rStyle w:val="VerbatimChar"/>
        </w:rPr>
        <w:t>P139_a_pour_forme_alternative</w:t>
      </w:r>
      <w:r>
        <w:t>) « Athina » (</w:t>
      </w:r>
      <w:r>
        <w:rPr>
          <w:rStyle w:val="VerbatimChar"/>
        </w:rPr>
        <w:t>E41_Appellation</w:t>
      </w:r>
      <w:r>
        <w:t>) dont le type est (</w:t>
      </w:r>
      <w:r>
        <w:rPr>
          <w:rStyle w:val="VerbatimChar"/>
        </w:rPr>
        <w:t>P139.1_a_pour_type</w:t>
      </w:r>
      <w:r>
        <w:t>) « transcription » (</w:t>
      </w:r>
      <w:r>
        <w:rPr>
          <w:rStyle w:val="VerbatimChar"/>
        </w:rPr>
        <w:t>E55_Type</w:t>
      </w:r>
      <w:r>
        <w:t>)</w:t>
      </w:r>
    </w:p>
    <w:p w14:paraId="48EE9361" w14:textId="77777777" w:rsidR="00065317" w:rsidRDefault="005C7BF7">
      <w:pPr>
        <w:pStyle w:val="FirstParagraph"/>
      </w:pPr>
      <w:r>
        <w:rPr>
          <w:b/>
          <w:bCs/>
        </w:rPr>
        <w:t>Logique</w:t>
      </w:r>
    </w:p>
    <w:p w14:paraId="0398CE34" w14:textId="77777777" w:rsidR="00065317" w:rsidRDefault="005C7BF7">
      <w:pPr>
        <w:pStyle w:val="Corpsdetexte"/>
      </w:pPr>
      <w:r>
        <w:t>P139(x,y) ⇒ E41(x)</w:t>
      </w:r>
    </w:p>
    <w:p w14:paraId="182B4BD4" w14:textId="77777777" w:rsidR="00065317" w:rsidRDefault="005C7BF7">
      <w:pPr>
        <w:pStyle w:val="Corpsdetexte"/>
      </w:pPr>
      <w:r>
        <w:t>P139(x,y) ⇒ E41(y)</w:t>
      </w:r>
    </w:p>
    <w:p w14:paraId="5008BA90" w14:textId="77777777" w:rsidR="00065317" w:rsidRDefault="005C7BF7">
      <w:pPr>
        <w:pStyle w:val="Corpsdetexte"/>
      </w:pPr>
      <w:r>
        <w:t>P139(x,y,z) ⇒ [P139(x,y) ∧ E55(z)]</w:t>
      </w:r>
    </w:p>
    <w:p w14:paraId="79EA0924" w14:textId="77777777" w:rsidR="00065317" w:rsidRDefault="005C7BF7">
      <w:pPr>
        <w:pStyle w:val="Corpsdetexte"/>
      </w:pPr>
      <w:r>
        <w:t>¬P139(x,x)</w:t>
      </w:r>
    </w:p>
    <w:p w14:paraId="226D9A53" w14:textId="77777777" w:rsidR="00065317" w:rsidRDefault="005C7BF7">
      <w:pPr>
        <w:pStyle w:val="Corpsdetexte"/>
      </w:pPr>
      <w:r>
        <w:rPr>
          <w:b/>
          <w:bCs/>
        </w:rPr>
        <w:t>Propriétés</w:t>
      </w:r>
    </w:p>
    <w:p w14:paraId="61C61986" w14:textId="77777777" w:rsidR="00065317" w:rsidRDefault="005C7BF7">
      <w:pPr>
        <w:pStyle w:val="Corpsdetexte"/>
      </w:pPr>
      <w:r>
        <w:rPr>
          <w:rStyle w:val="VerbatimChar"/>
        </w:rPr>
        <w:t>P139.1_a_pour_type</w:t>
      </w:r>
      <w:r>
        <w:t xml:space="preserve"> : </w:t>
      </w:r>
      <w:r>
        <w:rPr>
          <w:rStyle w:val="VerbatimChar"/>
        </w:rPr>
        <w:t>E55_Type</w:t>
      </w:r>
    </w:p>
    <w:p w14:paraId="07CE0C70" w14:textId="77777777" w:rsidR="00065317" w:rsidRDefault="005C7BF7">
      <w:pPr>
        <w:pStyle w:val="Normalcentr"/>
      </w:pPr>
      <w:r>
        <w:rPr>
          <w:b/>
          <w:bCs/>
          <w:i/>
          <w:iCs/>
        </w:rPr>
        <w:t>Note de traduction</w:t>
      </w:r>
    </w:p>
    <w:p w14:paraId="0B24BA4B" w14:textId="57956F24" w:rsidR="00065317" w:rsidRDefault="005C7BF7" w:rsidP="00826CB0">
      <w:pPr>
        <w:pStyle w:val="Normalcentr"/>
      </w:pPr>
      <w:r>
        <w:rPr>
          <w:b/>
          <w:bCs/>
          <w:i/>
          <w:iCs/>
        </w:rPr>
        <w:t>Références</w:t>
      </w:r>
    </w:p>
    <w:p w14:paraId="1B0B7D54" w14:textId="75455B38" w:rsidR="00065317" w:rsidRDefault="005C7BF7" w:rsidP="00914F34">
      <w:pPr>
        <w:pStyle w:val="Titre3"/>
      </w:pPr>
      <w:bookmarkStart w:id="498" w:name="_Toc154048934"/>
      <w:bookmarkStart w:id="499" w:name="X4fd80d8040996118bf8f02957bd9e256dcb8d5c"/>
      <w:bookmarkEnd w:id="497"/>
      <w:r>
        <w:t>P140 a assigné l</w:t>
      </w:r>
      <w:r w:rsidR="00E84B0E">
        <w:t>’</w:t>
      </w:r>
      <w:r>
        <w:t>attribut à (a reçu l</w:t>
      </w:r>
      <w:r w:rsidR="00E84B0E">
        <w:t>’</w:t>
      </w:r>
      <w:r>
        <w:t>attribut par)</w:t>
      </w:r>
      <w:bookmarkEnd w:id="498"/>
    </w:p>
    <w:p w14:paraId="22D3CE31" w14:textId="77777777" w:rsidR="00065317" w:rsidRDefault="005C7BF7">
      <w:pPr>
        <w:pStyle w:val="FirstParagraph"/>
      </w:pPr>
      <w:r>
        <w:rPr>
          <w:b/>
          <w:bCs/>
        </w:rPr>
        <w:t>Domaine</w:t>
      </w:r>
    </w:p>
    <w:p w14:paraId="3299FD00" w14:textId="4A939CEB" w:rsidR="00065317" w:rsidRDefault="005C7BF7">
      <w:pPr>
        <w:pStyle w:val="Corpsdetexte"/>
      </w:pPr>
      <w:r>
        <w:rPr>
          <w:rStyle w:val="VerbatimChar"/>
        </w:rPr>
        <w:t>E13_Assignation_d</w:t>
      </w:r>
      <w:r w:rsidR="00E84B0E">
        <w:rPr>
          <w:rStyle w:val="VerbatimChar"/>
        </w:rPr>
        <w:t>’</w:t>
      </w:r>
      <w:r>
        <w:rPr>
          <w:rStyle w:val="VerbatimChar"/>
        </w:rPr>
        <w:t>attribut</w:t>
      </w:r>
    </w:p>
    <w:p w14:paraId="588BC29D" w14:textId="77777777" w:rsidR="00065317" w:rsidRDefault="005C7BF7">
      <w:pPr>
        <w:pStyle w:val="Corpsdetexte"/>
      </w:pPr>
      <w:r>
        <w:rPr>
          <w:b/>
          <w:bCs/>
        </w:rPr>
        <w:t>Portée</w:t>
      </w:r>
    </w:p>
    <w:p w14:paraId="04B5E42B" w14:textId="77777777" w:rsidR="00065317" w:rsidRDefault="005C7BF7">
      <w:pPr>
        <w:pStyle w:val="Corpsdetexte"/>
      </w:pPr>
      <w:r>
        <w:rPr>
          <w:rStyle w:val="VerbatimChar"/>
        </w:rPr>
        <w:t>E1_Entité_CRM</w:t>
      </w:r>
    </w:p>
    <w:p w14:paraId="50FF0502" w14:textId="77777777" w:rsidR="00065317" w:rsidRDefault="005C7BF7">
      <w:pPr>
        <w:pStyle w:val="Corpsdetexte"/>
      </w:pPr>
      <w:r>
        <w:rPr>
          <w:b/>
          <w:bCs/>
        </w:rPr>
        <w:t>Sous-propriété de</w:t>
      </w:r>
    </w:p>
    <w:p w14:paraId="62701130" w14:textId="77777777" w:rsidR="00065317" w:rsidRDefault="005C7BF7">
      <w:pPr>
        <w:pStyle w:val="Corpsdetexte"/>
      </w:pPr>
      <w:r>
        <w:rPr>
          <w:b/>
          <w:bCs/>
        </w:rPr>
        <w:t>Super-propriété de</w:t>
      </w:r>
    </w:p>
    <w:p w14:paraId="00505B1F" w14:textId="0995C418" w:rsidR="00065317" w:rsidRDefault="005C7BF7">
      <w:pPr>
        <w:pStyle w:val="Corpsdetexte"/>
      </w:pPr>
      <w:r>
        <w:rPr>
          <w:rStyle w:val="VerbatimChar"/>
        </w:rPr>
        <w:t>E14_Évaluation_d</w:t>
      </w:r>
      <w:r w:rsidR="00E84B0E">
        <w:rPr>
          <w:rStyle w:val="VerbatimChar"/>
        </w:rPr>
        <w:t>’</w:t>
      </w:r>
      <w:r>
        <w:rPr>
          <w:rStyle w:val="VerbatimChar"/>
        </w:rPr>
        <w:t>état_matériel</w:t>
      </w:r>
      <w:r>
        <w:t xml:space="preserve">. </w:t>
      </w:r>
      <w:r>
        <w:rPr>
          <w:rStyle w:val="VerbatimChar"/>
        </w:rPr>
        <w:t>P34_a_porté_sur (a_été_évalué_par)</w:t>
      </w:r>
      <w:r>
        <w:t xml:space="preserve"> : </w:t>
      </w:r>
      <w:r>
        <w:rPr>
          <w:rStyle w:val="VerbatimChar"/>
        </w:rPr>
        <w:t>E18_Chose_matérielle</w:t>
      </w:r>
    </w:p>
    <w:p w14:paraId="25C47155" w14:textId="77777777" w:rsidR="00065317" w:rsidRDefault="005C7BF7">
      <w:pPr>
        <w:pStyle w:val="Corpsdetexte"/>
      </w:pPr>
      <w:r>
        <w:rPr>
          <w:rStyle w:val="VerbatimChar"/>
        </w:rPr>
        <w:t>E16_Mesurage</w:t>
      </w:r>
      <w:r>
        <w:t xml:space="preserve">. </w:t>
      </w:r>
      <w:r>
        <w:rPr>
          <w:rStyle w:val="VerbatimChar"/>
        </w:rPr>
        <w:t>P39_a_mesuré (a_été_mesuré_par)</w:t>
      </w:r>
      <w:r>
        <w:t xml:space="preserve"> : </w:t>
      </w:r>
      <w:r>
        <w:rPr>
          <w:rStyle w:val="VerbatimChar"/>
        </w:rPr>
        <w:t>E18_Chose_matérielle</w:t>
      </w:r>
    </w:p>
    <w:p w14:paraId="7C3C7EC7" w14:textId="77777777" w:rsidR="00065317" w:rsidRDefault="005C7BF7">
      <w:pPr>
        <w:pStyle w:val="Corpsdetexte"/>
      </w:pPr>
      <w:r>
        <w:rPr>
          <w:rStyle w:val="VerbatimChar"/>
        </w:rPr>
        <w:t>E17_Assignation_de_type</w:t>
      </w:r>
      <w:r>
        <w:t xml:space="preserve">. </w:t>
      </w:r>
      <w:r>
        <w:rPr>
          <w:rStyle w:val="VerbatimChar"/>
        </w:rPr>
        <w:t>P41_a_classifé (a_été_classifié_par)</w:t>
      </w:r>
      <w:r>
        <w:t xml:space="preserve"> : </w:t>
      </w:r>
      <w:r>
        <w:rPr>
          <w:rStyle w:val="VerbatimChar"/>
        </w:rPr>
        <w:t>E1_Entité_CRM</w:t>
      </w:r>
    </w:p>
    <w:p w14:paraId="37D889A9" w14:textId="77777777" w:rsidR="00065317" w:rsidRDefault="005C7BF7">
      <w:pPr>
        <w:pStyle w:val="Corpsdetexte"/>
      </w:pPr>
      <w:r>
        <w:rPr>
          <w:b/>
          <w:bCs/>
        </w:rPr>
        <w:lastRenderedPageBreak/>
        <w:t>Quantification</w:t>
      </w:r>
    </w:p>
    <w:p w14:paraId="0925EB7E" w14:textId="77777777" w:rsidR="00065317" w:rsidRDefault="005C7BF7">
      <w:pPr>
        <w:pStyle w:val="Corpsdetexte"/>
      </w:pPr>
      <w:r>
        <w:t>plusieurs à plusieurs (0,n:0,n)</w:t>
      </w:r>
    </w:p>
    <w:p w14:paraId="0EC8051D" w14:textId="2FD20CFE" w:rsidR="00065317" w:rsidRDefault="005C7BF7">
      <w:pPr>
        <w:pStyle w:val="Corpsdetexte"/>
      </w:pPr>
      <w:r>
        <w:rPr>
          <w:b/>
          <w:bCs/>
        </w:rPr>
        <w:t>Note d</w:t>
      </w:r>
      <w:r w:rsidR="00E84B0E">
        <w:rPr>
          <w:b/>
          <w:bCs/>
        </w:rPr>
        <w:t>’</w:t>
      </w:r>
      <w:r>
        <w:rPr>
          <w:b/>
          <w:bCs/>
        </w:rPr>
        <w:t>application</w:t>
      </w:r>
    </w:p>
    <w:p w14:paraId="2A78CFD3" w14:textId="30B2FBD1" w:rsidR="00065317" w:rsidRDefault="005C7BF7">
      <w:pPr>
        <w:pStyle w:val="Corpsdetexte"/>
      </w:pPr>
      <w:r>
        <w:t xml:space="preserve">Cette propriété associe une instance de </w:t>
      </w:r>
      <w:r>
        <w:rPr>
          <w:rStyle w:val="VerbatimChar"/>
        </w:rPr>
        <w:t>E13_Assignation_d</w:t>
      </w:r>
      <w:r w:rsidR="00E84B0E">
        <w:rPr>
          <w:rStyle w:val="VerbatimChar"/>
        </w:rPr>
        <w:t>’</w:t>
      </w:r>
      <w:r>
        <w:rPr>
          <w:rStyle w:val="VerbatimChar"/>
        </w:rPr>
        <w:t>attribut</w:t>
      </w:r>
      <w:r>
        <w:t xml:space="preserve"> à une instance de </w:t>
      </w:r>
      <w:r>
        <w:rPr>
          <w:rStyle w:val="VerbatimChar"/>
        </w:rPr>
        <w:t>E1_Entité_CRM</w:t>
      </w:r>
      <w:r>
        <w:t xml:space="preserve"> à propos de laquelle elle effectue une attribution. L</w:t>
      </w:r>
      <w:r w:rsidR="00E84B0E">
        <w:t>’</w:t>
      </w:r>
      <w:r>
        <w:t xml:space="preserve">instance de </w:t>
      </w:r>
      <w:r>
        <w:rPr>
          <w:rStyle w:val="VerbatimChar"/>
        </w:rPr>
        <w:t>E1_Entité_CRM</w:t>
      </w:r>
      <w:r>
        <w:t xml:space="preserve"> joue le rôle de domaine de l</w:t>
      </w:r>
      <w:r w:rsidR="00E84B0E">
        <w:t>’</w:t>
      </w:r>
      <w:r>
        <w:t>attribution.</w:t>
      </w:r>
    </w:p>
    <w:p w14:paraId="77C9A485" w14:textId="2C542F8D" w:rsidR="00065317" w:rsidRDefault="005C7BF7">
      <w:pPr>
        <w:pStyle w:val="Corpsdetexte"/>
      </w:pPr>
      <w:r>
        <w:t>Le type d</w:t>
      </w:r>
      <w:r w:rsidR="00E84B0E">
        <w:t>’</w:t>
      </w:r>
      <w:r>
        <w:t xml:space="preserve">attribution devrait être documenté en utilisant la propriété </w:t>
      </w:r>
      <w:r>
        <w:rPr>
          <w:rStyle w:val="VerbatimChar"/>
        </w:rPr>
        <w:t>P177_a_assigné_le_type_de_propriété (est le type de la propriété assigné)</w:t>
      </w:r>
      <w:r>
        <w:t>.</w:t>
      </w:r>
    </w:p>
    <w:p w14:paraId="0DB97E7A" w14:textId="77777777" w:rsidR="00065317" w:rsidRDefault="005C7BF7">
      <w:pPr>
        <w:pStyle w:val="Corpsdetexte"/>
      </w:pPr>
      <w:r>
        <w:rPr>
          <w:b/>
          <w:bCs/>
        </w:rPr>
        <w:t>Exemples</w:t>
      </w:r>
    </w:p>
    <w:p w14:paraId="2035C10D" w14:textId="1C7DCEDA" w:rsidR="00065317" w:rsidRDefault="005C7BF7">
      <w:pPr>
        <w:numPr>
          <w:ilvl w:val="0"/>
          <w:numId w:val="256"/>
        </w:numPr>
      </w:pPr>
      <w:r>
        <w:t>L</w:t>
      </w:r>
      <w:r w:rsidR="00E84B0E">
        <w:t>’</w:t>
      </w:r>
      <w:r>
        <w:t xml:space="preserve">évaluation de la propriété actuelle de la coupe en argent de Martin </w:t>
      </w:r>
      <w:r w:rsidR="003C7A4A">
        <w:t>Doerr</w:t>
      </w:r>
      <w:r>
        <w:t xml:space="preserve"> (</w:t>
      </w:r>
      <w:r>
        <w:rPr>
          <w:rStyle w:val="VerbatimChar"/>
        </w:rPr>
        <w:t>E13_Assignation_d</w:t>
      </w:r>
      <w:r w:rsidR="00E84B0E">
        <w:rPr>
          <w:rStyle w:val="VerbatimChar"/>
        </w:rPr>
        <w:t>’</w:t>
      </w:r>
      <w:r>
        <w:rPr>
          <w:rStyle w:val="VerbatimChar"/>
        </w:rPr>
        <w:t>attribut</w:t>
      </w:r>
      <w:r>
        <w:t>) en</w:t>
      </w:r>
      <w:r w:rsidR="00056DCD">
        <w:t> février </w:t>
      </w:r>
      <w:r>
        <w:t>1997 a assigné l</w:t>
      </w:r>
      <w:r w:rsidR="00E84B0E">
        <w:t>’</w:t>
      </w:r>
      <w:r>
        <w:t>attribut à (</w:t>
      </w:r>
      <w:r>
        <w:rPr>
          <w:rStyle w:val="VerbatimChar"/>
        </w:rPr>
        <w:t>P140_a_assigné_l</w:t>
      </w:r>
      <w:r w:rsidR="00E84B0E">
        <w:rPr>
          <w:rStyle w:val="VerbatimChar"/>
        </w:rPr>
        <w:t>’</w:t>
      </w:r>
      <w:r>
        <w:rPr>
          <w:rStyle w:val="VerbatimChar"/>
        </w:rPr>
        <w:t>attribut_à</w:t>
      </w:r>
      <w:r>
        <w:t xml:space="preserve">) la coupe en argent de Martin </w:t>
      </w:r>
      <w:r w:rsidR="003C7A4A">
        <w:t>Doerr</w:t>
      </w:r>
      <w:r>
        <w:t xml:space="preserve"> (</w:t>
      </w:r>
      <w:r>
        <w:rPr>
          <w:rStyle w:val="VerbatimChar"/>
        </w:rPr>
        <w:t>E22_Objet_élaboré_par_l</w:t>
      </w:r>
      <w:r w:rsidR="00E84B0E">
        <w:rPr>
          <w:rStyle w:val="VerbatimChar"/>
        </w:rPr>
        <w:t>’</w:t>
      </w:r>
      <w:r>
        <w:rPr>
          <w:rStyle w:val="VerbatimChar"/>
        </w:rPr>
        <w:t>humain</w:t>
      </w:r>
      <w:r>
        <w:t>) (fictif)</w:t>
      </w:r>
    </w:p>
    <w:p w14:paraId="493BC213" w14:textId="295871D0" w:rsidR="00065317" w:rsidRDefault="005C7BF7">
      <w:pPr>
        <w:numPr>
          <w:ilvl w:val="0"/>
          <w:numId w:val="256"/>
        </w:numPr>
      </w:pPr>
      <w:r>
        <w:t>L</w:t>
      </w:r>
      <w:r w:rsidR="00E84B0E">
        <w:t>’</w:t>
      </w:r>
      <w:r>
        <w:t>attribution d</w:t>
      </w:r>
      <w:r w:rsidR="00E84B0E">
        <w:t>’</w:t>
      </w:r>
      <w:r>
        <w:t xml:space="preserve">identifiant de la coupe en argent donnée par Martin </w:t>
      </w:r>
      <w:r w:rsidR="003C7A4A">
        <w:t>Doerr</w:t>
      </w:r>
      <w:r>
        <w:t xml:space="preserve"> (</w:t>
      </w:r>
      <w:r>
        <w:rPr>
          <w:rStyle w:val="VerbatimChar"/>
        </w:rPr>
        <w:t>E15_Assignation_d</w:t>
      </w:r>
      <w:r w:rsidR="00E84B0E">
        <w:rPr>
          <w:rStyle w:val="VerbatimChar"/>
        </w:rPr>
        <w:t>’</w:t>
      </w:r>
      <w:r>
        <w:rPr>
          <w:rStyle w:val="VerbatimChar"/>
        </w:rPr>
        <w:t>identifiant</w:t>
      </w:r>
      <w:r>
        <w:t>) le 1</w:t>
      </w:r>
      <w:r>
        <w:rPr>
          <w:vertAlign w:val="superscript"/>
        </w:rPr>
        <w:t>er</w:t>
      </w:r>
      <w:r w:rsidR="00056DCD">
        <w:t> juin </w:t>
      </w:r>
      <w:r>
        <w:t>1997 a assigné l</w:t>
      </w:r>
      <w:r w:rsidR="00E84B0E">
        <w:t>’</w:t>
      </w:r>
      <w:r>
        <w:t>attribut à (</w:t>
      </w:r>
      <w:r>
        <w:rPr>
          <w:rStyle w:val="VerbatimChar"/>
        </w:rPr>
        <w:t>P140_a_assigné_l</w:t>
      </w:r>
      <w:r w:rsidR="00E84B0E">
        <w:rPr>
          <w:rStyle w:val="VerbatimChar"/>
        </w:rPr>
        <w:t>’</w:t>
      </w:r>
      <w:r>
        <w:rPr>
          <w:rStyle w:val="VerbatimChar"/>
        </w:rPr>
        <w:t>attribut_à</w:t>
      </w:r>
      <w:r>
        <w:t>) la coupe en argent 232 (</w:t>
      </w:r>
      <w:r>
        <w:rPr>
          <w:rStyle w:val="VerbatimChar"/>
        </w:rPr>
        <w:t>E22_Objet_élaboré_par_l</w:t>
      </w:r>
      <w:r w:rsidR="00E84B0E">
        <w:rPr>
          <w:rStyle w:val="VerbatimChar"/>
        </w:rPr>
        <w:t>’</w:t>
      </w:r>
      <w:r>
        <w:rPr>
          <w:rStyle w:val="VerbatimChar"/>
        </w:rPr>
        <w:t>humain</w:t>
      </w:r>
      <w:r>
        <w:t>) (fictif)</w:t>
      </w:r>
    </w:p>
    <w:p w14:paraId="14912F24" w14:textId="37F80AA3" w:rsidR="00065317" w:rsidRDefault="005C7BF7">
      <w:pPr>
        <w:numPr>
          <w:ilvl w:val="0"/>
          <w:numId w:val="256"/>
        </w:numPr>
      </w:pPr>
      <w:r>
        <w:t>L</w:t>
      </w:r>
      <w:r w:rsidR="00E84B0E">
        <w:t>’</w:t>
      </w:r>
      <w:r>
        <w:t xml:space="preserve">examen du manuscrit </w:t>
      </w:r>
      <w:r>
        <w:rPr>
          <w:i/>
          <w:iCs/>
        </w:rPr>
        <w:t>Mont Sinaï, MS gr. 418</w:t>
      </w:r>
      <w:r>
        <w:t xml:space="preserve"> (</w:t>
      </w:r>
      <w:r>
        <w:rPr>
          <w:rStyle w:val="VerbatimChar"/>
        </w:rPr>
        <w:t>E13_Assignation_d</w:t>
      </w:r>
      <w:r w:rsidR="00E84B0E">
        <w:rPr>
          <w:rStyle w:val="VerbatimChar"/>
        </w:rPr>
        <w:t>’</w:t>
      </w:r>
      <w:r>
        <w:rPr>
          <w:rStyle w:val="VerbatimChar"/>
        </w:rPr>
        <w:t>attribut</w:t>
      </w:r>
      <w:r>
        <w:t>) a assigné l</w:t>
      </w:r>
      <w:r w:rsidR="00E84B0E">
        <w:t>’</w:t>
      </w:r>
      <w:r>
        <w:t>attribut à (</w:t>
      </w:r>
      <w:r>
        <w:rPr>
          <w:rStyle w:val="VerbatimChar"/>
        </w:rPr>
        <w:t>P140_a_assigné_l</w:t>
      </w:r>
      <w:r w:rsidR="00E84B0E">
        <w:rPr>
          <w:rStyle w:val="VerbatimChar"/>
        </w:rPr>
        <w:t>’</w:t>
      </w:r>
      <w:r>
        <w:rPr>
          <w:rStyle w:val="VerbatimChar"/>
        </w:rPr>
        <w:t>attribut_à</w:t>
      </w:r>
      <w:r>
        <w:t xml:space="preserve">) </w:t>
      </w:r>
      <w:r>
        <w:rPr>
          <w:i/>
          <w:iCs/>
        </w:rPr>
        <w:t>Mont Sinaï, MS gr. 418</w:t>
      </w:r>
      <w:r>
        <w:t xml:space="preserve"> (</w:t>
      </w:r>
      <w:r>
        <w:rPr>
          <w:rStyle w:val="VerbatimChar"/>
        </w:rPr>
        <w:t>E22_Objet_élaboré_par_l</w:t>
      </w:r>
      <w:r w:rsidR="00E84B0E">
        <w:rPr>
          <w:rStyle w:val="VerbatimChar"/>
        </w:rPr>
        <w:t>’</w:t>
      </w:r>
      <w:r>
        <w:rPr>
          <w:rStyle w:val="VerbatimChar"/>
        </w:rPr>
        <w:t>humain</w:t>
      </w:r>
      <w:r>
        <w:t>) (Honey et Pickwoad, 2010)</w:t>
      </w:r>
    </w:p>
    <w:p w14:paraId="20CA428F" w14:textId="77777777" w:rsidR="00065317" w:rsidRDefault="005C7BF7">
      <w:pPr>
        <w:pStyle w:val="FirstParagraph"/>
      </w:pPr>
      <w:r>
        <w:rPr>
          <w:b/>
          <w:bCs/>
        </w:rPr>
        <w:t>Logique</w:t>
      </w:r>
    </w:p>
    <w:p w14:paraId="0A68308F" w14:textId="77777777" w:rsidR="00065317" w:rsidRDefault="005C7BF7">
      <w:pPr>
        <w:pStyle w:val="Corpsdetexte"/>
      </w:pPr>
      <w:r>
        <w:t>P140(x,y) ⇒ E13(x)</w:t>
      </w:r>
    </w:p>
    <w:p w14:paraId="5A1B91CC" w14:textId="77777777" w:rsidR="00065317" w:rsidRDefault="005C7BF7">
      <w:pPr>
        <w:pStyle w:val="Corpsdetexte"/>
      </w:pPr>
      <w:r>
        <w:t>P140(x,y) ⇒ E1(y)</w:t>
      </w:r>
    </w:p>
    <w:p w14:paraId="6EB5339F" w14:textId="77777777" w:rsidR="00065317" w:rsidRDefault="005C7BF7">
      <w:pPr>
        <w:pStyle w:val="Corpsdetexte"/>
      </w:pPr>
      <w:r>
        <w:rPr>
          <w:b/>
          <w:bCs/>
        </w:rPr>
        <w:t>Propriétés</w:t>
      </w:r>
    </w:p>
    <w:p w14:paraId="388A45E9" w14:textId="77777777" w:rsidR="00065317" w:rsidRDefault="005C7BF7">
      <w:pPr>
        <w:pStyle w:val="Normalcentr"/>
      </w:pPr>
      <w:r>
        <w:rPr>
          <w:b/>
          <w:bCs/>
          <w:i/>
          <w:iCs/>
        </w:rPr>
        <w:t>Note de traduction</w:t>
      </w:r>
    </w:p>
    <w:p w14:paraId="2BA8CBE5" w14:textId="023ECE9B" w:rsidR="00065317" w:rsidRDefault="005C7BF7">
      <w:pPr>
        <w:pStyle w:val="Normalcentr"/>
      </w:pPr>
      <w:r>
        <w:t>La formulation « joue le rôle de domaine de l</w:t>
      </w:r>
      <w:r w:rsidR="00E84B0E">
        <w:t>’</w:t>
      </w:r>
      <w:r>
        <w:t>attribution » peut porter à confusion. Dans l</w:t>
      </w:r>
      <w:r w:rsidR="00E84B0E">
        <w:t>’</w:t>
      </w:r>
      <w:r>
        <w:t xml:space="preserve">ensemble de triplets </w:t>
      </w:r>
      <w:r>
        <w:rPr>
          <w:rStyle w:val="VerbatimChar"/>
        </w:rPr>
        <w:t>E13_Assignation_d</w:t>
      </w:r>
      <w:r w:rsidR="00E84B0E">
        <w:rPr>
          <w:rStyle w:val="VerbatimChar"/>
        </w:rPr>
        <w:t>’</w:t>
      </w:r>
      <w:r>
        <w:rPr>
          <w:rStyle w:val="VerbatimChar"/>
        </w:rPr>
        <w:t>attribut</w:t>
      </w:r>
      <w:r>
        <w:t xml:space="preserve">, </w:t>
      </w: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r>
        <w:t xml:space="preserve">, </w:t>
      </w:r>
      <w:r>
        <w:rPr>
          <w:rStyle w:val="VerbatimChar"/>
        </w:rPr>
        <w:t>E1_Entité_CRM</w:t>
      </w:r>
      <w:r>
        <w:t xml:space="preserve"> et </w:t>
      </w:r>
      <w:r>
        <w:rPr>
          <w:rStyle w:val="VerbatimChar"/>
        </w:rPr>
        <w:t>E13_Assignation_d</w:t>
      </w:r>
      <w:r w:rsidR="00E84B0E">
        <w:rPr>
          <w:rStyle w:val="VerbatimChar"/>
        </w:rPr>
        <w:t>’</w:t>
      </w:r>
      <w:r>
        <w:rPr>
          <w:rStyle w:val="VerbatimChar"/>
        </w:rPr>
        <w:t>attribut</w:t>
      </w:r>
      <w:r>
        <w:t xml:space="preserve">, </w:t>
      </w:r>
      <w:r>
        <w:rPr>
          <w:rStyle w:val="VerbatimChar"/>
        </w:rPr>
        <w:t>P141_a_assigné (a_été_attribué_par)</w:t>
      </w:r>
      <w:r>
        <w:t xml:space="preserve">, </w:t>
      </w:r>
      <w:r>
        <w:rPr>
          <w:rStyle w:val="VerbatimChar"/>
        </w:rPr>
        <w:t>E1_Entité_CRM</w:t>
      </w:r>
      <w:r>
        <w:t xml:space="preserve"> où une entité A (instance de </w:t>
      </w:r>
      <w:r>
        <w:rPr>
          <w:rStyle w:val="VerbatimChar"/>
        </w:rPr>
        <w:t>E1_Entité_CRM</w:t>
      </w:r>
      <w:r>
        <w:t xml:space="preserve">) reçoit un attribut B (instance de </w:t>
      </w:r>
      <w:r>
        <w:rPr>
          <w:rStyle w:val="VerbatimChar"/>
        </w:rPr>
        <w:t>E1_Entité_CRM</w:t>
      </w:r>
      <w:r>
        <w:t>), l</w:t>
      </w:r>
      <w:r w:rsidR="00E84B0E">
        <w:t>’</w:t>
      </w:r>
      <w:r>
        <w:t xml:space="preserve">instance A de </w:t>
      </w:r>
      <w:r>
        <w:rPr>
          <w:rStyle w:val="VerbatimChar"/>
        </w:rPr>
        <w:t>E1_Entité_CRM</w:t>
      </w:r>
      <w:r>
        <w:t xml:space="preserve"> peut être conceptuellement comprise comme le domaine de l</w:t>
      </w:r>
      <w:r w:rsidR="00E84B0E">
        <w:t>’</w:t>
      </w:r>
      <w:r>
        <w:t>ensemble de triplets, et l</w:t>
      </w:r>
      <w:r w:rsidR="00E84B0E">
        <w:t>’</w:t>
      </w:r>
      <w:r>
        <w:t xml:space="preserve">instance B de </w:t>
      </w:r>
      <w:r>
        <w:rPr>
          <w:rStyle w:val="VerbatimChar"/>
        </w:rPr>
        <w:t>E1_Entité_CRM</w:t>
      </w:r>
      <w:r>
        <w:t xml:space="preserve"> comme la portée. Ce n</w:t>
      </w:r>
      <w:r w:rsidR="00E84B0E">
        <w:t>’</w:t>
      </w:r>
      <w:r>
        <w:t>est alors pas une propriété qui relie un domaine à sa portée, mais ici l</w:t>
      </w:r>
      <w:r w:rsidR="00E84B0E">
        <w:t>’</w:t>
      </w:r>
      <w:r>
        <w:t xml:space="preserve">ensemble composé de </w:t>
      </w: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r>
        <w:t xml:space="preserve">, </w:t>
      </w:r>
      <w:r>
        <w:rPr>
          <w:rStyle w:val="VerbatimChar"/>
        </w:rPr>
        <w:t>E13_Assignation_d</w:t>
      </w:r>
      <w:r w:rsidR="00E84B0E">
        <w:rPr>
          <w:rStyle w:val="VerbatimChar"/>
        </w:rPr>
        <w:t>’</w:t>
      </w:r>
      <w:r>
        <w:rPr>
          <w:rStyle w:val="VerbatimChar"/>
        </w:rPr>
        <w:t>attribut</w:t>
      </w:r>
      <w:r>
        <w:t xml:space="preserve"> et </w:t>
      </w:r>
      <w:r>
        <w:rPr>
          <w:rStyle w:val="VerbatimChar"/>
        </w:rPr>
        <w:t>P141_a_assigné (a_été_attribué_par)</w:t>
      </w:r>
      <w:r>
        <w:t>.</w:t>
      </w:r>
    </w:p>
    <w:p w14:paraId="534FC53A" w14:textId="1AD59D4F" w:rsidR="00065317" w:rsidRDefault="005C7BF7" w:rsidP="00826CB0">
      <w:pPr>
        <w:pStyle w:val="Normalcentr"/>
      </w:pPr>
      <w:r>
        <w:rPr>
          <w:b/>
          <w:bCs/>
          <w:i/>
          <w:iCs/>
        </w:rPr>
        <w:t>Références</w:t>
      </w:r>
    </w:p>
    <w:p w14:paraId="7C90EF67" w14:textId="77777777" w:rsidR="00DE6C24" w:rsidRDefault="00DE6C24">
      <w:pPr>
        <w:spacing w:after="0"/>
        <w:rPr>
          <w:rFonts w:eastAsiaTheme="majorEastAsia" w:cstheme="majorBidi"/>
          <w:b/>
          <w:bCs/>
          <w:color w:val="000000"/>
          <w:sz w:val="28"/>
          <w:szCs w:val="28"/>
        </w:rPr>
      </w:pPr>
      <w:bookmarkStart w:id="500" w:name="p141-a-attribue-(a-ete-attribue-par)"/>
      <w:bookmarkEnd w:id="499"/>
      <w:r>
        <w:br w:type="page"/>
      </w:r>
    </w:p>
    <w:p w14:paraId="364E2D12" w14:textId="4BC5C12E" w:rsidR="00065317" w:rsidRDefault="005C7BF7" w:rsidP="00914F34">
      <w:pPr>
        <w:pStyle w:val="Titre3"/>
      </w:pPr>
      <w:bookmarkStart w:id="501" w:name="_Toc154048935"/>
      <w:r>
        <w:lastRenderedPageBreak/>
        <w:t>P141 a attribué (a été attribué par)</w:t>
      </w:r>
      <w:bookmarkEnd w:id="501"/>
    </w:p>
    <w:p w14:paraId="7023CDB3" w14:textId="77777777" w:rsidR="00065317" w:rsidRDefault="005C7BF7">
      <w:pPr>
        <w:pStyle w:val="FirstParagraph"/>
      </w:pPr>
      <w:r>
        <w:rPr>
          <w:b/>
          <w:bCs/>
        </w:rPr>
        <w:t>Domaine</w:t>
      </w:r>
    </w:p>
    <w:p w14:paraId="289734C7" w14:textId="1E281A94" w:rsidR="00065317" w:rsidRDefault="005C7BF7">
      <w:pPr>
        <w:pStyle w:val="Corpsdetexte"/>
      </w:pPr>
      <w:r>
        <w:rPr>
          <w:rStyle w:val="VerbatimChar"/>
        </w:rPr>
        <w:t>E13_Assignation_d</w:t>
      </w:r>
      <w:r w:rsidR="00E84B0E">
        <w:rPr>
          <w:rStyle w:val="VerbatimChar"/>
        </w:rPr>
        <w:t>’</w:t>
      </w:r>
      <w:r>
        <w:rPr>
          <w:rStyle w:val="VerbatimChar"/>
        </w:rPr>
        <w:t>attribut</w:t>
      </w:r>
    </w:p>
    <w:p w14:paraId="4BD08DBC" w14:textId="77777777" w:rsidR="00065317" w:rsidRDefault="005C7BF7">
      <w:pPr>
        <w:pStyle w:val="Corpsdetexte"/>
      </w:pPr>
      <w:r>
        <w:rPr>
          <w:b/>
          <w:bCs/>
        </w:rPr>
        <w:t>Portée</w:t>
      </w:r>
    </w:p>
    <w:p w14:paraId="1ADA3E2A" w14:textId="77777777" w:rsidR="00065317" w:rsidRDefault="005C7BF7">
      <w:pPr>
        <w:pStyle w:val="Corpsdetexte"/>
      </w:pPr>
      <w:r>
        <w:rPr>
          <w:rStyle w:val="VerbatimChar"/>
        </w:rPr>
        <w:t>E1_Entité_CRM</w:t>
      </w:r>
    </w:p>
    <w:p w14:paraId="418F9511" w14:textId="77777777" w:rsidR="00065317" w:rsidRDefault="005C7BF7">
      <w:pPr>
        <w:pStyle w:val="Corpsdetexte"/>
      </w:pPr>
      <w:r>
        <w:rPr>
          <w:b/>
          <w:bCs/>
        </w:rPr>
        <w:t>Sous-propriété de</w:t>
      </w:r>
    </w:p>
    <w:p w14:paraId="3C5695C7" w14:textId="77777777" w:rsidR="00065317" w:rsidRDefault="005C7BF7">
      <w:pPr>
        <w:pStyle w:val="Corpsdetexte"/>
      </w:pPr>
      <w:r>
        <w:rPr>
          <w:b/>
          <w:bCs/>
        </w:rPr>
        <w:t>Super-propriété de</w:t>
      </w:r>
    </w:p>
    <w:p w14:paraId="60BCBCA5" w14:textId="5465D138" w:rsidR="00065317" w:rsidRDefault="005C7BF7">
      <w:pPr>
        <w:pStyle w:val="Corpsdetexte"/>
      </w:pPr>
      <w:r>
        <w:rPr>
          <w:rStyle w:val="VerbatimChar"/>
        </w:rPr>
        <w:t>E14_Évaluation_d</w:t>
      </w:r>
      <w:r w:rsidR="00E84B0E">
        <w:rPr>
          <w:rStyle w:val="VerbatimChar"/>
        </w:rPr>
        <w:t>’</w:t>
      </w:r>
      <w:r>
        <w:rPr>
          <w:rStyle w:val="VerbatimChar"/>
        </w:rPr>
        <w:t>état_matériel</w:t>
      </w:r>
      <w:r>
        <w:t xml:space="preserve">. </w:t>
      </w:r>
      <w:r>
        <w:rPr>
          <w:rStyle w:val="VerbatimChar"/>
        </w:rPr>
        <w:t>P35_a_identifié (a_été_identifié_par)</w:t>
      </w:r>
      <w:r>
        <w:t xml:space="preserve"> : </w:t>
      </w:r>
      <w:r>
        <w:rPr>
          <w:rStyle w:val="VerbatimChar"/>
        </w:rPr>
        <w:t>E3_État_matériel</w:t>
      </w:r>
    </w:p>
    <w:p w14:paraId="439DFF7A" w14:textId="7790D7FE" w:rsidR="00065317" w:rsidRDefault="005C7BF7">
      <w:pPr>
        <w:pStyle w:val="Corpsdetexte"/>
      </w:pPr>
      <w:r>
        <w:rPr>
          <w:rStyle w:val="VerbatimChar"/>
        </w:rPr>
        <w:t>E15_Assignation_d</w:t>
      </w:r>
      <w:r w:rsidR="00E84B0E">
        <w:rPr>
          <w:rStyle w:val="VerbatimChar"/>
        </w:rPr>
        <w:t>’</w:t>
      </w:r>
      <w:r>
        <w:rPr>
          <w:rStyle w:val="VerbatimChar"/>
        </w:rPr>
        <w:t>identifiant</w:t>
      </w:r>
      <w:r>
        <w:t xml:space="preserve">. </w:t>
      </w:r>
      <w:r>
        <w:rPr>
          <w:rStyle w:val="VerbatimChar"/>
        </w:rPr>
        <w:t>P37_a_attribué (a_été_attribué_par)</w:t>
      </w:r>
      <w:r>
        <w:t xml:space="preserve"> : </w:t>
      </w:r>
      <w:r>
        <w:rPr>
          <w:rStyle w:val="VerbatimChar"/>
        </w:rPr>
        <w:t>E42_Identifiant</w:t>
      </w:r>
    </w:p>
    <w:p w14:paraId="1F5EB6A0" w14:textId="5986DB95" w:rsidR="00065317" w:rsidRDefault="005C7BF7">
      <w:pPr>
        <w:pStyle w:val="Corpsdetexte"/>
      </w:pPr>
      <w:r>
        <w:rPr>
          <w:rStyle w:val="VerbatimChar"/>
        </w:rPr>
        <w:t>E15_Assignation_d</w:t>
      </w:r>
      <w:r w:rsidR="00E84B0E">
        <w:rPr>
          <w:rStyle w:val="VerbatimChar"/>
        </w:rPr>
        <w:t>’</w:t>
      </w:r>
      <w:r>
        <w:rPr>
          <w:rStyle w:val="VerbatimChar"/>
        </w:rPr>
        <w:t>identifiant</w:t>
      </w:r>
      <w:r>
        <w:t xml:space="preserve">. </w:t>
      </w:r>
      <w:r>
        <w:rPr>
          <w:rStyle w:val="VerbatimChar"/>
        </w:rPr>
        <w:t>P38_a_retiré_l</w:t>
      </w:r>
      <w:r w:rsidR="00E84B0E">
        <w:rPr>
          <w:rStyle w:val="VerbatimChar"/>
        </w:rPr>
        <w:t>’</w:t>
      </w:r>
      <w:r>
        <w:rPr>
          <w:rStyle w:val="VerbatimChar"/>
        </w:rPr>
        <w:t>assignation (a_été_retiré_par)</w:t>
      </w:r>
      <w:r>
        <w:t xml:space="preserve"> : </w:t>
      </w:r>
      <w:r>
        <w:rPr>
          <w:rStyle w:val="VerbatimChar"/>
        </w:rPr>
        <w:t>E42_Identifiant</w:t>
      </w:r>
    </w:p>
    <w:p w14:paraId="0F90E0A9" w14:textId="77777777" w:rsidR="00065317" w:rsidRDefault="005C7BF7">
      <w:pPr>
        <w:pStyle w:val="Corpsdetexte"/>
      </w:pPr>
      <w:r>
        <w:rPr>
          <w:rStyle w:val="VerbatimChar"/>
        </w:rPr>
        <w:t>E16_Mesurage</w:t>
      </w:r>
      <w:r>
        <w:t xml:space="preserve">. </w:t>
      </w:r>
      <w:r>
        <w:rPr>
          <w:rStyle w:val="VerbatimChar"/>
        </w:rPr>
        <w:t>P40_a_relevé_comme_dimension (a_été_relevé_par)</w:t>
      </w:r>
      <w:r>
        <w:t xml:space="preserve"> : </w:t>
      </w:r>
      <w:r>
        <w:rPr>
          <w:rStyle w:val="VerbatimChar"/>
        </w:rPr>
        <w:t>E54_Dimension</w:t>
      </w:r>
    </w:p>
    <w:p w14:paraId="44076047" w14:textId="77777777" w:rsidR="00065317" w:rsidRDefault="005C7BF7">
      <w:pPr>
        <w:pStyle w:val="Corpsdetexte"/>
      </w:pPr>
      <w:r>
        <w:rPr>
          <w:rStyle w:val="VerbatimChar"/>
        </w:rPr>
        <w:t>E17_Assignation_de_type</w:t>
      </w:r>
      <w:r>
        <w:t xml:space="preserve">. </w:t>
      </w:r>
      <w:r>
        <w:rPr>
          <w:rStyle w:val="VerbatimChar"/>
        </w:rPr>
        <w:t>P42_a_attribué (a_été_attribué_par)</w:t>
      </w:r>
      <w:r>
        <w:t xml:space="preserve"> : </w:t>
      </w:r>
      <w:r>
        <w:rPr>
          <w:rStyle w:val="VerbatimChar"/>
        </w:rPr>
        <w:t>E55_Type</w:t>
      </w:r>
    </w:p>
    <w:p w14:paraId="6A055610" w14:textId="77777777" w:rsidR="00065317" w:rsidRDefault="005C7BF7">
      <w:pPr>
        <w:pStyle w:val="Corpsdetexte"/>
      </w:pPr>
      <w:r>
        <w:rPr>
          <w:b/>
          <w:bCs/>
        </w:rPr>
        <w:t>Quantification</w:t>
      </w:r>
    </w:p>
    <w:p w14:paraId="69C38E95" w14:textId="77777777" w:rsidR="00065317" w:rsidRDefault="005C7BF7">
      <w:pPr>
        <w:pStyle w:val="Corpsdetexte"/>
      </w:pPr>
      <w:r>
        <w:t>plusieurs à plusieurs (0,n:0,n)</w:t>
      </w:r>
    </w:p>
    <w:p w14:paraId="0E41E41E" w14:textId="72C77EC4" w:rsidR="00065317" w:rsidRDefault="005C7BF7">
      <w:pPr>
        <w:pStyle w:val="Corpsdetexte"/>
      </w:pPr>
      <w:r>
        <w:rPr>
          <w:b/>
          <w:bCs/>
        </w:rPr>
        <w:t>Note d</w:t>
      </w:r>
      <w:r w:rsidR="00E84B0E">
        <w:rPr>
          <w:b/>
          <w:bCs/>
        </w:rPr>
        <w:t>’</w:t>
      </w:r>
      <w:r>
        <w:rPr>
          <w:b/>
          <w:bCs/>
        </w:rPr>
        <w:t>application</w:t>
      </w:r>
    </w:p>
    <w:p w14:paraId="10D8FB4A" w14:textId="5C45051C" w:rsidR="00065317" w:rsidRDefault="005C7BF7">
      <w:pPr>
        <w:pStyle w:val="Corpsdetexte"/>
      </w:pPr>
      <w:r>
        <w:t xml:space="preserve">Cette propriété associe une instance de </w:t>
      </w:r>
      <w:r>
        <w:rPr>
          <w:rStyle w:val="VerbatimChar"/>
        </w:rPr>
        <w:t>E13_Assignation_d</w:t>
      </w:r>
      <w:r w:rsidR="00E84B0E">
        <w:rPr>
          <w:rStyle w:val="VerbatimChar"/>
        </w:rPr>
        <w:t>’</w:t>
      </w:r>
      <w:r>
        <w:rPr>
          <w:rStyle w:val="VerbatimChar"/>
        </w:rPr>
        <w:t>attribut</w:t>
      </w:r>
      <w:r>
        <w:t xml:space="preserve"> à une instance de </w:t>
      </w:r>
      <w:r>
        <w:rPr>
          <w:rStyle w:val="VerbatimChar"/>
        </w:rPr>
        <w:t>E1_Entité_CRM</w:t>
      </w:r>
      <w:r>
        <w:t xml:space="preserve"> utilisée lors de cette attribution. L</w:t>
      </w:r>
      <w:r w:rsidR="00E84B0E">
        <w:t>’</w:t>
      </w:r>
      <w:r>
        <w:t xml:space="preserve">instance de </w:t>
      </w:r>
      <w:r>
        <w:rPr>
          <w:rStyle w:val="VerbatimChar"/>
        </w:rPr>
        <w:t>E1_Entité_CRM</w:t>
      </w:r>
      <w:r>
        <w:t xml:space="preserve"> joue ici le rôle de la portée de l</w:t>
      </w:r>
      <w:r w:rsidR="00E84B0E">
        <w:t>’</w:t>
      </w:r>
      <w:r>
        <w:t>attribution.</w:t>
      </w:r>
    </w:p>
    <w:p w14:paraId="6F2CF5AF" w14:textId="1CC58CC9" w:rsidR="00065317" w:rsidRDefault="005C7BF7">
      <w:pPr>
        <w:pStyle w:val="Corpsdetexte"/>
      </w:pPr>
      <w:r>
        <w:t>Le type d</w:t>
      </w:r>
      <w:r w:rsidR="00E84B0E">
        <w:t>’</w:t>
      </w:r>
      <w:r>
        <w:t xml:space="preserve">attribution devrait être documenté en utilisant la propriété </w:t>
      </w:r>
      <w:r>
        <w:rPr>
          <w:rStyle w:val="VerbatimChar"/>
        </w:rPr>
        <w:t>P177_a_assigné_le_type_de_propriété (est le type de la propriété assigné)</w:t>
      </w:r>
      <w:r>
        <w:t>.</w:t>
      </w:r>
    </w:p>
    <w:p w14:paraId="2ADA366F" w14:textId="77777777" w:rsidR="00065317" w:rsidRDefault="005C7BF7">
      <w:pPr>
        <w:pStyle w:val="Corpsdetexte"/>
      </w:pPr>
      <w:r>
        <w:rPr>
          <w:b/>
          <w:bCs/>
        </w:rPr>
        <w:t>Exemples</w:t>
      </w:r>
    </w:p>
    <w:p w14:paraId="1066FD8B" w14:textId="0268F0C2" w:rsidR="00065317" w:rsidRDefault="005C7BF7">
      <w:pPr>
        <w:numPr>
          <w:ilvl w:val="0"/>
          <w:numId w:val="257"/>
        </w:numPr>
      </w:pPr>
      <w:r>
        <w:t>L</w:t>
      </w:r>
      <w:r w:rsidR="00E84B0E">
        <w:t>’</w:t>
      </w:r>
      <w:r>
        <w:t xml:space="preserve">évaluation de la propriété actuelle de la coupe en argent de Martin </w:t>
      </w:r>
      <w:r w:rsidR="003C7A4A">
        <w:t>Doerr</w:t>
      </w:r>
      <w:r>
        <w:t xml:space="preserve"> (</w:t>
      </w:r>
      <w:r>
        <w:rPr>
          <w:rStyle w:val="VerbatimChar"/>
        </w:rPr>
        <w:t>E13_Assignation_d</w:t>
      </w:r>
      <w:r w:rsidR="00E84B0E">
        <w:rPr>
          <w:rStyle w:val="VerbatimChar"/>
        </w:rPr>
        <w:t>’</w:t>
      </w:r>
      <w:r>
        <w:rPr>
          <w:rStyle w:val="VerbatimChar"/>
        </w:rPr>
        <w:t>attribut</w:t>
      </w:r>
      <w:r>
        <w:t>) en</w:t>
      </w:r>
      <w:r w:rsidR="00056DCD">
        <w:t> février </w:t>
      </w:r>
      <w:r>
        <w:t>1997 a assigné (</w:t>
      </w:r>
      <w:r>
        <w:rPr>
          <w:rStyle w:val="VerbatimChar"/>
        </w:rPr>
        <w:t>P141_a_assigné</w:t>
      </w:r>
      <w:r>
        <w:t xml:space="preserve">) Martin </w:t>
      </w:r>
      <w:r w:rsidR="003C7A4A">
        <w:t>Doerr</w:t>
      </w:r>
      <w:r>
        <w:t xml:space="preserve"> (</w:t>
      </w:r>
      <w:r>
        <w:rPr>
          <w:rStyle w:val="VerbatimChar"/>
        </w:rPr>
        <w:t>E21_Personne</w:t>
      </w:r>
      <w:r>
        <w:t>) à la coupe en argent (fictif)</w:t>
      </w:r>
    </w:p>
    <w:p w14:paraId="5A198055" w14:textId="1AB49D5E" w:rsidR="00065317" w:rsidRDefault="005C7BF7">
      <w:pPr>
        <w:numPr>
          <w:ilvl w:val="0"/>
          <w:numId w:val="257"/>
        </w:numPr>
      </w:pPr>
      <w:r>
        <w:t>L</w:t>
      </w:r>
      <w:r w:rsidR="00E84B0E">
        <w:t>’</w:t>
      </w:r>
      <w:r>
        <w:t>attribution d</w:t>
      </w:r>
      <w:r w:rsidR="00E84B0E">
        <w:t>’</w:t>
      </w:r>
      <w:r>
        <w:t xml:space="preserve">identifiant de la coupe en argent donnée par Martin </w:t>
      </w:r>
      <w:r w:rsidR="003C7A4A">
        <w:t>Doerr</w:t>
      </w:r>
      <w:r>
        <w:t xml:space="preserve"> (</w:t>
      </w:r>
      <w:r>
        <w:rPr>
          <w:rStyle w:val="VerbatimChar"/>
        </w:rPr>
        <w:t>E15_Assignation_d</w:t>
      </w:r>
      <w:r w:rsidR="00E84B0E">
        <w:rPr>
          <w:rStyle w:val="VerbatimChar"/>
        </w:rPr>
        <w:t>’</w:t>
      </w:r>
      <w:r>
        <w:rPr>
          <w:rStyle w:val="VerbatimChar"/>
        </w:rPr>
        <w:t>identifiant</w:t>
      </w:r>
      <w:r>
        <w:t>) le 1</w:t>
      </w:r>
      <w:r>
        <w:rPr>
          <w:vertAlign w:val="superscript"/>
        </w:rPr>
        <w:t>er</w:t>
      </w:r>
      <w:r w:rsidR="00056DCD">
        <w:t> juin </w:t>
      </w:r>
      <w:r>
        <w:t>1997 a assigné (</w:t>
      </w:r>
      <w:r>
        <w:rPr>
          <w:rStyle w:val="VerbatimChar"/>
        </w:rPr>
        <w:t>P141_a_assigné</w:t>
      </w:r>
      <w:r>
        <w:t>) l</w:t>
      </w:r>
      <w:r w:rsidR="00E84B0E">
        <w:t>’</w:t>
      </w:r>
      <w:r>
        <w:t>identifiant d</w:t>
      </w:r>
      <w:r w:rsidR="00E84B0E">
        <w:t>’</w:t>
      </w:r>
      <w:r>
        <w:t>objet 232 (</w:t>
      </w:r>
      <w:r>
        <w:rPr>
          <w:rStyle w:val="VerbatimChar"/>
        </w:rPr>
        <w:t>E42_Identifiant</w:t>
      </w:r>
      <w:r>
        <w:t>) (fictif)</w:t>
      </w:r>
    </w:p>
    <w:p w14:paraId="1F5D179F" w14:textId="5CB8A6CA" w:rsidR="00065317" w:rsidRDefault="005C7BF7">
      <w:pPr>
        <w:numPr>
          <w:ilvl w:val="0"/>
          <w:numId w:val="257"/>
        </w:numPr>
      </w:pPr>
      <w:r>
        <w:t>L</w:t>
      </w:r>
      <w:r w:rsidR="00E84B0E">
        <w:t>’</w:t>
      </w:r>
      <w:r>
        <w:t xml:space="preserve">examen du manuscrit </w:t>
      </w:r>
      <w:r>
        <w:rPr>
          <w:i/>
          <w:iCs/>
        </w:rPr>
        <w:t>Mont Sinaï, MS gr. 418</w:t>
      </w:r>
      <w:r>
        <w:t xml:space="preserve"> (</w:t>
      </w:r>
      <w:r>
        <w:rPr>
          <w:rStyle w:val="VerbatimChar"/>
        </w:rPr>
        <w:t>E13_Assignation_d</w:t>
      </w:r>
      <w:r w:rsidR="00E84B0E">
        <w:rPr>
          <w:rStyle w:val="VerbatimChar"/>
        </w:rPr>
        <w:t>’</w:t>
      </w:r>
      <w:r>
        <w:rPr>
          <w:rStyle w:val="VerbatimChar"/>
        </w:rPr>
        <w:t>attribut</w:t>
      </w:r>
      <w:r>
        <w:t>) a assigné (</w:t>
      </w:r>
      <w:r>
        <w:rPr>
          <w:rStyle w:val="VerbatimChar"/>
        </w:rPr>
        <w:t>P141_a_assigné</w:t>
      </w:r>
      <w:r>
        <w:t>) « non pris en charge » (</w:t>
      </w:r>
      <w:r>
        <w:rPr>
          <w:rStyle w:val="VerbatimChar"/>
        </w:rPr>
        <w:t>E55_Type</w:t>
      </w:r>
      <w:r>
        <w:t xml:space="preserve">) (Honey </w:t>
      </w:r>
      <w:r w:rsidR="003F7E4B">
        <w:t xml:space="preserve">&amp; </w:t>
      </w:r>
      <w:r>
        <w:t>Pickwoad, 2010)</w:t>
      </w:r>
    </w:p>
    <w:p w14:paraId="515FE0F7" w14:textId="77777777" w:rsidR="00065317" w:rsidRDefault="005C7BF7">
      <w:pPr>
        <w:pStyle w:val="FirstParagraph"/>
      </w:pPr>
      <w:r>
        <w:rPr>
          <w:b/>
          <w:bCs/>
        </w:rPr>
        <w:t>Logique</w:t>
      </w:r>
    </w:p>
    <w:p w14:paraId="66463207" w14:textId="77777777" w:rsidR="00065317" w:rsidRDefault="005C7BF7">
      <w:pPr>
        <w:pStyle w:val="Corpsdetexte"/>
      </w:pPr>
      <w:r>
        <w:t>P141(x,y) ⇒ E13(x)</w:t>
      </w:r>
    </w:p>
    <w:p w14:paraId="2DFA2FA1" w14:textId="77777777" w:rsidR="00065317" w:rsidRDefault="005C7BF7">
      <w:pPr>
        <w:pStyle w:val="Corpsdetexte"/>
      </w:pPr>
      <w:r>
        <w:t>P141(x,y) ⇒ E1(y)</w:t>
      </w:r>
    </w:p>
    <w:p w14:paraId="4BBEA4AE" w14:textId="77777777" w:rsidR="00DE6C24" w:rsidRDefault="00DE6C24">
      <w:pPr>
        <w:spacing w:after="0"/>
        <w:rPr>
          <w:b/>
          <w:bCs/>
        </w:rPr>
      </w:pPr>
      <w:r>
        <w:rPr>
          <w:b/>
          <w:bCs/>
        </w:rPr>
        <w:br w:type="page"/>
      </w:r>
    </w:p>
    <w:p w14:paraId="063A879F" w14:textId="5F3D3F9F" w:rsidR="00834C26" w:rsidRDefault="005C7BF7" w:rsidP="00914F34">
      <w:pPr>
        <w:pStyle w:val="Corpsdetexte"/>
      </w:pPr>
      <w:r>
        <w:rPr>
          <w:b/>
          <w:bCs/>
        </w:rPr>
        <w:lastRenderedPageBreak/>
        <w:t>Propriétés</w:t>
      </w:r>
    </w:p>
    <w:p w14:paraId="5114403A" w14:textId="75137348" w:rsidR="00065317" w:rsidRDefault="005C7BF7">
      <w:pPr>
        <w:pStyle w:val="Normalcentr"/>
      </w:pPr>
      <w:r>
        <w:rPr>
          <w:b/>
          <w:bCs/>
          <w:i/>
          <w:iCs/>
        </w:rPr>
        <w:t>Note de traduction</w:t>
      </w:r>
    </w:p>
    <w:p w14:paraId="10F0C239" w14:textId="0D1A1BCF" w:rsidR="00065317" w:rsidRDefault="005C7BF7">
      <w:pPr>
        <w:pStyle w:val="Normalcentr"/>
      </w:pPr>
      <w:r>
        <w:t>La formulation « joue le rôle de la portée de l</w:t>
      </w:r>
      <w:r w:rsidR="00E84B0E">
        <w:t>’</w:t>
      </w:r>
      <w:r>
        <w:t>attribution » peut porter à confusion. Dans l</w:t>
      </w:r>
      <w:r w:rsidR="00E84B0E">
        <w:t>’</w:t>
      </w:r>
      <w:r>
        <w:t xml:space="preserve">ensemble de triplets </w:t>
      </w:r>
      <w:r>
        <w:rPr>
          <w:rStyle w:val="VerbatimChar"/>
        </w:rPr>
        <w:t>E13_Assignation_d</w:t>
      </w:r>
      <w:r w:rsidR="00E84B0E">
        <w:rPr>
          <w:rStyle w:val="VerbatimChar"/>
        </w:rPr>
        <w:t>’</w:t>
      </w:r>
      <w:r>
        <w:rPr>
          <w:rStyle w:val="VerbatimChar"/>
        </w:rPr>
        <w:t>attribut</w:t>
      </w:r>
      <w:r>
        <w:t xml:space="preserve">, </w:t>
      </w: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r>
        <w:t xml:space="preserve">, </w:t>
      </w:r>
      <w:r>
        <w:rPr>
          <w:rStyle w:val="VerbatimChar"/>
        </w:rPr>
        <w:t>E1_Entité_CRM</w:t>
      </w:r>
      <w:r>
        <w:t xml:space="preserve"> et </w:t>
      </w:r>
      <w:r>
        <w:rPr>
          <w:rStyle w:val="VerbatimChar"/>
        </w:rPr>
        <w:t>E13_Assignation_d</w:t>
      </w:r>
      <w:r w:rsidR="00E84B0E">
        <w:rPr>
          <w:rStyle w:val="VerbatimChar"/>
        </w:rPr>
        <w:t>’</w:t>
      </w:r>
      <w:r>
        <w:rPr>
          <w:rStyle w:val="VerbatimChar"/>
        </w:rPr>
        <w:t>attribut</w:t>
      </w:r>
      <w:r>
        <w:t xml:space="preserve">, </w:t>
      </w:r>
      <w:r>
        <w:rPr>
          <w:rStyle w:val="VerbatimChar"/>
        </w:rPr>
        <w:t>P141_a_assigné (a_été_attribué_par)</w:t>
      </w:r>
      <w:r>
        <w:t xml:space="preserve">, </w:t>
      </w:r>
      <w:r>
        <w:rPr>
          <w:rStyle w:val="VerbatimChar"/>
        </w:rPr>
        <w:t>E1_Entité_CRM</w:t>
      </w:r>
      <w:r>
        <w:t xml:space="preserve"> où une entité A (instance de </w:t>
      </w:r>
      <w:r>
        <w:rPr>
          <w:rStyle w:val="VerbatimChar"/>
        </w:rPr>
        <w:t>E1_Entité_CRM</w:t>
      </w:r>
      <w:r>
        <w:t xml:space="preserve">) reçoit un attribut B (instance de </w:t>
      </w:r>
      <w:r>
        <w:rPr>
          <w:rStyle w:val="VerbatimChar"/>
        </w:rPr>
        <w:t>E1_Entité_CRM</w:t>
      </w:r>
      <w:r>
        <w:t>), l</w:t>
      </w:r>
      <w:r w:rsidR="00E84B0E">
        <w:t>’</w:t>
      </w:r>
      <w:r>
        <w:t xml:space="preserve">instance A de </w:t>
      </w:r>
      <w:r>
        <w:rPr>
          <w:rStyle w:val="VerbatimChar"/>
        </w:rPr>
        <w:t>E1_Entité_CRM</w:t>
      </w:r>
      <w:r>
        <w:t xml:space="preserve"> peut être conceptuellement comprise comme le domaine de l</w:t>
      </w:r>
      <w:r w:rsidR="00E84B0E">
        <w:t>’</w:t>
      </w:r>
      <w:r>
        <w:t>ensemble de triplets, et l</w:t>
      </w:r>
      <w:r w:rsidR="00E84B0E">
        <w:t>’</w:t>
      </w:r>
      <w:r>
        <w:t xml:space="preserve">instance B de </w:t>
      </w:r>
      <w:r>
        <w:rPr>
          <w:rStyle w:val="VerbatimChar"/>
        </w:rPr>
        <w:t>E1_Entité_CRM</w:t>
      </w:r>
      <w:r>
        <w:t xml:space="preserve"> comme la portée. Ce n</w:t>
      </w:r>
      <w:r w:rsidR="00E84B0E">
        <w:t>’</w:t>
      </w:r>
      <w:r>
        <w:t>est alors pas une propriété qui relie un domaine à sa portée, mais ici l</w:t>
      </w:r>
      <w:r w:rsidR="00E84B0E">
        <w:t>’</w:t>
      </w:r>
      <w:r>
        <w:t xml:space="preserve">ensemble composé de </w:t>
      </w: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r>
        <w:t xml:space="preserve">, </w:t>
      </w:r>
      <w:r>
        <w:rPr>
          <w:rStyle w:val="VerbatimChar"/>
        </w:rPr>
        <w:t>E13_Assignation_d</w:t>
      </w:r>
      <w:r w:rsidR="00E84B0E">
        <w:rPr>
          <w:rStyle w:val="VerbatimChar"/>
        </w:rPr>
        <w:t>’</w:t>
      </w:r>
      <w:r>
        <w:rPr>
          <w:rStyle w:val="VerbatimChar"/>
        </w:rPr>
        <w:t>attribut</w:t>
      </w:r>
      <w:r>
        <w:t xml:space="preserve"> et </w:t>
      </w:r>
      <w:r>
        <w:rPr>
          <w:rStyle w:val="VerbatimChar"/>
        </w:rPr>
        <w:t>P141_a_assigné (a_été_attribué_par)</w:t>
      </w:r>
      <w:r>
        <w:t>.</w:t>
      </w:r>
    </w:p>
    <w:p w14:paraId="61A0E77F" w14:textId="03627CC5" w:rsidR="00065317" w:rsidRDefault="005C7BF7" w:rsidP="00826CB0">
      <w:pPr>
        <w:pStyle w:val="Normalcentr"/>
      </w:pPr>
      <w:r>
        <w:rPr>
          <w:b/>
          <w:bCs/>
          <w:i/>
          <w:iCs/>
        </w:rPr>
        <w:t>Références</w:t>
      </w:r>
    </w:p>
    <w:p w14:paraId="74DDE2B4" w14:textId="77777777" w:rsidR="00065317" w:rsidRDefault="005C7BF7" w:rsidP="00914F34">
      <w:pPr>
        <w:pStyle w:val="Titre3"/>
      </w:pPr>
      <w:bookmarkStart w:id="502" w:name="_Toc154048936"/>
      <w:bookmarkStart w:id="503" w:name="X1ea7f9d61ec31375d04b62bf8e9a6a56f08df28"/>
      <w:bookmarkEnd w:id="500"/>
      <w:r>
        <w:t>P142 a mobilisé comme élément (a été mobilisé dans)</w:t>
      </w:r>
      <w:bookmarkEnd w:id="502"/>
    </w:p>
    <w:p w14:paraId="7F4EFEFC" w14:textId="77777777" w:rsidR="00065317" w:rsidRDefault="005C7BF7">
      <w:pPr>
        <w:pStyle w:val="FirstParagraph"/>
      </w:pPr>
      <w:r>
        <w:rPr>
          <w:b/>
          <w:bCs/>
        </w:rPr>
        <w:t>Domaine</w:t>
      </w:r>
    </w:p>
    <w:p w14:paraId="14990375" w14:textId="2F2242DA" w:rsidR="00065317" w:rsidRDefault="005C7BF7">
      <w:pPr>
        <w:pStyle w:val="Corpsdetexte"/>
      </w:pPr>
      <w:r>
        <w:rPr>
          <w:rStyle w:val="VerbatimChar"/>
        </w:rPr>
        <w:t>E15_Assignation_d</w:t>
      </w:r>
      <w:r w:rsidR="00E84B0E">
        <w:rPr>
          <w:rStyle w:val="VerbatimChar"/>
        </w:rPr>
        <w:t>’</w:t>
      </w:r>
      <w:r>
        <w:rPr>
          <w:rStyle w:val="VerbatimChar"/>
        </w:rPr>
        <w:t>identifiant</w:t>
      </w:r>
    </w:p>
    <w:p w14:paraId="4D26675C" w14:textId="77777777" w:rsidR="00065317" w:rsidRDefault="005C7BF7">
      <w:pPr>
        <w:pStyle w:val="Corpsdetexte"/>
      </w:pPr>
      <w:r>
        <w:rPr>
          <w:b/>
          <w:bCs/>
        </w:rPr>
        <w:t>Portée</w:t>
      </w:r>
    </w:p>
    <w:p w14:paraId="555815AE" w14:textId="77777777" w:rsidR="00065317" w:rsidRDefault="005C7BF7">
      <w:pPr>
        <w:pStyle w:val="Corpsdetexte"/>
      </w:pPr>
      <w:r>
        <w:rPr>
          <w:rStyle w:val="VerbatimChar"/>
        </w:rPr>
        <w:t>E90_Objet_symbolique</w:t>
      </w:r>
    </w:p>
    <w:p w14:paraId="2F448536" w14:textId="77777777" w:rsidR="00065317" w:rsidRDefault="005C7BF7">
      <w:pPr>
        <w:pStyle w:val="Corpsdetexte"/>
      </w:pPr>
      <w:r>
        <w:rPr>
          <w:b/>
          <w:bCs/>
        </w:rPr>
        <w:t>Sous-propriété de</w:t>
      </w:r>
    </w:p>
    <w:p w14:paraId="72B729A7" w14:textId="2C89D4BD" w:rsidR="00065317" w:rsidRDefault="005C7BF7">
      <w:pPr>
        <w:pStyle w:val="Corpsdetexte"/>
      </w:pPr>
      <w:r>
        <w:rPr>
          <w:rStyle w:val="VerbatimChar"/>
        </w:rPr>
        <w:t>E7_Activité</w:t>
      </w:r>
      <w:r>
        <w:t xml:space="preserve">. </w:t>
      </w:r>
      <w:r>
        <w:rPr>
          <w:rStyle w:val="VerbatimChar"/>
        </w:rPr>
        <w:t>P16_a_mobilisé_l</w:t>
      </w:r>
      <w:r w:rsidR="00E84B0E">
        <w:rPr>
          <w:rStyle w:val="VerbatimChar"/>
        </w:rPr>
        <w:t>’</w:t>
      </w:r>
      <w:r>
        <w:rPr>
          <w:rStyle w:val="VerbatimChar"/>
        </w:rPr>
        <w:t>objet_spécifique (a_été_mobilisé_pour)</w:t>
      </w:r>
      <w:r w:rsidR="003F7E4B">
        <w:t xml:space="preserve"> </w:t>
      </w:r>
      <w:r>
        <w:t xml:space="preserve">: </w:t>
      </w:r>
      <w:r>
        <w:rPr>
          <w:rStyle w:val="VerbatimChar"/>
        </w:rPr>
        <w:t>E70_Chose</w:t>
      </w:r>
    </w:p>
    <w:p w14:paraId="77C5DEFB" w14:textId="77777777" w:rsidR="00065317" w:rsidRDefault="005C7BF7">
      <w:pPr>
        <w:pStyle w:val="Corpsdetexte"/>
      </w:pPr>
      <w:r>
        <w:rPr>
          <w:b/>
          <w:bCs/>
        </w:rPr>
        <w:t>Super-propriété de</w:t>
      </w:r>
    </w:p>
    <w:p w14:paraId="7D083200" w14:textId="77777777" w:rsidR="00065317" w:rsidRDefault="005C7BF7">
      <w:pPr>
        <w:pStyle w:val="Corpsdetexte"/>
      </w:pPr>
      <w:r>
        <w:rPr>
          <w:b/>
          <w:bCs/>
        </w:rPr>
        <w:t>Quantification</w:t>
      </w:r>
    </w:p>
    <w:p w14:paraId="3E731CB7" w14:textId="77777777" w:rsidR="00065317" w:rsidRDefault="005C7BF7">
      <w:pPr>
        <w:pStyle w:val="Corpsdetexte"/>
      </w:pPr>
      <w:r>
        <w:t>plusieurs à plusieurs (0:n,0:n)</w:t>
      </w:r>
    </w:p>
    <w:p w14:paraId="612175EA" w14:textId="26F7C131" w:rsidR="00065317" w:rsidRDefault="005C7BF7">
      <w:pPr>
        <w:pStyle w:val="Corpsdetexte"/>
      </w:pPr>
      <w:r>
        <w:rPr>
          <w:b/>
          <w:bCs/>
        </w:rPr>
        <w:t>Note d</w:t>
      </w:r>
      <w:r w:rsidR="00E84B0E">
        <w:rPr>
          <w:b/>
          <w:bCs/>
        </w:rPr>
        <w:t>’</w:t>
      </w:r>
      <w:r>
        <w:rPr>
          <w:b/>
          <w:bCs/>
        </w:rPr>
        <w:t>application</w:t>
      </w:r>
    </w:p>
    <w:p w14:paraId="5BB57F40" w14:textId="25388D39" w:rsidR="00065317" w:rsidRDefault="005C7BF7">
      <w:pPr>
        <w:pStyle w:val="Corpsdetexte"/>
      </w:pPr>
      <w:r>
        <w:t xml:space="preserve">Cette propriété associe une instance de </w:t>
      </w:r>
      <w:r>
        <w:rPr>
          <w:rStyle w:val="VerbatimChar"/>
        </w:rPr>
        <w:t>E15_Assignation_d</w:t>
      </w:r>
      <w:r w:rsidR="00E84B0E">
        <w:rPr>
          <w:rStyle w:val="VerbatimChar"/>
        </w:rPr>
        <w:t>’</w:t>
      </w:r>
      <w:r>
        <w:rPr>
          <w:rStyle w:val="VerbatimChar"/>
        </w:rPr>
        <w:t>identifiant</w:t>
      </w:r>
      <w:r>
        <w:t xml:space="preserve"> à l</w:t>
      </w:r>
      <w:r w:rsidR="00E84B0E">
        <w:t>’</w:t>
      </w:r>
      <w:r>
        <w:t xml:space="preserve">instance de </w:t>
      </w:r>
      <w:r>
        <w:rPr>
          <w:rStyle w:val="VerbatimChar"/>
        </w:rPr>
        <w:t>E90_Objet_symbolique</w:t>
      </w:r>
      <w:r>
        <w:t xml:space="preserve"> mobilisée comme élément constitutif d</w:t>
      </w:r>
      <w:r w:rsidR="00E84B0E">
        <w:t>’</w:t>
      </w:r>
      <w:r>
        <w:t xml:space="preserve">une instance de </w:t>
      </w:r>
      <w:r>
        <w:rPr>
          <w:rStyle w:val="VerbatimChar"/>
        </w:rPr>
        <w:t>E42_Identifiant</w:t>
      </w:r>
      <w:r>
        <w:t xml:space="preserve"> lors d</w:t>
      </w:r>
      <w:r w:rsidR="00E84B0E">
        <w:t>’</w:t>
      </w:r>
      <w:r>
        <w:t>un acte d</w:t>
      </w:r>
      <w:r w:rsidR="00E84B0E">
        <w:t>’</w:t>
      </w:r>
      <w:r>
        <w:t>assignation.</w:t>
      </w:r>
    </w:p>
    <w:p w14:paraId="5CDFB402" w14:textId="77777777" w:rsidR="00065317" w:rsidRDefault="005C7BF7">
      <w:pPr>
        <w:pStyle w:val="Corpsdetexte"/>
      </w:pPr>
      <w:r>
        <w:rPr>
          <w:b/>
          <w:bCs/>
        </w:rPr>
        <w:t>Exemples</w:t>
      </w:r>
    </w:p>
    <w:p w14:paraId="0D0990F0" w14:textId="69611BAB" w:rsidR="00065317" w:rsidRDefault="005C7BF7">
      <w:pPr>
        <w:numPr>
          <w:ilvl w:val="0"/>
          <w:numId w:val="258"/>
        </w:numPr>
      </w:pPr>
      <w:r>
        <w:t>Le 1</w:t>
      </w:r>
      <w:r>
        <w:rPr>
          <w:vertAlign w:val="superscript"/>
        </w:rPr>
        <w:t>er</w:t>
      </w:r>
      <w:r w:rsidR="00056DCD">
        <w:t> juin </w:t>
      </w:r>
      <w:r>
        <w:t>2001, l</w:t>
      </w:r>
      <w:r w:rsidR="00E84B0E">
        <w:t>’</w:t>
      </w:r>
      <w:r>
        <w:t>assignation de l</w:t>
      </w:r>
      <w:r w:rsidR="00E84B0E">
        <w:t>’</w:t>
      </w:r>
      <w:r>
        <w:t>identifiant du nom de personne « Guillaume de Machaut, c. 1300-1377 » (</w:t>
      </w:r>
      <w:r>
        <w:rPr>
          <w:rStyle w:val="VerbatimChar"/>
        </w:rPr>
        <w:t>E15_Assignation_d</w:t>
      </w:r>
      <w:r w:rsidR="00E84B0E">
        <w:rPr>
          <w:rStyle w:val="VerbatimChar"/>
        </w:rPr>
        <w:t>’</w:t>
      </w:r>
      <w:r>
        <w:rPr>
          <w:rStyle w:val="VerbatimChar"/>
        </w:rPr>
        <w:t>identifiant</w:t>
      </w:r>
      <w:r>
        <w:t>) a mobilisé comme élément constitutif (</w:t>
      </w:r>
      <w:r>
        <w:rPr>
          <w:rStyle w:val="VerbatimChar"/>
        </w:rPr>
        <w:t>P142_a_mobilisé_comme_élément</w:t>
      </w:r>
      <w:r>
        <w:t>) « c. 1300-1377 » (</w:t>
      </w:r>
      <w:r>
        <w:rPr>
          <w:rStyle w:val="VerbatimChar"/>
        </w:rPr>
        <w:t>E41_Appellation</w:t>
      </w:r>
      <w:r>
        <w:t>) (Kelly, 2014)</w:t>
      </w:r>
    </w:p>
    <w:p w14:paraId="430A035B" w14:textId="4264BDDD" w:rsidR="00065317" w:rsidRDefault="005C7BF7">
      <w:pPr>
        <w:numPr>
          <w:ilvl w:val="0"/>
          <w:numId w:val="258"/>
        </w:numPr>
      </w:pPr>
      <w:r>
        <w:t>L</w:t>
      </w:r>
      <w:r w:rsidR="00E84B0E">
        <w:t>’</w:t>
      </w:r>
      <w:r>
        <w:t>assignation d</w:t>
      </w:r>
      <w:r w:rsidR="00E84B0E">
        <w:t>’</w:t>
      </w:r>
      <w:r>
        <w:t>un titre uniformisé à l</w:t>
      </w:r>
      <w:r w:rsidR="00E84B0E">
        <w:t>’</w:t>
      </w:r>
      <w:r>
        <w:t>œuvre textuelle anonyme connue sous le nom d</w:t>
      </w:r>
      <w:r w:rsidR="00E84B0E">
        <w:t>’</w:t>
      </w:r>
      <w:r>
        <w:rPr>
          <w:i/>
          <w:iCs/>
        </w:rPr>
        <w:t>Adoration des bergers</w:t>
      </w:r>
      <w:r>
        <w:t xml:space="preserve"> (</w:t>
      </w:r>
      <w:r>
        <w:rPr>
          <w:rStyle w:val="VerbatimChar"/>
        </w:rPr>
        <w:t>E15_Assignation_d</w:t>
      </w:r>
      <w:r w:rsidR="00E84B0E">
        <w:rPr>
          <w:rStyle w:val="VerbatimChar"/>
        </w:rPr>
        <w:t>’</w:t>
      </w:r>
      <w:r>
        <w:rPr>
          <w:rStyle w:val="VerbatimChar"/>
        </w:rPr>
        <w:t>identifiant</w:t>
      </w:r>
      <w:r>
        <w:t>) a mobilisé l</w:t>
      </w:r>
      <w:r w:rsidR="00E84B0E">
        <w:t>’</w:t>
      </w:r>
      <w:r>
        <w:t>élément constitutif (</w:t>
      </w:r>
      <w:r>
        <w:rPr>
          <w:rStyle w:val="VerbatimChar"/>
        </w:rPr>
        <w:t>P142_a_mobilisé_comme_élément</w:t>
      </w:r>
      <w:r>
        <w:t>) « Coventry » (</w:t>
      </w:r>
      <w:r>
        <w:rPr>
          <w:rStyle w:val="VerbatimChar"/>
        </w:rPr>
        <w:t>E41_Appellation</w:t>
      </w:r>
      <w:r>
        <w:t>) (Encyclopedia Britannica, 1998)</w:t>
      </w:r>
    </w:p>
    <w:p w14:paraId="722F8E6D" w14:textId="4F2B1377" w:rsidR="00065317" w:rsidRDefault="005C7BF7">
      <w:pPr>
        <w:numPr>
          <w:ilvl w:val="0"/>
          <w:numId w:val="258"/>
        </w:numPr>
      </w:pPr>
      <w:r>
        <w:t>L</w:t>
      </w:r>
      <w:r w:rsidR="00E84B0E">
        <w:t>’</w:t>
      </w:r>
      <w:r>
        <w:t>assignation d</w:t>
      </w:r>
      <w:r w:rsidR="00E84B0E">
        <w:t>’</w:t>
      </w:r>
      <w:r>
        <w:t>un titre uniformisé à l</w:t>
      </w:r>
      <w:r w:rsidR="00E84B0E">
        <w:t>’</w:t>
      </w:r>
      <w:r>
        <w:t xml:space="preserve">œuvre chorégraphique de Pina Bausch </w:t>
      </w:r>
      <w:r>
        <w:rPr>
          <w:i/>
          <w:iCs/>
        </w:rPr>
        <w:t>Le sacre du printemps</w:t>
      </w:r>
      <w:r>
        <w:t xml:space="preserve"> (</w:t>
      </w:r>
      <w:r>
        <w:rPr>
          <w:rStyle w:val="VerbatimChar"/>
        </w:rPr>
        <w:t>E15_Assignation_d</w:t>
      </w:r>
      <w:r w:rsidR="00E84B0E">
        <w:rPr>
          <w:rStyle w:val="VerbatimChar"/>
        </w:rPr>
        <w:t>’</w:t>
      </w:r>
      <w:r>
        <w:rPr>
          <w:rStyle w:val="VerbatimChar"/>
        </w:rPr>
        <w:t>identifiant</w:t>
      </w:r>
      <w:r>
        <w:t>) a mobilisé l</w:t>
      </w:r>
      <w:r w:rsidR="00E84B0E">
        <w:t>’</w:t>
      </w:r>
      <w:r>
        <w:t>élément constitutif (</w:t>
      </w:r>
      <w:r>
        <w:rPr>
          <w:rStyle w:val="VerbatimChar"/>
        </w:rPr>
        <w:t>P142_a_mobilisé_comme_élément</w:t>
      </w:r>
      <w:r>
        <w:t>) « œuvre chorégraphique : Bausch » (</w:t>
      </w:r>
      <w:r>
        <w:rPr>
          <w:rStyle w:val="VerbatimChar"/>
        </w:rPr>
        <w:t>E90_Objet_symbolique</w:t>
      </w:r>
      <w:r>
        <w:t xml:space="preserve">) (Brandstetter </w:t>
      </w:r>
      <w:r w:rsidR="003F7E4B">
        <w:t xml:space="preserve">&amp; </w:t>
      </w:r>
      <w:r>
        <w:t>Klein, 2015)</w:t>
      </w:r>
    </w:p>
    <w:p w14:paraId="2577D9AB" w14:textId="12717877" w:rsidR="00065317" w:rsidRDefault="005C7BF7">
      <w:pPr>
        <w:numPr>
          <w:ilvl w:val="0"/>
          <w:numId w:val="258"/>
        </w:numPr>
      </w:pPr>
      <w:r>
        <w:lastRenderedPageBreak/>
        <w:t>L</w:t>
      </w:r>
      <w:r w:rsidR="00E84B0E">
        <w:t>’</w:t>
      </w:r>
      <w:r>
        <w:t>assignation d</w:t>
      </w:r>
      <w:r w:rsidR="00E84B0E">
        <w:t>’</w:t>
      </w:r>
      <w:r>
        <w:t xml:space="preserve">un titre uniformisé au film </w:t>
      </w:r>
      <w:r>
        <w:rPr>
          <w:i/>
          <w:iCs/>
        </w:rPr>
        <w:t>King Kong</w:t>
      </w:r>
      <w:r>
        <w:t xml:space="preserve"> dirigé en 1933 par Merian C. Cooper et Ernest B. Sch</w:t>
      </w:r>
      <w:r w:rsidR="00F52177">
        <w:t>oe</w:t>
      </w:r>
      <w:r>
        <w:t>dsack (</w:t>
      </w:r>
      <w:r>
        <w:rPr>
          <w:rStyle w:val="VerbatimChar"/>
        </w:rPr>
        <w:t>E15_Assignation_d</w:t>
      </w:r>
      <w:r w:rsidR="00E84B0E">
        <w:rPr>
          <w:rStyle w:val="VerbatimChar"/>
        </w:rPr>
        <w:t>’</w:t>
      </w:r>
      <w:r>
        <w:rPr>
          <w:rStyle w:val="VerbatimChar"/>
        </w:rPr>
        <w:t>identifiant</w:t>
      </w:r>
      <w:r>
        <w:t>) a mobilisé l</w:t>
      </w:r>
      <w:r w:rsidR="00E84B0E">
        <w:t>’</w:t>
      </w:r>
      <w:r>
        <w:t>élément constitutif (</w:t>
      </w:r>
      <w:r>
        <w:rPr>
          <w:rStyle w:val="VerbatimChar"/>
        </w:rPr>
        <w:t>P142_a_mobilisé_comme_élément</w:t>
      </w:r>
      <w:r>
        <w:t>) « 1933 » (</w:t>
      </w:r>
      <w:r>
        <w:rPr>
          <w:rStyle w:val="VerbatimChar"/>
        </w:rPr>
        <w:t>E41_Appellation</w:t>
      </w:r>
      <w:r>
        <w:t xml:space="preserve">) (Goldner </w:t>
      </w:r>
      <w:r w:rsidR="003F7E4B">
        <w:t xml:space="preserve">&amp; </w:t>
      </w:r>
      <w:r>
        <w:t>Turner, 1976)</w:t>
      </w:r>
    </w:p>
    <w:p w14:paraId="01E64885" w14:textId="05BF77C5" w:rsidR="00065317" w:rsidRDefault="005C7BF7">
      <w:pPr>
        <w:numPr>
          <w:ilvl w:val="0"/>
          <w:numId w:val="258"/>
        </w:numPr>
      </w:pPr>
      <w:r>
        <w:t>L</w:t>
      </w:r>
      <w:r w:rsidR="00E84B0E">
        <w:t>’</w:t>
      </w:r>
      <w:r>
        <w:t>assignation de l</w:t>
      </w:r>
      <w:r w:rsidR="00E84B0E">
        <w:t>’</w:t>
      </w:r>
      <w:r>
        <w:t>identifiant d</w:t>
      </w:r>
      <w:r w:rsidR="00E84B0E">
        <w:t>’</w:t>
      </w:r>
      <w:r>
        <w:t>entreprise « Univerza v Ljubljani. Oddelek za bibliotekarstvo » au Département de bibliothéconomie de l</w:t>
      </w:r>
      <w:r w:rsidR="00E84B0E">
        <w:t>’</w:t>
      </w:r>
      <w:r>
        <w:t>Université de Ljubljana en 2018 (</w:t>
      </w:r>
      <w:r>
        <w:rPr>
          <w:rStyle w:val="VerbatimChar"/>
        </w:rPr>
        <w:t>E15_Assignation_d</w:t>
      </w:r>
      <w:r w:rsidR="00E84B0E">
        <w:rPr>
          <w:rStyle w:val="VerbatimChar"/>
        </w:rPr>
        <w:t>’</w:t>
      </w:r>
      <w:r>
        <w:rPr>
          <w:rStyle w:val="VerbatimChar"/>
        </w:rPr>
        <w:t>identifiant</w:t>
      </w:r>
      <w:r>
        <w:t>) a mobilisé l</w:t>
      </w:r>
      <w:r w:rsidR="00E84B0E">
        <w:t>’</w:t>
      </w:r>
      <w:r>
        <w:t>élément constitutif (</w:t>
      </w:r>
      <w:r>
        <w:rPr>
          <w:rStyle w:val="VerbatimChar"/>
        </w:rPr>
        <w:t>P142_a_mobilisé_comme_élément</w:t>
      </w:r>
      <w:r>
        <w:t>) « Univerza v Ljubljani » (</w:t>
      </w:r>
      <w:r>
        <w:rPr>
          <w:rStyle w:val="VerbatimChar"/>
        </w:rPr>
        <w:t>E42_Identifiant</w:t>
      </w:r>
      <w:r>
        <w:t>) [fait par le Department of Library and Information Science and Book Studies Library, University of Ljubljana en 2018]</w:t>
      </w:r>
    </w:p>
    <w:p w14:paraId="7A78D028" w14:textId="77777777" w:rsidR="00065317" w:rsidRDefault="005C7BF7">
      <w:pPr>
        <w:pStyle w:val="FirstParagraph"/>
      </w:pPr>
      <w:r>
        <w:rPr>
          <w:b/>
          <w:bCs/>
        </w:rPr>
        <w:t>Logique</w:t>
      </w:r>
    </w:p>
    <w:p w14:paraId="07D6976E" w14:textId="77777777" w:rsidR="00065317" w:rsidRDefault="005C7BF7">
      <w:pPr>
        <w:pStyle w:val="Corpsdetexte"/>
      </w:pPr>
      <w:r>
        <w:t>P142(x,y) ⇒ E15(x)</w:t>
      </w:r>
    </w:p>
    <w:p w14:paraId="4E7C1BF8" w14:textId="77777777" w:rsidR="00065317" w:rsidRDefault="005C7BF7">
      <w:pPr>
        <w:pStyle w:val="Corpsdetexte"/>
      </w:pPr>
      <w:r>
        <w:t>P142(x,y) ⇒ E90(y)</w:t>
      </w:r>
    </w:p>
    <w:p w14:paraId="0A49DE1A" w14:textId="77777777" w:rsidR="00065317" w:rsidRDefault="005C7BF7">
      <w:pPr>
        <w:pStyle w:val="Corpsdetexte"/>
      </w:pPr>
      <w:r>
        <w:t>P142(x,y) ⇒ P16(x,y)</w:t>
      </w:r>
    </w:p>
    <w:p w14:paraId="4EDA393A" w14:textId="77777777" w:rsidR="00065317" w:rsidRDefault="005C7BF7">
      <w:pPr>
        <w:pStyle w:val="Corpsdetexte"/>
      </w:pPr>
      <w:r>
        <w:rPr>
          <w:b/>
          <w:bCs/>
        </w:rPr>
        <w:t>Propriétés</w:t>
      </w:r>
    </w:p>
    <w:p w14:paraId="24D23F3D" w14:textId="77777777" w:rsidR="00065317" w:rsidRDefault="005C7BF7">
      <w:pPr>
        <w:pStyle w:val="Normalcentr"/>
      </w:pPr>
      <w:r>
        <w:rPr>
          <w:b/>
          <w:bCs/>
          <w:i/>
          <w:iCs/>
        </w:rPr>
        <w:t>Note de traduction</w:t>
      </w:r>
    </w:p>
    <w:p w14:paraId="30D0C07B" w14:textId="6BE93690" w:rsidR="00065317" w:rsidRDefault="005C7BF7">
      <w:pPr>
        <w:pStyle w:val="Normalcentr"/>
      </w:pPr>
      <w:r>
        <w:t>Dans le second exemple, le terme « Coventry » devrait être dans le titre de l</w:t>
      </w:r>
      <w:r w:rsidR="00E84B0E">
        <w:t>’</w:t>
      </w:r>
      <w:r>
        <w:t>œuvre mentionnée ou bien l</w:t>
      </w:r>
      <w:r w:rsidR="00E84B0E">
        <w:t>’</w:t>
      </w:r>
      <w:r>
        <w:t>exemple d</w:t>
      </w:r>
      <w:r w:rsidR="00E84B0E">
        <w:t>’</w:t>
      </w:r>
      <w:r>
        <w:t>élément constitutif devrait être un exemple tiré du titre, comme « Adoration ».</w:t>
      </w:r>
    </w:p>
    <w:p w14:paraId="4B92B153" w14:textId="74594C02" w:rsidR="00065317" w:rsidRDefault="005C7BF7" w:rsidP="00826CB0">
      <w:pPr>
        <w:pStyle w:val="Normalcentr"/>
      </w:pPr>
      <w:r>
        <w:rPr>
          <w:b/>
          <w:bCs/>
          <w:i/>
          <w:iCs/>
        </w:rPr>
        <w:t>Références</w:t>
      </w:r>
    </w:p>
    <w:p w14:paraId="55A9A899" w14:textId="77777777" w:rsidR="00065317" w:rsidRDefault="005C7BF7" w:rsidP="00914F34">
      <w:pPr>
        <w:pStyle w:val="Titre3"/>
      </w:pPr>
      <w:bookmarkStart w:id="504" w:name="_Toc154048937"/>
      <w:bookmarkStart w:id="505" w:name="p143-a-fait-adherer-(a-adhere-par)"/>
      <w:bookmarkEnd w:id="503"/>
      <w:r>
        <w:t>P143 a fait adhérer (a adhéré par)</w:t>
      </w:r>
      <w:bookmarkEnd w:id="504"/>
    </w:p>
    <w:p w14:paraId="68B5E18D" w14:textId="77777777" w:rsidR="00065317" w:rsidRDefault="005C7BF7">
      <w:pPr>
        <w:pStyle w:val="FirstParagraph"/>
      </w:pPr>
      <w:r>
        <w:rPr>
          <w:b/>
          <w:bCs/>
        </w:rPr>
        <w:t>Domaine</w:t>
      </w:r>
    </w:p>
    <w:p w14:paraId="249AD49D" w14:textId="77777777" w:rsidR="00065317" w:rsidRDefault="005C7BF7">
      <w:pPr>
        <w:pStyle w:val="Corpsdetexte"/>
      </w:pPr>
      <w:r>
        <w:rPr>
          <w:rStyle w:val="VerbatimChar"/>
        </w:rPr>
        <w:t>E85_Adhésion</w:t>
      </w:r>
    </w:p>
    <w:p w14:paraId="62DB3E36" w14:textId="77777777" w:rsidR="00065317" w:rsidRDefault="005C7BF7">
      <w:pPr>
        <w:pStyle w:val="Corpsdetexte"/>
      </w:pPr>
      <w:r>
        <w:rPr>
          <w:b/>
          <w:bCs/>
        </w:rPr>
        <w:t>Portée</w:t>
      </w:r>
    </w:p>
    <w:p w14:paraId="0FEE79C8" w14:textId="77777777" w:rsidR="00065317" w:rsidRDefault="005C7BF7">
      <w:pPr>
        <w:pStyle w:val="Corpsdetexte"/>
      </w:pPr>
      <w:r>
        <w:rPr>
          <w:rStyle w:val="VerbatimChar"/>
        </w:rPr>
        <w:t>E39_Actant</w:t>
      </w:r>
    </w:p>
    <w:p w14:paraId="4AC2B12B" w14:textId="77777777" w:rsidR="00065317" w:rsidRDefault="005C7BF7">
      <w:pPr>
        <w:pStyle w:val="Corpsdetexte"/>
      </w:pPr>
      <w:r>
        <w:rPr>
          <w:b/>
          <w:bCs/>
        </w:rPr>
        <w:t>Sous-propriété de</w:t>
      </w:r>
    </w:p>
    <w:p w14:paraId="2A138B59" w14:textId="77777777" w:rsidR="00065317" w:rsidRDefault="005C7BF7">
      <w:pPr>
        <w:pStyle w:val="Corpsdetexte"/>
      </w:pPr>
      <w:r>
        <w:rPr>
          <w:rStyle w:val="VerbatimChar"/>
        </w:rPr>
        <w:t>E5_Évènement</w:t>
      </w:r>
      <w:r>
        <w:t xml:space="preserve">. </w:t>
      </w:r>
      <w:r>
        <w:rPr>
          <w:rStyle w:val="VerbatimChar"/>
        </w:rPr>
        <w:t>P11_a_eu_pour_actant_participant (a_participé_à)</w:t>
      </w:r>
      <w:r>
        <w:t xml:space="preserve"> : </w:t>
      </w:r>
      <w:r>
        <w:rPr>
          <w:rStyle w:val="VerbatimChar"/>
        </w:rPr>
        <w:t>E39_Actant</w:t>
      </w:r>
    </w:p>
    <w:p w14:paraId="4AD5AF2C" w14:textId="77777777" w:rsidR="00065317" w:rsidRDefault="005C7BF7">
      <w:pPr>
        <w:pStyle w:val="Corpsdetexte"/>
      </w:pPr>
      <w:r>
        <w:rPr>
          <w:b/>
          <w:bCs/>
        </w:rPr>
        <w:t>Super-propriété de</w:t>
      </w:r>
    </w:p>
    <w:p w14:paraId="02ADFCA9" w14:textId="77777777" w:rsidR="00065317" w:rsidRDefault="005C7BF7">
      <w:pPr>
        <w:pStyle w:val="Corpsdetexte"/>
      </w:pPr>
      <w:r>
        <w:rPr>
          <w:b/>
          <w:bCs/>
        </w:rPr>
        <w:t>Quantification</w:t>
      </w:r>
    </w:p>
    <w:p w14:paraId="67C2926B" w14:textId="77777777" w:rsidR="00065317" w:rsidRDefault="005C7BF7">
      <w:pPr>
        <w:pStyle w:val="Corpsdetexte"/>
      </w:pPr>
      <w:r>
        <w:t>plusieurs à plusieurs, nécessaire (1,n:0,n)</w:t>
      </w:r>
    </w:p>
    <w:p w14:paraId="2E780777" w14:textId="4512B835" w:rsidR="00065317" w:rsidRDefault="005C7BF7">
      <w:pPr>
        <w:pStyle w:val="Corpsdetexte"/>
      </w:pPr>
      <w:r>
        <w:rPr>
          <w:b/>
          <w:bCs/>
        </w:rPr>
        <w:t>Note d</w:t>
      </w:r>
      <w:r w:rsidR="00E84B0E">
        <w:rPr>
          <w:b/>
          <w:bCs/>
        </w:rPr>
        <w:t>’</w:t>
      </w:r>
      <w:r>
        <w:rPr>
          <w:b/>
          <w:bCs/>
        </w:rPr>
        <w:t>application</w:t>
      </w:r>
    </w:p>
    <w:p w14:paraId="4DC31C9F" w14:textId="549AA8D5" w:rsidR="00065317" w:rsidRDefault="005C7BF7">
      <w:pPr>
        <w:pStyle w:val="Corpsdetexte"/>
      </w:pPr>
      <w:r>
        <w:t>Cette propriété identifie l</w:t>
      </w:r>
      <w:r w:rsidR="00E84B0E">
        <w:t>’</w:t>
      </w:r>
      <w:r>
        <w:t xml:space="preserve">instance de </w:t>
      </w:r>
      <w:r>
        <w:rPr>
          <w:rStyle w:val="VerbatimChar"/>
        </w:rPr>
        <w:t>E39_Actant</w:t>
      </w:r>
      <w:r>
        <w:t xml:space="preserve"> qui devient membre d</w:t>
      </w:r>
      <w:r w:rsidR="00E84B0E">
        <w:t>’</w:t>
      </w:r>
      <w:r>
        <w:t xml:space="preserve">une instance de </w:t>
      </w:r>
      <w:r>
        <w:rPr>
          <w:rStyle w:val="VerbatimChar"/>
        </w:rPr>
        <w:t>E74_Groupe</w:t>
      </w:r>
      <w:r>
        <w:t xml:space="preserve"> par l</w:t>
      </w:r>
      <w:r w:rsidR="00E84B0E">
        <w:t>’</w:t>
      </w:r>
      <w:r>
        <w:t>intermédiaire d</w:t>
      </w:r>
      <w:r w:rsidR="00E84B0E">
        <w:t>’</w:t>
      </w:r>
      <w:r>
        <w:t xml:space="preserve">une instance de </w:t>
      </w:r>
      <w:r>
        <w:rPr>
          <w:rStyle w:val="VerbatimChar"/>
        </w:rPr>
        <w:t>E85_Adhésion</w:t>
      </w:r>
      <w:r>
        <w:t>.</w:t>
      </w:r>
    </w:p>
    <w:p w14:paraId="512DE909" w14:textId="4D0C3CEB" w:rsidR="00065317" w:rsidRDefault="005C7BF7">
      <w:pPr>
        <w:pStyle w:val="Corpsdetexte"/>
      </w:pPr>
      <w:r>
        <w:t>Les évènements d</w:t>
      </w:r>
      <w:r w:rsidR="00E84B0E">
        <w:t>’</w:t>
      </w:r>
      <w:r>
        <w:t>adhésion permettent de décrire des actants devenant membres d</w:t>
      </w:r>
      <w:r w:rsidR="00E84B0E">
        <w:t>’</w:t>
      </w:r>
      <w:r>
        <w:t xml:space="preserve">un groupe avec le chemin sémantique plus détaillé </w:t>
      </w:r>
      <w:r>
        <w:rPr>
          <w:rStyle w:val="VerbatimChar"/>
        </w:rPr>
        <w:t>E74_Groupe</w:t>
      </w:r>
      <w:r>
        <w:t xml:space="preserve">, </w:t>
      </w:r>
      <w:r>
        <w:rPr>
          <w:rStyle w:val="VerbatimChar"/>
        </w:rPr>
        <w:t>P144i_a_accueilli_le_membre_par</w:t>
      </w:r>
      <w:r>
        <w:t xml:space="preserve">, </w:t>
      </w:r>
      <w:r>
        <w:rPr>
          <w:rStyle w:val="VerbatimChar"/>
        </w:rPr>
        <w:t>E85_Adhésion</w:t>
      </w:r>
      <w:r>
        <w:t xml:space="preserve">, </w:t>
      </w:r>
      <w:r>
        <w:rPr>
          <w:rStyle w:val="VerbatimChar"/>
        </w:rPr>
        <w:t>P143_a_fait_adhérer</w:t>
      </w:r>
      <w:r>
        <w:t xml:space="preserve">, </w:t>
      </w:r>
      <w:r>
        <w:rPr>
          <w:rStyle w:val="VerbatimChar"/>
        </w:rPr>
        <w:t>E39_Actant</w:t>
      </w:r>
      <w:r>
        <w:t xml:space="preserve">, en comparaison du raccourci possible </w:t>
      </w:r>
      <w:r>
        <w:rPr>
          <w:rStyle w:val="VerbatimChar"/>
        </w:rPr>
        <w:t>P107_a_pour_membre_actuel_ou_antérieur (est_le_membre_actuel_ou_antérieur_de)</w:t>
      </w:r>
      <w:r>
        <w:t>.</w:t>
      </w:r>
    </w:p>
    <w:p w14:paraId="55D2A27C" w14:textId="77777777" w:rsidR="00DE6C24" w:rsidRDefault="00DE6C24">
      <w:pPr>
        <w:spacing w:after="0"/>
        <w:rPr>
          <w:b/>
          <w:bCs/>
        </w:rPr>
      </w:pPr>
      <w:r>
        <w:rPr>
          <w:b/>
          <w:bCs/>
        </w:rPr>
        <w:br w:type="page"/>
      </w:r>
    </w:p>
    <w:p w14:paraId="6951DFF9" w14:textId="6BC092F5" w:rsidR="00065317" w:rsidRDefault="005C7BF7">
      <w:pPr>
        <w:pStyle w:val="Corpsdetexte"/>
      </w:pPr>
      <w:r>
        <w:rPr>
          <w:b/>
          <w:bCs/>
        </w:rPr>
        <w:lastRenderedPageBreak/>
        <w:t>Exemples</w:t>
      </w:r>
    </w:p>
    <w:p w14:paraId="050A4E45" w14:textId="3BEA513C" w:rsidR="00065317" w:rsidRDefault="005C7BF7">
      <w:pPr>
        <w:numPr>
          <w:ilvl w:val="0"/>
          <w:numId w:val="259"/>
        </w:numPr>
      </w:pPr>
      <w:r>
        <w:t>L</w:t>
      </w:r>
      <w:r w:rsidR="00E84B0E">
        <w:t>’</w:t>
      </w:r>
      <w:r>
        <w:t>élection de Sir Isaac Newton en tant que membre du Parlement d</w:t>
      </w:r>
      <w:r w:rsidR="00E84B0E">
        <w:t>’</w:t>
      </w:r>
      <w:r>
        <w:t>Angleterre à la convention du Parlement de 1689 (</w:t>
      </w:r>
      <w:r>
        <w:rPr>
          <w:rStyle w:val="VerbatimChar"/>
        </w:rPr>
        <w:t>E85_Adhésion</w:t>
      </w:r>
      <w:r>
        <w:t>) a fait adhérer (</w:t>
      </w:r>
      <w:r>
        <w:rPr>
          <w:rStyle w:val="VerbatimChar"/>
        </w:rPr>
        <w:t>P143_a_fait_adhérer</w:t>
      </w:r>
      <w:r>
        <w:t>) Sir Isaac Newton (</w:t>
      </w:r>
      <w:r>
        <w:rPr>
          <w:rStyle w:val="VerbatimChar"/>
        </w:rPr>
        <w:t>E21_Personne</w:t>
      </w:r>
      <w:r>
        <w:t>) (Iliffe, 2013)</w:t>
      </w:r>
    </w:p>
    <w:p w14:paraId="77695560" w14:textId="51FDB6E0" w:rsidR="00065317" w:rsidRDefault="005C7BF7">
      <w:pPr>
        <w:numPr>
          <w:ilvl w:val="0"/>
          <w:numId w:val="259"/>
        </w:numPr>
      </w:pPr>
      <w:r>
        <w:t>L</w:t>
      </w:r>
      <w:r w:rsidR="00E84B0E">
        <w:t>’</w:t>
      </w:r>
      <w:r>
        <w:t>investiture de Mikhaïl Sergueïevitch Gorbatchev en tant que dirigeant de l</w:t>
      </w:r>
      <w:r w:rsidR="00E84B0E">
        <w:t>’</w:t>
      </w:r>
      <w:r>
        <w:t>Union des républiques socialistes soviétiques (URSS) en 1985 (</w:t>
      </w:r>
      <w:r>
        <w:rPr>
          <w:rStyle w:val="VerbatimChar"/>
        </w:rPr>
        <w:t>E85_Adhésion</w:t>
      </w:r>
      <w:r>
        <w:t>) a fait adhérer (</w:t>
      </w:r>
      <w:r>
        <w:rPr>
          <w:rStyle w:val="VerbatimChar"/>
        </w:rPr>
        <w:t>P143_a_fait_adhérer</w:t>
      </w:r>
      <w:r>
        <w:t>) Mikhail Sergeyevich Gorbachev (</w:t>
      </w:r>
      <w:r>
        <w:rPr>
          <w:rStyle w:val="VerbatimChar"/>
        </w:rPr>
        <w:t>E21_Personne</w:t>
      </w:r>
      <w:r>
        <w:t>) (Galeotti, 1997)</w:t>
      </w:r>
    </w:p>
    <w:p w14:paraId="1EFD3971" w14:textId="58BF2AED" w:rsidR="00065317" w:rsidRDefault="005C7BF7">
      <w:pPr>
        <w:numPr>
          <w:ilvl w:val="0"/>
          <w:numId w:val="259"/>
        </w:numPr>
      </w:pPr>
      <w:r>
        <w:t>La mise en application du traité d</w:t>
      </w:r>
      <w:r w:rsidR="00E84B0E">
        <w:t>’</w:t>
      </w:r>
      <w:r>
        <w:t>adhésion du Danemark à la Communauté économique européenne le 1</w:t>
      </w:r>
      <w:r>
        <w:rPr>
          <w:vertAlign w:val="superscript"/>
        </w:rPr>
        <w:t>er</w:t>
      </w:r>
      <w:r w:rsidR="00056DCD">
        <w:t> janvier </w:t>
      </w:r>
      <w:r>
        <w:t>1973 (</w:t>
      </w:r>
      <w:r>
        <w:rPr>
          <w:rStyle w:val="VerbatimChar"/>
        </w:rPr>
        <w:t>E85_Adhésion</w:t>
      </w:r>
      <w:r>
        <w:t>) a fait adhérer (</w:t>
      </w:r>
      <w:r>
        <w:rPr>
          <w:rStyle w:val="VerbatimChar"/>
        </w:rPr>
        <w:t>P143_a_fait_adhérer</w:t>
      </w:r>
      <w:r>
        <w:t>) le Danemark (</w:t>
      </w:r>
      <w:r>
        <w:rPr>
          <w:rStyle w:val="VerbatimChar"/>
        </w:rPr>
        <w:t>E74_Groupe</w:t>
      </w:r>
      <w:r>
        <w:t>) à la Communauté économique européenne.</w:t>
      </w:r>
    </w:p>
    <w:p w14:paraId="73915760" w14:textId="77777777" w:rsidR="00065317" w:rsidRDefault="005C7BF7">
      <w:pPr>
        <w:pStyle w:val="FirstParagraph"/>
      </w:pPr>
      <w:r>
        <w:rPr>
          <w:b/>
          <w:bCs/>
        </w:rPr>
        <w:t>Logique</w:t>
      </w:r>
    </w:p>
    <w:p w14:paraId="29D1E7FA" w14:textId="77777777" w:rsidR="00065317" w:rsidRDefault="005C7BF7">
      <w:pPr>
        <w:pStyle w:val="Corpsdetexte"/>
      </w:pPr>
      <w:r>
        <w:t>P143(x,y) ⇒ E85(x)</w:t>
      </w:r>
    </w:p>
    <w:p w14:paraId="74BD1D16" w14:textId="77777777" w:rsidR="00065317" w:rsidRDefault="005C7BF7">
      <w:pPr>
        <w:pStyle w:val="Corpsdetexte"/>
      </w:pPr>
      <w:r>
        <w:t>P143(x,y) ⇒ E39(y)</w:t>
      </w:r>
    </w:p>
    <w:p w14:paraId="1611C8D6" w14:textId="77777777" w:rsidR="00065317" w:rsidRDefault="005C7BF7">
      <w:pPr>
        <w:pStyle w:val="Corpsdetexte"/>
      </w:pPr>
      <w:r>
        <w:t>P143(x,y) ⇒ P11(x,y)</w:t>
      </w:r>
    </w:p>
    <w:p w14:paraId="43526653" w14:textId="77777777" w:rsidR="00065317" w:rsidRDefault="005C7BF7">
      <w:pPr>
        <w:pStyle w:val="Corpsdetexte"/>
      </w:pPr>
      <w:r>
        <w:rPr>
          <w:b/>
          <w:bCs/>
        </w:rPr>
        <w:t>Propriétés</w:t>
      </w:r>
    </w:p>
    <w:p w14:paraId="4B2C5AEA" w14:textId="77777777" w:rsidR="00065317" w:rsidRPr="001C1490" w:rsidRDefault="005C7BF7">
      <w:pPr>
        <w:pStyle w:val="Normalcentr"/>
        <w:rPr>
          <w:lang w:val="fr-CA"/>
        </w:rPr>
      </w:pPr>
      <w:r w:rsidRPr="001C1490">
        <w:rPr>
          <w:b/>
          <w:bCs/>
          <w:i/>
          <w:iCs/>
          <w:lang w:val="fr-CA"/>
        </w:rPr>
        <w:t>Note de traduction</w:t>
      </w:r>
    </w:p>
    <w:p w14:paraId="7FA897E6" w14:textId="20C5DCA5" w:rsidR="00065317" w:rsidRDefault="005C7BF7">
      <w:pPr>
        <w:pStyle w:val="Normalcentr"/>
      </w:pPr>
      <w:r w:rsidRPr="001C1490">
        <w:rPr>
          <w:lang w:val="fr-CA"/>
        </w:rPr>
        <w:t xml:space="preserve">Dans la phrase « The implementation of the membership treaty January 1. </w:t>
      </w:r>
      <w:r>
        <w:t xml:space="preserve">1973 between EU and Denmark (E85) </w:t>
      </w:r>
      <w:r>
        <w:rPr>
          <w:i/>
          <w:iCs/>
        </w:rPr>
        <w:t>joined</w:t>
      </w:r>
      <w:r>
        <w:t xml:space="preserve"> Denmark (E74) », « EU » a été traduit par « Communauté économique européenne</w:t>
      </w:r>
      <w:r w:rsidR="00982737">
        <w:t> </w:t>
      </w:r>
      <w:r>
        <w:t>», l</w:t>
      </w:r>
      <w:r w:rsidR="00E84B0E">
        <w:t>’</w:t>
      </w:r>
      <w:r>
        <w:t>Union Européenne n</w:t>
      </w:r>
      <w:r w:rsidR="00E84B0E">
        <w:t>’</w:t>
      </w:r>
      <w:r>
        <w:t>existant pas en 1973.</w:t>
      </w:r>
    </w:p>
    <w:p w14:paraId="61C39B78" w14:textId="61AE596A" w:rsidR="00065317" w:rsidRDefault="005C7BF7" w:rsidP="00982737">
      <w:pPr>
        <w:pStyle w:val="Normalcentr"/>
      </w:pPr>
      <w:r>
        <w:rPr>
          <w:b/>
          <w:bCs/>
          <w:i/>
          <w:iCs/>
        </w:rPr>
        <w:t>Références</w:t>
      </w:r>
    </w:p>
    <w:p w14:paraId="28302676" w14:textId="77777777" w:rsidR="00065317" w:rsidRDefault="005C7BF7" w:rsidP="00914F34">
      <w:pPr>
        <w:pStyle w:val="Titre3"/>
      </w:pPr>
      <w:bookmarkStart w:id="506" w:name="_Toc154048938"/>
      <w:bookmarkStart w:id="507" w:name="Xe62b65d0c4a40ce961d71dbd0a2b56a3a187435"/>
      <w:bookmarkEnd w:id="505"/>
      <w:r>
        <w:t>P144 a fait adhérer à (a accueilli le membre par)</w:t>
      </w:r>
      <w:bookmarkEnd w:id="506"/>
    </w:p>
    <w:p w14:paraId="5A403B82" w14:textId="77777777" w:rsidR="00065317" w:rsidRDefault="005C7BF7">
      <w:pPr>
        <w:pStyle w:val="FirstParagraph"/>
      </w:pPr>
      <w:r>
        <w:rPr>
          <w:b/>
          <w:bCs/>
        </w:rPr>
        <w:t>Domaine</w:t>
      </w:r>
    </w:p>
    <w:p w14:paraId="6D37BE5E" w14:textId="77777777" w:rsidR="00065317" w:rsidRDefault="005C7BF7">
      <w:pPr>
        <w:pStyle w:val="Corpsdetexte"/>
      </w:pPr>
      <w:r>
        <w:rPr>
          <w:rStyle w:val="VerbatimChar"/>
        </w:rPr>
        <w:t>E85_Adhésion</w:t>
      </w:r>
    </w:p>
    <w:p w14:paraId="0E8F1BAE" w14:textId="77777777" w:rsidR="00065317" w:rsidRDefault="005C7BF7">
      <w:pPr>
        <w:pStyle w:val="Corpsdetexte"/>
      </w:pPr>
      <w:r>
        <w:rPr>
          <w:b/>
          <w:bCs/>
        </w:rPr>
        <w:t>Portée</w:t>
      </w:r>
    </w:p>
    <w:p w14:paraId="23259BAF" w14:textId="77777777" w:rsidR="00065317" w:rsidRDefault="005C7BF7">
      <w:pPr>
        <w:pStyle w:val="Corpsdetexte"/>
      </w:pPr>
      <w:r>
        <w:rPr>
          <w:rStyle w:val="VerbatimChar"/>
        </w:rPr>
        <w:t>E74_Groupe</w:t>
      </w:r>
    </w:p>
    <w:p w14:paraId="74D24843" w14:textId="77777777" w:rsidR="00065317" w:rsidRDefault="005C7BF7">
      <w:pPr>
        <w:pStyle w:val="Corpsdetexte"/>
      </w:pPr>
      <w:r>
        <w:rPr>
          <w:b/>
          <w:bCs/>
        </w:rPr>
        <w:t>Sous-propriété de</w:t>
      </w:r>
    </w:p>
    <w:p w14:paraId="422B1B51" w14:textId="77777777" w:rsidR="00065317" w:rsidRDefault="005C7BF7">
      <w:pPr>
        <w:pStyle w:val="Corpsdetexte"/>
      </w:pPr>
      <w:r>
        <w:rPr>
          <w:rStyle w:val="VerbatimChar"/>
        </w:rPr>
        <w:t>E5_Évènement</w:t>
      </w:r>
      <w:r>
        <w:t xml:space="preserve">. </w:t>
      </w:r>
      <w:r>
        <w:rPr>
          <w:rStyle w:val="VerbatimChar"/>
        </w:rPr>
        <w:t>P11_a_eu_pour_actant_participant (a_participé_à)</w:t>
      </w:r>
      <w:r>
        <w:t xml:space="preserve"> : </w:t>
      </w:r>
      <w:r>
        <w:rPr>
          <w:rStyle w:val="VerbatimChar"/>
        </w:rPr>
        <w:t>E39_Actant</w:t>
      </w:r>
    </w:p>
    <w:p w14:paraId="0AC3B856" w14:textId="77777777" w:rsidR="00065317" w:rsidRDefault="005C7BF7">
      <w:pPr>
        <w:pStyle w:val="Corpsdetexte"/>
      </w:pPr>
      <w:r>
        <w:rPr>
          <w:b/>
          <w:bCs/>
        </w:rPr>
        <w:t>Super-propriété de</w:t>
      </w:r>
    </w:p>
    <w:p w14:paraId="118380C7" w14:textId="77777777" w:rsidR="00065317" w:rsidRDefault="005C7BF7">
      <w:pPr>
        <w:pStyle w:val="Corpsdetexte"/>
      </w:pPr>
      <w:r>
        <w:rPr>
          <w:b/>
          <w:bCs/>
        </w:rPr>
        <w:t>Quantification</w:t>
      </w:r>
    </w:p>
    <w:p w14:paraId="7CF01B58" w14:textId="77777777" w:rsidR="00065317" w:rsidRDefault="005C7BF7">
      <w:pPr>
        <w:pStyle w:val="Corpsdetexte"/>
      </w:pPr>
      <w:r>
        <w:t>plusieurs à plusieurs, nécessaire (1,n:0,n)</w:t>
      </w:r>
    </w:p>
    <w:p w14:paraId="225602FF" w14:textId="210D99E4" w:rsidR="00065317" w:rsidRDefault="005C7BF7">
      <w:pPr>
        <w:pStyle w:val="Corpsdetexte"/>
      </w:pPr>
      <w:r>
        <w:rPr>
          <w:b/>
          <w:bCs/>
        </w:rPr>
        <w:t>Note d</w:t>
      </w:r>
      <w:r w:rsidR="00E84B0E">
        <w:rPr>
          <w:b/>
          <w:bCs/>
        </w:rPr>
        <w:t>’</w:t>
      </w:r>
      <w:r>
        <w:rPr>
          <w:b/>
          <w:bCs/>
        </w:rPr>
        <w:t>application</w:t>
      </w:r>
    </w:p>
    <w:p w14:paraId="58BDA636" w14:textId="545A78C9" w:rsidR="00065317" w:rsidRDefault="005C7BF7">
      <w:pPr>
        <w:pStyle w:val="Corpsdetexte"/>
      </w:pPr>
      <w:r>
        <w:t>Cette propriété identifie l</w:t>
      </w:r>
      <w:r w:rsidR="00E84B0E">
        <w:t>’</w:t>
      </w:r>
      <w:r>
        <w:t xml:space="preserve">instance de </w:t>
      </w:r>
      <w:r>
        <w:rPr>
          <w:rStyle w:val="VerbatimChar"/>
        </w:rPr>
        <w:t>E74_Groupe</w:t>
      </w:r>
      <w:r>
        <w:t xml:space="preserve"> dont une instance de </w:t>
      </w:r>
      <w:r>
        <w:rPr>
          <w:rStyle w:val="VerbatimChar"/>
        </w:rPr>
        <w:t>E39_Actant</w:t>
      </w:r>
      <w:r>
        <w:t xml:space="preserve"> devient membre par l</w:t>
      </w:r>
      <w:r w:rsidR="00E84B0E">
        <w:t>’</w:t>
      </w:r>
      <w:r>
        <w:t>intermédiaire d</w:t>
      </w:r>
      <w:r w:rsidR="00E84B0E">
        <w:t>’</w:t>
      </w:r>
      <w:r>
        <w:t xml:space="preserve">une instance de </w:t>
      </w:r>
      <w:r>
        <w:rPr>
          <w:rStyle w:val="VerbatimChar"/>
        </w:rPr>
        <w:t>E85_Adhésion</w:t>
      </w:r>
      <w:r>
        <w:t>.</w:t>
      </w:r>
    </w:p>
    <w:p w14:paraId="7E9E3A95" w14:textId="4394D5E3" w:rsidR="00065317" w:rsidRDefault="005C7BF7">
      <w:pPr>
        <w:pStyle w:val="Corpsdetexte"/>
      </w:pPr>
      <w:r>
        <w:t>Bien qu</w:t>
      </w:r>
      <w:r w:rsidR="00E84B0E">
        <w:t>’</w:t>
      </w:r>
      <w:r>
        <w:t>une activité d</w:t>
      </w:r>
      <w:r w:rsidR="00E84B0E">
        <w:t>’</w:t>
      </w:r>
      <w:r>
        <w:t>adhésion ne concerne normalement qu</w:t>
      </w:r>
      <w:r w:rsidR="00E84B0E">
        <w:t>’</w:t>
      </w:r>
      <w:r>
        <w:t xml:space="preserve">une seule instance de </w:t>
      </w:r>
      <w:r>
        <w:rPr>
          <w:rStyle w:val="VerbatimChar"/>
        </w:rPr>
        <w:t>E74_Groupe</w:t>
      </w:r>
      <w:r>
        <w:t>, il est possible d</w:t>
      </w:r>
      <w:r w:rsidR="00E84B0E">
        <w:t>’</w:t>
      </w:r>
      <w:r>
        <w:t>imaginer des circonstances selon lesquelles devenir membre d</w:t>
      </w:r>
      <w:r w:rsidR="00E84B0E">
        <w:t>’</w:t>
      </w:r>
      <w:r>
        <w:t>un groupe implique également de devenir membre d</w:t>
      </w:r>
      <w:r w:rsidR="00E84B0E">
        <w:t>’</w:t>
      </w:r>
      <w:r>
        <w:t>un autre groupe.</w:t>
      </w:r>
    </w:p>
    <w:p w14:paraId="173A6596" w14:textId="433F846B" w:rsidR="00065317" w:rsidRDefault="005C7BF7">
      <w:pPr>
        <w:pStyle w:val="Corpsdetexte"/>
      </w:pPr>
      <w:r>
        <w:lastRenderedPageBreak/>
        <w:t>Les évènements d</w:t>
      </w:r>
      <w:r w:rsidR="00E84B0E">
        <w:t>’</w:t>
      </w:r>
      <w:r>
        <w:t>adhésion permettent de décrire les personnes qui deviennent membres d</w:t>
      </w:r>
      <w:r w:rsidR="00E84B0E">
        <w:t>’</w:t>
      </w:r>
      <w:r>
        <w:t xml:space="preserve">un groupe avec le chemin sémantique plus détaillé </w:t>
      </w:r>
      <w:r>
        <w:rPr>
          <w:rStyle w:val="VerbatimChar"/>
        </w:rPr>
        <w:t>E74_Groupe</w:t>
      </w:r>
      <w:r>
        <w:t xml:space="preserve">, </w:t>
      </w:r>
      <w:r>
        <w:rPr>
          <w:rStyle w:val="VerbatimChar"/>
        </w:rPr>
        <w:t>P144i_a_accueilli_le_membre_par</w:t>
      </w:r>
      <w:r>
        <w:t xml:space="preserve">, </w:t>
      </w:r>
      <w:r>
        <w:rPr>
          <w:rStyle w:val="VerbatimChar"/>
        </w:rPr>
        <w:t>E85_Adhésion</w:t>
      </w:r>
      <w:r>
        <w:t xml:space="preserve">, </w:t>
      </w:r>
      <w:r>
        <w:rPr>
          <w:rStyle w:val="VerbatimChar"/>
        </w:rPr>
        <w:t>P143_a_fait_adhérer</w:t>
      </w:r>
      <w:r>
        <w:t xml:space="preserve">, </w:t>
      </w:r>
      <w:r>
        <w:rPr>
          <w:rStyle w:val="VerbatimChar"/>
        </w:rPr>
        <w:t>E39_Actant</w:t>
      </w:r>
      <w:r>
        <w:t xml:space="preserve">, comparativement au raccourci offert par </w:t>
      </w:r>
      <w:r>
        <w:rPr>
          <w:rStyle w:val="VerbatimChar"/>
        </w:rPr>
        <w:t>P107_a_pour_membre_actuel_ou_antérieur (est_le_membre_actuel_ou_antérieur_de)</w:t>
      </w:r>
      <w:r>
        <w:t>.</w:t>
      </w:r>
    </w:p>
    <w:p w14:paraId="3657DDEB" w14:textId="6BC412F1" w:rsidR="00065317" w:rsidRDefault="005C7BF7">
      <w:pPr>
        <w:pStyle w:val="Corpsdetexte"/>
      </w:pPr>
      <w:r>
        <w:t xml:space="preserve">La propriété </w:t>
      </w:r>
      <w:r>
        <w:rPr>
          <w:rStyle w:val="VerbatimChar"/>
        </w:rPr>
        <w:t>P144.1_sorte_de_membre</w:t>
      </w:r>
      <w:r>
        <w:t xml:space="preserve"> peut être utilisée pour spécifier le type d</w:t>
      </w:r>
      <w:r w:rsidR="00E84B0E">
        <w:t>’</w:t>
      </w:r>
      <w:r>
        <w:t>appartenance ou le rôle du membre dans le groupe.</w:t>
      </w:r>
    </w:p>
    <w:p w14:paraId="63E96393" w14:textId="77777777" w:rsidR="00065317" w:rsidRDefault="005C7BF7">
      <w:pPr>
        <w:pStyle w:val="Corpsdetexte"/>
      </w:pPr>
      <w:r>
        <w:rPr>
          <w:b/>
          <w:bCs/>
        </w:rPr>
        <w:t>Exemples</w:t>
      </w:r>
    </w:p>
    <w:p w14:paraId="0B9DEB20" w14:textId="3E90A803" w:rsidR="00065317" w:rsidRDefault="005C7BF7">
      <w:pPr>
        <w:numPr>
          <w:ilvl w:val="0"/>
          <w:numId w:val="260"/>
        </w:numPr>
      </w:pPr>
      <w:r>
        <w:t>L</w:t>
      </w:r>
      <w:r w:rsidR="00E84B0E">
        <w:t>’</w:t>
      </w:r>
      <w:r>
        <w:t>élection de Sir Isaac Newton en tant que membre du Parlement d</w:t>
      </w:r>
      <w:r w:rsidR="00E84B0E">
        <w:t>’</w:t>
      </w:r>
      <w:r>
        <w:t>Angleterre à la convention du Parlement de 1689 (</w:t>
      </w:r>
      <w:r>
        <w:rPr>
          <w:rStyle w:val="VerbatimChar"/>
        </w:rPr>
        <w:t>E85_Adhésion</w:t>
      </w:r>
      <w:r>
        <w:t>) l</w:t>
      </w:r>
      <w:r w:rsidR="00E84B0E">
        <w:t>’</w:t>
      </w:r>
      <w:r>
        <w:t>a fait adhérer à (</w:t>
      </w:r>
      <w:r>
        <w:rPr>
          <w:rStyle w:val="VerbatimChar"/>
        </w:rPr>
        <w:t>P144_a_fait_adhérer_à</w:t>
      </w:r>
      <w:r>
        <w:t>) la convention du Parlement (</w:t>
      </w:r>
      <w:r>
        <w:rPr>
          <w:rStyle w:val="VerbatimChar"/>
        </w:rPr>
        <w:t>E74_Groupe</w:t>
      </w:r>
      <w:r>
        <w:t>) (Iliffe, 2013)</w:t>
      </w:r>
    </w:p>
    <w:p w14:paraId="4451F39B" w14:textId="52017B3D" w:rsidR="00065317" w:rsidRDefault="005C7BF7">
      <w:pPr>
        <w:numPr>
          <w:ilvl w:val="0"/>
          <w:numId w:val="260"/>
        </w:numPr>
      </w:pPr>
      <w:r>
        <w:t>L</w:t>
      </w:r>
      <w:r w:rsidR="00E84B0E">
        <w:t>’</w:t>
      </w:r>
      <w:r>
        <w:t>investiture de Mikhaïl Sergueïevitch Gorbatchev en tant que dirigeant de l</w:t>
      </w:r>
      <w:r w:rsidR="00E84B0E">
        <w:t>’</w:t>
      </w:r>
      <w:r>
        <w:t>Union des républiques socialistes soviétiques (URSS) en 1985 (</w:t>
      </w:r>
      <w:r>
        <w:rPr>
          <w:rStyle w:val="VerbatimChar"/>
        </w:rPr>
        <w:t>E85_Adhésion</w:t>
      </w:r>
      <w:r>
        <w:t>) l</w:t>
      </w:r>
      <w:r w:rsidR="00E84B0E">
        <w:t>’</w:t>
      </w:r>
      <w:r>
        <w:t>a fait adhérer à (</w:t>
      </w:r>
      <w:r>
        <w:rPr>
          <w:rStyle w:val="VerbatimChar"/>
        </w:rPr>
        <w:t>P144_a_fait_adhérer_à</w:t>
      </w:r>
      <w:r>
        <w:t>) l</w:t>
      </w:r>
      <w:r w:rsidR="00E84B0E">
        <w:t>’</w:t>
      </w:r>
      <w:r>
        <w:t>Union des républiques socialistes soviétiques (URSS) (</w:t>
      </w:r>
      <w:r>
        <w:rPr>
          <w:rStyle w:val="VerbatimChar"/>
        </w:rPr>
        <w:t>E74_Groupe</w:t>
      </w:r>
      <w:r>
        <w:t>) avec sorte de membre (</w:t>
      </w:r>
      <w:r>
        <w:rPr>
          <w:rStyle w:val="VerbatimChar"/>
        </w:rPr>
        <w:t>P144.1_sorte_de_membre)</w:t>
      </w:r>
      <w:r>
        <w:t xml:space="preserve"> président (Galeotti, 1997)</w:t>
      </w:r>
    </w:p>
    <w:p w14:paraId="16FB5801" w14:textId="53CF3C23" w:rsidR="00065317" w:rsidRDefault="005C7BF7">
      <w:pPr>
        <w:numPr>
          <w:ilvl w:val="0"/>
          <w:numId w:val="260"/>
        </w:numPr>
      </w:pPr>
      <w:r>
        <w:t>La mise en application du traité d</w:t>
      </w:r>
      <w:r w:rsidR="00E84B0E">
        <w:t>’</w:t>
      </w:r>
      <w:r>
        <w:t>adhésion du Danemark à la Communauté économique européenne le 1</w:t>
      </w:r>
      <w:r>
        <w:rPr>
          <w:vertAlign w:val="superscript"/>
        </w:rPr>
        <w:t>er</w:t>
      </w:r>
      <w:r w:rsidR="00056DCD">
        <w:t> janvier </w:t>
      </w:r>
      <w:r>
        <w:t>1973 (</w:t>
      </w:r>
      <w:r>
        <w:rPr>
          <w:rStyle w:val="VerbatimChar"/>
        </w:rPr>
        <w:t>E85_Adhésion</w:t>
      </w:r>
      <w:r>
        <w:t>) l</w:t>
      </w:r>
      <w:r w:rsidR="00E84B0E">
        <w:t>’</w:t>
      </w:r>
      <w:r>
        <w:t>a fait adhérer à (</w:t>
      </w:r>
      <w:r>
        <w:rPr>
          <w:rStyle w:val="VerbatimChar"/>
        </w:rPr>
        <w:t>P144_a_fait_adhérer_à</w:t>
      </w:r>
      <w:r>
        <w:t>) la Communauté économique européenne (</w:t>
      </w:r>
      <w:r>
        <w:rPr>
          <w:rStyle w:val="VerbatimChar"/>
        </w:rPr>
        <w:t>E74_Groupe</w:t>
      </w:r>
      <w:r>
        <w:t>)</w:t>
      </w:r>
    </w:p>
    <w:p w14:paraId="436BD7E9" w14:textId="77777777" w:rsidR="00065317" w:rsidRDefault="005C7BF7">
      <w:pPr>
        <w:pStyle w:val="FirstParagraph"/>
      </w:pPr>
      <w:r>
        <w:rPr>
          <w:b/>
          <w:bCs/>
        </w:rPr>
        <w:t>Logique</w:t>
      </w:r>
    </w:p>
    <w:p w14:paraId="1B46CC4E" w14:textId="77777777" w:rsidR="00065317" w:rsidRDefault="005C7BF7">
      <w:pPr>
        <w:pStyle w:val="Corpsdetexte"/>
      </w:pPr>
      <w:r>
        <w:t>P144(x,y) ⇒ E85(x)</w:t>
      </w:r>
    </w:p>
    <w:p w14:paraId="06188AD4" w14:textId="77777777" w:rsidR="00065317" w:rsidRDefault="005C7BF7">
      <w:pPr>
        <w:pStyle w:val="Corpsdetexte"/>
      </w:pPr>
      <w:r>
        <w:t>P144(x,y) ⇒ E74(y)</w:t>
      </w:r>
    </w:p>
    <w:p w14:paraId="7692AD38" w14:textId="77777777" w:rsidR="00065317" w:rsidRDefault="005C7BF7">
      <w:pPr>
        <w:pStyle w:val="Corpsdetexte"/>
      </w:pPr>
      <w:r>
        <w:t>P144(x,y,z) ⇒ [P144(x,y) ∧ E55(z)]</w:t>
      </w:r>
    </w:p>
    <w:p w14:paraId="740C451C" w14:textId="77777777" w:rsidR="00065317" w:rsidRDefault="005C7BF7">
      <w:pPr>
        <w:pStyle w:val="Corpsdetexte"/>
      </w:pPr>
      <w:r>
        <w:t>P144(x,y) ⇒ P11(x,y)</w:t>
      </w:r>
    </w:p>
    <w:p w14:paraId="15C44879" w14:textId="77777777" w:rsidR="00065317" w:rsidRDefault="005C7BF7">
      <w:pPr>
        <w:pStyle w:val="Corpsdetexte"/>
      </w:pPr>
      <w:r>
        <w:rPr>
          <w:b/>
          <w:bCs/>
        </w:rPr>
        <w:t>Propriétés</w:t>
      </w:r>
    </w:p>
    <w:p w14:paraId="261D02D4" w14:textId="77777777" w:rsidR="00065317" w:rsidRDefault="005C7BF7">
      <w:pPr>
        <w:pStyle w:val="Corpsdetexte"/>
      </w:pPr>
      <w:r>
        <w:rPr>
          <w:rStyle w:val="VerbatimChar"/>
        </w:rPr>
        <w:t>P144.1_sorte_de_membre</w:t>
      </w:r>
      <w:r>
        <w:t xml:space="preserve"> : </w:t>
      </w:r>
      <w:r>
        <w:rPr>
          <w:rStyle w:val="VerbatimChar"/>
        </w:rPr>
        <w:t>E55_Type</w:t>
      </w:r>
    </w:p>
    <w:p w14:paraId="420253AF" w14:textId="77777777" w:rsidR="00065317" w:rsidRDefault="005C7BF7">
      <w:pPr>
        <w:pStyle w:val="Normalcentr"/>
      </w:pPr>
      <w:r>
        <w:rPr>
          <w:b/>
          <w:bCs/>
          <w:i/>
          <w:iCs/>
        </w:rPr>
        <w:t>Note de traduction</w:t>
      </w:r>
    </w:p>
    <w:p w14:paraId="3EB0755E" w14:textId="78A92F8A" w:rsidR="00065317" w:rsidRDefault="005C7BF7" w:rsidP="00C2235A">
      <w:pPr>
        <w:pStyle w:val="Normalcentr"/>
      </w:pPr>
      <w:r>
        <w:rPr>
          <w:b/>
          <w:bCs/>
          <w:i/>
          <w:iCs/>
        </w:rPr>
        <w:t>Références</w:t>
      </w:r>
    </w:p>
    <w:p w14:paraId="129371E4" w14:textId="77777777" w:rsidR="00065317" w:rsidRDefault="005C7BF7" w:rsidP="00914F34">
      <w:pPr>
        <w:pStyle w:val="Titre3"/>
      </w:pPr>
      <w:bookmarkStart w:id="508" w:name="_Toc154048939"/>
      <w:bookmarkStart w:id="509" w:name="p145-a-dissocie-(est-dissocie-par)"/>
      <w:bookmarkEnd w:id="507"/>
      <w:r>
        <w:t>P145 a dissocié (est dissocié par)</w:t>
      </w:r>
      <w:bookmarkEnd w:id="508"/>
    </w:p>
    <w:p w14:paraId="3D84EA08" w14:textId="77777777" w:rsidR="00065317" w:rsidRDefault="005C7BF7">
      <w:pPr>
        <w:pStyle w:val="FirstParagraph"/>
      </w:pPr>
      <w:r>
        <w:rPr>
          <w:b/>
          <w:bCs/>
        </w:rPr>
        <w:t>Domaine</w:t>
      </w:r>
    </w:p>
    <w:p w14:paraId="2F130335" w14:textId="77777777" w:rsidR="00065317" w:rsidRDefault="005C7BF7">
      <w:pPr>
        <w:pStyle w:val="Corpsdetexte"/>
      </w:pPr>
      <w:r>
        <w:rPr>
          <w:rStyle w:val="VerbatimChar"/>
        </w:rPr>
        <w:t>E86_Départ</w:t>
      </w:r>
    </w:p>
    <w:p w14:paraId="076EDAFB" w14:textId="77777777" w:rsidR="00065317" w:rsidRDefault="005C7BF7">
      <w:pPr>
        <w:pStyle w:val="Corpsdetexte"/>
      </w:pPr>
      <w:r>
        <w:rPr>
          <w:b/>
          <w:bCs/>
        </w:rPr>
        <w:t>Portée</w:t>
      </w:r>
    </w:p>
    <w:p w14:paraId="3706B432" w14:textId="0D91C0E4" w:rsidR="00834C26" w:rsidRDefault="005C7BF7">
      <w:pPr>
        <w:pStyle w:val="Corpsdetexte"/>
        <w:rPr>
          <w:b/>
          <w:bCs/>
        </w:rPr>
      </w:pPr>
      <w:r>
        <w:rPr>
          <w:rStyle w:val="VerbatimChar"/>
        </w:rPr>
        <w:t>E39_Actant</w:t>
      </w:r>
    </w:p>
    <w:p w14:paraId="44967E1B" w14:textId="0E7198FC" w:rsidR="00065317" w:rsidRDefault="005C7BF7">
      <w:pPr>
        <w:pStyle w:val="Corpsdetexte"/>
      </w:pPr>
      <w:r>
        <w:rPr>
          <w:b/>
          <w:bCs/>
        </w:rPr>
        <w:t>Sous-propriété de</w:t>
      </w:r>
    </w:p>
    <w:p w14:paraId="5C70A2CE" w14:textId="77777777" w:rsidR="00065317" w:rsidRDefault="005C7BF7">
      <w:pPr>
        <w:pStyle w:val="Corpsdetexte"/>
      </w:pPr>
      <w:r>
        <w:rPr>
          <w:rStyle w:val="VerbatimChar"/>
        </w:rPr>
        <w:t>E5_Évènement</w:t>
      </w:r>
      <w:r>
        <w:t xml:space="preserve">. </w:t>
      </w:r>
      <w:r>
        <w:rPr>
          <w:rStyle w:val="VerbatimChar"/>
        </w:rPr>
        <w:t>P11_a_eu_pour_actant_participant (a_participé_à)</w:t>
      </w:r>
      <w:r>
        <w:t xml:space="preserve"> : </w:t>
      </w:r>
      <w:r>
        <w:rPr>
          <w:rStyle w:val="VerbatimChar"/>
        </w:rPr>
        <w:t>E39_Actant</w:t>
      </w:r>
    </w:p>
    <w:p w14:paraId="13911889" w14:textId="77777777" w:rsidR="00DE6C24" w:rsidRDefault="00DE6C24">
      <w:pPr>
        <w:spacing w:after="0"/>
        <w:rPr>
          <w:b/>
          <w:bCs/>
        </w:rPr>
      </w:pPr>
      <w:r>
        <w:rPr>
          <w:b/>
          <w:bCs/>
        </w:rPr>
        <w:br w:type="page"/>
      </w:r>
    </w:p>
    <w:p w14:paraId="6822A03C" w14:textId="651C8E6F" w:rsidR="00065317" w:rsidRDefault="005C7BF7">
      <w:pPr>
        <w:pStyle w:val="Corpsdetexte"/>
      </w:pPr>
      <w:r>
        <w:rPr>
          <w:b/>
          <w:bCs/>
        </w:rPr>
        <w:lastRenderedPageBreak/>
        <w:t>Super-propriété de</w:t>
      </w:r>
    </w:p>
    <w:p w14:paraId="136A111D" w14:textId="77777777" w:rsidR="00065317" w:rsidRDefault="005C7BF7">
      <w:pPr>
        <w:pStyle w:val="Corpsdetexte"/>
      </w:pPr>
      <w:r>
        <w:rPr>
          <w:b/>
          <w:bCs/>
        </w:rPr>
        <w:t>Quantification</w:t>
      </w:r>
    </w:p>
    <w:p w14:paraId="671F4DEA" w14:textId="77777777" w:rsidR="00065317" w:rsidRDefault="005C7BF7">
      <w:pPr>
        <w:pStyle w:val="Corpsdetexte"/>
      </w:pPr>
      <w:r>
        <w:t>plusieurs à plusieurs, nécessaire (1,n:0,n)</w:t>
      </w:r>
    </w:p>
    <w:p w14:paraId="36FCF5AE" w14:textId="2AF75A49" w:rsidR="00065317" w:rsidRDefault="005C7BF7">
      <w:pPr>
        <w:pStyle w:val="Corpsdetexte"/>
      </w:pPr>
      <w:r>
        <w:rPr>
          <w:b/>
          <w:bCs/>
        </w:rPr>
        <w:t>Note d</w:t>
      </w:r>
      <w:r w:rsidR="00E84B0E">
        <w:rPr>
          <w:b/>
          <w:bCs/>
        </w:rPr>
        <w:t>’</w:t>
      </w:r>
      <w:r>
        <w:rPr>
          <w:b/>
          <w:bCs/>
        </w:rPr>
        <w:t>application</w:t>
      </w:r>
    </w:p>
    <w:p w14:paraId="2169EEBA" w14:textId="0F6AB2CB" w:rsidR="00065317" w:rsidRDefault="005C7BF7">
      <w:pPr>
        <w:pStyle w:val="Corpsdetexte"/>
      </w:pPr>
      <w:r>
        <w:t>Cette propriété identifie l</w:t>
      </w:r>
      <w:r w:rsidR="00E84B0E">
        <w:t>’</w:t>
      </w:r>
      <w:r>
        <w:t xml:space="preserve">instance de </w:t>
      </w:r>
      <w:r>
        <w:rPr>
          <w:rStyle w:val="VerbatimChar"/>
        </w:rPr>
        <w:t>E39_Actant</w:t>
      </w:r>
      <w:r>
        <w:t xml:space="preserve"> qui quitte une instance de </w:t>
      </w:r>
      <w:r>
        <w:rPr>
          <w:rStyle w:val="VerbatimChar"/>
        </w:rPr>
        <w:t>E74_Groupe</w:t>
      </w:r>
      <w:r>
        <w:t xml:space="preserve"> par l</w:t>
      </w:r>
      <w:r w:rsidR="00E84B0E">
        <w:t>’</w:t>
      </w:r>
      <w:r>
        <w:t>intermédiaire d</w:t>
      </w:r>
      <w:r w:rsidR="00E84B0E">
        <w:t>’</w:t>
      </w:r>
      <w:r>
        <w:t xml:space="preserve">une instance de </w:t>
      </w:r>
      <w:r>
        <w:rPr>
          <w:rStyle w:val="VerbatimChar"/>
        </w:rPr>
        <w:t>E86_Départ</w:t>
      </w:r>
      <w:r>
        <w:t>.</w:t>
      </w:r>
    </w:p>
    <w:p w14:paraId="77F8193A" w14:textId="77777777" w:rsidR="00065317" w:rsidRDefault="005C7BF7">
      <w:pPr>
        <w:pStyle w:val="Corpsdetexte"/>
      </w:pPr>
      <w:r>
        <w:rPr>
          <w:b/>
          <w:bCs/>
        </w:rPr>
        <w:t>Exemples</w:t>
      </w:r>
    </w:p>
    <w:p w14:paraId="03ECC71A" w14:textId="2E01A80E" w:rsidR="00065317" w:rsidRDefault="005C7BF7">
      <w:pPr>
        <w:numPr>
          <w:ilvl w:val="0"/>
          <w:numId w:val="261"/>
        </w:numPr>
      </w:pPr>
      <w:r>
        <w:t>La fin du mandat de Sir Isaac Newton comme membre du Parlement d</w:t>
      </w:r>
      <w:r w:rsidR="00E84B0E">
        <w:t>’</w:t>
      </w:r>
      <w:r>
        <w:t>Angleterre pour l</w:t>
      </w:r>
      <w:r w:rsidR="00E84B0E">
        <w:t>’</w:t>
      </w:r>
      <w:r>
        <w:t>Université de Cambridge à la convention du Parlement en 1702 (</w:t>
      </w:r>
      <w:r>
        <w:rPr>
          <w:rStyle w:val="VerbatimChar"/>
        </w:rPr>
        <w:t>E86_Départ</w:t>
      </w:r>
      <w:r>
        <w:t>) a dissocié (</w:t>
      </w:r>
      <w:r>
        <w:rPr>
          <w:rStyle w:val="VerbatimChar"/>
        </w:rPr>
        <w:t>P145_a_dissocié</w:t>
      </w:r>
      <w:r>
        <w:t>) Sir Isaac Newton (</w:t>
      </w:r>
      <w:r>
        <w:rPr>
          <w:rStyle w:val="VerbatimChar"/>
        </w:rPr>
        <w:t>E21_Personne</w:t>
      </w:r>
      <w:r>
        <w:t>) (Iliffe, 2013)</w:t>
      </w:r>
    </w:p>
    <w:p w14:paraId="2D9EDBD5" w14:textId="77777777" w:rsidR="00065317" w:rsidRDefault="005C7BF7">
      <w:pPr>
        <w:numPr>
          <w:ilvl w:val="0"/>
          <w:numId w:val="261"/>
        </w:numPr>
      </w:pPr>
      <w:r>
        <w:t>La fin du mandat de George Washington à la présidence des États-Unis en 1797 (</w:t>
      </w:r>
      <w:r>
        <w:rPr>
          <w:rStyle w:val="VerbatimChar"/>
        </w:rPr>
        <w:t>E86_Départ</w:t>
      </w:r>
      <w:r>
        <w:t>) a dissocié (</w:t>
      </w:r>
      <w:r>
        <w:rPr>
          <w:rStyle w:val="VerbatimChar"/>
        </w:rPr>
        <w:t>P145_a_dissocié</w:t>
      </w:r>
      <w:r>
        <w:t>) George Washington (</w:t>
      </w:r>
      <w:r>
        <w:rPr>
          <w:rStyle w:val="VerbatimChar"/>
        </w:rPr>
        <w:t>E21_Personne</w:t>
      </w:r>
      <w:r>
        <w:t>) du Bureau exécutif du président des États-Unis (Unger, 2015)</w:t>
      </w:r>
    </w:p>
    <w:p w14:paraId="42643460" w14:textId="2DB80951" w:rsidR="00065317" w:rsidRDefault="005C7BF7">
      <w:pPr>
        <w:numPr>
          <w:ilvl w:val="0"/>
          <w:numId w:val="261"/>
        </w:numPr>
      </w:pPr>
      <w:r>
        <w:t>L</w:t>
      </w:r>
      <w:r w:rsidR="00E84B0E">
        <w:t>’</w:t>
      </w:r>
      <w:r>
        <w:t>application du [</w:t>
      </w:r>
      <w:r w:rsidR="00AF51A3">
        <w:t xml:space="preserve">n.d.t. </w:t>
      </w:r>
      <w:r>
        <w:t>« Traité sur le Gr</w:t>
      </w:r>
      <w:r w:rsidR="00F52177">
        <w:t>oe</w:t>
      </w:r>
      <w:r>
        <w:t>nland »] entre l</w:t>
      </w:r>
      <w:r w:rsidR="00E84B0E">
        <w:t>’</w:t>
      </w:r>
      <w:r>
        <w:t>Union européenne, le Danemark et le Gr</w:t>
      </w:r>
      <w:r w:rsidR="00F52177">
        <w:t>oe</w:t>
      </w:r>
      <w:r>
        <w:t>nland le 1</w:t>
      </w:r>
      <w:r>
        <w:rPr>
          <w:vertAlign w:val="superscript"/>
        </w:rPr>
        <w:t>er</w:t>
      </w:r>
      <w:r w:rsidR="00056DCD">
        <w:t> février </w:t>
      </w:r>
      <w:r>
        <w:t>1985 (</w:t>
      </w:r>
      <w:r>
        <w:rPr>
          <w:rStyle w:val="VerbatimChar"/>
        </w:rPr>
        <w:t>E86_Départ</w:t>
      </w:r>
      <w:r>
        <w:t>) a dissocié (</w:t>
      </w:r>
      <w:r>
        <w:rPr>
          <w:rStyle w:val="VerbatimChar"/>
        </w:rPr>
        <w:t>P145_a_dissocié</w:t>
      </w:r>
      <w:r>
        <w:t>) le Gr</w:t>
      </w:r>
      <w:r w:rsidR="00F52177">
        <w:t>oe</w:t>
      </w:r>
      <w:r>
        <w:t>nland (</w:t>
      </w:r>
      <w:r>
        <w:rPr>
          <w:rStyle w:val="VerbatimChar"/>
        </w:rPr>
        <w:t>E74_Groupe</w:t>
      </w:r>
      <w:r>
        <w:t>) de l</w:t>
      </w:r>
      <w:r w:rsidR="00E84B0E">
        <w:t>’</w:t>
      </w:r>
      <w:r>
        <w:t>Union Européenne.</w:t>
      </w:r>
    </w:p>
    <w:p w14:paraId="193A10FB" w14:textId="77777777" w:rsidR="00065317" w:rsidRDefault="005C7BF7">
      <w:pPr>
        <w:pStyle w:val="FirstParagraph"/>
      </w:pPr>
      <w:r>
        <w:rPr>
          <w:b/>
          <w:bCs/>
        </w:rPr>
        <w:t>Logique</w:t>
      </w:r>
    </w:p>
    <w:p w14:paraId="63AA394F" w14:textId="77777777" w:rsidR="00065317" w:rsidRDefault="005C7BF7">
      <w:pPr>
        <w:pStyle w:val="Corpsdetexte"/>
      </w:pPr>
      <w:r>
        <w:t>P145(x,y) ⇒ E86(x)</w:t>
      </w:r>
    </w:p>
    <w:p w14:paraId="14657A85" w14:textId="77777777" w:rsidR="00065317" w:rsidRDefault="005C7BF7">
      <w:pPr>
        <w:pStyle w:val="Corpsdetexte"/>
      </w:pPr>
      <w:r>
        <w:t>P145(x,y) ⇒ E39(y)</w:t>
      </w:r>
    </w:p>
    <w:p w14:paraId="141A0C99" w14:textId="77777777" w:rsidR="00065317" w:rsidRDefault="005C7BF7">
      <w:pPr>
        <w:pStyle w:val="Corpsdetexte"/>
      </w:pPr>
      <w:r>
        <w:t>P145(x,y) ⇒ P11(x,y)</w:t>
      </w:r>
    </w:p>
    <w:p w14:paraId="4661F99C" w14:textId="77777777" w:rsidR="00065317" w:rsidRDefault="005C7BF7">
      <w:pPr>
        <w:pStyle w:val="Corpsdetexte"/>
      </w:pPr>
      <w:r>
        <w:rPr>
          <w:b/>
          <w:bCs/>
        </w:rPr>
        <w:t>Propriétés</w:t>
      </w:r>
    </w:p>
    <w:p w14:paraId="37B1C012" w14:textId="77777777" w:rsidR="00065317" w:rsidRDefault="005C7BF7">
      <w:pPr>
        <w:pStyle w:val="Normalcentr"/>
      </w:pPr>
      <w:r>
        <w:rPr>
          <w:b/>
          <w:bCs/>
          <w:i/>
          <w:iCs/>
        </w:rPr>
        <w:t>Note de traduction</w:t>
      </w:r>
    </w:p>
    <w:p w14:paraId="73717B90" w14:textId="70883BEC" w:rsidR="00065317" w:rsidRDefault="005C7BF7" w:rsidP="00AF2585">
      <w:pPr>
        <w:pStyle w:val="Normalcentr"/>
      </w:pPr>
      <w:r>
        <w:rPr>
          <w:b/>
          <w:bCs/>
          <w:i/>
          <w:iCs/>
        </w:rPr>
        <w:t>Références</w:t>
      </w:r>
    </w:p>
    <w:p w14:paraId="639E3DF8" w14:textId="77777777" w:rsidR="00065317" w:rsidRDefault="005C7BF7" w:rsidP="00914F34">
      <w:pPr>
        <w:pStyle w:val="Titre3"/>
      </w:pPr>
      <w:bookmarkStart w:id="510" w:name="_Toc154048940"/>
      <w:bookmarkStart w:id="511" w:name="X63cafaa2b6447fea26c2f58b6385fad9cbc698d"/>
      <w:bookmarkEnd w:id="509"/>
      <w:r>
        <w:t>P146 a dissocié de (a perdu le membre par)</w:t>
      </w:r>
      <w:bookmarkEnd w:id="510"/>
    </w:p>
    <w:p w14:paraId="48BC3A45" w14:textId="77777777" w:rsidR="00065317" w:rsidRDefault="005C7BF7">
      <w:pPr>
        <w:pStyle w:val="FirstParagraph"/>
      </w:pPr>
      <w:r>
        <w:rPr>
          <w:b/>
          <w:bCs/>
        </w:rPr>
        <w:t>Domaine</w:t>
      </w:r>
    </w:p>
    <w:p w14:paraId="78144779" w14:textId="77777777" w:rsidR="00065317" w:rsidRDefault="005C7BF7">
      <w:pPr>
        <w:pStyle w:val="Corpsdetexte"/>
      </w:pPr>
      <w:r>
        <w:rPr>
          <w:rStyle w:val="VerbatimChar"/>
        </w:rPr>
        <w:t>E86_Départ</w:t>
      </w:r>
    </w:p>
    <w:p w14:paraId="3D06E811" w14:textId="77777777" w:rsidR="00065317" w:rsidRDefault="005C7BF7">
      <w:pPr>
        <w:pStyle w:val="Corpsdetexte"/>
      </w:pPr>
      <w:r>
        <w:rPr>
          <w:b/>
          <w:bCs/>
        </w:rPr>
        <w:t>Portée</w:t>
      </w:r>
    </w:p>
    <w:p w14:paraId="4D01986F" w14:textId="77777777" w:rsidR="00065317" w:rsidRDefault="005C7BF7">
      <w:pPr>
        <w:pStyle w:val="Corpsdetexte"/>
      </w:pPr>
      <w:r>
        <w:rPr>
          <w:rStyle w:val="VerbatimChar"/>
        </w:rPr>
        <w:t>E74_Groupe</w:t>
      </w:r>
    </w:p>
    <w:p w14:paraId="5141C65F" w14:textId="77777777" w:rsidR="00065317" w:rsidRDefault="005C7BF7">
      <w:pPr>
        <w:pStyle w:val="Corpsdetexte"/>
      </w:pPr>
      <w:r>
        <w:rPr>
          <w:b/>
          <w:bCs/>
        </w:rPr>
        <w:t>Sous-propriété de</w:t>
      </w:r>
    </w:p>
    <w:p w14:paraId="63640180" w14:textId="77777777" w:rsidR="00065317" w:rsidRDefault="005C7BF7">
      <w:pPr>
        <w:pStyle w:val="Corpsdetexte"/>
      </w:pPr>
      <w:r>
        <w:rPr>
          <w:rStyle w:val="VerbatimChar"/>
        </w:rPr>
        <w:t>E5_Évènement</w:t>
      </w:r>
      <w:r>
        <w:t xml:space="preserve">. </w:t>
      </w:r>
      <w:r>
        <w:rPr>
          <w:rStyle w:val="VerbatimChar"/>
        </w:rPr>
        <w:t>P11_a_eu_pour_actant_participant (a_participé_à)</w:t>
      </w:r>
      <w:r>
        <w:t xml:space="preserve"> : </w:t>
      </w:r>
      <w:r>
        <w:rPr>
          <w:rStyle w:val="VerbatimChar"/>
        </w:rPr>
        <w:t>E39_Actant</w:t>
      </w:r>
    </w:p>
    <w:p w14:paraId="0E9A8749" w14:textId="77777777" w:rsidR="00065317" w:rsidRDefault="005C7BF7">
      <w:pPr>
        <w:pStyle w:val="Corpsdetexte"/>
      </w:pPr>
      <w:r>
        <w:rPr>
          <w:b/>
          <w:bCs/>
        </w:rPr>
        <w:t>Super-propriété de</w:t>
      </w:r>
    </w:p>
    <w:p w14:paraId="5944B1B1" w14:textId="77777777" w:rsidR="00065317" w:rsidRDefault="005C7BF7">
      <w:pPr>
        <w:pStyle w:val="Corpsdetexte"/>
      </w:pPr>
      <w:r>
        <w:rPr>
          <w:b/>
          <w:bCs/>
        </w:rPr>
        <w:t>Quantification</w:t>
      </w:r>
    </w:p>
    <w:p w14:paraId="3B61B9A7" w14:textId="77777777" w:rsidR="00065317" w:rsidRDefault="005C7BF7">
      <w:pPr>
        <w:pStyle w:val="Corpsdetexte"/>
      </w:pPr>
      <w:r>
        <w:t>plusieurs à plusieurs, nécessaire (1,n:0,n)</w:t>
      </w:r>
    </w:p>
    <w:p w14:paraId="49DBFA8E" w14:textId="77777777" w:rsidR="00DE6C24" w:rsidRDefault="00DE6C24">
      <w:pPr>
        <w:spacing w:after="0"/>
        <w:rPr>
          <w:b/>
          <w:bCs/>
        </w:rPr>
      </w:pPr>
      <w:r>
        <w:rPr>
          <w:b/>
          <w:bCs/>
        </w:rPr>
        <w:br w:type="page"/>
      </w:r>
    </w:p>
    <w:p w14:paraId="2F1C1A27" w14:textId="4066FBF0" w:rsidR="00065317" w:rsidRDefault="005C7BF7">
      <w:pPr>
        <w:pStyle w:val="Corpsdetexte"/>
      </w:pPr>
      <w:r>
        <w:rPr>
          <w:b/>
          <w:bCs/>
        </w:rPr>
        <w:lastRenderedPageBreak/>
        <w:t>Note d</w:t>
      </w:r>
      <w:r w:rsidR="00E84B0E">
        <w:rPr>
          <w:b/>
          <w:bCs/>
        </w:rPr>
        <w:t>’</w:t>
      </w:r>
      <w:r>
        <w:rPr>
          <w:b/>
          <w:bCs/>
        </w:rPr>
        <w:t>application</w:t>
      </w:r>
    </w:p>
    <w:p w14:paraId="642425E1" w14:textId="2FED5DBE" w:rsidR="00065317" w:rsidRDefault="005C7BF7">
      <w:pPr>
        <w:pStyle w:val="Corpsdetexte"/>
      </w:pPr>
      <w:r>
        <w:t>Cette propriété identifie l</w:t>
      </w:r>
      <w:r w:rsidR="00E84B0E">
        <w:t>’</w:t>
      </w:r>
      <w:r>
        <w:t xml:space="preserve">instance de </w:t>
      </w:r>
      <w:r>
        <w:rPr>
          <w:rStyle w:val="VerbatimChar"/>
        </w:rPr>
        <w:t>E74_Groupe</w:t>
      </w:r>
      <w:r>
        <w:t xml:space="preserve"> qu</w:t>
      </w:r>
      <w:r w:rsidR="00E84B0E">
        <w:t>’</w:t>
      </w:r>
      <w:r>
        <w:t xml:space="preserve">une instance de </w:t>
      </w:r>
      <w:r>
        <w:rPr>
          <w:rStyle w:val="VerbatimChar"/>
        </w:rPr>
        <w:t>E39_Actant</w:t>
      </w:r>
      <w:r>
        <w:t xml:space="preserve"> quitte par l</w:t>
      </w:r>
      <w:r w:rsidR="00E84B0E">
        <w:t>’</w:t>
      </w:r>
      <w:r>
        <w:t>intermédiaire d</w:t>
      </w:r>
      <w:r w:rsidR="00E84B0E">
        <w:t>’</w:t>
      </w:r>
      <w:r>
        <w:t xml:space="preserve">une instance de </w:t>
      </w:r>
      <w:r>
        <w:rPr>
          <w:rStyle w:val="VerbatimChar"/>
        </w:rPr>
        <w:t>E86_Départ</w:t>
      </w:r>
      <w:r>
        <w:t>.</w:t>
      </w:r>
    </w:p>
    <w:p w14:paraId="59CE0F2A" w14:textId="63DE1889" w:rsidR="00065317" w:rsidRDefault="005C7BF7">
      <w:pPr>
        <w:pStyle w:val="Corpsdetexte"/>
      </w:pPr>
      <w:r>
        <w:t>Bien qu</w:t>
      </w:r>
      <w:r w:rsidR="00E84B0E">
        <w:t>’</w:t>
      </w:r>
      <w:r>
        <w:t>une activité de départ ne concerne normalement qu</w:t>
      </w:r>
      <w:r w:rsidR="00E84B0E">
        <w:t>’</w:t>
      </w:r>
      <w:r>
        <w:t xml:space="preserve">une seule instance de </w:t>
      </w:r>
      <w:r>
        <w:rPr>
          <w:rStyle w:val="VerbatimChar"/>
        </w:rPr>
        <w:t>E74_Groupe</w:t>
      </w:r>
      <w:r>
        <w:t>, il est possible d</w:t>
      </w:r>
      <w:r w:rsidR="00E84B0E">
        <w:t>’</w:t>
      </w:r>
      <w:r>
        <w:t xml:space="preserve">imaginer des circonstances au cours desquelles quitter un </w:t>
      </w:r>
      <w:r>
        <w:rPr>
          <w:rStyle w:val="VerbatimChar"/>
        </w:rPr>
        <w:t>E74_Groupe</w:t>
      </w:r>
      <w:r>
        <w:t xml:space="preserve"> implique également de quitter un autre </w:t>
      </w:r>
      <w:r>
        <w:rPr>
          <w:rStyle w:val="VerbatimChar"/>
        </w:rPr>
        <w:t>E74_Groupe</w:t>
      </w:r>
      <w:r>
        <w:t>.</w:t>
      </w:r>
    </w:p>
    <w:p w14:paraId="5128A3B6" w14:textId="77777777" w:rsidR="00065317" w:rsidRDefault="005C7BF7">
      <w:pPr>
        <w:pStyle w:val="Corpsdetexte"/>
      </w:pPr>
      <w:r>
        <w:rPr>
          <w:b/>
          <w:bCs/>
        </w:rPr>
        <w:t>Exemples</w:t>
      </w:r>
    </w:p>
    <w:p w14:paraId="1F1D54B6" w14:textId="4D1782CC" w:rsidR="00065317" w:rsidRDefault="005C7BF7">
      <w:pPr>
        <w:numPr>
          <w:ilvl w:val="0"/>
          <w:numId w:val="262"/>
        </w:numPr>
      </w:pPr>
      <w:r>
        <w:t>La fin du mandat de Sir Isaac Newton en tant que membre du Parlement d</w:t>
      </w:r>
      <w:r w:rsidR="00E84B0E">
        <w:t>’</w:t>
      </w:r>
      <w:r>
        <w:t>Angleterre pour l</w:t>
      </w:r>
      <w:r w:rsidR="00E84B0E">
        <w:t>’</w:t>
      </w:r>
      <w:r>
        <w:t>Université de Cambridge à la convention du Parlement en 1702 (</w:t>
      </w:r>
      <w:r>
        <w:rPr>
          <w:rStyle w:val="VerbatimChar"/>
        </w:rPr>
        <w:t>E86_Départ</w:t>
      </w:r>
      <w:r>
        <w:t>) l</w:t>
      </w:r>
      <w:r w:rsidR="00E84B0E">
        <w:t>’</w:t>
      </w:r>
      <w:r>
        <w:t>a dissocié de (</w:t>
      </w:r>
      <w:r>
        <w:rPr>
          <w:rStyle w:val="VerbatimChar"/>
        </w:rPr>
        <w:t>P146_a_dissocié_de</w:t>
      </w:r>
      <w:r>
        <w:t>) la convention du Parlement (</w:t>
      </w:r>
      <w:r>
        <w:rPr>
          <w:rStyle w:val="VerbatimChar"/>
        </w:rPr>
        <w:t>E74_Groupe</w:t>
      </w:r>
      <w:r>
        <w:t>) (Iliffe, 2013)</w:t>
      </w:r>
    </w:p>
    <w:p w14:paraId="43478A8E" w14:textId="4AFD9BD2" w:rsidR="00065317" w:rsidRDefault="005C7BF7">
      <w:pPr>
        <w:numPr>
          <w:ilvl w:val="0"/>
          <w:numId w:val="262"/>
        </w:numPr>
      </w:pPr>
      <w:r>
        <w:t>La fin du mandat de George Washington à la présidence des États-Unis en 1797 (</w:t>
      </w:r>
      <w:r>
        <w:rPr>
          <w:rStyle w:val="VerbatimChar"/>
        </w:rPr>
        <w:t>E86_Départ</w:t>
      </w:r>
      <w:r>
        <w:t>) l</w:t>
      </w:r>
      <w:r w:rsidR="00E84B0E">
        <w:t>’</w:t>
      </w:r>
      <w:r>
        <w:t>a dissocié du (</w:t>
      </w:r>
      <w:r>
        <w:rPr>
          <w:rStyle w:val="VerbatimChar"/>
        </w:rPr>
        <w:t>P146_a_dissocié_de</w:t>
      </w:r>
      <w:r>
        <w:t>) Bureau exécutif du président des États-Unis (</w:t>
      </w:r>
      <w:r>
        <w:rPr>
          <w:rStyle w:val="VerbatimChar"/>
        </w:rPr>
        <w:t>E74_Groupe</w:t>
      </w:r>
      <w:r>
        <w:t>) (Unger, 2015)</w:t>
      </w:r>
    </w:p>
    <w:p w14:paraId="2A9B4B85" w14:textId="2E743585" w:rsidR="00065317" w:rsidRDefault="005C7BF7">
      <w:pPr>
        <w:numPr>
          <w:ilvl w:val="0"/>
          <w:numId w:val="262"/>
        </w:numPr>
      </w:pPr>
      <w:r>
        <w:t>L</w:t>
      </w:r>
      <w:r w:rsidR="00E84B0E">
        <w:t>’</w:t>
      </w:r>
      <w:r>
        <w:t>application du [</w:t>
      </w:r>
      <w:r w:rsidR="00AF51A3">
        <w:t xml:space="preserve">n.d.t. </w:t>
      </w:r>
      <w:r>
        <w:t>« Traité du Gr</w:t>
      </w:r>
      <w:r w:rsidR="00F52177">
        <w:t>oe</w:t>
      </w:r>
      <w:r>
        <w:t>nland »] entre l</w:t>
      </w:r>
      <w:r w:rsidR="00E84B0E">
        <w:t>’</w:t>
      </w:r>
      <w:r>
        <w:t>Union Européenne, le Danemark et le Gr</w:t>
      </w:r>
      <w:r w:rsidR="00F52177">
        <w:t>oe</w:t>
      </w:r>
      <w:r>
        <w:t>nland le 1</w:t>
      </w:r>
      <w:r>
        <w:rPr>
          <w:vertAlign w:val="superscript"/>
        </w:rPr>
        <w:t>er</w:t>
      </w:r>
      <w:r w:rsidR="00056DCD">
        <w:t> février </w:t>
      </w:r>
      <w:r>
        <w:t>1985 (</w:t>
      </w:r>
      <w:r>
        <w:rPr>
          <w:rStyle w:val="VerbatimChar"/>
        </w:rPr>
        <w:t>E86_Départ</w:t>
      </w:r>
      <w:r>
        <w:t>) a dissocié de (</w:t>
      </w:r>
      <w:r>
        <w:rPr>
          <w:rStyle w:val="VerbatimChar"/>
        </w:rPr>
        <w:t>P146_a_dissocié_de</w:t>
      </w:r>
      <w:r>
        <w:t>) l</w:t>
      </w:r>
      <w:r w:rsidR="00E84B0E">
        <w:t>’</w:t>
      </w:r>
      <w:r>
        <w:t>Union Européenne (</w:t>
      </w:r>
      <w:r>
        <w:rPr>
          <w:rStyle w:val="VerbatimChar"/>
        </w:rPr>
        <w:t>E74_Groupe</w:t>
      </w:r>
      <w:r>
        <w:t>) le Gr</w:t>
      </w:r>
      <w:r w:rsidR="00F52177">
        <w:t>oe</w:t>
      </w:r>
      <w:r>
        <w:t>nland</w:t>
      </w:r>
    </w:p>
    <w:p w14:paraId="22ACF04E" w14:textId="77777777" w:rsidR="00065317" w:rsidRDefault="005C7BF7">
      <w:pPr>
        <w:pStyle w:val="FirstParagraph"/>
      </w:pPr>
      <w:r>
        <w:rPr>
          <w:b/>
          <w:bCs/>
        </w:rPr>
        <w:t>Logique</w:t>
      </w:r>
    </w:p>
    <w:p w14:paraId="5F8BA2A5" w14:textId="77777777" w:rsidR="00065317" w:rsidRDefault="005C7BF7">
      <w:pPr>
        <w:pStyle w:val="Corpsdetexte"/>
      </w:pPr>
      <w:r>
        <w:t>P146(x,y) ⇒ E86(x)</w:t>
      </w:r>
    </w:p>
    <w:p w14:paraId="0AEB8AA2" w14:textId="77777777" w:rsidR="00065317" w:rsidRDefault="005C7BF7">
      <w:pPr>
        <w:pStyle w:val="Corpsdetexte"/>
      </w:pPr>
      <w:r>
        <w:t>P146(x,y) ⇒ E74(y)</w:t>
      </w:r>
    </w:p>
    <w:p w14:paraId="0932118B" w14:textId="77777777" w:rsidR="00065317" w:rsidRDefault="005C7BF7">
      <w:pPr>
        <w:pStyle w:val="Corpsdetexte"/>
      </w:pPr>
      <w:r>
        <w:t>P146(x,y) ⇒ P11(x,y)</w:t>
      </w:r>
    </w:p>
    <w:p w14:paraId="60D7A6CF" w14:textId="77777777" w:rsidR="00065317" w:rsidRDefault="005C7BF7">
      <w:pPr>
        <w:pStyle w:val="Corpsdetexte"/>
      </w:pPr>
      <w:r>
        <w:rPr>
          <w:b/>
          <w:bCs/>
        </w:rPr>
        <w:t>Propriétés</w:t>
      </w:r>
    </w:p>
    <w:p w14:paraId="4C273E92" w14:textId="77777777" w:rsidR="00065317" w:rsidRDefault="005C7BF7">
      <w:pPr>
        <w:pStyle w:val="Normalcentr"/>
      </w:pPr>
      <w:r>
        <w:rPr>
          <w:b/>
          <w:bCs/>
          <w:i/>
          <w:iCs/>
        </w:rPr>
        <w:t>Note de traduction</w:t>
      </w:r>
    </w:p>
    <w:p w14:paraId="25AA1624" w14:textId="1A6403FA" w:rsidR="00065317" w:rsidRDefault="005C7BF7" w:rsidP="00AF2585">
      <w:pPr>
        <w:pStyle w:val="Normalcentr"/>
      </w:pPr>
      <w:r>
        <w:rPr>
          <w:b/>
          <w:bCs/>
          <w:i/>
          <w:iCs/>
        </w:rPr>
        <w:t>Références</w:t>
      </w:r>
    </w:p>
    <w:p w14:paraId="09203C3F" w14:textId="77777777" w:rsidR="00065317" w:rsidRDefault="005C7BF7" w:rsidP="00914F34">
      <w:pPr>
        <w:pStyle w:val="Titre3"/>
      </w:pPr>
      <w:bookmarkStart w:id="512" w:name="_Toc154048941"/>
      <w:bookmarkStart w:id="513" w:name="p147-a-gere-(a-ete-gere-par)"/>
      <w:bookmarkEnd w:id="511"/>
      <w:r>
        <w:t>P147 a géré (a été géré par)</w:t>
      </w:r>
      <w:bookmarkEnd w:id="512"/>
    </w:p>
    <w:p w14:paraId="34B3F635" w14:textId="77777777" w:rsidR="00065317" w:rsidRDefault="005C7BF7">
      <w:pPr>
        <w:pStyle w:val="FirstParagraph"/>
      </w:pPr>
      <w:r>
        <w:rPr>
          <w:b/>
          <w:bCs/>
        </w:rPr>
        <w:t>Domaine</w:t>
      </w:r>
    </w:p>
    <w:p w14:paraId="76F9275E" w14:textId="77777777" w:rsidR="00065317" w:rsidRDefault="005C7BF7">
      <w:pPr>
        <w:pStyle w:val="Corpsdetexte"/>
      </w:pPr>
      <w:r>
        <w:rPr>
          <w:rStyle w:val="VerbatimChar"/>
        </w:rPr>
        <w:t>E87_Activité_curatoriale</w:t>
      </w:r>
    </w:p>
    <w:p w14:paraId="4F68325D" w14:textId="77777777" w:rsidR="00065317" w:rsidRDefault="005C7BF7">
      <w:pPr>
        <w:pStyle w:val="Corpsdetexte"/>
      </w:pPr>
      <w:r>
        <w:rPr>
          <w:b/>
          <w:bCs/>
        </w:rPr>
        <w:t>Portée</w:t>
      </w:r>
    </w:p>
    <w:p w14:paraId="6B61054E" w14:textId="77777777" w:rsidR="00065317" w:rsidRDefault="005C7BF7">
      <w:pPr>
        <w:pStyle w:val="Corpsdetexte"/>
      </w:pPr>
      <w:r>
        <w:rPr>
          <w:rStyle w:val="VerbatimChar"/>
        </w:rPr>
        <w:t>E78_Collection</w:t>
      </w:r>
    </w:p>
    <w:p w14:paraId="04157448" w14:textId="77777777" w:rsidR="00065317" w:rsidRDefault="005C7BF7">
      <w:pPr>
        <w:pStyle w:val="Corpsdetexte"/>
      </w:pPr>
      <w:r>
        <w:rPr>
          <w:b/>
          <w:bCs/>
        </w:rPr>
        <w:t>Sous-propriété de</w:t>
      </w:r>
    </w:p>
    <w:p w14:paraId="461A93D8" w14:textId="77777777" w:rsidR="00065317" w:rsidRDefault="005C7BF7">
      <w:pPr>
        <w:pStyle w:val="Corpsdetexte"/>
      </w:pPr>
      <w:r>
        <w:rPr>
          <w:b/>
          <w:bCs/>
        </w:rPr>
        <w:t>Super-propriété de</w:t>
      </w:r>
    </w:p>
    <w:p w14:paraId="04A6AD53" w14:textId="77777777" w:rsidR="00065317" w:rsidRDefault="005C7BF7">
      <w:pPr>
        <w:pStyle w:val="Corpsdetexte"/>
      </w:pPr>
      <w:r>
        <w:rPr>
          <w:b/>
          <w:bCs/>
        </w:rPr>
        <w:t>Quantification</w:t>
      </w:r>
    </w:p>
    <w:p w14:paraId="0953F331" w14:textId="77777777" w:rsidR="00065317" w:rsidRDefault="005C7BF7">
      <w:pPr>
        <w:pStyle w:val="Corpsdetexte"/>
      </w:pPr>
      <w:r>
        <w:t>plusieurs à plusieurs, nécessaire (1,n:0,n)</w:t>
      </w:r>
    </w:p>
    <w:p w14:paraId="74A54E74" w14:textId="3ACF0C90" w:rsidR="00065317" w:rsidRDefault="005C7BF7">
      <w:pPr>
        <w:pStyle w:val="Corpsdetexte"/>
      </w:pPr>
      <w:r>
        <w:rPr>
          <w:b/>
          <w:bCs/>
        </w:rPr>
        <w:t>Note d</w:t>
      </w:r>
      <w:r w:rsidR="00E84B0E">
        <w:rPr>
          <w:b/>
          <w:bCs/>
        </w:rPr>
        <w:t>’</w:t>
      </w:r>
      <w:r>
        <w:rPr>
          <w:b/>
          <w:bCs/>
        </w:rPr>
        <w:t>application</w:t>
      </w:r>
    </w:p>
    <w:p w14:paraId="04BFA610" w14:textId="383690AF" w:rsidR="00065317" w:rsidRDefault="005C7BF7">
      <w:pPr>
        <w:pStyle w:val="Corpsdetexte"/>
      </w:pPr>
      <w:r>
        <w:t xml:space="preserve">Cette propriété associe une instance de </w:t>
      </w:r>
      <w:r>
        <w:rPr>
          <w:rStyle w:val="VerbatimChar"/>
        </w:rPr>
        <w:t>E87_Activité_curatoriale</w:t>
      </w:r>
      <w:r>
        <w:t xml:space="preserve"> à l</w:t>
      </w:r>
      <w:r w:rsidR="00E84B0E">
        <w:t>’</w:t>
      </w:r>
      <w:r>
        <w:t xml:space="preserve">instance de </w:t>
      </w:r>
      <w:r>
        <w:rPr>
          <w:rStyle w:val="VerbatimChar"/>
        </w:rPr>
        <w:t>E78_Collection</w:t>
      </w:r>
      <w:r>
        <w:t xml:space="preserve"> qui fait l</w:t>
      </w:r>
      <w:r w:rsidR="00E84B0E">
        <w:t>’</w:t>
      </w:r>
      <w:r>
        <w:t>objet de cette activité en suivant un plan de gestion d</w:t>
      </w:r>
      <w:r w:rsidR="00E84B0E">
        <w:t>’</w:t>
      </w:r>
      <w:r>
        <w:t>activités curatoriales implicite ou explicite.</w:t>
      </w:r>
    </w:p>
    <w:p w14:paraId="47527945" w14:textId="77777777" w:rsidR="00065317" w:rsidRDefault="005C7BF7">
      <w:pPr>
        <w:pStyle w:val="Corpsdetexte"/>
      </w:pPr>
      <w:r>
        <w:rPr>
          <w:b/>
          <w:bCs/>
        </w:rPr>
        <w:lastRenderedPageBreak/>
        <w:t>Exemples</w:t>
      </w:r>
    </w:p>
    <w:p w14:paraId="42033484" w14:textId="14BCFA26" w:rsidR="00065317" w:rsidRDefault="005C7BF7">
      <w:pPr>
        <w:numPr>
          <w:ilvl w:val="0"/>
          <w:numId w:val="263"/>
        </w:numPr>
      </w:pPr>
      <w:r>
        <w:t>Les activités curatoriales du Musée Benaki concernant la collection du Département de l</w:t>
      </w:r>
      <w:r w:rsidR="00E84B0E">
        <w:t>’</w:t>
      </w:r>
      <w:r>
        <w:t>enfance, des jouets et des jeux (</w:t>
      </w:r>
      <w:r>
        <w:rPr>
          <w:rStyle w:val="VerbatimChar"/>
        </w:rPr>
        <w:t>E87_Activité_curatoriale</w:t>
      </w:r>
      <w:r>
        <w:t>) ont géré (</w:t>
      </w:r>
      <w:r>
        <w:rPr>
          <w:rStyle w:val="VerbatimChar"/>
        </w:rPr>
        <w:t>P147_a_géré</w:t>
      </w:r>
      <w:r>
        <w:t>) la collection du Département de l</w:t>
      </w:r>
      <w:r w:rsidR="00E84B0E">
        <w:t>’</w:t>
      </w:r>
      <w:r>
        <w:t>enfance, des jouets et des jeux (</w:t>
      </w:r>
      <w:r>
        <w:rPr>
          <w:rStyle w:val="VerbatimChar"/>
        </w:rPr>
        <w:t>E78_Collection</w:t>
      </w:r>
      <w:r>
        <w:t>). [Les activités curatoriales comprenaient l</w:t>
      </w:r>
      <w:r w:rsidR="00E84B0E">
        <w:t>’</w:t>
      </w:r>
      <w:r>
        <w:t>acquisition de poupées et de jeux de fabrication urbaine et populaire datant du XVII</w:t>
      </w:r>
      <w:r>
        <w:rPr>
          <w:vertAlign w:val="superscript"/>
        </w:rPr>
        <w:t>e</w:t>
      </w:r>
      <w:r>
        <w:t xml:space="preserve"> au XX</w:t>
      </w:r>
      <w:r>
        <w:rPr>
          <w:vertAlign w:val="superscript"/>
        </w:rPr>
        <w:t>e</w:t>
      </w:r>
      <w:r w:rsidR="00056DCD">
        <w:t> siècle </w:t>
      </w:r>
      <w:r>
        <w:t>et provenant d</w:t>
      </w:r>
      <w:r w:rsidR="00E84B0E">
        <w:t>’</w:t>
      </w:r>
      <w:r>
        <w:t>Angleterre, de France et d</w:t>
      </w:r>
      <w:r w:rsidR="00E84B0E">
        <w:t>’</w:t>
      </w:r>
      <w:r>
        <w:t>Allemagne pour la collection du Département de l</w:t>
      </w:r>
      <w:r w:rsidR="00E84B0E">
        <w:t>’</w:t>
      </w:r>
      <w:r>
        <w:t>enfance, des jouets et des jeux du musée] (Musée Benaki, 2016)</w:t>
      </w:r>
    </w:p>
    <w:p w14:paraId="10028DBD" w14:textId="2E34A3DE" w:rsidR="00065317" w:rsidRDefault="005C7BF7">
      <w:pPr>
        <w:numPr>
          <w:ilvl w:val="0"/>
          <w:numId w:val="263"/>
        </w:numPr>
      </w:pPr>
      <w:r>
        <w:t>Les activités curatoriales du Musée historique de Crète à Héraklion concernant sa collection permanente de numismatique de 2005 à aujourd</w:t>
      </w:r>
      <w:r w:rsidR="00E84B0E">
        <w:t>’</w:t>
      </w:r>
      <w:r>
        <w:t>hui (</w:t>
      </w:r>
      <w:r>
        <w:rPr>
          <w:rStyle w:val="VerbatimChar"/>
        </w:rPr>
        <w:t>E87_Activité_curatoriale</w:t>
      </w:r>
      <w:r>
        <w:t>) ont géré (</w:t>
      </w:r>
      <w:r>
        <w:rPr>
          <w:rStyle w:val="VerbatimChar"/>
        </w:rPr>
        <w:t>P147_a_géré</w:t>
      </w:r>
      <w:r>
        <w:t>) la collection permanente de numismatique (</w:t>
      </w:r>
      <w:r>
        <w:rPr>
          <w:rStyle w:val="VerbatimChar"/>
        </w:rPr>
        <w:t>E78_Collection</w:t>
      </w:r>
      <w:r>
        <w:t>) (Musée historique de Crète, 2005)</w:t>
      </w:r>
    </w:p>
    <w:p w14:paraId="4D0440B5" w14:textId="65B7237E" w:rsidR="00065317" w:rsidRDefault="005C7BF7">
      <w:pPr>
        <w:numPr>
          <w:ilvl w:val="0"/>
          <w:numId w:val="263"/>
        </w:numPr>
      </w:pPr>
      <w:r>
        <w:t>Les activités curatoriales de Mik</w:t>
      </w:r>
      <w:r w:rsidR="00B40400">
        <w:t>ae</w:t>
      </w:r>
      <w:r>
        <w:t>l Heggelund Foslie (</w:t>
      </w:r>
      <w:r>
        <w:rPr>
          <w:rStyle w:val="VerbatimChar"/>
        </w:rPr>
        <w:t>E87_Activité_curatoriale</w:t>
      </w:r>
      <w:r>
        <w:t>) ont géré (</w:t>
      </w:r>
      <w:r>
        <w:rPr>
          <w:rStyle w:val="VerbatimChar"/>
        </w:rPr>
        <w:t>P147_a_géré</w:t>
      </w:r>
      <w:r>
        <w:t>) l</w:t>
      </w:r>
      <w:r w:rsidR="00E84B0E">
        <w:t>’</w:t>
      </w:r>
      <w:r>
        <w:t>herbier d</w:t>
      </w:r>
      <w:r w:rsidR="00E84B0E">
        <w:t>’</w:t>
      </w:r>
      <w:r>
        <w:t>algues rouges coralliennes de Mik</w:t>
      </w:r>
      <w:r w:rsidR="00B40400">
        <w:t>ae</w:t>
      </w:r>
      <w:r>
        <w:t>l Heggelund Foslie (</w:t>
      </w:r>
      <w:r>
        <w:rPr>
          <w:rStyle w:val="VerbatimChar"/>
        </w:rPr>
        <w:t>E78_Collection</w:t>
      </w:r>
      <w:r>
        <w:t>) (W</w:t>
      </w:r>
      <w:r w:rsidR="00F52177">
        <w:t>oe</w:t>
      </w:r>
      <w:r>
        <w:t xml:space="preserve">lkerling </w:t>
      </w:r>
      <w:r w:rsidR="003F7E4B">
        <w:t>&amp; al,</w:t>
      </w:r>
      <w:r>
        <w:t xml:space="preserve"> 2005)</w:t>
      </w:r>
    </w:p>
    <w:p w14:paraId="373350AC" w14:textId="77777777" w:rsidR="00065317" w:rsidRDefault="005C7BF7">
      <w:pPr>
        <w:pStyle w:val="FirstParagraph"/>
      </w:pPr>
      <w:r>
        <w:rPr>
          <w:b/>
          <w:bCs/>
        </w:rPr>
        <w:t>Logique</w:t>
      </w:r>
    </w:p>
    <w:p w14:paraId="46AAA60F" w14:textId="77777777" w:rsidR="00065317" w:rsidRDefault="005C7BF7">
      <w:pPr>
        <w:pStyle w:val="Corpsdetexte"/>
      </w:pPr>
      <w:r>
        <w:t>P147(x,y) ⇒ E87(x)</w:t>
      </w:r>
    </w:p>
    <w:p w14:paraId="1BB1638B" w14:textId="77777777" w:rsidR="00065317" w:rsidRDefault="005C7BF7">
      <w:pPr>
        <w:pStyle w:val="Corpsdetexte"/>
      </w:pPr>
      <w:r>
        <w:t>P147(x,y) ⇒ E78(y)</w:t>
      </w:r>
    </w:p>
    <w:p w14:paraId="7F449A04" w14:textId="77777777" w:rsidR="00065317" w:rsidRDefault="005C7BF7">
      <w:pPr>
        <w:pStyle w:val="Corpsdetexte"/>
      </w:pPr>
      <w:r>
        <w:rPr>
          <w:b/>
          <w:bCs/>
        </w:rPr>
        <w:t>Propriétés</w:t>
      </w:r>
    </w:p>
    <w:p w14:paraId="05D59972" w14:textId="77777777" w:rsidR="00065317" w:rsidRDefault="005C7BF7">
      <w:pPr>
        <w:pStyle w:val="Normalcentr"/>
      </w:pPr>
      <w:r>
        <w:rPr>
          <w:b/>
          <w:bCs/>
          <w:i/>
          <w:iCs/>
        </w:rPr>
        <w:t>Note de traduction</w:t>
      </w:r>
    </w:p>
    <w:p w14:paraId="6E6C65FB" w14:textId="77777777" w:rsidR="00065317" w:rsidRDefault="005C7BF7">
      <w:pPr>
        <w:pStyle w:val="Normalcentr"/>
      </w:pPr>
      <w:r>
        <w:rPr>
          <w:b/>
          <w:bCs/>
          <w:i/>
          <w:iCs/>
        </w:rPr>
        <w:t>Références</w:t>
      </w:r>
    </w:p>
    <w:p w14:paraId="4F913788" w14:textId="77777777" w:rsidR="00065317" w:rsidRPr="00EC2D6E" w:rsidRDefault="005C7BF7">
      <w:pPr>
        <w:pStyle w:val="Normalcentr"/>
        <w:rPr>
          <w:lang w:val="en-CA"/>
        </w:rPr>
      </w:pPr>
      <w:r w:rsidRPr="001C1490">
        <w:rPr>
          <w:lang w:val="fr-CA"/>
        </w:rPr>
        <w:t xml:space="preserve">Benaki Museum. </w:t>
      </w:r>
      <w:r w:rsidRPr="00EC2D6E">
        <w:rPr>
          <w:lang w:val="en-CA"/>
        </w:rPr>
        <w:t xml:space="preserve">« Childhood, Toys and Games - </w:t>
      </w:r>
      <w:r>
        <w:t>Μουσείο</w:t>
      </w:r>
      <w:r w:rsidRPr="00EC2D6E">
        <w:rPr>
          <w:lang w:val="en-CA"/>
        </w:rPr>
        <w:t xml:space="preserve"> </w:t>
      </w:r>
      <w:r>
        <w:t>Μπενάκη</w:t>
      </w:r>
      <w:r w:rsidRPr="00EC2D6E">
        <w:rPr>
          <w:lang w:val="en-CA"/>
        </w:rPr>
        <w:t xml:space="preserve"> ». Benaki Museum, 2016.</w:t>
      </w:r>
      <w:hyperlink r:id="rId256">
        <w:r w:rsidRPr="00EC2D6E">
          <w:rPr>
            <w:rStyle w:val="Lienhypertexte"/>
            <w:lang w:val="en-CA"/>
          </w:rPr>
          <w:t xml:space="preserve"> </w:t>
        </w:r>
      </w:hyperlink>
      <w:hyperlink r:id="rId257">
        <w:r w:rsidRPr="00EC2D6E">
          <w:rPr>
            <w:rStyle w:val="Lienhypertexte"/>
            <w:lang w:val="en-CA"/>
          </w:rPr>
          <w:t>https://www.benaki.org//index.php?option=com_collections&amp;view=collection&amp;id=45&amp;Itemid=540&amp;lang=el</w:t>
        </w:r>
      </w:hyperlink>
      <w:r w:rsidRPr="00EC2D6E">
        <w:rPr>
          <w:lang w:val="en-CA"/>
        </w:rPr>
        <w:t>.</w:t>
      </w:r>
    </w:p>
    <w:p w14:paraId="110C453C" w14:textId="01A68605" w:rsidR="00065317" w:rsidRDefault="005C7BF7">
      <w:pPr>
        <w:pStyle w:val="Normalcentr"/>
      </w:pPr>
      <w:r w:rsidRPr="00EC2D6E">
        <w:rPr>
          <w:lang w:val="en-CA"/>
        </w:rPr>
        <w:t xml:space="preserve">Theodoropoulos, Alexandros. « Maria Argyriadi: The Researcher and Toys Collector That Changed the Benaki Museum ». </w:t>
      </w:r>
      <w:r>
        <w:rPr>
          <w:i/>
          <w:iCs/>
        </w:rPr>
        <w:t>ImpacTalk</w:t>
      </w:r>
      <w:r>
        <w:t xml:space="preserve"> (blog), 21</w:t>
      </w:r>
      <w:r w:rsidR="00056DCD">
        <w:t> mai </w:t>
      </w:r>
      <w:r>
        <w:t>2021.</w:t>
      </w:r>
      <w:hyperlink r:id="rId258">
        <w:r>
          <w:rPr>
            <w:rStyle w:val="Lienhypertexte"/>
          </w:rPr>
          <w:t xml:space="preserve"> </w:t>
        </w:r>
      </w:hyperlink>
      <w:hyperlink r:id="rId259">
        <w:r>
          <w:rPr>
            <w:rStyle w:val="Lienhypertexte"/>
          </w:rPr>
          <w:t>https://impactalk.gr/en/stories-talk/maria-argyriadi-researcher-and-toys-collector-changed-benaki-museum</w:t>
        </w:r>
      </w:hyperlink>
      <w:r>
        <w:t>.</w:t>
      </w:r>
    </w:p>
    <w:p w14:paraId="1EC8C6B2" w14:textId="77777777" w:rsidR="00065317" w:rsidRDefault="005C7BF7" w:rsidP="00914F34">
      <w:pPr>
        <w:pStyle w:val="Titre3"/>
      </w:pPr>
      <w:bookmarkStart w:id="514" w:name="_Toc154048942"/>
      <w:bookmarkStart w:id="515" w:name="X72bd8fce6273cb779c487f8046bd32680771bfa"/>
      <w:bookmarkEnd w:id="513"/>
      <w:r>
        <w:t>P148 a pour composant (est le composant de)</w:t>
      </w:r>
      <w:bookmarkEnd w:id="514"/>
    </w:p>
    <w:p w14:paraId="177B6179" w14:textId="77777777" w:rsidR="00065317" w:rsidRDefault="005C7BF7">
      <w:pPr>
        <w:pStyle w:val="FirstParagraph"/>
      </w:pPr>
      <w:r>
        <w:rPr>
          <w:b/>
          <w:bCs/>
        </w:rPr>
        <w:t>Domaine</w:t>
      </w:r>
    </w:p>
    <w:p w14:paraId="73572B62" w14:textId="77777777" w:rsidR="00065317" w:rsidRDefault="005C7BF7">
      <w:pPr>
        <w:pStyle w:val="Corpsdetexte"/>
      </w:pPr>
      <w:r>
        <w:rPr>
          <w:rStyle w:val="VerbatimChar"/>
        </w:rPr>
        <w:t>E89_Objet_propositionnel</w:t>
      </w:r>
    </w:p>
    <w:p w14:paraId="722832EE" w14:textId="77777777" w:rsidR="00065317" w:rsidRDefault="005C7BF7">
      <w:pPr>
        <w:pStyle w:val="Corpsdetexte"/>
      </w:pPr>
      <w:r>
        <w:rPr>
          <w:b/>
          <w:bCs/>
        </w:rPr>
        <w:t>Portée</w:t>
      </w:r>
    </w:p>
    <w:p w14:paraId="0B36B6B2" w14:textId="77777777" w:rsidR="00065317" w:rsidRDefault="005C7BF7">
      <w:pPr>
        <w:pStyle w:val="Corpsdetexte"/>
      </w:pPr>
      <w:r>
        <w:rPr>
          <w:rStyle w:val="VerbatimChar"/>
        </w:rPr>
        <w:t>E89_Objet_propositionnel</w:t>
      </w:r>
    </w:p>
    <w:p w14:paraId="4D0B833C" w14:textId="77777777" w:rsidR="00065317" w:rsidRDefault="005C7BF7">
      <w:pPr>
        <w:pStyle w:val="Corpsdetexte"/>
      </w:pPr>
      <w:r>
        <w:rPr>
          <w:b/>
          <w:bCs/>
        </w:rPr>
        <w:t>Sous-propriété de</w:t>
      </w:r>
    </w:p>
    <w:p w14:paraId="4DB673F5" w14:textId="77777777" w:rsidR="00065317" w:rsidRDefault="005C7BF7">
      <w:pPr>
        <w:pStyle w:val="Corpsdetexte"/>
      </w:pPr>
      <w:r>
        <w:rPr>
          <w:b/>
          <w:bCs/>
        </w:rPr>
        <w:t>Super-propriété de</w:t>
      </w:r>
    </w:p>
    <w:p w14:paraId="6B8B4BB4" w14:textId="77777777" w:rsidR="00065317" w:rsidRDefault="005C7BF7">
      <w:pPr>
        <w:pStyle w:val="Corpsdetexte"/>
      </w:pPr>
      <w:r>
        <w:rPr>
          <w:b/>
          <w:bCs/>
        </w:rPr>
        <w:t>Quantification</w:t>
      </w:r>
    </w:p>
    <w:p w14:paraId="59E42017" w14:textId="77777777" w:rsidR="00065317" w:rsidRDefault="005C7BF7">
      <w:pPr>
        <w:pStyle w:val="Corpsdetexte"/>
      </w:pPr>
      <w:r>
        <w:t>plusieurs à plusieurs (0,n:0,n)</w:t>
      </w:r>
    </w:p>
    <w:p w14:paraId="1FAFFB2F" w14:textId="3E8797E5" w:rsidR="00065317" w:rsidRDefault="005C7BF7">
      <w:pPr>
        <w:pStyle w:val="Corpsdetexte"/>
      </w:pPr>
      <w:r>
        <w:rPr>
          <w:b/>
          <w:bCs/>
        </w:rPr>
        <w:t>Note d</w:t>
      </w:r>
      <w:r w:rsidR="00E84B0E">
        <w:rPr>
          <w:b/>
          <w:bCs/>
        </w:rPr>
        <w:t>’</w:t>
      </w:r>
      <w:r>
        <w:rPr>
          <w:b/>
          <w:bCs/>
        </w:rPr>
        <w:t>application</w:t>
      </w:r>
    </w:p>
    <w:p w14:paraId="3D43F1F9" w14:textId="77777777" w:rsidR="00065317" w:rsidRDefault="005C7BF7">
      <w:pPr>
        <w:pStyle w:val="Corpsdetexte"/>
      </w:pPr>
      <w:r>
        <w:t xml:space="preserve">Cette propriété associe une instance de </w:t>
      </w:r>
      <w:r>
        <w:rPr>
          <w:rStyle w:val="VerbatimChar"/>
        </w:rPr>
        <w:t>E89_Objet_propositionnel</w:t>
      </w:r>
      <w:r>
        <w:t xml:space="preserve"> avec une de ses parties structurelles qui est elle-même une instance de </w:t>
      </w:r>
      <w:r>
        <w:rPr>
          <w:rStyle w:val="VerbatimChar"/>
        </w:rPr>
        <w:t>E89_Objet_propositionnel</w:t>
      </w:r>
      <w:r>
        <w:t>.</w:t>
      </w:r>
    </w:p>
    <w:p w14:paraId="72A6A443" w14:textId="77777777" w:rsidR="00065317" w:rsidRDefault="005C7BF7">
      <w:pPr>
        <w:pStyle w:val="Corpsdetexte"/>
      </w:pPr>
      <w:r>
        <w:lastRenderedPageBreak/>
        <w:t>Cette propriété est transitive et asymétrique.</w:t>
      </w:r>
    </w:p>
    <w:p w14:paraId="7DF89120" w14:textId="77777777" w:rsidR="00065317" w:rsidRDefault="005C7BF7">
      <w:pPr>
        <w:pStyle w:val="Corpsdetexte"/>
      </w:pPr>
      <w:r>
        <w:rPr>
          <w:b/>
          <w:bCs/>
        </w:rPr>
        <w:t>Exemples</w:t>
      </w:r>
    </w:p>
    <w:p w14:paraId="43E48351" w14:textId="57CB0F58" w:rsidR="00065317" w:rsidRDefault="005C7BF7">
      <w:pPr>
        <w:numPr>
          <w:ilvl w:val="0"/>
          <w:numId w:val="264"/>
        </w:numPr>
      </w:pPr>
      <w:r>
        <w:t xml:space="preserve">La </w:t>
      </w:r>
      <w:r>
        <w:rPr>
          <w:i/>
          <w:iCs/>
        </w:rPr>
        <w:t>Divine comédie</w:t>
      </w:r>
      <w:r>
        <w:t xml:space="preserve"> de Dante (</w:t>
      </w:r>
      <w:r>
        <w:rPr>
          <w:rStyle w:val="VerbatimChar"/>
        </w:rPr>
        <w:t>E89_Objet_propositionnel</w:t>
      </w:r>
      <w:r>
        <w:t>) a pour composant (</w:t>
      </w:r>
      <w:r>
        <w:rPr>
          <w:rStyle w:val="VerbatimChar"/>
        </w:rPr>
        <w:t>P148_a_pour_composant</w:t>
      </w:r>
      <w:r>
        <w:t>) « L</w:t>
      </w:r>
      <w:r w:rsidR="00E84B0E">
        <w:t>’</w:t>
      </w:r>
      <w:r>
        <w:t>Enfer » (</w:t>
      </w:r>
      <w:r>
        <w:rPr>
          <w:rStyle w:val="VerbatimChar"/>
        </w:rPr>
        <w:t>E89_Objet_propositionnel</w:t>
      </w:r>
      <w:r>
        <w:t>) (Alighieri, 1956)</w:t>
      </w:r>
    </w:p>
    <w:p w14:paraId="308E9CA8" w14:textId="77777777" w:rsidR="00065317" w:rsidRDefault="005C7BF7">
      <w:pPr>
        <w:pStyle w:val="FirstParagraph"/>
      </w:pPr>
      <w:r>
        <w:rPr>
          <w:b/>
          <w:bCs/>
        </w:rPr>
        <w:t>Logique</w:t>
      </w:r>
    </w:p>
    <w:p w14:paraId="6A1CB7E3" w14:textId="77777777" w:rsidR="00065317" w:rsidRDefault="005C7BF7">
      <w:pPr>
        <w:pStyle w:val="Corpsdetexte"/>
      </w:pPr>
      <w:r>
        <w:t>P148(x,y) ⇒ E89(x)</w:t>
      </w:r>
    </w:p>
    <w:p w14:paraId="6AC77E04" w14:textId="77777777" w:rsidR="00065317" w:rsidRDefault="005C7BF7">
      <w:pPr>
        <w:pStyle w:val="Corpsdetexte"/>
      </w:pPr>
      <w:r>
        <w:t>P148(x,y) ⇒ E89(y)</w:t>
      </w:r>
    </w:p>
    <w:p w14:paraId="023A57A4" w14:textId="77777777" w:rsidR="00065317" w:rsidRDefault="005C7BF7">
      <w:pPr>
        <w:pStyle w:val="Corpsdetexte"/>
      </w:pPr>
      <w:r>
        <w:t>[P148(x,y) ∧ P148(y,z)] ⇒ P148(x,z)</w:t>
      </w:r>
    </w:p>
    <w:p w14:paraId="1340EF8B" w14:textId="77777777" w:rsidR="00065317" w:rsidRDefault="005C7BF7">
      <w:pPr>
        <w:pStyle w:val="Corpsdetexte"/>
      </w:pPr>
      <w:r>
        <w:t>P148(x,y) ⇒ ¬P148(y,x)</w:t>
      </w:r>
    </w:p>
    <w:p w14:paraId="3D326D7B" w14:textId="77777777" w:rsidR="00065317" w:rsidRDefault="005C7BF7">
      <w:pPr>
        <w:pStyle w:val="Corpsdetexte"/>
      </w:pPr>
      <w:r>
        <w:rPr>
          <w:b/>
          <w:bCs/>
        </w:rPr>
        <w:t>Propriétés</w:t>
      </w:r>
    </w:p>
    <w:p w14:paraId="529EEB30" w14:textId="77777777" w:rsidR="00065317" w:rsidRDefault="005C7BF7">
      <w:pPr>
        <w:pStyle w:val="Normalcentr"/>
      </w:pPr>
      <w:r>
        <w:rPr>
          <w:b/>
          <w:bCs/>
          <w:i/>
          <w:iCs/>
        </w:rPr>
        <w:t>Note de traduction</w:t>
      </w:r>
    </w:p>
    <w:p w14:paraId="35B172AB" w14:textId="77777777" w:rsidR="00065317" w:rsidRDefault="005C7BF7">
      <w:pPr>
        <w:pStyle w:val="Normalcentr"/>
      </w:pPr>
      <w:r>
        <w:t>La traduction des titres de « Divine Comedy » est issue de la version française publiée par la Bibliothèque de la Pléiade en 2021.</w:t>
      </w:r>
    </w:p>
    <w:p w14:paraId="7388E8FA" w14:textId="77777777" w:rsidR="00065317" w:rsidRDefault="005C7BF7">
      <w:pPr>
        <w:pStyle w:val="Normalcentr"/>
      </w:pPr>
      <w:r>
        <w:rPr>
          <w:b/>
          <w:bCs/>
          <w:i/>
          <w:iCs/>
        </w:rPr>
        <w:t>Références</w:t>
      </w:r>
    </w:p>
    <w:p w14:paraId="665EBD5F" w14:textId="3A0DB7E0" w:rsidR="00065317" w:rsidRDefault="005C7BF7">
      <w:pPr>
        <w:pStyle w:val="Normalcentr"/>
      </w:pPr>
      <w:r>
        <w:t xml:space="preserve">Alighieri, Dante. </w:t>
      </w:r>
      <w:r>
        <w:rPr>
          <w:i/>
          <w:iCs/>
        </w:rPr>
        <w:t>La divine comédie</w:t>
      </w:r>
      <w:r>
        <w:t>. Édité par Carlo Ossola. Traduit par Jacqueline Risset. Éd. bilingue. Bibliothèque de la Pléiade 659. 1308–1321. Reprint, Paris</w:t>
      </w:r>
      <w:r w:rsidR="003F7E4B">
        <w:t xml:space="preserve">: </w:t>
      </w:r>
      <w:r>
        <w:t>Gallimard, 2021.</w:t>
      </w:r>
    </w:p>
    <w:p w14:paraId="5B93DDC5" w14:textId="5C394EB2" w:rsidR="00065317" w:rsidRDefault="005C7BF7" w:rsidP="00914F34">
      <w:pPr>
        <w:pStyle w:val="Titre3"/>
      </w:pPr>
      <w:bookmarkStart w:id="516" w:name="_Toc154048943"/>
      <w:bookmarkStart w:id="517" w:name="X3d83cb5bc3288ef6cfb4d9d695ba8f6547ae0bc"/>
      <w:bookmarkEnd w:id="515"/>
      <w:r>
        <w:t>P150 définit les éléments typiques de (définit l</w:t>
      </w:r>
      <w:r w:rsidR="00E84B0E">
        <w:t>’</w:t>
      </w:r>
      <w:r>
        <w:t>ensemble typique pour)</w:t>
      </w:r>
      <w:bookmarkEnd w:id="516"/>
    </w:p>
    <w:p w14:paraId="52AFBCDC" w14:textId="77777777" w:rsidR="00065317" w:rsidRDefault="005C7BF7">
      <w:pPr>
        <w:pStyle w:val="FirstParagraph"/>
      </w:pPr>
      <w:r>
        <w:rPr>
          <w:b/>
          <w:bCs/>
        </w:rPr>
        <w:t>Domaine</w:t>
      </w:r>
    </w:p>
    <w:p w14:paraId="3AED2C26" w14:textId="77777777" w:rsidR="00065317" w:rsidRDefault="005C7BF7">
      <w:pPr>
        <w:pStyle w:val="Corpsdetexte"/>
      </w:pPr>
      <w:r>
        <w:rPr>
          <w:rStyle w:val="VerbatimChar"/>
        </w:rPr>
        <w:t>E55_Type</w:t>
      </w:r>
    </w:p>
    <w:p w14:paraId="37C37AAF" w14:textId="77777777" w:rsidR="00065317" w:rsidRDefault="005C7BF7">
      <w:pPr>
        <w:pStyle w:val="Corpsdetexte"/>
      </w:pPr>
      <w:r>
        <w:rPr>
          <w:b/>
          <w:bCs/>
        </w:rPr>
        <w:t>Portée</w:t>
      </w:r>
    </w:p>
    <w:p w14:paraId="61464CFC" w14:textId="77777777" w:rsidR="00065317" w:rsidRDefault="005C7BF7">
      <w:pPr>
        <w:pStyle w:val="Corpsdetexte"/>
      </w:pPr>
      <w:r>
        <w:rPr>
          <w:rStyle w:val="VerbatimChar"/>
        </w:rPr>
        <w:t>E55_Type</w:t>
      </w:r>
    </w:p>
    <w:p w14:paraId="61044F57" w14:textId="77777777" w:rsidR="00065317" w:rsidRDefault="005C7BF7">
      <w:pPr>
        <w:pStyle w:val="Corpsdetexte"/>
      </w:pPr>
      <w:r>
        <w:rPr>
          <w:b/>
          <w:bCs/>
        </w:rPr>
        <w:t>Sous-propriété de</w:t>
      </w:r>
    </w:p>
    <w:p w14:paraId="7D6496BE" w14:textId="77777777" w:rsidR="00065317" w:rsidRDefault="005C7BF7">
      <w:pPr>
        <w:pStyle w:val="Corpsdetexte"/>
      </w:pPr>
      <w:r>
        <w:rPr>
          <w:b/>
          <w:bCs/>
        </w:rPr>
        <w:t>Super-propriété de</w:t>
      </w:r>
    </w:p>
    <w:p w14:paraId="16F7E492" w14:textId="77777777" w:rsidR="00065317" w:rsidRDefault="005C7BF7">
      <w:pPr>
        <w:pStyle w:val="Corpsdetexte"/>
      </w:pPr>
      <w:r>
        <w:rPr>
          <w:b/>
          <w:bCs/>
        </w:rPr>
        <w:t>Quantification</w:t>
      </w:r>
    </w:p>
    <w:p w14:paraId="3F087E18" w14:textId="77777777" w:rsidR="00065317" w:rsidRDefault="005C7BF7">
      <w:pPr>
        <w:pStyle w:val="Corpsdetexte"/>
      </w:pPr>
      <w:r>
        <w:t>plusieurs à plusieurs (0,n:0,n)</w:t>
      </w:r>
    </w:p>
    <w:p w14:paraId="43DA3C61" w14:textId="41474346" w:rsidR="00065317" w:rsidRDefault="005C7BF7">
      <w:pPr>
        <w:pStyle w:val="Corpsdetexte"/>
      </w:pPr>
      <w:r>
        <w:rPr>
          <w:b/>
          <w:bCs/>
        </w:rPr>
        <w:t>Note d</w:t>
      </w:r>
      <w:r w:rsidR="00E84B0E">
        <w:rPr>
          <w:b/>
          <w:bCs/>
        </w:rPr>
        <w:t>’</w:t>
      </w:r>
      <w:r>
        <w:rPr>
          <w:b/>
          <w:bCs/>
        </w:rPr>
        <w:t>application</w:t>
      </w:r>
    </w:p>
    <w:p w14:paraId="264B3107" w14:textId="1E919648" w:rsidR="00065317" w:rsidRDefault="005C7BF7">
      <w:pPr>
        <w:pStyle w:val="Corpsdetexte"/>
      </w:pPr>
      <w:r>
        <w:t xml:space="preserve">Cette propriété associe une instance </w:t>
      </w:r>
      <w:r>
        <w:rPr>
          <w:rStyle w:val="VerbatimChar"/>
        </w:rPr>
        <w:t>E55_Type</w:t>
      </w:r>
      <w:r>
        <w:t xml:space="preserve"> de type « A » avec une instance </w:t>
      </w:r>
      <w:r>
        <w:rPr>
          <w:rStyle w:val="VerbatimChar"/>
        </w:rPr>
        <w:t>E55_Type</w:t>
      </w:r>
      <w:r>
        <w:t xml:space="preserve"> de type « B</w:t>
      </w:r>
      <w:r w:rsidR="00AF2585">
        <w:t> </w:t>
      </w:r>
      <w:r>
        <w:t>», lorsque des entités de type « A » forment typiquement des éléments d</w:t>
      </w:r>
      <w:r w:rsidR="00E84B0E">
        <w:t>’</w:t>
      </w:r>
      <w:r>
        <w:t>entités de type « B », tels que les «</w:t>
      </w:r>
      <w:r w:rsidR="00AF2585">
        <w:t> </w:t>
      </w:r>
      <w:r>
        <w:t>moteurs de voiture » et les « voitures ».</w:t>
      </w:r>
    </w:p>
    <w:p w14:paraId="2DA4A094" w14:textId="523F0D04" w:rsidR="00065317" w:rsidRDefault="005C7BF7">
      <w:pPr>
        <w:pStyle w:val="Corpsdetexte"/>
      </w:pPr>
      <w:r>
        <w:t>Cela permet aux types « A » et « B » d</w:t>
      </w:r>
      <w:r w:rsidR="00E84B0E">
        <w:t>’</w:t>
      </w:r>
      <w:r>
        <w:t>être organisés en hiérarchies basées sur un type décrivant des éléments typiques d</w:t>
      </w:r>
      <w:r w:rsidR="00E84B0E">
        <w:t>’</w:t>
      </w:r>
      <w:r>
        <w:t>un autre type. Cette propriété est équivalente au « terme générique partitif (TGP)</w:t>
      </w:r>
      <w:r w:rsidR="00C2235A">
        <w:t> </w:t>
      </w:r>
      <w:r>
        <w:t>» défini par la norme ISO 2788 et par la propriété</w:t>
      </w:r>
      <w:r w:rsidR="00AF2585">
        <w:t xml:space="preserve"> </w:t>
      </w:r>
      <w:r>
        <w:t>« broaderPartitive » dans la recommandation SKOS.</w:t>
      </w:r>
    </w:p>
    <w:p w14:paraId="1FB108BD" w14:textId="596DD7C3" w:rsidR="00065317" w:rsidRDefault="005C7BF7">
      <w:pPr>
        <w:pStyle w:val="Corpsdetexte"/>
      </w:pPr>
      <w:r>
        <w:t>La propriété n</w:t>
      </w:r>
      <w:r w:rsidR="00E84B0E">
        <w:t>’</w:t>
      </w:r>
      <w:r>
        <w:t>est pas transitive, mais est asymétrique.</w:t>
      </w:r>
    </w:p>
    <w:p w14:paraId="75BA8B59" w14:textId="77777777" w:rsidR="00DE6C24" w:rsidRDefault="00DE6C24">
      <w:pPr>
        <w:spacing w:after="0"/>
        <w:rPr>
          <w:b/>
          <w:bCs/>
        </w:rPr>
      </w:pPr>
      <w:r>
        <w:rPr>
          <w:b/>
          <w:bCs/>
        </w:rPr>
        <w:br w:type="page"/>
      </w:r>
    </w:p>
    <w:p w14:paraId="65A8EC43" w14:textId="172807A9" w:rsidR="00065317" w:rsidRDefault="005C7BF7">
      <w:pPr>
        <w:pStyle w:val="Corpsdetexte"/>
      </w:pPr>
      <w:r>
        <w:rPr>
          <w:b/>
          <w:bCs/>
        </w:rPr>
        <w:lastRenderedPageBreak/>
        <w:t>Exemples</w:t>
      </w:r>
    </w:p>
    <w:p w14:paraId="1C7CA99F" w14:textId="77777777" w:rsidR="00065317" w:rsidRDefault="005C7BF7">
      <w:pPr>
        <w:numPr>
          <w:ilvl w:val="0"/>
          <w:numId w:val="265"/>
        </w:numPr>
      </w:pPr>
      <w:r>
        <w:t>Les moteurs de voiture (</w:t>
      </w:r>
      <w:r>
        <w:rPr>
          <w:rStyle w:val="VerbatimChar"/>
        </w:rPr>
        <w:t>E55_Type</w:t>
      </w:r>
      <w:r>
        <w:t>) définissent les éléments typiques (</w:t>
      </w:r>
      <w:r>
        <w:rPr>
          <w:rStyle w:val="VerbatimChar"/>
        </w:rPr>
        <w:t>P150_définit_les_éléments_typiques_de</w:t>
      </w:r>
      <w:r>
        <w:t>) des voitures (</w:t>
      </w:r>
      <w:r>
        <w:rPr>
          <w:rStyle w:val="VerbatimChar"/>
        </w:rPr>
        <w:t>E55_Type</w:t>
      </w:r>
      <w:r>
        <w:t>) (fictif)</w:t>
      </w:r>
    </w:p>
    <w:p w14:paraId="75840616" w14:textId="77777777" w:rsidR="00065317" w:rsidRDefault="005C7BF7">
      <w:pPr>
        <w:pStyle w:val="FirstParagraph"/>
      </w:pPr>
      <w:r>
        <w:rPr>
          <w:b/>
          <w:bCs/>
        </w:rPr>
        <w:t>Logique</w:t>
      </w:r>
    </w:p>
    <w:p w14:paraId="64EA6536" w14:textId="77777777" w:rsidR="00065317" w:rsidRDefault="005C7BF7">
      <w:pPr>
        <w:pStyle w:val="Corpsdetexte"/>
      </w:pPr>
      <w:r>
        <w:t>P150(x,y) ⇒ E55(x)</w:t>
      </w:r>
    </w:p>
    <w:p w14:paraId="0F39C620" w14:textId="77777777" w:rsidR="00065317" w:rsidRDefault="005C7BF7">
      <w:pPr>
        <w:pStyle w:val="Corpsdetexte"/>
      </w:pPr>
      <w:r>
        <w:t>P150(x,y) ⇒ E55(y)</w:t>
      </w:r>
    </w:p>
    <w:p w14:paraId="3672769E" w14:textId="77777777" w:rsidR="00065317" w:rsidRDefault="005C7BF7">
      <w:pPr>
        <w:pStyle w:val="Corpsdetexte"/>
      </w:pPr>
      <w:r>
        <w:t>P150(x,y) ⇒ ¬P150(y,x)</w:t>
      </w:r>
    </w:p>
    <w:p w14:paraId="603D5FB1" w14:textId="77777777" w:rsidR="00065317" w:rsidRDefault="005C7BF7">
      <w:pPr>
        <w:pStyle w:val="Corpsdetexte"/>
      </w:pPr>
      <w:r>
        <w:rPr>
          <w:b/>
          <w:bCs/>
        </w:rPr>
        <w:t>Propriétés</w:t>
      </w:r>
    </w:p>
    <w:p w14:paraId="2D8CF067" w14:textId="77777777" w:rsidR="00065317" w:rsidRDefault="005C7BF7">
      <w:pPr>
        <w:pStyle w:val="Normalcentr"/>
      </w:pPr>
      <w:r>
        <w:rPr>
          <w:b/>
          <w:bCs/>
          <w:i/>
          <w:iCs/>
        </w:rPr>
        <w:t>Note de traduction</w:t>
      </w:r>
    </w:p>
    <w:p w14:paraId="07AFAECA" w14:textId="57E32985" w:rsidR="00065317" w:rsidRDefault="005C7BF7" w:rsidP="00AF2585">
      <w:pPr>
        <w:pStyle w:val="Normalcentr"/>
      </w:pPr>
      <w:r>
        <w:rPr>
          <w:b/>
          <w:bCs/>
          <w:i/>
          <w:iCs/>
        </w:rPr>
        <w:t>Références</w:t>
      </w:r>
    </w:p>
    <w:p w14:paraId="79D13F31" w14:textId="77777777" w:rsidR="00065317" w:rsidRDefault="005C7BF7" w:rsidP="00914F34">
      <w:pPr>
        <w:pStyle w:val="Titre3"/>
      </w:pPr>
      <w:bookmarkStart w:id="518" w:name="_Toc154048944"/>
      <w:bookmarkStart w:id="519" w:name="X27bef95c9de4b0a591355b7bda11f3791f130de"/>
      <w:bookmarkEnd w:id="517"/>
      <w:r>
        <w:t>P151 a été formé à partir de (a participé à)</w:t>
      </w:r>
      <w:bookmarkEnd w:id="518"/>
    </w:p>
    <w:p w14:paraId="6B722366" w14:textId="77777777" w:rsidR="00065317" w:rsidRDefault="005C7BF7">
      <w:pPr>
        <w:pStyle w:val="FirstParagraph"/>
      </w:pPr>
      <w:r>
        <w:rPr>
          <w:b/>
          <w:bCs/>
        </w:rPr>
        <w:t>Domaine</w:t>
      </w:r>
    </w:p>
    <w:p w14:paraId="14C4EFC7" w14:textId="77777777" w:rsidR="00065317" w:rsidRDefault="005C7BF7">
      <w:pPr>
        <w:pStyle w:val="Corpsdetexte"/>
      </w:pPr>
      <w:r>
        <w:rPr>
          <w:rStyle w:val="VerbatimChar"/>
        </w:rPr>
        <w:t>E66_Formation</w:t>
      </w:r>
    </w:p>
    <w:p w14:paraId="622F522C" w14:textId="77777777" w:rsidR="00065317" w:rsidRDefault="005C7BF7">
      <w:pPr>
        <w:pStyle w:val="Corpsdetexte"/>
      </w:pPr>
      <w:r>
        <w:rPr>
          <w:b/>
          <w:bCs/>
        </w:rPr>
        <w:t>Portée</w:t>
      </w:r>
    </w:p>
    <w:p w14:paraId="4C705A9E" w14:textId="77777777" w:rsidR="00065317" w:rsidRDefault="005C7BF7">
      <w:pPr>
        <w:pStyle w:val="Corpsdetexte"/>
      </w:pPr>
      <w:r>
        <w:rPr>
          <w:rStyle w:val="VerbatimChar"/>
        </w:rPr>
        <w:t>E74_Groupe</w:t>
      </w:r>
    </w:p>
    <w:p w14:paraId="0D514A2D" w14:textId="77777777" w:rsidR="00065317" w:rsidRDefault="005C7BF7">
      <w:pPr>
        <w:pStyle w:val="Corpsdetexte"/>
      </w:pPr>
      <w:r>
        <w:rPr>
          <w:b/>
          <w:bCs/>
        </w:rPr>
        <w:t>Sous-propriété de</w:t>
      </w:r>
    </w:p>
    <w:p w14:paraId="02974D9C" w14:textId="77777777" w:rsidR="00065317" w:rsidRDefault="005C7BF7">
      <w:pPr>
        <w:pStyle w:val="Corpsdetexte"/>
      </w:pPr>
      <w:r>
        <w:rPr>
          <w:rStyle w:val="VerbatimChar"/>
        </w:rPr>
        <w:t>E5_Évènement</w:t>
      </w:r>
      <w:r>
        <w:t xml:space="preserve">. </w:t>
      </w:r>
      <w:r>
        <w:rPr>
          <w:rStyle w:val="VerbatimChar"/>
        </w:rPr>
        <w:t>P11_a_eu_pour_actant_participant (a_participé_à)</w:t>
      </w:r>
      <w:r>
        <w:t xml:space="preserve"> : </w:t>
      </w:r>
      <w:r>
        <w:rPr>
          <w:rStyle w:val="VerbatimChar"/>
        </w:rPr>
        <w:t>E39_Actant</w:t>
      </w:r>
    </w:p>
    <w:p w14:paraId="01890210" w14:textId="77777777" w:rsidR="00065317" w:rsidRDefault="005C7BF7">
      <w:pPr>
        <w:pStyle w:val="Corpsdetexte"/>
      </w:pPr>
      <w:r>
        <w:rPr>
          <w:b/>
          <w:bCs/>
        </w:rPr>
        <w:t>Super-propriété de</w:t>
      </w:r>
    </w:p>
    <w:p w14:paraId="0020CFA0" w14:textId="77777777" w:rsidR="00065317" w:rsidRDefault="005C7BF7">
      <w:pPr>
        <w:pStyle w:val="Corpsdetexte"/>
      </w:pPr>
      <w:r>
        <w:rPr>
          <w:b/>
          <w:bCs/>
        </w:rPr>
        <w:t>Quantification</w:t>
      </w:r>
    </w:p>
    <w:p w14:paraId="05C9CCE5" w14:textId="77777777" w:rsidR="00065317" w:rsidRDefault="005C7BF7">
      <w:pPr>
        <w:pStyle w:val="Corpsdetexte"/>
      </w:pPr>
      <w:r>
        <w:t>plusieurs à plusieurs (0,n:0,n)</w:t>
      </w:r>
    </w:p>
    <w:p w14:paraId="29C60E25" w14:textId="713F306E" w:rsidR="00065317" w:rsidRDefault="005C7BF7">
      <w:pPr>
        <w:pStyle w:val="Corpsdetexte"/>
      </w:pPr>
      <w:r>
        <w:rPr>
          <w:b/>
          <w:bCs/>
        </w:rPr>
        <w:t>Note d</w:t>
      </w:r>
      <w:r w:rsidR="00E84B0E">
        <w:rPr>
          <w:b/>
          <w:bCs/>
        </w:rPr>
        <w:t>’</w:t>
      </w:r>
      <w:r>
        <w:rPr>
          <w:b/>
          <w:bCs/>
        </w:rPr>
        <w:t>application</w:t>
      </w:r>
    </w:p>
    <w:p w14:paraId="2E195CA5" w14:textId="352FA52A" w:rsidR="00065317" w:rsidRDefault="005C7BF7">
      <w:pPr>
        <w:pStyle w:val="Corpsdetexte"/>
      </w:pPr>
      <w:r>
        <w:t xml:space="preserve">Cette propriété associe une instance de </w:t>
      </w:r>
      <w:r>
        <w:rPr>
          <w:rStyle w:val="VerbatimChar"/>
        </w:rPr>
        <w:t>E66_Formation</w:t>
      </w:r>
      <w:r>
        <w:t xml:space="preserve"> à l</w:t>
      </w:r>
      <w:r w:rsidR="00E84B0E">
        <w:t>’</w:t>
      </w:r>
      <w:r>
        <w:t xml:space="preserve">instance de </w:t>
      </w:r>
      <w:r>
        <w:rPr>
          <w:rStyle w:val="VerbatimChar"/>
        </w:rPr>
        <w:t>E74_Groupe</w:t>
      </w:r>
      <w:r>
        <w:t xml:space="preserve"> à partir de laquelle un nouveau groupe a été fondé tout en conservant une forme de continuité, tel que dans la mission, les membres ou la tradition.</w:t>
      </w:r>
    </w:p>
    <w:p w14:paraId="1E03FBB3" w14:textId="77777777" w:rsidR="00065317" w:rsidRDefault="005C7BF7">
      <w:pPr>
        <w:pStyle w:val="Corpsdetexte"/>
      </w:pPr>
      <w:r>
        <w:rPr>
          <w:b/>
          <w:bCs/>
        </w:rPr>
        <w:t>Exemples</w:t>
      </w:r>
    </w:p>
    <w:p w14:paraId="19DBC461" w14:textId="51080A87" w:rsidR="00065317" w:rsidRDefault="005C7BF7">
      <w:pPr>
        <w:numPr>
          <w:ilvl w:val="0"/>
          <w:numId w:val="266"/>
        </w:numPr>
      </w:pPr>
      <w:r>
        <w:t>La formation de la Maison de Bourbon-Conti en 1581 (</w:t>
      </w:r>
      <w:r>
        <w:rPr>
          <w:rStyle w:val="VerbatimChar"/>
        </w:rPr>
        <w:t>E66_Formation</w:t>
      </w:r>
      <w:r>
        <w:t>) a été formée à partir de (</w:t>
      </w:r>
      <w:r>
        <w:rPr>
          <w:rStyle w:val="VerbatimChar"/>
        </w:rPr>
        <w:t>P151_a_été_formé_à_partir_de</w:t>
      </w:r>
      <w:r>
        <w:t>) la Maison de Condé (</w:t>
      </w:r>
      <w:r>
        <w:rPr>
          <w:rStyle w:val="VerbatimChar"/>
        </w:rPr>
        <w:t>E74_Groupe</w:t>
      </w:r>
      <w:r>
        <w:t xml:space="preserve">) (Collectif </w:t>
      </w:r>
      <w:r w:rsidR="005E51FD">
        <w:t xml:space="preserve">&amp; </w:t>
      </w:r>
      <w:r>
        <w:t>Musée d</w:t>
      </w:r>
      <w:r w:rsidR="00E84B0E">
        <w:t>’</w:t>
      </w:r>
      <w:r>
        <w:t>art et d</w:t>
      </w:r>
      <w:r w:rsidR="00E84B0E">
        <w:t>’</w:t>
      </w:r>
      <w:r>
        <w:t>histoire Louis-Senlecq, 1900)</w:t>
      </w:r>
    </w:p>
    <w:p w14:paraId="1F097DDE" w14:textId="77777777" w:rsidR="00065317" w:rsidRDefault="005C7BF7">
      <w:pPr>
        <w:pStyle w:val="FirstParagraph"/>
      </w:pPr>
      <w:r>
        <w:rPr>
          <w:b/>
          <w:bCs/>
        </w:rPr>
        <w:t>Logique</w:t>
      </w:r>
    </w:p>
    <w:p w14:paraId="4A2E6775" w14:textId="77777777" w:rsidR="00065317" w:rsidRDefault="005C7BF7">
      <w:pPr>
        <w:pStyle w:val="Corpsdetexte"/>
      </w:pPr>
      <w:r>
        <w:t>P151(x,y) ⇒ E66(x)</w:t>
      </w:r>
    </w:p>
    <w:p w14:paraId="7143BF5E" w14:textId="77777777" w:rsidR="00065317" w:rsidRDefault="005C7BF7">
      <w:pPr>
        <w:pStyle w:val="Corpsdetexte"/>
      </w:pPr>
      <w:r>
        <w:t>P151(x,y) ⇒ E74(y)</w:t>
      </w:r>
    </w:p>
    <w:p w14:paraId="4F1162CC" w14:textId="77777777" w:rsidR="00065317" w:rsidRDefault="005C7BF7">
      <w:pPr>
        <w:pStyle w:val="Corpsdetexte"/>
      </w:pPr>
      <w:r>
        <w:t>P151(x,y) ⇒ P11(x,y)</w:t>
      </w:r>
    </w:p>
    <w:p w14:paraId="3975BB8D" w14:textId="77777777" w:rsidR="00DE6C24" w:rsidRDefault="00DE6C24">
      <w:pPr>
        <w:spacing w:after="0"/>
        <w:rPr>
          <w:b/>
          <w:bCs/>
        </w:rPr>
      </w:pPr>
      <w:r>
        <w:rPr>
          <w:b/>
          <w:bCs/>
        </w:rPr>
        <w:br w:type="page"/>
      </w:r>
    </w:p>
    <w:p w14:paraId="69080A71" w14:textId="1080D4F0" w:rsidR="00065317" w:rsidRDefault="005C7BF7">
      <w:pPr>
        <w:pStyle w:val="Corpsdetexte"/>
      </w:pPr>
      <w:r>
        <w:rPr>
          <w:b/>
          <w:bCs/>
        </w:rPr>
        <w:lastRenderedPageBreak/>
        <w:t>Propriétés</w:t>
      </w:r>
    </w:p>
    <w:p w14:paraId="74858530" w14:textId="77777777" w:rsidR="00065317" w:rsidRDefault="005C7BF7">
      <w:pPr>
        <w:pStyle w:val="Normalcentr"/>
      </w:pPr>
      <w:r>
        <w:rPr>
          <w:b/>
          <w:bCs/>
          <w:i/>
          <w:iCs/>
        </w:rPr>
        <w:t>Note de traduction</w:t>
      </w:r>
    </w:p>
    <w:p w14:paraId="3926FD96" w14:textId="40BCAFB4" w:rsidR="00065317" w:rsidRDefault="005C7BF7" w:rsidP="00AF2585">
      <w:pPr>
        <w:pStyle w:val="Normalcentr"/>
      </w:pPr>
      <w:r>
        <w:rPr>
          <w:b/>
          <w:bCs/>
          <w:i/>
          <w:iCs/>
        </w:rPr>
        <w:t>Références</w:t>
      </w:r>
    </w:p>
    <w:p w14:paraId="27DB4919" w14:textId="77777777" w:rsidR="00065317" w:rsidRDefault="005C7BF7" w:rsidP="00914F34">
      <w:pPr>
        <w:pStyle w:val="Titre3"/>
      </w:pPr>
      <w:bookmarkStart w:id="520" w:name="_Toc154048945"/>
      <w:bookmarkStart w:id="521" w:name="p152-a-pour-parent-(est-le-parent-de)"/>
      <w:bookmarkEnd w:id="519"/>
      <w:r>
        <w:t>P152 a pour parent (est le parent de)</w:t>
      </w:r>
      <w:bookmarkEnd w:id="520"/>
    </w:p>
    <w:p w14:paraId="22900340" w14:textId="77777777" w:rsidR="00065317" w:rsidRDefault="005C7BF7">
      <w:pPr>
        <w:pStyle w:val="FirstParagraph"/>
      </w:pPr>
      <w:r>
        <w:rPr>
          <w:b/>
          <w:bCs/>
        </w:rPr>
        <w:t>Domaine</w:t>
      </w:r>
    </w:p>
    <w:p w14:paraId="09D96673" w14:textId="77777777" w:rsidR="00065317" w:rsidRDefault="005C7BF7">
      <w:pPr>
        <w:pStyle w:val="Corpsdetexte"/>
      </w:pPr>
      <w:r>
        <w:rPr>
          <w:rStyle w:val="VerbatimChar"/>
        </w:rPr>
        <w:t>E21_Personne</w:t>
      </w:r>
    </w:p>
    <w:p w14:paraId="743C0617" w14:textId="77777777" w:rsidR="00065317" w:rsidRDefault="005C7BF7">
      <w:pPr>
        <w:pStyle w:val="Corpsdetexte"/>
      </w:pPr>
      <w:r>
        <w:rPr>
          <w:b/>
          <w:bCs/>
        </w:rPr>
        <w:t>Portée</w:t>
      </w:r>
    </w:p>
    <w:p w14:paraId="3DC2A906" w14:textId="77777777" w:rsidR="00065317" w:rsidRDefault="005C7BF7">
      <w:pPr>
        <w:pStyle w:val="Corpsdetexte"/>
      </w:pPr>
      <w:r>
        <w:rPr>
          <w:rStyle w:val="VerbatimChar"/>
        </w:rPr>
        <w:t>E21_Personne</w:t>
      </w:r>
    </w:p>
    <w:p w14:paraId="6FDB3101" w14:textId="77777777" w:rsidR="00065317" w:rsidRDefault="005C7BF7">
      <w:pPr>
        <w:pStyle w:val="Corpsdetexte"/>
      </w:pPr>
      <w:r>
        <w:rPr>
          <w:b/>
          <w:bCs/>
        </w:rPr>
        <w:t>Sous-propriété de</w:t>
      </w:r>
    </w:p>
    <w:p w14:paraId="46F3EDCC" w14:textId="77777777" w:rsidR="00065317" w:rsidRDefault="005C7BF7">
      <w:pPr>
        <w:pStyle w:val="Corpsdetexte"/>
      </w:pPr>
      <w:r>
        <w:rPr>
          <w:b/>
          <w:bCs/>
        </w:rPr>
        <w:t>Super-propriété de</w:t>
      </w:r>
    </w:p>
    <w:p w14:paraId="16F67D75" w14:textId="77777777" w:rsidR="00065317" w:rsidRDefault="005C7BF7">
      <w:pPr>
        <w:pStyle w:val="Corpsdetexte"/>
      </w:pPr>
      <w:r>
        <w:rPr>
          <w:b/>
          <w:bCs/>
        </w:rPr>
        <w:t>Quantification</w:t>
      </w:r>
    </w:p>
    <w:p w14:paraId="0937BCE3" w14:textId="77777777" w:rsidR="00065317" w:rsidRDefault="005C7BF7">
      <w:pPr>
        <w:pStyle w:val="Corpsdetexte"/>
      </w:pPr>
      <w:r>
        <w:t>plusieurs à plusieurs, nécessaire (2,n:0,n)</w:t>
      </w:r>
    </w:p>
    <w:p w14:paraId="3A55F99A" w14:textId="23891483" w:rsidR="00065317" w:rsidRDefault="005C7BF7">
      <w:pPr>
        <w:pStyle w:val="Corpsdetexte"/>
      </w:pPr>
      <w:r>
        <w:rPr>
          <w:b/>
          <w:bCs/>
        </w:rPr>
        <w:t>Note d</w:t>
      </w:r>
      <w:r w:rsidR="00E84B0E">
        <w:rPr>
          <w:b/>
          <w:bCs/>
        </w:rPr>
        <w:t>’</w:t>
      </w:r>
      <w:r>
        <w:rPr>
          <w:b/>
          <w:bCs/>
        </w:rPr>
        <w:t>application</w:t>
      </w:r>
    </w:p>
    <w:p w14:paraId="0F555813" w14:textId="4E5A1317" w:rsidR="00065317" w:rsidRDefault="005C7BF7">
      <w:pPr>
        <w:pStyle w:val="Corpsdetexte"/>
      </w:pPr>
      <w:r>
        <w:t xml:space="preserve">Cette propriété associe une instance de </w:t>
      </w:r>
      <w:r>
        <w:rPr>
          <w:rStyle w:val="VerbatimChar"/>
        </w:rPr>
        <w:t>E21_Personne</w:t>
      </w:r>
      <w:r>
        <w:t xml:space="preserve"> avec une autre instance de </w:t>
      </w:r>
      <w:r>
        <w:rPr>
          <w:rStyle w:val="VerbatimChar"/>
        </w:rPr>
        <w:t>E21_Personne</w:t>
      </w:r>
      <w:r>
        <w:t xml:space="preserve"> qui joue le rôle de parent de la première. Cette relation parentale peut être caractérisée par un lien biologique, qu</w:t>
      </w:r>
      <w:r w:rsidR="00E84B0E">
        <w:t>’</w:t>
      </w:r>
      <w:r>
        <w:t>il soit supposé, prétendu ou attesté, ou par toute autre forme équivalente de statut légal impliquant des droits et devoirs obtenus par un acte social ou légal.</w:t>
      </w:r>
    </w:p>
    <w:p w14:paraId="58207D2F" w14:textId="21AD64CF" w:rsidR="00065317" w:rsidRDefault="005C7BF7">
      <w:pPr>
        <w:pStyle w:val="Corpsdetexte"/>
      </w:pPr>
      <w:r>
        <w:t>Cette propriété est, parmi d</w:t>
      </w:r>
      <w:r w:rsidR="00E84B0E">
        <w:t>’</w:t>
      </w:r>
      <w:r>
        <w:t>autres, un raccourci des chemins sémantiques suivants :</w:t>
      </w:r>
    </w:p>
    <w:p w14:paraId="716F5B53" w14:textId="77777777" w:rsidR="00065317" w:rsidRDefault="005C7BF7">
      <w:pPr>
        <w:pStyle w:val="Corpsdetexte"/>
      </w:pPr>
      <w:r>
        <w:rPr>
          <w:rStyle w:val="VerbatimChar"/>
        </w:rPr>
        <w:t>E21_Personne</w:t>
      </w:r>
      <w:r>
        <w:t xml:space="preserve">, </w:t>
      </w:r>
      <w:r>
        <w:rPr>
          <w:rStyle w:val="VerbatimChar"/>
        </w:rPr>
        <w:t>P98i_est_né</w:t>
      </w:r>
      <w:r>
        <w:t xml:space="preserve">, </w:t>
      </w:r>
      <w:r>
        <w:rPr>
          <w:rStyle w:val="VerbatimChar"/>
        </w:rPr>
        <w:t>E67_Naissance</w:t>
      </w:r>
      <w:r>
        <w:t xml:space="preserve">, </w:t>
      </w:r>
      <w:r>
        <w:rPr>
          <w:rStyle w:val="VerbatimChar"/>
        </w:rPr>
        <w:t>P96_de_mère</w:t>
      </w:r>
      <w:r>
        <w:t xml:space="preserve">, </w:t>
      </w:r>
      <w:r>
        <w:rPr>
          <w:rStyle w:val="VerbatimChar"/>
        </w:rPr>
        <w:t>E21_Personne</w:t>
      </w:r>
    </w:p>
    <w:p w14:paraId="580F6487" w14:textId="77777777" w:rsidR="00065317" w:rsidRDefault="005C7BF7">
      <w:pPr>
        <w:pStyle w:val="Corpsdetexte"/>
      </w:pPr>
      <w:r>
        <w:rPr>
          <w:rStyle w:val="VerbatimChar"/>
        </w:rPr>
        <w:t>E21_Personne</w:t>
      </w:r>
      <w:r>
        <w:t xml:space="preserve">, </w:t>
      </w:r>
      <w:r>
        <w:rPr>
          <w:rStyle w:val="VerbatimChar"/>
        </w:rPr>
        <w:t>P98i_est_né</w:t>
      </w:r>
      <w:r>
        <w:t xml:space="preserve">, </w:t>
      </w:r>
      <w:r>
        <w:rPr>
          <w:rStyle w:val="VerbatimChar"/>
        </w:rPr>
        <w:t>E67_Naissance</w:t>
      </w:r>
      <w:r>
        <w:t xml:space="preserve">, </w:t>
      </w:r>
      <w:r>
        <w:rPr>
          <w:rStyle w:val="VerbatimChar"/>
        </w:rPr>
        <w:t>P97_de_père</w:t>
      </w:r>
      <w:r>
        <w:t xml:space="preserve">, </w:t>
      </w:r>
      <w:r>
        <w:rPr>
          <w:rStyle w:val="VerbatimChar"/>
        </w:rPr>
        <w:t>E21_Personne</w:t>
      </w:r>
      <w:r>
        <w:t>.</w:t>
      </w:r>
    </w:p>
    <w:p w14:paraId="6190861A" w14:textId="77777777" w:rsidR="00065317" w:rsidRDefault="005C7BF7">
      <w:pPr>
        <w:pStyle w:val="Corpsdetexte"/>
      </w:pPr>
      <w:r>
        <w:t>Cette propriété est non transitive et irréflexive.</w:t>
      </w:r>
    </w:p>
    <w:p w14:paraId="00758557" w14:textId="77777777" w:rsidR="00065317" w:rsidRDefault="005C7BF7">
      <w:pPr>
        <w:pStyle w:val="Corpsdetexte"/>
      </w:pPr>
      <w:r>
        <w:rPr>
          <w:b/>
          <w:bCs/>
        </w:rPr>
        <w:t>Exemples</w:t>
      </w:r>
    </w:p>
    <w:p w14:paraId="378911AE" w14:textId="649D717A" w:rsidR="00065317" w:rsidRDefault="005C7BF7">
      <w:pPr>
        <w:numPr>
          <w:ilvl w:val="0"/>
          <w:numId w:val="267"/>
        </w:numPr>
      </w:pPr>
      <w:r>
        <w:t>Gaius Octavius (</w:t>
      </w:r>
      <w:r>
        <w:rPr>
          <w:rStyle w:val="VerbatimChar"/>
        </w:rPr>
        <w:t>E21_Personne</w:t>
      </w:r>
      <w:r>
        <w:t>) a pour parent (</w:t>
      </w:r>
      <w:r>
        <w:rPr>
          <w:rStyle w:val="VerbatimChar"/>
        </w:rPr>
        <w:t>P152_a_pour_parent</w:t>
      </w:r>
      <w:r>
        <w:t>) Jules César (</w:t>
      </w:r>
      <w:r>
        <w:rPr>
          <w:rStyle w:val="VerbatimChar"/>
        </w:rPr>
        <w:t>E21_Personne</w:t>
      </w:r>
      <w:r>
        <w:t xml:space="preserve">) (Bleicken </w:t>
      </w:r>
      <w:r w:rsidR="005E51FD">
        <w:t xml:space="preserve">&amp; </w:t>
      </w:r>
      <w:r>
        <w:t>Bell, 2015)</w:t>
      </w:r>
    </w:p>
    <w:p w14:paraId="20780719" w14:textId="77777777" w:rsidR="00065317" w:rsidRDefault="005C7BF7">
      <w:pPr>
        <w:numPr>
          <w:ilvl w:val="0"/>
          <w:numId w:val="267"/>
        </w:numPr>
      </w:pPr>
      <w:r>
        <w:t>Steve Jobs (</w:t>
      </w:r>
      <w:r>
        <w:rPr>
          <w:rStyle w:val="VerbatimChar"/>
        </w:rPr>
        <w:t>E21_Personne</w:t>
      </w:r>
      <w:r>
        <w:t>) a pour parent (</w:t>
      </w:r>
      <w:r>
        <w:rPr>
          <w:rStyle w:val="VerbatimChar"/>
        </w:rPr>
        <w:t>P152_a_pour_parent</w:t>
      </w:r>
      <w:r>
        <w:t>) Joanne Simpson [mère biologique] (</w:t>
      </w:r>
      <w:r>
        <w:rPr>
          <w:rStyle w:val="VerbatimChar"/>
        </w:rPr>
        <w:t>E21_Personne</w:t>
      </w:r>
      <w:r>
        <w:t>) (Isaacson, 2011)</w:t>
      </w:r>
    </w:p>
    <w:p w14:paraId="37B50294" w14:textId="77777777" w:rsidR="00065317" w:rsidRDefault="005C7BF7">
      <w:pPr>
        <w:numPr>
          <w:ilvl w:val="0"/>
          <w:numId w:val="267"/>
        </w:numPr>
      </w:pPr>
      <w:r>
        <w:t>Steve Jobs (</w:t>
      </w:r>
      <w:r>
        <w:rPr>
          <w:rStyle w:val="VerbatimChar"/>
        </w:rPr>
        <w:t>E21_Personne</w:t>
      </w:r>
      <w:r>
        <w:t>) a pour parent (</w:t>
      </w:r>
      <w:r>
        <w:rPr>
          <w:rStyle w:val="VerbatimChar"/>
        </w:rPr>
        <w:t>P152_a_pour_parent</w:t>
      </w:r>
      <w:r>
        <w:t>) Clara Jobs [mère adoptive] (</w:t>
      </w:r>
      <w:r>
        <w:rPr>
          <w:rStyle w:val="VerbatimChar"/>
        </w:rPr>
        <w:t>E21_Personne</w:t>
      </w:r>
      <w:r>
        <w:t>) (Isaacson, 2011)</w:t>
      </w:r>
    </w:p>
    <w:p w14:paraId="3630BFF5" w14:textId="77777777" w:rsidR="00065317" w:rsidRDefault="005C7BF7">
      <w:pPr>
        <w:pStyle w:val="FirstParagraph"/>
      </w:pPr>
      <w:r>
        <w:rPr>
          <w:b/>
          <w:bCs/>
        </w:rPr>
        <w:t>Logique</w:t>
      </w:r>
    </w:p>
    <w:p w14:paraId="0740EBD4" w14:textId="77777777" w:rsidR="00065317" w:rsidRDefault="005C7BF7">
      <w:pPr>
        <w:pStyle w:val="Corpsdetexte"/>
      </w:pPr>
      <w:r>
        <w:t>P152(x,y) ⇒ E21(x)</w:t>
      </w:r>
    </w:p>
    <w:p w14:paraId="60A3E4FA" w14:textId="77777777" w:rsidR="00065317" w:rsidRDefault="005C7BF7">
      <w:pPr>
        <w:pStyle w:val="Corpsdetexte"/>
      </w:pPr>
      <w:r>
        <w:t>P152(x,y) ⇒ E21(y)</w:t>
      </w:r>
    </w:p>
    <w:p w14:paraId="0A94372C" w14:textId="77777777" w:rsidR="00065317" w:rsidRDefault="005C7BF7">
      <w:pPr>
        <w:pStyle w:val="Corpsdetexte"/>
      </w:pPr>
      <w:r>
        <w:t>P152(x,y) ⇐ (∃z) [E67(z) ˄ P98i(x,z) ˄ P96(z,y)]</w:t>
      </w:r>
    </w:p>
    <w:p w14:paraId="7315391F" w14:textId="77777777" w:rsidR="00065317" w:rsidRDefault="005C7BF7">
      <w:pPr>
        <w:pStyle w:val="Corpsdetexte"/>
      </w:pPr>
      <w:r>
        <w:t>P152(x,y) ⇐ (∃z) [E67(z) ˄ P98i(x,z) ˄ P97(z,y)]</w:t>
      </w:r>
    </w:p>
    <w:p w14:paraId="103D4590" w14:textId="77777777" w:rsidR="00065317" w:rsidRDefault="005C7BF7">
      <w:pPr>
        <w:pStyle w:val="Corpsdetexte"/>
      </w:pPr>
      <w:r>
        <w:t>¬P152(x,x)</w:t>
      </w:r>
    </w:p>
    <w:p w14:paraId="19A25CFD" w14:textId="77777777" w:rsidR="00065317" w:rsidRDefault="005C7BF7">
      <w:pPr>
        <w:pStyle w:val="Corpsdetexte"/>
      </w:pPr>
      <w:r>
        <w:rPr>
          <w:b/>
          <w:bCs/>
        </w:rPr>
        <w:lastRenderedPageBreak/>
        <w:t>Propriétés</w:t>
      </w:r>
    </w:p>
    <w:p w14:paraId="04D607D1" w14:textId="77777777" w:rsidR="00065317" w:rsidRDefault="005C7BF7">
      <w:pPr>
        <w:pStyle w:val="Normalcentr"/>
      </w:pPr>
      <w:r>
        <w:rPr>
          <w:b/>
          <w:bCs/>
          <w:i/>
          <w:iCs/>
        </w:rPr>
        <w:t>Note de traduction</w:t>
      </w:r>
    </w:p>
    <w:p w14:paraId="0AE652E7" w14:textId="14011991" w:rsidR="00065317" w:rsidRDefault="005C7BF7" w:rsidP="00AF2585">
      <w:pPr>
        <w:pStyle w:val="Normalcentr"/>
      </w:pPr>
      <w:r>
        <w:rPr>
          <w:b/>
          <w:bCs/>
          <w:i/>
          <w:iCs/>
        </w:rPr>
        <w:t>Références</w:t>
      </w:r>
    </w:p>
    <w:p w14:paraId="41072E47" w14:textId="77777777" w:rsidR="00065317" w:rsidRDefault="005C7BF7" w:rsidP="00914F34">
      <w:pPr>
        <w:pStyle w:val="Titre3"/>
      </w:pPr>
      <w:bookmarkStart w:id="522" w:name="_Toc154048946"/>
      <w:bookmarkStart w:id="523" w:name="p156-occupe-(est-occupe-par)"/>
      <w:bookmarkEnd w:id="521"/>
      <w:r>
        <w:t>P156 occupe (est occupé par)</w:t>
      </w:r>
      <w:bookmarkEnd w:id="522"/>
    </w:p>
    <w:p w14:paraId="4B8722C6" w14:textId="77777777" w:rsidR="00065317" w:rsidRDefault="005C7BF7">
      <w:pPr>
        <w:pStyle w:val="FirstParagraph"/>
      </w:pPr>
      <w:r>
        <w:rPr>
          <w:b/>
          <w:bCs/>
        </w:rPr>
        <w:t>Domaine</w:t>
      </w:r>
    </w:p>
    <w:p w14:paraId="1A4DDCA0" w14:textId="77777777" w:rsidR="00065317" w:rsidRDefault="005C7BF7">
      <w:pPr>
        <w:pStyle w:val="Corpsdetexte"/>
      </w:pPr>
      <w:r>
        <w:rPr>
          <w:rStyle w:val="VerbatimChar"/>
        </w:rPr>
        <w:t>E18_Chose_matérielle</w:t>
      </w:r>
    </w:p>
    <w:p w14:paraId="38159FAC" w14:textId="77777777" w:rsidR="00065317" w:rsidRDefault="005C7BF7">
      <w:pPr>
        <w:pStyle w:val="Corpsdetexte"/>
      </w:pPr>
      <w:r>
        <w:rPr>
          <w:b/>
          <w:bCs/>
        </w:rPr>
        <w:t>Portée</w:t>
      </w:r>
    </w:p>
    <w:p w14:paraId="309B5025" w14:textId="77777777" w:rsidR="00065317" w:rsidRDefault="005C7BF7">
      <w:pPr>
        <w:pStyle w:val="Corpsdetexte"/>
      </w:pPr>
      <w:r>
        <w:rPr>
          <w:rStyle w:val="VerbatimChar"/>
        </w:rPr>
        <w:t>E53_Lieu</w:t>
      </w:r>
    </w:p>
    <w:p w14:paraId="515E59EE" w14:textId="77777777" w:rsidR="00065317" w:rsidRDefault="005C7BF7">
      <w:pPr>
        <w:pStyle w:val="Corpsdetexte"/>
      </w:pPr>
      <w:r>
        <w:rPr>
          <w:b/>
          <w:bCs/>
        </w:rPr>
        <w:t>Sous-propriété de</w:t>
      </w:r>
    </w:p>
    <w:p w14:paraId="2BACEC09" w14:textId="77777777" w:rsidR="00065317" w:rsidRDefault="005C7BF7">
      <w:pPr>
        <w:pStyle w:val="Corpsdetexte"/>
      </w:pPr>
      <w:r>
        <w:rPr>
          <w:rStyle w:val="VerbatimChar"/>
        </w:rPr>
        <w:t>E18_Chose_matérielle</w:t>
      </w:r>
      <w:r>
        <w:t xml:space="preserve">. </w:t>
      </w:r>
      <w:r>
        <w:rPr>
          <w:rStyle w:val="VerbatimChar"/>
        </w:rPr>
        <w:t>P53_a_pour_localisation_actuelle_ou_antérieure (est_la_localisation_actuelle_ou_antérieure_de)</w:t>
      </w:r>
      <w:r>
        <w:t xml:space="preserve"> : </w:t>
      </w:r>
      <w:r>
        <w:rPr>
          <w:rStyle w:val="VerbatimChar"/>
        </w:rPr>
        <w:t>E53_Lieu</w:t>
      </w:r>
    </w:p>
    <w:p w14:paraId="23E7D051" w14:textId="55E94E18" w:rsidR="00065317" w:rsidRDefault="005C7BF7">
      <w:pPr>
        <w:pStyle w:val="Corpsdetexte"/>
      </w:pPr>
      <w:r>
        <w:rPr>
          <w:rStyle w:val="VerbatimChar"/>
        </w:rPr>
        <w:t>E18_Chose_matérielle</w:t>
      </w:r>
      <w:r>
        <w:t xml:space="preserve">. </w:t>
      </w:r>
      <w:r>
        <w:rPr>
          <w:rStyle w:val="VerbatimChar"/>
        </w:rPr>
        <w:t>P157i_procure_l</w:t>
      </w:r>
      <w:r w:rsidR="00E84B0E">
        <w:rPr>
          <w:rStyle w:val="VerbatimChar"/>
        </w:rPr>
        <w:t>’</w:t>
      </w:r>
      <w:r>
        <w:rPr>
          <w:rStyle w:val="VerbatimChar"/>
        </w:rPr>
        <w:t>espace_de_référence_pour (est_à_l</w:t>
      </w:r>
      <w:r w:rsidR="00E84B0E">
        <w:rPr>
          <w:rStyle w:val="VerbatimChar"/>
        </w:rPr>
        <w:t>’</w:t>
      </w:r>
      <w:r>
        <w:rPr>
          <w:rStyle w:val="VerbatimChar"/>
        </w:rPr>
        <w:t>arrêt_par_rapport_à)</w:t>
      </w:r>
      <w:r>
        <w:t xml:space="preserve"> : </w:t>
      </w:r>
      <w:r>
        <w:rPr>
          <w:rStyle w:val="VerbatimChar"/>
        </w:rPr>
        <w:t>E53_Lieu</w:t>
      </w:r>
    </w:p>
    <w:p w14:paraId="0F2F6C00" w14:textId="77777777" w:rsidR="00065317" w:rsidRDefault="005C7BF7">
      <w:pPr>
        <w:pStyle w:val="Corpsdetexte"/>
      </w:pPr>
      <w:r>
        <w:rPr>
          <w:b/>
          <w:bCs/>
        </w:rPr>
        <w:t>Super-propriété de</w:t>
      </w:r>
    </w:p>
    <w:p w14:paraId="294EF4CC" w14:textId="77777777" w:rsidR="00065317" w:rsidRDefault="005C7BF7">
      <w:pPr>
        <w:pStyle w:val="Corpsdetexte"/>
      </w:pPr>
      <w:r>
        <w:rPr>
          <w:b/>
          <w:bCs/>
        </w:rPr>
        <w:t>Quantification</w:t>
      </w:r>
    </w:p>
    <w:p w14:paraId="551203CF" w14:textId="77777777" w:rsidR="00065317" w:rsidRDefault="005C7BF7">
      <w:pPr>
        <w:pStyle w:val="Corpsdetexte"/>
      </w:pPr>
      <w:r>
        <w:t>plusieurs à un (0,1:0,n)</w:t>
      </w:r>
    </w:p>
    <w:p w14:paraId="2F2903E7" w14:textId="44C93EB9" w:rsidR="00065317" w:rsidRDefault="005C7BF7">
      <w:pPr>
        <w:pStyle w:val="Corpsdetexte"/>
      </w:pPr>
      <w:r>
        <w:rPr>
          <w:b/>
          <w:bCs/>
        </w:rPr>
        <w:t>Note d</w:t>
      </w:r>
      <w:r w:rsidR="00E84B0E">
        <w:rPr>
          <w:b/>
          <w:bCs/>
        </w:rPr>
        <w:t>’</w:t>
      </w:r>
      <w:r>
        <w:rPr>
          <w:b/>
          <w:bCs/>
        </w:rPr>
        <w:t>application</w:t>
      </w:r>
    </w:p>
    <w:p w14:paraId="53877761" w14:textId="4D8A250E" w:rsidR="00065317" w:rsidRDefault="005C7BF7">
      <w:pPr>
        <w:pStyle w:val="Corpsdetexte"/>
      </w:pPr>
      <w:r>
        <w:t>Cette propriété décrit l</w:t>
      </w:r>
      <w:r w:rsidR="00E84B0E">
        <w:t>’</w:t>
      </w:r>
      <w:r>
        <w:t xml:space="preserve">espace le plus volumineux (une instance de </w:t>
      </w:r>
      <w:r>
        <w:rPr>
          <w:rStyle w:val="VerbatimChar"/>
        </w:rPr>
        <w:t>E53_Lieu</w:t>
      </w:r>
      <w:r>
        <w:t>) qu</w:t>
      </w:r>
      <w:r w:rsidR="00E84B0E">
        <w:t>’</w:t>
      </w:r>
      <w:r>
        <w:t xml:space="preserve">une instance de </w:t>
      </w:r>
      <w:r>
        <w:rPr>
          <w:rStyle w:val="VerbatimChar"/>
        </w:rPr>
        <w:t>E18_Chose_matérielle</w:t>
      </w:r>
      <w:r>
        <w:t xml:space="preserve"> a occupé durant son existence, ce volume étant déterminé par rapport à l</w:t>
      </w:r>
      <w:r w:rsidR="00E84B0E">
        <w:t>’</w:t>
      </w:r>
      <w:r>
        <w:t>espace relatif de la chose elle-même. Cette manière de faire permet de décrire la chose comme un lieu pouvant lui-même contenir d</w:t>
      </w:r>
      <w:r w:rsidR="00E84B0E">
        <w:t>’</w:t>
      </w:r>
      <w:r>
        <w:t>autres choses, par exemple une boîte contenant des pièces de monnaie. En d</w:t>
      </w:r>
      <w:r w:rsidR="00E84B0E">
        <w:t>’</w:t>
      </w:r>
      <w:r>
        <w:t>autres termes, cette propriété décrit le volume que forment tous les points qu</w:t>
      </w:r>
      <w:r w:rsidR="00E84B0E">
        <w:t>’</w:t>
      </w:r>
      <w:r>
        <w:t>une chose a recouvert durant son existence.</w:t>
      </w:r>
    </w:p>
    <w:p w14:paraId="0EFBA280" w14:textId="35B5DF99" w:rsidR="00065317" w:rsidRDefault="005C7BF7">
      <w:pPr>
        <w:pStyle w:val="Corpsdetexte"/>
      </w:pPr>
      <w:r>
        <w:t>L</w:t>
      </w:r>
      <w:r w:rsidR="00E84B0E">
        <w:t>’</w:t>
      </w:r>
      <w:r>
        <w:t>espace de référence du lieu associé à une chose physique doit être à l</w:t>
      </w:r>
      <w:r w:rsidR="00E84B0E">
        <w:t>’</w:t>
      </w:r>
      <w:r>
        <w:t>arrêt par rapport à celle-ci (</w:t>
      </w:r>
      <w:r>
        <w:rPr>
          <w:rStyle w:val="VerbatimChar"/>
        </w:rPr>
        <w:t>P157_est_à_l</w:t>
      </w:r>
      <w:r w:rsidR="00E84B0E">
        <w:rPr>
          <w:rStyle w:val="VerbatimChar"/>
        </w:rPr>
        <w:t>’</w:t>
      </w:r>
      <w:r>
        <w:rPr>
          <w:rStyle w:val="VerbatimChar"/>
        </w:rPr>
        <w:t>arrêt_par_rapport_à</w:t>
      </w:r>
      <w:r>
        <w:t>).</w:t>
      </w:r>
    </w:p>
    <w:p w14:paraId="6695CF4E" w14:textId="393151CC" w:rsidR="00065317" w:rsidRDefault="005C7BF7">
      <w:pPr>
        <w:numPr>
          <w:ilvl w:val="0"/>
          <w:numId w:val="268"/>
        </w:numPr>
      </w:pPr>
      <w:r>
        <w:t xml:space="preserve">Dans le cas des instances de </w:t>
      </w:r>
      <w:r>
        <w:rPr>
          <w:rStyle w:val="VerbatimChar"/>
        </w:rPr>
        <w:t>E19_Objet_matériel</w:t>
      </w:r>
      <w:r>
        <w:t>, cet espace de référence est celui qui est à l</w:t>
      </w:r>
      <w:r w:rsidR="00E84B0E">
        <w:t>’</w:t>
      </w:r>
      <w:r>
        <w:t>arrêt par rapport à l</w:t>
      </w:r>
      <w:r w:rsidR="00E84B0E">
        <w:t>’</w:t>
      </w:r>
      <w:r>
        <w:t>objet lui-même, c.-à-d. l</w:t>
      </w:r>
      <w:r w:rsidR="00E84B0E">
        <w:t>’</w:t>
      </w:r>
      <w:r>
        <w:t>espace qui se déplace de concert avec l</w:t>
      </w:r>
      <w:r w:rsidR="00E84B0E">
        <w:t>’</w:t>
      </w:r>
      <w:r>
        <w:t>objet.</w:t>
      </w:r>
    </w:p>
    <w:p w14:paraId="1C3ED621" w14:textId="05E48B81" w:rsidR="00065317" w:rsidRDefault="005C7BF7">
      <w:pPr>
        <w:numPr>
          <w:ilvl w:val="0"/>
          <w:numId w:val="268"/>
        </w:numPr>
      </w:pPr>
      <w:r>
        <w:t xml:space="preserve">Dans le cas des instances de </w:t>
      </w:r>
      <w:r>
        <w:rPr>
          <w:rStyle w:val="VerbatimChar"/>
        </w:rPr>
        <w:t>E26_Caractéristique_physique</w:t>
      </w:r>
      <w:r>
        <w:t>, cet espace de référence est celui qui est à l</w:t>
      </w:r>
      <w:r w:rsidR="00E84B0E">
        <w:t>’</w:t>
      </w:r>
      <w:r>
        <w:t>arrêt par rapport à la caractéristique physique elle-même ainsi qu</w:t>
      </w:r>
      <w:r w:rsidR="00E84B0E">
        <w:t>’</w:t>
      </w:r>
      <w:r>
        <w:t>à la matière qui y est immédiatement connectée.</w:t>
      </w:r>
    </w:p>
    <w:p w14:paraId="31A96DF5" w14:textId="0071797B" w:rsidR="00065317" w:rsidRDefault="005C7BF7">
      <w:pPr>
        <w:pStyle w:val="FirstParagraph"/>
      </w:pPr>
      <w:r>
        <w:t xml:space="preserve">Il y a donc une relation 1:1 entre une instance de </w:t>
      </w:r>
      <w:r>
        <w:rPr>
          <w:rStyle w:val="VerbatimChar"/>
        </w:rPr>
        <w:t>E18_Chose_matérielle</w:t>
      </w:r>
      <w:r>
        <w:t xml:space="preserve"> et l</w:t>
      </w:r>
      <w:r w:rsidR="00E84B0E">
        <w:t>’</w:t>
      </w:r>
      <w:r>
        <w:t xml:space="preserve">instance de </w:t>
      </w:r>
      <w:r>
        <w:rPr>
          <w:rStyle w:val="VerbatimChar"/>
        </w:rPr>
        <w:t>E53_Lieu</w:t>
      </w:r>
      <w:r>
        <w:t xml:space="preserve"> qu</w:t>
      </w:r>
      <w:r w:rsidR="00E84B0E">
        <w:t>’</w:t>
      </w:r>
      <w:r>
        <w:t>elle occupe, lequel comprend à la fois l</w:t>
      </w:r>
      <w:r w:rsidR="00E84B0E">
        <w:t>’</w:t>
      </w:r>
      <w:r>
        <w:t>espace compris par la matière de la chose ainsi que ses interstices internes.</w:t>
      </w:r>
    </w:p>
    <w:p w14:paraId="4BEC0BCC" w14:textId="1E98AB5D" w:rsidR="00065317" w:rsidRDefault="005C7BF7">
      <w:pPr>
        <w:pStyle w:val="Corpsdetexte"/>
      </w:pPr>
      <w:r>
        <w:t xml:space="preserve">Cette propriété est un raccourci du chemin sémantique suivant : </w:t>
      </w:r>
      <w:r>
        <w:rPr>
          <w:rStyle w:val="VerbatimChar"/>
        </w:rPr>
        <w:t>E18_Chose_matérielle</w:t>
      </w:r>
      <w:r>
        <w:t xml:space="preserve">, </w:t>
      </w:r>
      <w:r>
        <w:rPr>
          <w:rStyle w:val="VerbatimChar"/>
        </w:rPr>
        <w:t>P196_définit</w:t>
      </w:r>
      <w:r>
        <w:t xml:space="preserve">, </w:t>
      </w:r>
      <w:r>
        <w:rPr>
          <w:rStyle w:val="VerbatimChar"/>
        </w:rPr>
        <w:t>E92_Volume_spatio-temporel</w:t>
      </w:r>
      <w:r>
        <w:t xml:space="preserve">, </w:t>
      </w:r>
      <w:r>
        <w:rPr>
          <w:rStyle w:val="VerbatimChar"/>
        </w:rPr>
        <w:t>P161_a_pour_projection_spatiale</w:t>
      </w:r>
      <w:r>
        <w:t xml:space="preserve">, </w:t>
      </w:r>
      <w:r>
        <w:rPr>
          <w:rStyle w:val="VerbatimChar"/>
        </w:rPr>
        <w:t>E53_Lieu</w:t>
      </w:r>
      <w:r>
        <w:t xml:space="preserve">. Contrairement à la propriété </w:t>
      </w:r>
      <w:r>
        <w:rPr>
          <w:rStyle w:val="VerbatimChar"/>
        </w:rPr>
        <w:t>P156_occupe</w:t>
      </w:r>
      <w:r>
        <w:t xml:space="preserve">, la propriété </w:t>
      </w:r>
      <w:r>
        <w:rPr>
          <w:rStyle w:val="VerbatimChar"/>
        </w:rPr>
        <w:t>P161_a_pour_projection_spatiale</w:t>
      </w:r>
      <w:r>
        <w:t xml:space="preserve"> n</w:t>
      </w:r>
      <w:r w:rsidR="00E84B0E">
        <w:t>’</w:t>
      </w:r>
      <w:r>
        <w:t>impose pas de contraintes quant à l</w:t>
      </w:r>
      <w:r w:rsidR="00E84B0E">
        <w:t>’</w:t>
      </w:r>
      <w:r>
        <w:t>espace par rapport auquel est établie l</w:t>
      </w:r>
      <w:r w:rsidR="00E84B0E">
        <w:t>’</w:t>
      </w:r>
      <w:r>
        <w:t xml:space="preserve">instance de </w:t>
      </w:r>
      <w:r>
        <w:rPr>
          <w:rStyle w:val="VerbatimChar"/>
        </w:rPr>
        <w:t>E53_Lieu</w:t>
      </w:r>
      <w:r>
        <w:t>.</w:t>
      </w:r>
    </w:p>
    <w:p w14:paraId="398D6900" w14:textId="73F491B2" w:rsidR="00065317" w:rsidRDefault="005C7BF7">
      <w:pPr>
        <w:pStyle w:val="Corpsdetexte"/>
      </w:pPr>
      <w:r>
        <w:lastRenderedPageBreak/>
        <w:t xml:space="preserve">Contrairement à la propriété </w:t>
      </w:r>
      <w:r>
        <w:rPr>
          <w:rStyle w:val="VerbatimChar"/>
        </w:rPr>
        <w:t>P156_occupe</w:t>
      </w:r>
      <w:r>
        <w:t xml:space="preserve">, la propriété </w:t>
      </w:r>
      <w:r>
        <w:rPr>
          <w:rStyle w:val="VerbatimChar"/>
        </w:rPr>
        <w:t>P53_a_pour_localisation_actuelle_ou_antérieure</w:t>
      </w:r>
      <w:r w:rsidR="005E51FD">
        <w:t xml:space="preserve"> : </w:t>
      </w:r>
    </w:p>
    <w:p w14:paraId="01020151" w14:textId="4017A003" w:rsidR="00065317" w:rsidRDefault="005C7BF7">
      <w:pPr>
        <w:numPr>
          <w:ilvl w:val="0"/>
          <w:numId w:val="269"/>
        </w:numPr>
      </w:pPr>
      <w:r>
        <w:t>n</w:t>
      </w:r>
      <w:r w:rsidR="00E84B0E">
        <w:t>’</w:t>
      </w:r>
      <w:r>
        <w:t>impose pas de contraintes quant à l</w:t>
      </w:r>
      <w:r w:rsidR="00E84B0E">
        <w:t>’</w:t>
      </w:r>
      <w:r>
        <w:t>espace par rapport auquel est établie l</w:t>
      </w:r>
      <w:r w:rsidR="00E84B0E">
        <w:t>’</w:t>
      </w:r>
      <w:r>
        <w:t xml:space="preserve">instance de </w:t>
      </w:r>
      <w:r>
        <w:rPr>
          <w:rStyle w:val="VerbatimChar"/>
        </w:rPr>
        <w:t>E53_Lieu</w:t>
      </w:r>
      <w:r>
        <w:t>;</w:t>
      </w:r>
    </w:p>
    <w:p w14:paraId="44F92B82" w14:textId="0BE2B92C" w:rsidR="00065317" w:rsidRDefault="005C7BF7">
      <w:pPr>
        <w:numPr>
          <w:ilvl w:val="0"/>
          <w:numId w:val="269"/>
        </w:numPr>
      </w:pPr>
      <w:r>
        <w:t xml:space="preserve">identifie une instance possiblement plus large de </w:t>
      </w:r>
      <w:r>
        <w:rPr>
          <w:rStyle w:val="VerbatimChar"/>
        </w:rPr>
        <w:t>E53_Lieu</w:t>
      </w:r>
      <w:r>
        <w:t xml:space="preserve"> à laquelle est ou s</w:t>
      </w:r>
      <w:r w:rsidR="00E84B0E">
        <w:t>’</w:t>
      </w:r>
      <w:r>
        <w:t>est trouvée la chose pour une période indéterminée.</w:t>
      </w:r>
    </w:p>
    <w:p w14:paraId="26070514" w14:textId="093E8447" w:rsidR="00065317" w:rsidRDefault="005C7BF7">
      <w:pPr>
        <w:pStyle w:val="FirstParagraph"/>
      </w:pPr>
      <w:r>
        <w:t>Si l</w:t>
      </w:r>
      <w:r w:rsidR="00E84B0E">
        <w:t>’</w:t>
      </w:r>
      <w:r>
        <w:t>espace par rapport auquel est établie l</w:t>
      </w:r>
      <w:r w:rsidR="00E84B0E">
        <w:t>’</w:t>
      </w:r>
      <w:r>
        <w:t xml:space="preserve">instance de </w:t>
      </w:r>
      <w:r>
        <w:rPr>
          <w:rStyle w:val="VerbatimChar"/>
        </w:rPr>
        <w:t>E53_Lieu</w:t>
      </w:r>
      <w:r>
        <w:t xml:space="preserve"> n</w:t>
      </w:r>
      <w:r w:rsidR="00E84B0E">
        <w:t>’</w:t>
      </w:r>
      <w:r>
        <w:t>est pas à l</w:t>
      </w:r>
      <w:r w:rsidR="00E84B0E">
        <w:t>’</w:t>
      </w:r>
      <w:r>
        <w:t>arrêt au regard de la chose physique qui s</w:t>
      </w:r>
      <w:r w:rsidR="00E84B0E">
        <w:t>’</w:t>
      </w:r>
      <w:r>
        <w:t>y trouve, il est possible que cette chose physique s</w:t>
      </w:r>
      <w:r w:rsidR="00E84B0E">
        <w:t>’</w:t>
      </w:r>
      <w:r>
        <w:t>éloigne vers un autre lieu après un moment (ou qu</w:t>
      </w:r>
      <w:r w:rsidR="00E84B0E">
        <w:t>’</w:t>
      </w:r>
      <w:r>
        <w:t xml:space="preserve">elle se soit trouvée dans un autre lieu auparavant). </w:t>
      </w:r>
      <w:r w:rsidR="00714434">
        <w:t>Cela</w:t>
      </w:r>
      <w:r>
        <w:t xml:space="preserve"> s</w:t>
      </w:r>
      <w:r w:rsidR="00E84B0E">
        <w:t>’</w:t>
      </w:r>
      <w:r>
        <w:t xml:space="preserve">applique en outre pour le chemin sémantique complet mentionné ci-haut : </w:t>
      </w:r>
      <w:r>
        <w:rPr>
          <w:rStyle w:val="VerbatimChar"/>
        </w:rPr>
        <w:t>E18_Chose_matérielle</w:t>
      </w:r>
      <w:r>
        <w:t xml:space="preserve">, </w:t>
      </w:r>
      <w:r>
        <w:rPr>
          <w:rStyle w:val="VerbatimChar"/>
        </w:rPr>
        <w:t>P196_définit</w:t>
      </w:r>
      <w:r>
        <w:t xml:space="preserve">, </w:t>
      </w:r>
      <w:r>
        <w:rPr>
          <w:rStyle w:val="VerbatimChar"/>
        </w:rPr>
        <w:t>E92_Volume_spatio-temporel</w:t>
      </w:r>
      <w:r>
        <w:t xml:space="preserve">, </w:t>
      </w:r>
      <w:r>
        <w:rPr>
          <w:rStyle w:val="VerbatimChar"/>
        </w:rPr>
        <w:t>P161_a_pour_projection_spatiale</w:t>
      </w:r>
      <w:r>
        <w:t xml:space="preserve">, </w:t>
      </w:r>
      <w:r>
        <w:rPr>
          <w:rStyle w:val="VerbatimChar"/>
        </w:rPr>
        <w:t>E53_Lieu</w:t>
      </w:r>
      <w:r>
        <w:t>.</w:t>
      </w:r>
    </w:p>
    <w:p w14:paraId="765A8FF4" w14:textId="77777777" w:rsidR="00065317" w:rsidRDefault="005C7BF7">
      <w:pPr>
        <w:pStyle w:val="Corpsdetexte"/>
      </w:pPr>
      <w:r>
        <w:rPr>
          <w:b/>
          <w:bCs/>
        </w:rPr>
        <w:t>Exemples</w:t>
      </w:r>
    </w:p>
    <w:p w14:paraId="0B516C9E" w14:textId="2ABD25A1" w:rsidR="00065317" w:rsidRDefault="005C7BF7">
      <w:pPr>
        <w:numPr>
          <w:ilvl w:val="0"/>
          <w:numId w:val="270"/>
        </w:numPr>
      </w:pPr>
      <w:r>
        <w:t>Le reliquaire de Saint-Tite (</w:t>
      </w:r>
      <w:r>
        <w:rPr>
          <w:rStyle w:val="VerbatimChar"/>
        </w:rPr>
        <w:t>E22_Objet_élaboré_par_l</w:t>
      </w:r>
      <w:r w:rsidR="00E84B0E">
        <w:rPr>
          <w:rStyle w:val="VerbatimChar"/>
        </w:rPr>
        <w:t>’</w:t>
      </w:r>
      <w:r>
        <w:rPr>
          <w:rStyle w:val="VerbatimChar"/>
        </w:rPr>
        <w:t>humain</w:t>
      </w:r>
      <w:r>
        <w:t>) occupe (</w:t>
      </w:r>
      <w:r>
        <w:rPr>
          <w:rStyle w:val="VerbatimChar"/>
        </w:rPr>
        <w:t>P156_occupe</w:t>
      </w:r>
      <w:r>
        <w:t>) l</w:t>
      </w:r>
      <w:r w:rsidR="00E84B0E">
        <w:t>’</w:t>
      </w:r>
      <w:r>
        <w:t>espace du reliquaire de Saint-Tite (</w:t>
      </w:r>
      <w:r>
        <w:rPr>
          <w:rStyle w:val="VerbatimChar"/>
        </w:rPr>
        <w:t>E53_Lieu</w:t>
      </w:r>
      <w:r>
        <w:t>) [le reliquaire se trouve dans l</w:t>
      </w:r>
      <w:r w:rsidR="00E84B0E">
        <w:t>’</w:t>
      </w:r>
      <w:r>
        <w:t>église Saint-Tite d</w:t>
      </w:r>
      <w:r w:rsidR="00E84B0E">
        <w:t>’</w:t>
      </w:r>
      <w:r>
        <w:t xml:space="preserve">Héraklion, en Crète, depuis 1966 et il contient la relique de saint Tite] (Fisher </w:t>
      </w:r>
      <w:r w:rsidR="005E51FD">
        <w:t xml:space="preserve">&amp; </w:t>
      </w:r>
      <w:r>
        <w:t>Garvey, 2010)</w:t>
      </w:r>
    </w:p>
    <w:p w14:paraId="4DC0AF4E" w14:textId="013A79DD" w:rsidR="00065317" w:rsidRDefault="005C7BF7">
      <w:pPr>
        <w:numPr>
          <w:ilvl w:val="0"/>
          <w:numId w:val="270"/>
        </w:numPr>
      </w:pPr>
      <w:r>
        <w:t>Le château d</w:t>
      </w:r>
      <w:r w:rsidR="00E84B0E">
        <w:t>’</w:t>
      </w:r>
      <w:r>
        <w:t>Eltz (</w:t>
      </w:r>
      <w:r>
        <w:rPr>
          <w:rStyle w:val="VerbatimChar"/>
        </w:rPr>
        <w:t>E24_Chose_matérielle_élaborée_par_l</w:t>
      </w:r>
      <w:r w:rsidR="00E84B0E">
        <w:rPr>
          <w:rStyle w:val="VerbatimChar"/>
        </w:rPr>
        <w:t>’</w:t>
      </w:r>
      <w:r>
        <w:rPr>
          <w:rStyle w:val="VerbatimChar"/>
        </w:rPr>
        <w:t>humain</w:t>
      </w:r>
      <w:r>
        <w:t>) près de Coblence, en Allemagne, occupe (</w:t>
      </w:r>
      <w:r>
        <w:rPr>
          <w:rStyle w:val="VerbatimChar"/>
        </w:rPr>
        <w:t>P156_occupe</w:t>
      </w:r>
      <w:r>
        <w:t>) l</w:t>
      </w:r>
      <w:r w:rsidR="00E84B0E">
        <w:t>’</w:t>
      </w:r>
      <w:r>
        <w:t>espace se trouvant à l</w:t>
      </w:r>
      <w:r w:rsidR="00E84B0E">
        <w:t>’</w:t>
      </w:r>
      <w:r>
        <w:t>intérieur des remparts du château d</w:t>
      </w:r>
      <w:r w:rsidR="00E84B0E">
        <w:t>’</w:t>
      </w:r>
      <w:r>
        <w:t>Eltz (</w:t>
      </w:r>
      <w:r>
        <w:rPr>
          <w:rStyle w:val="VerbatimChar"/>
        </w:rPr>
        <w:t>E53_Lieu</w:t>
      </w:r>
      <w:r>
        <w:t>) datant de 1661 EC [une série de travaux d</w:t>
      </w:r>
      <w:r w:rsidR="00E84B0E">
        <w:t>’</w:t>
      </w:r>
      <w:r>
        <w:t>expansion du château ayant débuté au XII</w:t>
      </w:r>
      <w:r>
        <w:rPr>
          <w:vertAlign w:val="superscript"/>
        </w:rPr>
        <w:t>e</w:t>
      </w:r>
      <w:r w:rsidR="00056DCD">
        <w:t> siècle </w:t>
      </w:r>
      <w:r>
        <w:t>et culminé en 1661 EC a eu pour résultat le château actuel qui comprend des bâtiments de diverses périodes]</w:t>
      </w:r>
    </w:p>
    <w:p w14:paraId="74122F3B" w14:textId="77777777" w:rsidR="00065317" w:rsidRDefault="005C7BF7">
      <w:pPr>
        <w:pStyle w:val="FirstParagraph"/>
      </w:pPr>
      <w:r>
        <w:rPr>
          <w:b/>
          <w:bCs/>
        </w:rPr>
        <w:t>Logique</w:t>
      </w:r>
    </w:p>
    <w:p w14:paraId="78AAD9D9" w14:textId="77777777" w:rsidR="00065317" w:rsidRDefault="005C7BF7">
      <w:pPr>
        <w:pStyle w:val="Corpsdetexte"/>
      </w:pPr>
      <w:r>
        <w:t>P156(x,y) ⇒ E53(y)</w:t>
      </w:r>
    </w:p>
    <w:p w14:paraId="4D745DEE" w14:textId="77777777" w:rsidR="00065317" w:rsidRDefault="005C7BF7">
      <w:pPr>
        <w:pStyle w:val="Corpsdetexte"/>
      </w:pPr>
      <w:r>
        <w:t>P156(x,y) ⇒ E18(x)</w:t>
      </w:r>
    </w:p>
    <w:p w14:paraId="0444564C" w14:textId="77777777" w:rsidR="00065317" w:rsidRDefault="005C7BF7">
      <w:pPr>
        <w:pStyle w:val="Corpsdetexte"/>
      </w:pPr>
      <w:r>
        <w:t>P156(x,y) ⇔ (∃z) [E18(x) ∧ E53(y) ∧ P196(x,z) ∧ P161(z,y) ∧ P157(y,x)]</w:t>
      </w:r>
    </w:p>
    <w:p w14:paraId="4CAF4520" w14:textId="77777777" w:rsidR="00065317" w:rsidRDefault="005C7BF7">
      <w:pPr>
        <w:pStyle w:val="Corpsdetexte"/>
      </w:pPr>
      <w:r>
        <w:rPr>
          <w:b/>
          <w:bCs/>
        </w:rPr>
        <w:t>Propriétés</w:t>
      </w:r>
    </w:p>
    <w:p w14:paraId="7AFBBA35" w14:textId="77777777" w:rsidR="00065317" w:rsidRDefault="005C7BF7">
      <w:pPr>
        <w:pStyle w:val="Normalcentr"/>
      </w:pPr>
      <w:r>
        <w:rPr>
          <w:b/>
          <w:bCs/>
          <w:i/>
          <w:iCs/>
        </w:rPr>
        <w:t>Note de traduction</w:t>
      </w:r>
    </w:p>
    <w:p w14:paraId="3AB659D7" w14:textId="51F685DB" w:rsidR="00065317" w:rsidRDefault="005C7BF7" w:rsidP="00AF2585">
      <w:pPr>
        <w:pStyle w:val="Normalcentr"/>
      </w:pPr>
      <w:r>
        <w:rPr>
          <w:b/>
          <w:bCs/>
          <w:i/>
          <w:iCs/>
        </w:rPr>
        <w:t>Références</w:t>
      </w:r>
    </w:p>
    <w:p w14:paraId="00A16E11" w14:textId="7E346B42" w:rsidR="00065317" w:rsidRDefault="005C7BF7" w:rsidP="00914F34">
      <w:pPr>
        <w:pStyle w:val="Titre3"/>
      </w:pPr>
      <w:bookmarkStart w:id="524" w:name="_Toc154048947"/>
      <w:bookmarkStart w:id="525" w:name="Xfb8c3c426d9a0d9a2932bfd99dea01bef2f5c1b"/>
      <w:bookmarkEnd w:id="523"/>
      <w:r>
        <w:t>P157 est à l</w:t>
      </w:r>
      <w:r w:rsidR="00E84B0E">
        <w:t>’</w:t>
      </w:r>
      <w:r>
        <w:t>arrêt par rapport à (procure l</w:t>
      </w:r>
      <w:r w:rsidR="00E84B0E">
        <w:t>’</w:t>
      </w:r>
      <w:r>
        <w:t>espace de référence pour)</w:t>
      </w:r>
      <w:bookmarkEnd w:id="524"/>
    </w:p>
    <w:p w14:paraId="4C08374D" w14:textId="77777777" w:rsidR="00065317" w:rsidRDefault="005C7BF7">
      <w:pPr>
        <w:pStyle w:val="FirstParagraph"/>
      </w:pPr>
      <w:r>
        <w:rPr>
          <w:b/>
          <w:bCs/>
        </w:rPr>
        <w:t>Domaine</w:t>
      </w:r>
    </w:p>
    <w:p w14:paraId="723E567E" w14:textId="77777777" w:rsidR="00065317" w:rsidRPr="005D00A8" w:rsidRDefault="005C7BF7" w:rsidP="005D00A8">
      <w:pPr>
        <w:pStyle w:val="SourceCode"/>
      </w:pPr>
      <w:r w:rsidRPr="005D00A8">
        <w:rPr>
          <w:rStyle w:val="VerbatimChar"/>
        </w:rPr>
        <w:t>E53_Lieu</w:t>
      </w:r>
    </w:p>
    <w:p w14:paraId="5C891D0D" w14:textId="77777777" w:rsidR="00065317" w:rsidRDefault="005C7BF7">
      <w:pPr>
        <w:pStyle w:val="Corpsdetexte"/>
      </w:pPr>
      <w:r>
        <w:rPr>
          <w:b/>
          <w:bCs/>
        </w:rPr>
        <w:t>Portée</w:t>
      </w:r>
    </w:p>
    <w:p w14:paraId="132C708A" w14:textId="77777777" w:rsidR="00065317" w:rsidRDefault="005C7BF7">
      <w:pPr>
        <w:pStyle w:val="Corpsdetexte"/>
      </w:pPr>
      <w:r>
        <w:rPr>
          <w:rStyle w:val="VerbatimChar"/>
        </w:rPr>
        <w:t>E18_Chose_matérielle</w:t>
      </w:r>
    </w:p>
    <w:p w14:paraId="2AE6186E" w14:textId="77777777" w:rsidR="00065317" w:rsidRDefault="005C7BF7">
      <w:pPr>
        <w:pStyle w:val="Corpsdetexte"/>
      </w:pPr>
      <w:r>
        <w:rPr>
          <w:b/>
          <w:bCs/>
        </w:rPr>
        <w:t>Sous-propriété de</w:t>
      </w:r>
    </w:p>
    <w:p w14:paraId="5843F393" w14:textId="77777777" w:rsidR="00065317" w:rsidRDefault="005C7BF7">
      <w:pPr>
        <w:pStyle w:val="Corpsdetexte"/>
      </w:pPr>
      <w:r>
        <w:rPr>
          <w:b/>
          <w:bCs/>
        </w:rPr>
        <w:t>Super-propriété de</w:t>
      </w:r>
    </w:p>
    <w:p w14:paraId="41E43069" w14:textId="77777777" w:rsidR="00065317" w:rsidRDefault="005C7BF7">
      <w:pPr>
        <w:pStyle w:val="Corpsdetexte"/>
      </w:pPr>
      <w:r>
        <w:rPr>
          <w:rStyle w:val="VerbatimChar"/>
        </w:rPr>
        <w:t>E53_Lieu</w:t>
      </w:r>
      <w:r>
        <w:t xml:space="preserve">. </w:t>
      </w:r>
      <w:r>
        <w:rPr>
          <w:rStyle w:val="VerbatimChar"/>
        </w:rPr>
        <w:t>P59i_se_situe_sur_ou_dans</w:t>
      </w:r>
      <w:r>
        <w:t> : </w:t>
      </w:r>
      <w:r>
        <w:rPr>
          <w:rStyle w:val="VerbatimChar"/>
        </w:rPr>
        <w:t>E18_Chose_matérielle</w:t>
      </w:r>
    </w:p>
    <w:p w14:paraId="6A21F619" w14:textId="77777777" w:rsidR="00065317" w:rsidRDefault="005C7BF7">
      <w:pPr>
        <w:pStyle w:val="Corpsdetexte"/>
      </w:pPr>
      <w:r w:rsidRPr="005D00A8">
        <w:rPr>
          <w:rStyle w:val="VerbatimChar"/>
        </w:rPr>
        <w:t>E18_Chose_matérielle</w:t>
      </w:r>
      <w:r>
        <w:t xml:space="preserve">. </w:t>
      </w:r>
      <w:r>
        <w:rPr>
          <w:rStyle w:val="VerbatimChar"/>
        </w:rPr>
        <w:t>P156_occupe (est_occupé_par)</w:t>
      </w:r>
      <w:r>
        <w:t> : </w:t>
      </w:r>
      <w:r>
        <w:rPr>
          <w:rStyle w:val="VerbatimChar"/>
        </w:rPr>
        <w:t>E53_Lieu</w:t>
      </w:r>
    </w:p>
    <w:p w14:paraId="0F53578C" w14:textId="77777777" w:rsidR="00DE6C24" w:rsidRDefault="00DE6C24">
      <w:pPr>
        <w:spacing w:after="0"/>
        <w:rPr>
          <w:b/>
          <w:bCs/>
        </w:rPr>
      </w:pPr>
      <w:r>
        <w:rPr>
          <w:b/>
          <w:bCs/>
        </w:rPr>
        <w:br w:type="page"/>
      </w:r>
    </w:p>
    <w:p w14:paraId="33EB01A3" w14:textId="74A8EB2F" w:rsidR="00065317" w:rsidRDefault="005C7BF7">
      <w:pPr>
        <w:pStyle w:val="Corpsdetexte"/>
      </w:pPr>
      <w:r>
        <w:rPr>
          <w:b/>
          <w:bCs/>
        </w:rPr>
        <w:lastRenderedPageBreak/>
        <w:t>Quantification</w:t>
      </w:r>
    </w:p>
    <w:p w14:paraId="59AA9AE9" w14:textId="77777777" w:rsidR="00065317" w:rsidRDefault="005C7BF7">
      <w:pPr>
        <w:pStyle w:val="Corpsdetexte"/>
      </w:pPr>
      <w:r>
        <w:t>plusieurs à plusieurs, nécessaire (1,n:0,n)</w:t>
      </w:r>
    </w:p>
    <w:p w14:paraId="0105CE8A" w14:textId="78D65CB2" w:rsidR="00065317" w:rsidRDefault="005C7BF7">
      <w:pPr>
        <w:pStyle w:val="Corpsdetexte"/>
      </w:pPr>
      <w:r>
        <w:rPr>
          <w:b/>
          <w:bCs/>
        </w:rPr>
        <w:t>Note d</w:t>
      </w:r>
      <w:r w:rsidR="00E84B0E">
        <w:rPr>
          <w:b/>
          <w:bCs/>
        </w:rPr>
        <w:t>’</w:t>
      </w:r>
      <w:r>
        <w:rPr>
          <w:b/>
          <w:bCs/>
        </w:rPr>
        <w:t>application</w:t>
      </w:r>
    </w:p>
    <w:p w14:paraId="56D13B34" w14:textId="5AD3BFB4" w:rsidR="00065317" w:rsidRDefault="005C7BF7">
      <w:pPr>
        <w:pStyle w:val="Corpsdetexte"/>
      </w:pPr>
      <w:r>
        <w:t xml:space="preserve">Cette propriété associe une instance de </w:t>
      </w:r>
      <w:r>
        <w:rPr>
          <w:rStyle w:val="VerbatimChar"/>
        </w:rPr>
        <w:t>E53_Lieu</w:t>
      </w:r>
      <w:r>
        <w:t xml:space="preserve"> à l</w:t>
      </w:r>
      <w:r w:rsidR="00E84B0E">
        <w:t>’</w:t>
      </w:r>
      <w:r>
        <w:t xml:space="preserve">instance de </w:t>
      </w:r>
      <w:r>
        <w:rPr>
          <w:rStyle w:val="VerbatimChar"/>
        </w:rPr>
        <w:t>E18_Chose_matérielle</w:t>
      </w:r>
      <w:r>
        <w:t xml:space="preserve"> qui détermine un espace de référence pour cette instance de </w:t>
      </w:r>
      <w:r>
        <w:rPr>
          <w:rStyle w:val="VerbatimChar"/>
        </w:rPr>
        <w:t>E53_Lieu</w:t>
      </w:r>
      <w:r>
        <w:t xml:space="preserve"> en étant en arrêt par rapport à ce même espace de référence. La stabilité relative de la forme d</w:t>
      </w:r>
      <w:r w:rsidR="00E84B0E">
        <w:t>’</w:t>
      </w:r>
      <w:r>
        <w:t xml:space="preserve">une instance de </w:t>
      </w:r>
      <w:r>
        <w:rPr>
          <w:rStyle w:val="VerbatimChar"/>
        </w:rPr>
        <w:t>E18_Chose_matérielle</w:t>
      </w:r>
      <w:r>
        <w:t xml:space="preserve"> définit son espace de référence par défaut. L</w:t>
      </w:r>
      <w:r w:rsidR="00E84B0E">
        <w:t>’</w:t>
      </w:r>
      <w:r>
        <w:t>espace de référence n</w:t>
      </w:r>
      <w:r w:rsidR="00E84B0E">
        <w:t>’</w:t>
      </w:r>
      <w:r>
        <w:t>est pas limité dans l</w:t>
      </w:r>
      <w:r w:rsidR="00E84B0E">
        <w:t>’</w:t>
      </w:r>
      <w:r>
        <w:t>espace par la chose référencée. Par exemple, un navire détermine un espace de référence en fonction duquel des navires avoisinants peuvent être décrits. De grands regroupements de matière, tels que les plaques tectoniques, peuvent comprendre plusieurs caractéristiques physiques qui sont à l</w:t>
      </w:r>
      <w:r w:rsidR="00E84B0E">
        <w:t>’</w:t>
      </w:r>
      <w:r>
        <w:t>arrêt par rapport à ceux-ci et qui définissent le même espace de référence.</w:t>
      </w:r>
    </w:p>
    <w:p w14:paraId="33D92723" w14:textId="77777777" w:rsidR="00065317" w:rsidRDefault="005C7BF7">
      <w:pPr>
        <w:pStyle w:val="Corpsdetexte"/>
      </w:pPr>
      <w:r>
        <w:rPr>
          <w:b/>
          <w:bCs/>
        </w:rPr>
        <w:t>Exemples</w:t>
      </w:r>
    </w:p>
    <w:p w14:paraId="2CBF4893" w14:textId="0A60D7BC" w:rsidR="00065317" w:rsidRDefault="005C7BF7">
      <w:pPr>
        <w:numPr>
          <w:ilvl w:val="0"/>
          <w:numId w:val="271"/>
        </w:numPr>
      </w:pPr>
      <w:r>
        <w:t>L</w:t>
      </w:r>
      <w:r w:rsidR="00E84B0E">
        <w:t>’</w:t>
      </w:r>
      <w:r>
        <w:t>étendue spatiale de la ville d</w:t>
      </w:r>
      <w:r w:rsidR="00E84B0E">
        <w:t>’</w:t>
      </w:r>
      <w:r>
        <w:t>Athènes en 2014 (</w:t>
      </w:r>
      <w:r>
        <w:rPr>
          <w:rStyle w:val="VerbatimChar"/>
        </w:rPr>
        <w:t>E53_Lieu</w:t>
      </w:r>
      <w:r>
        <w:t>) est à l</w:t>
      </w:r>
      <w:r w:rsidR="00E84B0E">
        <w:t>’</w:t>
      </w:r>
      <w:r>
        <w:t>arrêt par rapport à (</w:t>
      </w:r>
      <w:r>
        <w:rPr>
          <w:rStyle w:val="VerbatimChar"/>
        </w:rPr>
        <w:t>P157_est_à_l</w:t>
      </w:r>
      <w:r w:rsidR="00E84B0E">
        <w:rPr>
          <w:rStyle w:val="VerbatimChar"/>
        </w:rPr>
        <w:t>’</w:t>
      </w:r>
      <w:r>
        <w:rPr>
          <w:rStyle w:val="VerbatimChar"/>
        </w:rPr>
        <w:t>arrêt_par_rapport_à</w:t>
      </w:r>
      <w:r>
        <w:t>) l</w:t>
      </w:r>
      <w:r w:rsidR="00E84B0E">
        <w:t>’</w:t>
      </w:r>
      <w:r>
        <w:t>Observatoire royal de Greenwich (</w:t>
      </w:r>
      <w:r>
        <w:rPr>
          <w:rStyle w:val="VerbatimChar"/>
        </w:rPr>
        <w:t>E25_Caractéristique_élaborée_par_l</w:t>
      </w:r>
      <w:r w:rsidR="00E84B0E">
        <w:rPr>
          <w:rStyle w:val="VerbatimChar"/>
        </w:rPr>
        <w:t>’</w:t>
      </w:r>
      <w:r>
        <w:rPr>
          <w:rStyle w:val="VerbatimChar"/>
        </w:rPr>
        <w:t>humain</w:t>
      </w:r>
      <w:r>
        <w:t>) (Maunder, 1900)</w:t>
      </w:r>
    </w:p>
    <w:p w14:paraId="41500798" w14:textId="365ED7F5" w:rsidR="00065317" w:rsidRDefault="005C7BF7">
      <w:pPr>
        <w:numPr>
          <w:ilvl w:val="0"/>
          <w:numId w:val="271"/>
        </w:numPr>
      </w:pPr>
      <w:r>
        <w:t>Le lieu où est décédé Lord Nelson sur le HMS Victory (</w:t>
      </w:r>
      <w:r>
        <w:rPr>
          <w:rStyle w:val="VerbatimChar"/>
        </w:rPr>
        <w:t>E53_Lieu</w:t>
      </w:r>
      <w:r>
        <w:t>) est à l</w:t>
      </w:r>
      <w:r w:rsidR="00E84B0E">
        <w:t>’</w:t>
      </w:r>
      <w:r>
        <w:t>arrêt par rapport au (</w:t>
      </w:r>
      <w:r>
        <w:rPr>
          <w:rStyle w:val="VerbatimChar"/>
        </w:rPr>
        <w:t>P157_est_à_l</w:t>
      </w:r>
      <w:r w:rsidR="00E84B0E">
        <w:rPr>
          <w:rStyle w:val="VerbatimChar"/>
        </w:rPr>
        <w:t>’</w:t>
      </w:r>
      <w:r>
        <w:rPr>
          <w:rStyle w:val="VerbatimChar"/>
        </w:rPr>
        <w:t>arrêt_par_rapport_à</w:t>
      </w:r>
      <w:r>
        <w:t>) HMS Victory (</w:t>
      </w:r>
      <w:r>
        <w:rPr>
          <w:rStyle w:val="VerbatimChar"/>
        </w:rPr>
        <w:t>E22_Objet_élaboré_par_l</w:t>
      </w:r>
      <w:r w:rsidR="00E84B0E">
        <w:rPr>
          <w:rStyle w:val="VerbatimChar"/>
        </w:rPr>
        <w:t>’</w:t>
      </w:r>
      <w:r>
        <w:rPr>
          <w:rStyle w:val="VerbatimChar"/>
        </w:rPr>
        <w:t>humain</w:t>
      </w:r>
      <w:r>
        <w:t>) (Adkin, 2005)</w:t>
      </w:r>
    </w:p>
    <w:p w14:paraId="3640240B" w14:textId="77777777" w:rsidR="00065317" w:rsidRDefault="005C7BF7">
      <w:pPr>
        <w:pStyle w:val="FirstParagraph"/>
      </w:pPr>
      <w:r>
        <w:rPr>
          <w:b/>
          <w:bCs/>
        </w:rPr>
        <w:t>Logique</w:t>
      </w:r>
    </w:p>
    <w:p w14:paraId="55B37AF5" w14:textId="77777777" w:rsidR="00065317" w:rsidRDefault="005C7BF7">
      <w:pPr>
        <w:pStyle w:val="Corpsdetexte"/>
      </w:pPr>
      <w:r>
        <w:t>P157(x,y) ⇒ E53(x)</w:t>
      </w:r>
    </w:p>
    <w:p w14:paraId="6180F559" w14:textId="77777777" w:rsidR="00065317" w:rsidRDefault="005C7BF7">
      <w:pPr>
        <w:pStyle w:val="Corpsdetexte"/>
      </w:pPr>
      <w:r>
        <w:t>P157(x,y) ⇒ E18(y)</w:t>
      </w:r>
    </w:p>
    <w:p w14:paraId="2B514A33" w14:textId="77777777" w:rsidR="00065317" w:rsidRDefault="005C7BF7">
      <w:pPr>
        <w:pStyle w:val="Corpsdetexte"/>
      </w:pPr>
      <w:r>
        <w:rPr>
          <w:b/>
          <w:bCs/>
        </w:rPr>
        <w:t>Propriétés</w:t>
      </w:r>
    </w:p>
    <w:p w14:paraId="68984B76" w14:textId="77777777" w:rsidR="00065317" w:rsidRDefault="005C7BF7">
      <w:pPr>
        <w:pStyle w:val="Normalcentr"/>
      </w:pPr>
      <w:r>
        <w:rPr>
          <w:b/>
          <w:bCs/>
          <w:i/>
          <w:iCs/>
        </w:rPr>
        <w:t>Note de traduction</w:t>
      </w:r>
    </w:p>
    <w:p w14:paraId="02023530" w14:textId="7979F666" w:rsidR="00065317" w:rsidRDefault="005C7BF7" w:rsidP="00AF2585">
      <w:pPr>
        <w:pStyle w:val="Normalcentr"/>
      </w:pPr>
      <w:r>
        <w:rPr>
          <w:b/>
          <w:bCs/>
          <w:i/>
          <w:iCs/>
        </w:rPr>
        <w:t>Références</w:t>
      </w:r>
    </w:p>
    <w:p w14:paraId="29BF24DE" w14:textId="77777777" w:rsidR="00065317" w:rsidRDefault="005C7BF7" w:rsidP="00914F34">
      <w:pPr>
        <w:pStyle w:val="Titre3"/>
      </w:pPr>
      <w:bookmarkStart w:id="526" w:name="_Toc154048948"/>
      <w:bookmarkStart w:id="527" w:name="Xfb7715626a51bbf63308d29e8364789f7761803"/>
      <w:bookmarkEnd w:id="525"/>
      <w:r>
        <w:t>P160 a pour projection temporelle (est la projection temporelle de)</w:t>
      </w:r>
      <w:bookmarkEnd w:id="526"/>
    </w:p>
    <w:p w14:paraId="24F6157F" w14:textId="77777777" w:rsidR="00065317" w:rsidRDefault="005C7BF7">
      <w:pPr>
        <w:pStyle w:val="FirstParagraph"/>
      </w:pPr>
      <w:r>
        <w:rPr>
          <w:b/>
          <w:bCs/>
        </w:rPr>
        <w:t>Domaine</w:t>
      </w:r>
    </w:p>
    <w:p w14:paraId="0FA36023" w14:textId="77777777" w:rsidR="00065317" w:rsidRDefault="005C7BF7">
      <w:pPr>
        <w:pStyle w:val="Corpsdetexte"/>
      </w:pPr>
      <w:r>
        <w:rPr>
          <w:rStyle w:val="VerbatimChar"/>
        </w:rPr>
        <w:t>E92_Volume_spatio-temporel</w:t>
      </w:r>
    </w:p>
    <w:p w14:paraId="09ABDEA2" w14:textId="77777777" w:rsidR="00065317" w:rsidRDefault="005C7BF7">
      <w:pPr>
        <w:pStyle w:val="Corpsdetexte"/>
      </w:pPr>
      <w:r>
        <w:rPr>
          <w:b/>
          <w:bCs/>
        </w:rPr>
        <w:t>Portée</w:t>
      </w:r>
    </w:p>
    <w:p w14:paraId="21889E02" w14:textId="77777777" w:rsidR="00065317" w:rsidRDefault="005C7BF7">
      <w:pPr>
        <w:pStyle w:val="Corpsdetexte"/>
      </w:pPr>
      <w:r>
        <w:rPr>
          <w:rStyle w:val="VerbatimChar"/>
        </w:rPr>
        <w:t>E52_Intervalle_temporel</w:t>
      </w:r>
    </w:p>
    <w:p w14:paraId="3F524124" w14:textId="1E0BEFDC" w:rsidR="00834C26" w:rsidRDefault="005C7BF7">
      <w:pPr>
        <w:pStyle w:val="Corpsdetexte"/>
        <w:rPr>
          <w:b/>
          <w:bCs/>
        </w:rPr>
      </w:pPr>
      <w:r>
        <w:rPr>
          <w:b/>
          <w:bCs/>
        </w:rPr>
        <w:t>Sous-propriété de</w:t>
      </w:r>
    </w:p>
    <w:p w14:paraId="709DA037" w14:textId="21BBDE77" w:rsidR="00065317" w:rsidRDefault="005C7BF7">
      <w:pPr>
        <w:pStyle w:val="Corpsdetexte"/>
      </w:pPr>
      <w:r>
        <w:rPr>
          <w:b/>
          <w:bCs/>
        </w:rPr>
        <w:t>Super-propriété de</w:t>
      </w:r>
    </w:p>
    <w:p w14:paraId="6A1846F4" w14:textId="77777777" w:rsidR="00065317" w:rsidRDefault="005C7BF7">
      <w:pPr>
        <w:pStyle w:val="Corpsdetexte"/>
      </w:pPr>
      <w:r>
        <w:rPr>
          <w:rStyle w:val="VerbatimChar"/>
        </w:rPr>
        <w:t>E93_Présence</w:t>
      </w:r>
      <w:r>
        <w:t xml:space="preserve">. </w:t>
      </w:r>
      <w:r>
        <w:rPr>
          <w:rStyle w:val="VerbatimChar"/>
        </w:rPr>
        <w:t>P164_est_temporellement_spécifié_par (spécifie_temporellement)</w:t>
      </w:r>
      <w:r>
        <w:t xml:space="preserve"> : </w:t>
      </w:r>
      <w:r>
        <w:rPr>
          <w:rStyle w:val="VerbatimChar"/>
        </w:rPr>
        <w:t>E52_Intervalle_temporel</w:t>
      </w:r>
    </w:p>
    <w:p w14:paraId="4066EAEA" w14:textId="77777777" w:rsidR="00065317" w:rsidRDefault="005C7BF7">
      <w:pPr>
        <w:pStyle w:val="Corpsdetexte"/>
      </w:pPr>
      <w:r>
        <w:rPr>
          <w:b/>
          <w:bCs/>
        </w:rPr>
        <w:t>Quantification</w:t>
      </w:r>
    </w:p>
    <w:p w14:paraId="474ED88B" w14:textId="77777777" w:rsidR="00065317" w:rsidRDefault="005C7BF7">
      <w:pPr>
        <w:pStyle w:val="Corpsdetexte"/>
      </w:pPr>
      <w:r>
        <w:t>plusieurs à un, nécessaire (1,1:0,n)</w:t>
      </w:r>
    </w:p>
    <w:p w14:paraId="5E2B3FCB" w14:textId="77777777" w:rsidR="00DE6C24" w:rsidRDefault="00DE6C24">
      <w:pPr>
        <w:spacing w:after="0"/>
        <w:rPr>
          <w:b/>
          <w:bCs/>
        </w:rPr>
      </w:pPr>
      <w:r>
        <w:rPr>
          <w:b/>
          <w:bCs/>
        </w:rPr>
        <w:br w:type="page"/>
      </w:r>
    </w:p>
    <w:p w14:paraId="36D6158D" w14:textId="36CC7EDA" w:rsidR="00065317" w:rsidRDefault="005C7BF7">
      <w:pPr>
        <w:pStyle w:val="Corpsdetexte"/>
      </w:pPr>
      <w:r>
        <w:rPr>
          <w:b/>
          <w:bCs/>
        </w:rPr>
        <w:lastRenderedPageBreak/>
        <w:t>Note d</w:t>
      </w:r>
      <w:r w:rsidR="00E84B0E">
        <w:rPr>
          <w:b/>
          <w:bCs/>
        </w:rPr>
        <w:t>’</w:t>
      </w:r>
      <w:r>
        <w:rPr>
          <w:b/>
          <w:bCs/>
        </w:rPr>
        <w:t>application</w:t>
      </w:r>
    </w:p>
    <w:p w14:paraId="4E059FE2" w14:textId="7CB75459" w:rsidR="00065317" w:rsidRDefault="005C7BF7">
      <w:pPr>
        <w:pStyle w:val="Corpsdetexte"/>
      </w:pPr>
      <w:r>
        <w:t>Cette propriété décrit la projection temporelle d</w:t>
      </w:r>
      <w:r w:rsidR="00E84B0E">
        <w:t>’</w:t>
      </w:r>
      <w:r>
        <w:t xml:space="preserve">une instance de </w:t>
      </w:r>
      <w:r>
        <w:rPr>
          <w:rStyle w:val="VerbatimChar"/>
        </w:rPr>
        <w:t>E92_Volume_spatio-temporel</w:t>
      </w:r>
      <w:r>
        <w:t xml:space="preserve">. La propriété </w:t>
      </w:r>
      <w:r>
        <w:rPr>
          <w:rStyle w:val="VerbatimChar"/>
        </w:rPr>
        <w:t>P4_a_pour_intervalle_temporel (est_l</w:t>
      </w:r>
      <w:r w:rsidR="00E84B0E">
        <w:rPr>
          <w:rStyle w:val="VerbatimChar"/>
        </w:rPr>
        <w:t>’</w:t>
      </w:r>
      <w:r>
        <w:rPr>
          <w:rStyle w:val="VerbatimChar"/>
        </w:rPr>
        <w:t>intervalle_temporel_de)</w:t>
      </w:r>
      <w:r>
        <w:t xml:space="preserve"> est la même que </w:t>
      </w:r>
      <w:r>
        <w:rPr>
          <w:rStyle w:val="VerbatimChar"/>
        </w:rPr>
        <w:t>P160_a_pour_projection_temporelle (est_la_projection_temporelle_de)</w:t>
      </w:r>
      <w:r>
        <w:t xml:space="preserve"> lorsqu</w:t>
      </w:r>
      <w:r w:rsidR="00E84B0E">
        <w:t>’</w:t>
      </w:r>
      <w:r>
        <w:t xml:space="preserve">elle est utilisée pour documenter une instance de </w:t>
      </w:r>
      <w:r>
        <w:rPr>
          <w:rStyle w:val="VerbatimChar"/>
        </w:rPr>
        <w:t>E4_Période</w:t>
      </w:r>
      <w:r>
        <w:t xml:space="preserve"> ou l</w:t>
      </w:r>
      <w:r w:rsidR="00E84B0E">
        <w:t>’</w:t>
      </w:r>
      <w:r>
        <w:t>une de ses sous-classes.</w:t>
      </w:r>
    </w:p>
    <w:p w14:paraId="48D37CE3" w14:textId="77777777" w:rsidR="00065317" w:rsidRDefault="005C7BF7">
      <w:pPr>
        <w:pStyle w:val="Corpsdetexte"/>
      </w:pPr>
      <w:r>
        <w:rPr>
          <w:b/>
          <w:bCs/>
        </w:rPr>
        <w:t>Exemples</w:t>
      </w:r>
    </w:p>
    <w:p w14:paraId="746AFDDB" w14:textId="63F8A5F6" w:rsidR="00065317" w:rsidRDefault="005C7BF7">
      <w:pPr>
        <w:numPr>
          <w:ilvl w:val="0"/>
          <w:numId w:val="272"/>
        </w:numPr>
      </w:pPr>
      <w:r>
        <w:t>La trajectoire spatio-temporelle du HMS Temeraire, de sa construction en 1798 à sa destruction en 1838 (</w:t>
      </w:r>
      <w:r>
        <w:rPr>
          <w:rStyle w:val="VerbatimChar"/>
        </w:rPr>
        <w:t>E92_Volume_spatio-temporel</w:t>
      </w:r>
      <w:r>
        <w:t>), a pour projection temporelle (</w:t>
      </w:r>
      <w:r>
        <w:rPr>
          <w:rStyle w:val="VerbatimChar"/>
        </w:rPr>
        <w:t>P160_a_pour_projection_temporelle</w:t>
      </w:r>
      <w:r>
        <w:t>) l</w:t>
      </w:r>
      <w:r w:rsidR="00E84B0E">
        <w:t>’</w:t>
      </w:r>
      <w:r>
        <w:t>intervalle temporel de l</w:t>
      </w:r>
      <w:r w:rsidR="00E84B0E">
        <w:t>’</w:t>
      </w:r>
      <w:r>
        <w:t>existence du HMS Temeraire (</w:t>
      </w:r>
      <w:r>
        <w:rPr>
          <w:rStyle w:val="VerbatimChar"/>
        </w:rPr>
        <w:t>E52_Intervalle_temporel</w:t>
      </w:r>
      <w:r>
        <w:t>) [a eu lieu durant (</w:t>
      </w:r>
      <w:r>
        <w:rPr>
          <w:rStyle w:val="VerbatimChar"/>
        </w:rPr>
        <w:t>P82_a_eu_lieu_durant</w:t>
      </w:r>
      <w:r>
        <w:t>) « 1798-1838 » (</w:t>
      </w:r>
      <w:r>
        <w:rPr>
          <w:rStyle w:val="VerbatimChar"/>
        </w:rPr>
        <w:t>E61_Primitive_temporelle</w:t>
      </w:r>
      <w:r>
        <w:t>)] (Willis, 2010)</w:t>
      </w:r>
    </w:p>
    <w:p w14:paraId="4799C241" w14:textId="4750B1D9" w:rsidR="00065317" w:rsidRDefault="005C7BF7">
      <w:pPr>
        <w:numPr>
          <w:ilvl w:val="0"/>
          <w:numId w:val="272"/>
        </w:numPr>
      </w:pPr>
      <w:r>
        <w:t>La Bataille de Waterloo de 1815 (</w:t>
      </w:r>
      <w:r>
        <w:rPr>
          <w:rStyle w:val="VerbatimChar"/>
        </w:rPr>
        <w:t>E7_Activité</w:t>
      </w:r>
      <w:r>
        <w:t>) a pour projection temporelle (</w:t>
      </w:r>
      <w:r>
        <w:rPr>
          <w:rStyle w:val="VerbatimChar"/>
        </w:rPr>
        <w:t>P160_a_pour_projection_temporelle</w:t>
      </w:r>
      <w:r>
        <w:t>) l</w:t>
      </w:r>
      <w:r w:rsidR="00E84B0E">
        <w:t>’</w:t>
      </w:r>
      <w:r>
        <w:t>intervalle temporelle de la Bataille de Waterloo (</w:t>
      </w:r>
      <w:r>
        <w:rPr>
          <w:rStyle w:val="VerbatimChar"/>
        </w:rPr>
        <w:t>E52_Intervalle_temporel</w:t>
      </w:r>
      <w:r>
        <w:t>) [a eu lieu durant (</w:t>
      </w:r>
      <w:r>
        <w:rPr>
          <w:rStyle w:val="VerbatimChar"/>
        </w:rPr>
        <w:t>P82_a_eu_lieu_durant</w:t>
      </w:r>
      <w:r>
        <w:t>) le dimanche 18</w:t>
      </w:r>
      <w:r w:rsidR="00056DCD">
        <w:t> juin </w:t>
      </w:r>
      <w:r>
        <w:t>1815 (</w:t>
      </w:r>
      <w:r>
        <w:rPr>
          <w:rStyle w:val="VerbatimChar"/>
        </w:rPr>
        <w:t>E61_Primitive_temporelle</w:t>
      </w:r>
      <w:r>
        <w:t>)] (Black, 2010)</w:t>
      </w:r>
    </w:p>
    <w:p w14:paraId="70BE0FA7" w14:textId="77777777" w:rsidR="00065317" w:rsidRDefault="005C7BF7">
      <w:pPr>
        <w:pStyle w:val="FirstParagraph"/>
      </w:pPr>
      <w:r>
        <w:rPr>
          <w:b/>
          <w:bCs/>
        </w:rPr>
        <w:t>Logique</w:t>
      </w:r>
    </w:p>
    <w:p w14:paraId="466B63EB" w14:textId="77777777" w:rsidR="00065317" w:rsidRDefault="005C7BF7">
      <w:pPr>
        <w:pStyle w:val="Corpsdetexte"/>
      </w:pPr>
      <w:r>
        <w:t>P160(x,y) ⇒ E92(x)</w:t>
      </w:r>
    </w:p>
    <w:p w14:paraId="20E4F7BA" w14:textId="77777777" w:rsidR="00065317" w:rsidRDefault="005C7BF7">
      <w:pPr>
        <w:pStyle w:val="Corpsdetexte"/>
      </w:pPr>
      <w:r>
        <w:t>P160(x,y) ⇒ E52(y)</w:t>
      </w:r>
    </w:p>
    <w:p w14:paraId="0B006DBF" w14:textId="77777777" w:rsidR="00065317" w:rsidRDefault="005C7BF7">
      <w:pPr>
        <w:pStyle w:val="Corpsdetexte"/>
      </w:pPr>
      <w:r>
        <w:rPr>
          <w:b/>
          <w:bCs/>
        </w:rPr>
        <w:t>Propriétés</w:t>
      </w:r>
    </w:p>
    <w:p w14:paraId="2A7EDD54" w14:textId="77777777" w:rsidR="00065317" w:rsidRDefault="005C7BF7">
      <w:pPr>
        <w:pStyle w:val="Normalcentr"/>
      </w:pPr>
      <w:r>
        <w:rPr>
          <w:b/>
          <w:bCs/>
          <w:i/>
          <w:iCs/>
        </w:rPr>
        <w:t>Note de traduction</w:t>
      </w:r>
    </w:p>
    <w:p w14:paraId="2124A79B" w14:textId="4AFD891D" w:rsidR="00065317" w:rsidRDefault="005C7BF7" w:rsidP="00AF2585">
      <w:pPr>
        <w:pStyle w:val="Normalcentr"/>
      </w:pPr>
      <w:r>
        <w:rPr>
          <w:b/>
          <w:bCs/>
          <w:i/>
          <w:iCs/>
        </w:rPr>
        <w:t>Références</w:t>
      </w:r>
    </w:p>
    <w:p w14:paraId="163EB795" w14:textId="77777777" w:rsidR="00065317" w:rsidRDefault="005C7BF7" w:rsidP="00914F34">
      <w:pPr>
        <w:pStyle w:val="Titre3"/>
      </w:pPr>
      <w:bookmarkStart w:id="528" w:name="_Toc154048949"/>
      <w:bookmarkStart w:id="529" w:name="X78cb8ac8f3c76de3e8c98c3619b16039a9d8e45"/>
      <w:bookmarkEnd w:id="527"/>
      <w:r>
        <w:t>P161 a pour projection spatiale (est la projection spatiale de)</w:t>
      </w:r>
      <w:bookmarkEnd w:id="528"/>
    </w:p>
    <w:p w14:paraId="7F159389" w14:textId="77777777" w:rsidR="00065317" w:rsidRDefault="005C7BF7">
      <w:pPr>
        <w:pStyle w:val="FirstParagraph"/>
      </w:pPr>
      <w:r>
        <w:rPr>
          <w:b/>
          <w:bCs/>
        </w:rPr>
        <w:t>Domaine</w:t>
      </w:r>
    </w:p>
    <w:p w14:paraId="79C9E8C0" w14:textId="77777777" w:rsidR="00065317" w:rsidRDefault="005C7BF7">
      <w:pPr>
        <w:pStyle w:val="Corpsdetexte"/>
      </w:pPr>
      <w:r>
        <w:rPr>
          <w:rStyle w:val="VerbatimChar"/>
        </w:rPr>
        <w:t>E92_Volume_spatio-temporel</w:t>
      </w:r>
    </w:p>
    <w:p w14:paraId="51F302DD" w14:textId="77777777" w:rsidR="00065317" w:rsidRDefault="005C7BF7">
      <w:pPr>
        <w:pStyle w:val="Corpsdetexte"/>
      </w:pPr>
      <w:r>
        <w:rPr>
          <w:b/>
          <w:bCs/>
        </w:rPr>
        <w:t>Portée</w:t>
      </w:r>
    </w:p>
    <w:p w14:paraId="72C1AE86" w14:textId="77777777" w:rsidR="00065317" w:rsidRDefault="005C7BF7">
      <w:pPr>
        <w:pStyle w:val="Corpsdetexte"/>
      </w:pPr>
      <w:r>
        <w:rPr>
          <w:rStyle w:val="VerbatimChar"/>
        </w:rPr>
        <w:t>E53_Lieu</w:t>
      </w:r>
    </w:p>
    <w:p w14:paraId="0B514D82" w14:textId="77777777" w:rsidR="00065317" w:rsidRDefault="005C7BF7">
      <w:pPr>
        <w:pStyle w:val="Corpsdetexte"/>
      </w:pPr>
      <w:r>
        <w:rPr>
          <w:b/>
          <w:bCs/>
        </w:rPr>
        <w:t>Sous-propriété de</w:t>
      </w:r>
    </w:p>
    <w:p w14:paraId="49172D66" w14:textId="77777777" w:rsidR="00065317" w:rsidRDefault="005C7BF7">
      <w:pPr>
        <w:pStyle w:val="Corpsdetexte"/>
      </w:pPr>
      <w:r>
        <w:rPr>
          <w:b/>
          <w:bCs/>
        </w:rPr>
        <w:t>Super-propriété de</w:t>
      </w:r>
    </w:p>
    <w:p w14:paraId="138B9B18" w14:textId="7B81EE3B" w:rsidR="00834C26" w:rsidRDefault="005C7BF7">
      <w:pPr>
        <w:pStyle w:val="Corpsdetexte"/>
        <w:rPr>
          <w:b/>
          <w:bCs/>
        </w:rPr>
      </w:pPr>
      <w:r>
        <w:rPr>
          <w:rStyle w:val="VerbatimChar"/>
        </w:rPr>
        <w:t>E4_Période</w:t>
      </w:r>
      <w:r>
        <w:t xml:space="preserve">. </w:t>
      </w:r>
      <w:r>
        <w:rPr>
          <w:rStyle w:val="VerbatimChar"/>
        </w:rPr>
        <w:t>P7_a_eu_lieu_dans (a_été_témoin_de)</w:t>
      </w:r>
      <w:r>
        <w:t xml:space="preserve"> : </w:t>
      </w:r>
      <w:r>
        <w:rPr>
          <w:rStyle w:val="VerbatimChar"/>
        </w:rPr>
        <w:t>E53_Lieu</w:t>
      </w:r>
    </w:p>
    <w:p w14:paraId="31860CE5" w14:textId="5199C79C" w:rsidR="00065317" w:rsidRDefault="005C7BF7">
      <w:pPr>
        <w:pStyle w:val="Corpsdetexte"/>
      </w:pPr>
      <w:r>
        <w:rPr>
          <w:b/>
          <w:bCs/>
        </w:rPr>
        <w:t>Quantification</w:t>
      </w:r>
    </w:p>
    <w:p w14:paraId="7EA97186" w14:textId="77777777" w:rsidR="00065317" w:rsidRDefault="005C7BF7">
      <w:pPr>
        <w:pStyle w:val="Corpsdetexte"/>
      </w:pPr>
      <w:r>
        <w:t>un à plusieurs, nécessaire, dépendant (1,n:1,1)</w:t>
      </w:r>
    </w:p>
    <w:p w14:paraId="457514B2" w14:textId="4B34E090" w:rsidR="00065317" w:rsidRDefault="005C7BF7">
      <w:pPr>
        <w:pStyle w:val="Corpsdetexte"/>
      </w:pPr>
      <w:r>
        <w:rPr>
          <w:b/>
          <w:bCs/>
        </w:rPr>
        <w:t>Note d</w:t>
      </w:r>
      <w:r w:rsidR="00E84B0E">
        <w:rPr>
          <w:b/>
          <w:bCs/>
        </w:rPr>
        <w:t>’</w:t>
      </w:r>
      <w:r>
        <w:rPr>
          <w:b/>
          <w:bCs/>
        </w:rPr>
        <w:t>application</w:t>
      </w:r>
    </w:p>
    <w:p w14:paraId="37A7C39C" w14:textId="481D27BB" w:rsidR="00065317" w:rsidRDefault="005C7BF7">
      <w:pPr>
        <w:pStyle w:val="Corpsdetexte"/>
      </w:pPr>
      <w:r>
        <w:t xml:space="preserve">Cette propriété associe une instance de </w:t>
      </w:r>
      <w:r>
        <w:rPr>
          <w:rStyle w:val="VerbatimChar"/>
        </w:rPr>
        <w:t>E92_Volume_spatio-temporel</w:t>
      </w:r>
      <w:r>
        <w:t xml:space="preserve"> à une instance de </w:t>
      </w:r>
      <w:r>
        <w:rPr>
          <w:rStyle w:val="VerbatimChar"/>
        </w:rPr>
        <w:t>E53_Lieu</w:t>
      </w:r>
      <w:r>
        <w:t xml:space="preserve"> qui est le résultat de la projection spatiale de l</w:t>
      </w:r>
      <w:r w:rsidR="00E84B0E">
        <w:t>’</w:t>
      </w:r>
      <w:r>
        <w:t xml:space="preserve">instance de </w:t>
      </w:r>
      <w:r>
        <w:rPr>
          <w:rStyle w:val="VerbatimChar"/>
        </w:rPr>
        <w:t>E92_Volume_spatio-temporel</w:t>
      </w:r>
      <w:r>
        <w:t xml:space="preserve"> dans un espace de référence.</w:t>
      </w:r>
    </w:p>
    <w:p w14:paraId="3A08146F" w14:textId="17B8274A" w:rsidR="00065317" w:rsidRDefault="005C7BF7">
      <w:pPr>
        <w:pStyle w:val="Corpsdetexte"/>
      </w:pPr>
      <w:r>
        <w:lastRenderedPageBreak/>
        <w:t>En général, il peut y avoir plus d</w:t>
      </w:r>
      <w:r w:rsidR="00E84B0E">
        <w:t>’</w:t>
      </w:r>
      <w:r>
        <w:t>un espace de référence utile (pour l</w:t>
      </w:r>
      <w:r w:rsidR="00E84B0E">
        <w:t>’</w:t>
      </w:r>
      <w:r>
        <w:t xml:space="preserve">espace de référence voir </w:t>
      </w:r>
      <w:r>
        <w:rPr>
          <w:rStyle w:val="VerbatimChar"/>
        </w:rPr>
        <w:t>P156_occupe</w:t>
      </w:r>
      <w:r>
        <w:t xml:space="preserve"> et </w:t>
      </w:r>
      <w:r>
        <w:rPr>
          <w:rStyle w:val="VerbatimChar"/>
        </w:rPr>
        <w:t>P157_est_à_l</w:t>
      </w:r>
      <w:r w:rsidR="00E84B0E">
        <w:rPr>
          <w:rStyle w:val="VerbatimChar"/>
        </w:rPr>
        <w:t>’</w:t>
      </w:r>
      <w:r>
        <w:rPr>
          <w:rStyle w:val="VerbatimChar"/>
        </w:rPr>
        <w:t>arrêt_par_rapport_à</w:t>
      </w:r>
      <w:r>
        <w:t>) pour décrire la projection spatiale d</w:t>
      </w:r>
      <w:r w:rsidR="00E84B0E">
        <w:t>’</w:t>
      </w:r>
      <w:r>
        <w:t>un volume spatio-temporel. Par exemple, pour décrire une bataille navale, il est possible de distinguer le navire du fond marin comme espaces de référence qui permettent de constater que la projection n</w:t>
      </w:r>
      <w:r w:rsidR="00E84B0E">
        <w:t>’</w:t>
      </w:r>
      <w:r>
        <w:t>est pas unique.</w:t>
      </w:r>
    </w:p>
    <w:p w14:paraId="6304BB37" w14:textId="1C09B330" w:rsidR="00065317" w:rsidRDefault="005C7BF7">
      <w:pPr>
        <w:pStyle w:val="Corpsdetexte"/>
      </w:pPr>
      <w:r>
        <w:t>La projection spatiale est la couverture spatiale réelle d</w:t>
      </w:r>
      <w:r w:rsidR="00E84B0E">
        <w:t>’</w:t>
      </w:r>
      <w:r>
        <w:t xml:space="preserve">un volume spatio-temporel qui est normalement constitué de limites floues, sauf pour les instances de </w:t>
      </w:r>
      <w:r>
        <w:rPr>
          <w:rStyle w:val="VerbatimChar"/>
        </w:rPr>
        <w:t>E92_Volume_spatio-temporel</w:t>
      </w:r>
      <w:r>
        <w:t xml:space="preserve"> qui sont définies géométriquement dans le même système de référence que la portée de cette propriété. Ces dernières sont une exception à la règle et n</w:t>
      </w:r>
      <w:r w:rsidR="00E84B0E">
        <w:t>’</w:t>
      </w:r>
      <w:r>
        <w:t>ont donc pas de limites floues. La modélisation de projections spatiales explicitement floues sert donc de référence topologique commune de différentes approximations spatiales plutôt qu</w:t>
      </w:r>
      <w:r w:rsidR="00E84B0E">
        <w:t>’</w:t>
      </w:r>
      <w:r>
        <w:t>une détermination géométrique absolue. Par exemple, cela permet d</w:t>
      </w:r>
      <w:r w:rsidR="00E84B0E">
        <w:t>’</w:t>
      </w:r>
      <w:r>
        <w:t>associer les limites spatiales externes ou internes à leurs volumes spatio-temporels respectifs.</w:t>
      </w:r>
    </w:p>
    <w:p w14:paraId="478F2577" w14:textId="2344D0CC" w:rsidR="00065317" w:rsidRDefault="005C7BF7">
      <w:pPr>
        <w:pStyle w:val="Corpsdetexte"/>
      </w:pPr>
      <w:r>
        <w:t xml:space="preserve">Dans le cas où le domaine de </w:t>
      </w:r>
      <w:r>
        <w:rPr>
          <w:rStyle w:val="VerbatimChar"/>
        </w:rPr>
        <w:t>P161_a_pour_projection_spatiale</w:t>
      </w:r>
      <w:r>
        <w:t xml:space="preserve"> est une instance de </w:t>
      </w:r>
      <w:r>
        <w:rPr>
          <w:rStyle w:val="VerbatimChar"/>
        </w:rPr>
        <w:t>E4_Période</w:t>
      </w:r>
      <w:r>
        <w:t>, la projection spatiale décrit toutes les régions associées à cette période tout au long de son déroulement, par exemple l</w:t>
      </w:r>
      <w:r w:rsidR="00E84B0E">
        <w:t>’</w:t>
      </w:r>
      <w:r>
        <w:t>Empire romain.</w:t>
      </w:r>
    </w:p>
    <w:p w14:paraId="7C571F09" w14:textId="16E413D2" w:rsidR="00065317" w:rsidRDefault="005C7BF7">
      <w:pPr>
        <w:pStyle w:val="Corpsdetexte"/>
      </w:pPr>
      <w:r>
        <w:t xml:space="preserve">Cette propriété fait partie du chemin sémantique complètement développé </w:t>
      </w:r>
      <w:r>
        <w:rPr>
          <w:rStyle w:val="VerbatimChar"/>
        </w:rPr>
        <w:t>E18_Chose_matérielle</w:t>
      </w:r>
      <w:r>
        <w:t xml:space="preserve">, </w:t>
      </w:r>
      <w:r>
        <w:rPr>
          <w:rStyle w:val="VerbatimChar"/>
        </w:rPr>
        <w:t>P196_définit (est_défini_par)</w:t>
      </w:r>
      <w:r>
        <w:t xml:space="preserve">, </w:t>
      </w:r>
      <w:r>
        <w:rPr>
          <w:rStyle w:val="VerbatimChar"/>
        </w:rPr>
        <w:t>E92_Volume_spatio-temporel</w:t>
      </w:r>
      <w:r>
        <w:t xml:space="preserve">, </w:t>
      </w:r>
      <w:r>
        <w:rPr>
          <w:rStyle w:val="VerbatimChar"/>
        </w:rPr>
        <w:t>P161_a_pour_projection_spatiale (est_la_projection_spatiale_de)</w:t>
      </w:r>
      <w:r>
        <w:t>, qui peut être raccourci par l</w:t>
      </w:r>
      <w:r w:rsidR="00E84B0E">
        <w:t>’</w:t>
      </w:r>
      <w:r>
        <w:t xml:space="preserve">utilisation de </w:t>
      </w:r>
      <w:r>
        <w:rPr>
          <w:rStyle w:val="VerbatimChar"/>
        </w:rPr>
        <w:t>P156_occupe (est_occupé_par)</w:t>
      </w:r>
      <w:r>
        <w:t>.</w:t>
      </w:r>
    </w:p>
    <w:p w14:paraId="354E90A2" w14:textId="067D128A" w:rsidR="00065317" w:rsidRDefault="005C7BF7">
      <w:pPr>
        <w:pStyle w:val="Corpsdetexte"/>
      </w:pPr>
      <w:r>
        <w:t xml:space="preserve">Cette propriété fait partie du chemin sémantique complètement développé </w:t>
      </w:r>
      <w:r>
        <w:rPr>
          <w:rStyle w:val="VerbatimChar"/>
        </w:rPr>
        <w:t>E4_Période</w:t>
      </w:r>
      <w:r>
        <w:t xml:space="preserve">, </w:t>
      </w:r>
      <w:r>
        <w:rPr>
          <w:rStyle w:val="VerbatimChar"/>
        </w:rPr>
        <w:t>P161_a_pour_projection_spatiale (est_la_projection_spatiale_de)</w:t>
      </w:r>
      <w:r>
        <w:t xml:space="preserve">, </w:t>
      </w:r>
      <w:r>
        <w:rPr>
          <w:rStyle w:val="VerbatimChar"/>
        </w:rPr>
        <w:t>E53_Lieu</w:t>
      </w:r>
      <w:r>
        <w:t xml:space="preserve">, </w:t>
      </w:r>
      <w:r>
        <w:rPr>
          <w:rStyle w:val="VerbatimChar"/>
        </w:rPr>
        <w:t>P89_s</w:t>
      </w:r>
      <w:r w:rsidR="00E84B0E">
        <w:rPr>
          <w:rStyle w:val="VerbatimChar"/>
        </w:rPr>
        <w:t>’</w:t>
      </w:r>
      <w:r>
        <w:rPr>
          <w:rStyle w:val="VerbatimChar"/>
        </w:rPr>
        <w:t>insère_dans (contient)</w:t>
      </w:r>
      <w:r>
        <w:t xml:space="preserve">, </w:t>
      </w:r>
      <w:r>
        <w:rPr>
          <w:rStyle w:val="VerbatimChar"/>
        </w:rPr>
        <w:t>E53_Lieu</w:t>
      </w:r>
      <w:r>
        <w:t>, qui peut être raccourci par l</w:t>
      </w:r>
      <w:r w:rsidR="00E84B0E">
        <w:t>’</w:t>
      </w:r>
      <w:r>
        <w:t xml:space="preserve">utilisation de </w:t>
      </w:r>
      <w:r>
        <w:rPr>
          <w:rStyle w:val="VerbatimChar"/>
        </w:rPr>
        <w:t>P7_a_eu_lieu_dans (a_été_témoin_de)</w:t>
      </w:r>
      <w:r>
        <w:t>.</w:t>
      </w:r>
    </w:p>
    <w:p w14:paraId="220F7424" w14:textId="77777777" w:rsidR="00065317" w:rsidRDefault="005C7BF7">
      <w:pPr>
        <w:pStyle w:val="Corpsdetexte"/>
      </w:pPr>
      <w:r>
        <w:rPr>
          <w:b/>
          <w:bCs/>
        </w:rPr>
        <w:t>Exemples</w:t>
      </w:r>
    </w:p>
    <w:p w14:paraId="45E74206" w14:textId="177F96CC" w:rsidR="00065317" w:rsidRDefault="005C7BF7">
      <w:pPr>
        <w:numPr>
          <w:ilvl w:val="0"/>
          <w:numId w:val="273"/>
        </w:numPr>
      </w:pPr>
      <w:r>
        <w:t>L</w:t>
      </w:r>
      <w:r w:rsidR="00E84B0E">
        <w:t>’</w:t>
      </w:r>
      <w:r>
        <w:t>Empire romain (</w:t>
      </w:r>
      <w:r>
        <w:rPr>
          <w:rStyle w:val="VerbatimChar"/>
        </w:rPr>
        <w:t>E4_Période</w:t>
      </w:r>
      <w:r>
        <w:t>) a pour projection spatiale (</w:t>
      </w:r>
      <w:r>
        <w:rPr>
          <w:rStyle w:val="VerbatimChar"/>
        </w:rPr>
        <w:t>P161_a_pour_projection_spatiale</w:t>
      </w:r>
      <w:r>
        <w:t>) toutes les régions revendiquées par Rome (</w:t>
      </w:r>
      <w:r>
        <w:rPr>
          <w:rStyle w:val="VerbatimChar"/>
        </w:rPr>
        <w:t>E53_Lieu</w:t>
      </w:r>
      <w:r>
        <w:t xml:space="preserve">) (Clare </w:t>
      </w:r>
      <w:r w:rsidR="009A1E3D">
        <w:t xml:space="preserve">&amp; </w:t>
      </w:r>
      <w:r>
        <w:t>Edwards, 1992)</w:t>
      </w:r>
    </w:p>
    <w:p w14:paraId="53DCBBD1" w14:textId="77777777" w:rsidR="00065317" w:rsidRDefault="005C7BF7">
      <w:pPr>
        <w:pStyle w:val="FirstParagraph"/>
      </w:pPr>
      <w:r>
        <w:rPr>
          <w:b/>
          <w:bCs/>
        </w:rPr>
        <w:t>Logique</w:t>
      </w:r>
    </w:p>
    <w:p w14:paraId="561E2062" w14:textId="77777777" w:rsidR="00065317" w:rsidRDefault="005C7BF7">
      <w:pPr>
        <w:pStyle w:val="Corpsdetexte"/>
      </w:pPr>
      <w:r>
        <w:t>P161(x,y) ⇒ E92(x)</w:t>
      </w:r>
    </w:p>
    <w:p w14:paraId="5CCD392D" w14:textId="77777777" w:rsidR="00065317" w:rsidRDefault="005C7BF7">
      <w:pPr>
        <w:pStyle w:val="Corpsdetexte"/>
      </w:pPr>
      <w:r>
        <w:t>P161(x,y) ⇒ E53(y)</w:t>
      </w:r>
    </w:p>
    <w:p w14:paraId="48174A90" w14:textId="77777777" w:rsidR="00065317" w:rsidRDefault="005C7BF7">
      <w:pPr>
        <w:pStyle w:val="Corpsdetexte"/>
      </w:pPr>
      <w:r>
        <w:rPr>
          <w:b/>
          <w:bCs/>
        </w:rPr>
        <w:t>Propriétés</w:t>
      </w:r>
    </w:p>
    <w:p w14:paraId="409460A3" w14:textId="77777777" w:rsidR="00065317" w:rsidRDefault="005C7BF7">
      <w:pPr>
        <w:pStyle w:val="Normalcentr"/>
      </w:pPr>
      <w:r>
        <w:rPr>
          <w:b/>
          <w:bCs/>
          <w:i/>
          <w:iCs/>
        </w:rPr>
        <w:t>Note de traduction</w:t>
      </w:r>
    </w:p>
    <w:p w14:paraId="5E104670" w14:textId="429D3F53" w:rsidR="00065317" w:rsidRDefault="005C7BF7" w:rsidP="00AF2585">
      <w:pPr>
        <w:pStyle w:val="Normalcentr"/>
      </w:pPr>
      <w:r>
        <w:rPr>
          <w:b/>
          <w:bCs/>
          <w:i/>
          <w:iCs/>
        </w:rPr>
        <w:t>Références</w:t>
      </w:r>
    </w:p>
    <w:p w14:paraId="316B30F9" w14:textId="77777777" w:rsidR="00065317" w:rsidRDefault="005C7BF7" w:rsidP="00914F34">
      <w:pPr>
        <w:pStyle w:val="Titre3"/>
      </w:pPr>
      <w:bookmarkStart w:id="530" w:name="_Toc154048950"/>
      <w:bookmarkStart w:id="531" w:name="Xaa2317cd02c889c0950ffdbb0561317d65c9a27"/>
      <w:bookmarkEnd w:id="529"/>
      <w:r>
        <w:t>P164 est temporellement spécifié par (spécifie temporellement)</w:t>
      </w:r>
      <w:bookmarkEnd w:id="530"/>
    </w:p>
    <w:p w14:paraId="784284B7" w14:textId="77777777" w:rsidR="00065317" w:rsidRDefault="005C7BF7">
      <w:pPr>
        <w:pStyle w:val="FirstParagraph"/>
      </w:pPr>
      <w:r>
        <w:rPr>
          <w:b/>
          <w:bCs/>
        </w:rPr>
        <w:t>Domaine</w:t>
      </w:r>
    </w:p>
    <w:p w14:paraId="2AEA4C87" w14:textId="77777777" w:rsidR="00065317" w:rsidRDefault="005C7BF7">
      <w:pPr>
        <w:pStyle w:val="Corpsdetexte"/>
      </w:pPr>
      <w:r>
        <w:rPr>
          <w:rStyle w:val="VerbatimChar"/>
        </w:rPr>
        <w:t>E93_Présence</w:t>
      </w:r>
    </w:p>
    <w:p w14:paraId="7986AE2E" w14:textId="77777777" w:rsidR="00065317" w:rsidRDefault="005C7BF7">
      <w:pPr>
        <w:pStyle w:val="Corpsdetexte"/>
      </w:pPr>
      <w:r>
        <w:rPr>
          <w:b/>
          <w:bCs/>
        </w:rPr>
        <w:t>Portée</w:t>
      </w:r>
    </w:p>
    <w:p w14:paraId="3ED5246E" w14:textId="77777777" w:rsidR="00065317" w:rsidRDefault="005C7BF7">
      <w:pPr>
        <w:pStyle w:val="Corpsdetexte"/>
      </w:pPr>
      <w:r>
        <w:rPr>
          <w:rStyle w:val="VerbatimChar"/>
        </w:rPr>
        <w:t>E52_Intervalle_temporel</w:t>
      </w:r>
    </w:p>
    <w:p w14:paraId="11E36469" w14:textId="77777777" w:rsidR="00065317" w:rsidRDefault="005C7BF7">
      <w:pPr>
        <w:pStyle w:val="Corpsdetexte"/>
      </w:pPr>
      <w:r>
        <w:rPr>
          <w:b/>
          <w:bCs/>
        </w:rPr>
        <w:t>Sous-propriété de</w:t>
      </w:r>
    </w:p>
    <w:p w14:paraId="5B8FB874" w14:textId="6DD2F954" w:rsidR="00065317" w:rsidRDefault="005C7BF7">
      <w:pPr>
        <w:pStyle w:val="Corpsdetexte"/>
      </w:pPr>
      <w:r>
        <w:rPr>
          <w:rStyle w:val="VerbatimChar"/>
        </w:rPr>
        <w:t>E92_Volume_spatio-temporel</w:t>
      </w:r>
      <w:r>
        <w:t xml:space="preserve">. </w:t>
      </w:r>
      <w:r>
        <w:rPr>
          <w:rStyle w:val="VerbatimChar"/>
        </w:rPr>
        <w:t>P160_a_pour_projection_temporelle (est_la_projection_temporelle_de)</w:t>
      </w:r>
      <w:r w:rsidR="007F43A3">
        <w:rPr>
          <w:rStyle w:val="VerbatimChar"/>
        </w:rPr>
        <w:t> </w:t>
      </w:r>
      <w:r>
        <w:t xml:space="preserve">: </w:t>
      </w:r>
      <w:r>
        <w:rPr>
          <w:rStyle w:val="VerbatimChar"/>
        </w:rPr>
        <w:t>E52_Intervalle_temporel</w:t>
      </w:r>
    </w:p>
    <w:p w14:paraId="33A42FB4" w14:textId="77777777" w:rsidR="00065317" w:rsidRDefault="005C7BF7">
      <w:pPr>
        <w:pStyle w:val="Corpsdetexte"/>
      </w:pPr>
      <w:r>
        <w:rPr>
          <w:b/>
          <w:bCs/>
        </w:rPr>
        <w:lastRenderedPageBreak/>
        <w:t>Super-propriété de</w:t>
      </w:r>
    </w:p>
    <w:p w14:paraId="3CC6E601" w14:textId="77777777" w:rsidR="00065317" w:rsidRDefault="005C7BF7">
      <w:pPr>
        <w:pStyle w:val="Corpsdetexte"/>
      </w:pPr>
      <w:r>
        <w:rPr>
          <w:b/>
          <w:bCs/>
        </w:rPr>
        <w:t>Quantification</w:t>
      </w:r>
    </w:p>
    <w:p w14:paraId="3572977F" w14:textId="77777777" w:rsidR="00065317" w:rsidRDefault="005C7BF7">
      <w:pPr>
        <w:pStyle w:val="Corpsdetexte"/>
      </w:pPr>
      <w:r>
        <w:t>Plusieurs à un, nécessaire (1,1: 0,n)</w:t>
      </w:r>
    </w:p>
    <w:p w14:paraId="082AA288" w14:textId="74743C18" w:rsidR="00065317" w:rsidRDefault="005C7BF7">
      <w:pPr>
        <w:pStyle w:val="Corpsdetexte"/>
      </w:pPr>
      <w:r>
        <w:rPr>
          <w:b/>
          <w:bCs/>
        </w:rPr>
        <w:t>Note d</w:t>
      </w:r>
      <w:r w:rsidR="00E84B0E">
        <w:rPr>
          <w:b/>
          <w:bCs/>
        </w:rPr>
        <w:t>’</w:t>
      </w:r>
      <w:r>
        <w:rPr>
          <w:b/>
          <w:bCs/>
        </w:rPr>
        <w:t>application</w:t>
      </w:r>
    </w:p>
    <w:p w14:paraId="66A9E224" w14:textId="77777777" w:rsidR="00065317" w:rsidRDefault="005C7BF7">
      <w:pPr>
        <w:pStyle w:val="Corpsdetexte"/>
      </w:pPr>
      <w:r>
        <w:t xml:space="preserve">Cette propriété relie une instance de </w:t>
      </w:r>
      <w:r>
        <w:rPr>
          <w:rStyle w:val="VerbatimChar"/>
        </w:rPr>
        <w:t>E93_Présence</w:t>
      </w:r>
      <w:r>
        <w:t xml:space="preserve"> à une instance de </w:t>
      </w:r>
      <w:r>
        <w:rPr>
          <w:rStyle w:val="VerbatimChar"/>
        </w:rPr>
        <w:t>E52_Intervalle_temporel</w:t>
      </w:r>
      <w:r>
        <w:t xml:space="preserve"> qui définit la tranche de temps du volume spatio-temporel à laquelle cette instance de </w:t>
      </w:r>
      <w:r>
        <w:rPr>
          <w:rStyle w:val="VerbatimChar"/>
        </w:rPr>
        <w:t>E93_Présence</w:t>
      </w:r>
      <w:r>
        <w:t xml:space="preserve"> est liée via la propriété </w:t>
      </w:r>
      <w:r>
        <w:rPr>
          <w:rStyle w:val="VerbatimChar"/>
        </w:rPr>
        <w:t>P166_a_été_une_présence_de (a_eu_pour_présence)</w:t>
      </w:r>
      <w:r>
        <w:t>.</w:t>
      </w:r>
    </w:p>
    <w:p w14:paraId="1E557BC3" w14:textId="25933097" w:rsidR="00065317" w:rsidRDefault="005C7BF7">
      <w:pPr>
        <w:pStyle w:val="Corpsdetexte"/>
      </w:pPr>
      <w:r>
        <w:t>Il existe deux cas typiques pour déterminer l</w:t>
      </w:r>
      <w:r w:rsidR="00E84B0E">
        <w:t>’</w:t>
      </w:r>
      <w:r>
        <w:t xml:space="preserve">instance liée de </w:t>
      </w:r>
      <w:r>
        <w:rPr>
          <w:rStyle w:val="VerbatimChar"/>
        </w:rPr>
        <w:t>E52_Intervalle_temporel</w:t>
      </w:r>
      <w:r>
        <w:t>. Dans le premier cas, il s</w:t>
      </w:r>
      <w:r w:rsidR="00E84B0E">
        <w:t>’</w:t>
      </w:r>
      <w:r>
        <w:t>agit de l</w:t>
      </w:r>
      <w:r w:rsidR="00E84B0E">
        <w:t>’</w:t>
      </w:r>
      <w:r>
        <w:t>étendue temporelle d</w:t>
      </w:r>
      <w:r w:rsidR="00E84B0E">
        <w:t>’</w:t>
      </w:r>
      <w:r>
        <w:t xml:space="preserve">une instance de </w:t>
      </w:r>
      <w:r>
        <w:rPr>
          <w:rStyle w:val="VerbatimChar"/>
        </w:rPr>
        <w:t>E2_Entité_temporelle</w:t>
      </w:r>
      <w:r>
        <w:t xml:space="preserve"> (documentée avec </w:t>
      </w:r>
      <w:r>
        <w:rPr>
          <w:rStyle w:val="VerbatimChar"/>
        </w:rPr>
        <w:t>P4_a_pour_intervalle_temporel (est_l</w:t>
      </w:r>
      <w:r w:rsidR="00E84B0E">
        <w:rPr>
          <w:rStyle w:val="VerbatimChar"/>
        </w:rPr>
        <w:t>’</w:t>
      </w:r>
      <w:r>
        <w:rPr>
          <w:rStyle w:val="VerbatimChar"/>
        </w:rPr>
        <w:t>intervalle_temporel_de)</w:t>
      </w:r>
      <w:r>
        <w:t xml:space="preserve">) : </w:t>
      </w:r>
      <w:r w:rsidR="00714434">
        <w:t>cela</w:t>
      </w:r>
      <w:r>
        <w:t xml:space="preserve"> documente alors la simultanéité de l</w:t>
      </w:r>
      <w:r w:rsidR="00E84B0E">
        <w:t>’</w:t>
      </w:r>
      <w:r>
        <w:t xml:space="preserve">instance de </w:t>
      </w:r>
      <w:r>
        <w:rPr>
          <w:rStyle w:val="VerbatimChar"/>
        </w:rPr>
        <w:t>E93_Présence</w:t>
      </w:r>
      <w:r>
        <w:t xml:space="preserve"> et de l</w:t>
      </w:r>
      <w:r w:rsidR="00E84B0E">
        <w:t>’</w:t>
      </w:r>
      <w:r>
        <w:t xml:space="preserve">instance de </w:t>
      </w:r>
      <w:r>
        <w:rPr>
          <w:rStyle w:val="VerbatimChar"/>
        </w:rPr>
        <w:t>E2_Entité_temporelle</w:t>
      </w:r>
      <w:r>
        <w:t>, même si l</w:t>
      </w:r>
      <w:r w:rsidR="00E84B0E">
        <w:t>’</w:t>
      </w:r>
      <w:r>
        <w:t>étendue temporelle absolue n</w:t>
      </w:r>
      <w:r w:rsidR="00E84B0E">
        <w:t>’</w:t>
      </w:r>
      <w:r>
        <w:t>est pas connue et peut être considérée comme un intervalle temporel phénoménal. Dans le second cas, l</w:t>
      </w:r>
      <w:r w:rsidR="00E84B0E">
        <w:t>’</w:t>
      </w:r>
      <w:r>
        <w:t xml:space="preserve">instance de </w:t>
      </w:r>
      <w:r>
        <w:rPr>
          <w:rStyle w:val="VerbatimChar"/>
        </w:rPr>
        <w:t>E52_Intervalle_temporel</w:t>
      </w:r>
      <w:r>
        <w:t xml:space="preserve"> est un intervalle de temps déclaré dans ou dérivé d</w:t>
      </w:r>
      <w:r w:rsidR="00E84B0E">
        <w:t>’</w:t>
      </w:r>
      <w:r>
        <w:t>une source historique, ou bien fourni par une méthode de datation : il s</w:t>
      </w:r>
      <w:r w:rsidR="00E84B0E">
        <w:t>’</w:t>
      </w:r>
      <w:r>
        <w:t>agit d</w:t>
      </w:r>
      <w:r w:rsidR="00E84B0E">
        <w:t>’</w:t>
      </w:r>
      <w:r>
        <w:t>une étendue temporelle déclarative.</w:t>
      </w:r>
    </w:p>
    <w:p w14:paraId="5079A4E8" w14:textId="77777777" w:rsidR="00065317" w:rsidRDefault="005C7BF7">
      <w:pPr>
        <w:pStyle w:val="Corpsdetexte"/>
      </w:pPr>
      <w:r>
        <w:rPr>
          <w:b/>
          <w:bCs/>
        </w:rPr>
        <w:t>Exemples</w:t>
      </w:r>
    </w:p>
    <w:p w14:paraId="65B8338B" w14:textId="65A49BB5" w:rsidR="00065317" w:rsidRDefault="005C7BF7">
      <w:pPr>
        <w:numPr>
          <w:ilvl w:val="0"/>
          <w:numId w:val="274"/>
        </w:numPr>
      </w:pPr>
      <w:r>
        <w:t>2016-02-09 (</w:t>
      </w:r>
      <w:r>
        <w:rPr>
          <w:rStyle w:val="VerbatimChar"/>
        </w:rPr>
        <w:t>E52_Intervalle_temporel</w:t>
      </w:r>
      <w:r>
        <w:t>) était l</w:t>
      </w:r>
      <w:r w:rsidR="00E84B0E">
        <w:t>’</w:t>
      </w:r>
      <w:r>
        <w:t>intervalle temporel (</w:t>
      </w:r>
      <w:r>
        <w:rPr>
          <w:rStyle w:val="VerbatimChar"/>
        </w:rPr>
        <w:t>P164i_spécifie_temporellement)</w:t>
      </w:r>
      <w:r>
        <w:t xml:space="preserve"> du dernier jour du carnaval 2016 à Cologne (</w:t>
      </w:r>
      <w:r>
        <w:rPr>
          <w:rStyle w:val="VerbatimChar"/>
        </w:rPr>
        <w:t>E93_Présence</w:t>
      </w:r>
      <w:r>
        <w:t>).</w:t>
      </w:r>
    </w:p>
    <w:p w14:paraId="669E3E79" w14:textId="02A19484" w:rsidR="00065317" w:rsidRDefault="005C7BF7">
      <w:pPr>
        <w:numPr>
          <w:ilvl w:val="0"/>
          <w:numId w:val="274"/>
        </w:numPr>
      </w:pPr>
      <w:r>
        <w:t>La localisation de Johann Joachim Winckelmann en</w:t>
      </w:r>
      <w:r w:rsidR="00056DCD">
        <w:t> décembre </w:t>
      </w:r>
      <w:r>
        <w:t>1755 (</w:t>
      </w:r>
      <w:r>
        <w:rPr>
          <w:rStyle w:val="VerbatimChar"/>
        </w:rPr>
        <w:t>E93_Présence</w:t>
      </w:r>
      <w:r>
        <w:t>) est temporellement spécifiée par (</w:t>
      </w:r>
      <w:r>
        <w:rPr>
          <w:rStyle w:val="VerbatimChar"/>
        </w:rPr>
        <w:t>P164_est_temporellement_spécifié_par</w:t>
      </w:r>
      <w:r>
        <w:t>) l</w:t>
      </w:r>
      <w:r w:rsidR="00E84B0E">
        <w:t>’</w:t>
      </w:r>
      <w:r>
        <w:t>intervalle temporel du mois de</w:t>
      </w:r>
      <w:r w:rsidR="00056DCD">
        <w:t> décembre </w:t>
      </w:r>
      <w:r>
        <w:t>1755 (</w:t>
      </w:r>
      <w:r>
        <w:rPr>
          <w:rStyle w:val="VerbatimChar"/>
        </w:rPr>
        <w:t>E52_Intervalle_temporel</w:t>
      </w:r>
      <w:r>
        <w:t>) (Leppmann, 1970)</w:t>
      </w:r>
    </w:p>
    <w:p w14:paraId="5FCFA622" w14:textId="44299B3E" w:rsidR="00065317" w:rsidRDefault="005C7BF7">
      <w:pPr>
        <w:numPr>
          <w:ilvl w:val="0"/>
          <w:numId w:val="274"/>
        </w:numPr>
      </w:pPr>
      <w:r>
        <w:t>La localisation de Johann Joachim Winckelmann du 19</w:t>
      </w:r>
      <w:r w:rsidR="00056DCD">
        <w:t> novembre </w:t>
      </w:r>
      <w:r>
        <w:t>1755 au 9</w:t>
      </w:r>
      <w:r w:rsidR="00056DCD">
        <w:t> avril </w:t>
      </w:r>
      <w:r>
        <w:t>1768 (</w:t>
      </w:r>
      <w:r>
        <w:rPr>
          <w:rStyle w:val="VerbatimChar"/>
        </w:rPr>
        <w:t>E93_Présence</w:t>
      </w:r>
      <w:r>
        <w:t>) est temporellement spécifiée par (</w:t>
      </w:r>
      <w:r>
        <w:rPr>
          <w:rStyle w:val="VerbatimChar"/>
        </w:rPr>
        <w:t>P164_est_temporellement_spécifié_par</w:t>
      </w:r>
      <w:r>
        <w:t>) l</w:t>
      </w:r>
      <w:r w:rsidR="00E84B0E">
        <w:t>’</w:t>
      </w:r>
      <w:r>
        <w:t>intervalle temporel du 19</w:t>
      </w:r>
      <w:r w:rsidR="00056DCD">
        <w:t> novembre </w:t>
      </w:r>
      <w:r>
        <w:t>1755 au 9</w:t>
      </w:r>
      <w:r w:rsidR="00056DCD">
        <w:t> avril </w:t>
      </w:r>
      <w:r>
        <w:t>1768 (</w:t>
      </w:r>
      <w:r>
        <w:rPr>
          <w:rStyle w:val="VerbatimChar"/>
        </w:rPr>
        <w:t>E52_Intervalle_temporel</w:t>
      </w:r>
      <w:r>
        <w:t>) (Leppmann, 1970)</w:t>
      </w:r>
    </w:p>
    <w:p w14:paraId="3C25620F" w14:textId="77777777" w:rsidR="00065317" w:rsidRDefault="005C7BF7">
      <w:pPr>
        <w:pStyle w:val="FirstParagraph"/>
      </w:pPr>
      <w:r>
        <w:rPr>
          <w:b/>
          <w:bCs/>
        </w:rPr>
        <w:t>Logique</w:t>
      </w:r>
    </w:p>
    <w:p w14:paraId="012FAF06" w14:textId="77777777" w:rsidR="00065317" w:rsidRDefault="005C7BF7">
      <w:pPr>
        <w:pStyle w:val="Corpsdetexte"/>
      </w:pPr>
      <w:r>
        <w:t>P164(x,y) ⇒ E93(x)</w:t>
      </w:r>
    </w:p>
    <w:p w14:paraId="1D5A16EE" w14:textId="77777777" w:rsidR="00065317" w:rsidRDefault="005C7BF7">
      <w:pPr>
        <w:pStyle w:val="Corpsdetexte"/>
      </w:pPr>
      <w:r>
        <w:t>P164(x,y) ⇒ E52(y)</w:t>
      </w:r>
    </w:p>
    <w:p w14:paraId="242E6036" w14:textId="77777777" w:rsidR="00065317" w:rsidRDefault="005C7BF7">
      <w:pPr>
        <w:pStyle w:val="Corpsdetexte"/>
      </w:pPr>
      <w:r>
        <w:t>P164(x,y) ⇒ P160(x,y)</w:t>
      </w:r>
    </w:p>
    <w:p w14:paraId="222DBBFE" w14:textId="77777777" w:rsidR="00065317" w:rsidRDefault="005C7BF7">
      <w:pPr>
        <w:pStyle w:val="Corpsdetexte"/>
      </w:pPr>
      <w:r>
        <w:rPr>
          <w:b/>
          <w:bCs/>
        </w:rPr>
        <w:t>Propriétés</w:t>
      </w:r>
    </w:p>
    <w:p w14:paraId="4F91BC3A" w14:textId="77777777" w:rsidR="00065317" w:rsidRDefault="005C7BF7">
      <w:pPr>
        <w:pStyle w:val="Normalcentr"/>
      </w:pPr>
      <w:r>
        <w:rPr>
          <w:b/>
          <w:bCs/>
          <w:i/>
          <w:iCs/>
        </w:rPr>
        <w:t>Note de traduction</w:t>
      </w:r>
    </w:p>
    <w:p w14:paraId="7B3CF8D4" w14:textId="1ABBD7BE" w:rsidR="00065317" w:rsidRDefault="005C7BF7" w:rsidP="00AF2585">
      <w:pPr>
        <w:pStyle w:val="Normalcentr"/>
      </w:pPr>
      <w:r>
        <w:rPr>
          <w:b/>
          <w:bCs/>
          <w:i/>
          <w:iCs/>
        </w:rPr>
        <w:t>Références</w:t>
      </w:r>
    </w:p>
    <w:p w14:paraId="6D22CAEF" w14:textId="77777777" w:rsidR="00065317" w:rsidRDefault="005C7BF7" w:rsidP="00914F34">
      <w:pPr>
        <w:pStyle w:val="Titre3"/>
      </w:pPr>
      <w:bookmarkStart w:id="532" w:name="_Toc154048951"/>
      <w:bookmarkStart w:id="533" w:name="p165-inclut-(est-inclus-dans)"/>
      <w:bookmarkEnd w:id="531"/>
      <w:r>
        <w:t>P165 inclut (est inclus dans)</w:t>
      </w:r>
      <w:bookmarkEnd w:id="532"/>
    </w:p>
    <w:p w14:paraId="6AD01EA5" w14:textId="77777777" w:rsidR="00065317" w:rsidRDefault="005C7BF7">
      <w:pPr>
        <w:pStyle w:val="FirstParagraph"/>
      </w:pPr>
      <w:r>
        <w:rPr>
          <w:b/>
          <w:bCs/>
        </w:rPr>
        <w:t>Domaine</w:t>
      </w:r>
    </w:p>
    <w:p w14:paraId="4D348877" w14:textId="77777777" w:rsidR="00065317" w:rsidRDefault="005C7BF7">
      <w:pPr>
        <w:pStyle w:val="Corpsdetexte"/>
      </w:pPr>
      <w:r>
        <w:rPr>
          <w:rStyle w:val="VerbatimChar"/>
        </w:rPr>
        <w:t>E73_Objet_informationnel</w:t>
      </w:r>
    </w:p>
    <w:p w14:paraId="7364260D" w14:textId="77777777" w:rsidR="00065317" w:rsidRDefault="005C7BF7">
      <w:pPr>
        <w:pStyle w:val="Corpsdetexte"/>
      </w:pPr>
      <w:r>
        <w:rPr>
          <w:b/>
          <w:bCs/>
        </w:rPr>
        <w:t>Portée</w:t>
      </w:r>
    </w:p>
    <w:p w14:paraId="6414C558" w14:textId="77777777" w:rsidR="00065317" w:rsidRDefault="005C7BF7">
      <w:pPr>
        <w:pStyle w:val="Corpsdetexte"/>
      </w:pPr>
      <w:r>
        <w:rPr>
          <w:rStyle w:val="VerbatimChar"/>
        </w:rPr>
        <w:t>E90_Objet_symbolique</w:t>
      </w:r>
    </w:p>
    <w:p w14:paraId="0BE3AE4B" w14:textId="77777777" w:rsidR="00065317" w:rsidRDefault="005C7BF7">
      <w:pPr>
        <w:pStyle w:val="Corpsdetexte"/>
      </w:pPr>
      <w:r>
        <w:rPr>
          <w:b/>
          <w:bCs/>
        </w:rPr>
        <w:lastRenderedPageBreak/>
        <w:t>Sous-propriété de</w:t>
      </w:r>
    </w:p>
    <w:p w14:paraId="38A2273F" w14:textId="77777777" w:rsidR="00065317" w:rsidRDefault="005C7BF7">
      <w:pPr>
        <w:pStyle w:val="Corpsdetexte"/>
      </w:pPr>
      <w:r>
        <w:rPr>
          <w:rStyle w:val="VerbatimChar"/>
        </w:rPr>
        <w:t>E90_Objet_symbolique</w:t>
      </w:r>
      <w:r>
        <w:t xml:space="preserve">. </w:t>
      </w:r>
      <w:r>
        <w:rPr>
          <w:rStyle w:val="VerbatimChar"/>
        </w:rPr>
        <w:t>P106_est_composé_de (fait_partie_de)</w:t>
      </w:r>
      <w:r>
        <w:t xml:space="preserve"> : </w:t>
      </w:r>
      <w:r>
        <w:rPr>
          <w:rStyle w:val="VerbatimChar"/>
        </w:rPr>
        <w:t>E90_Objet_symbolique</w:t>
      </w:r>
    </w:p>
    <w:p w14:paraId="3FC877F9" w14:textId="77777777" w:rsidR="00065317" w:rsidRDefault="005C7BF7">
      <w:pPr>
        <w:pStyle w:val="Corpsdetexte"/>
      </w:pPr>
      <w:r>
        <w:rPr>
          <w:b/>
          <w:bCs/>
        </w:rPr>
        <w:t>Super-propriété de</w:t>
      </w:r>
    </w:p>
    <w:p w14:paraId="08AF6E5E" w14:textId="77777777" w:rsidR="00065317" w:rsidRDefault="005C7BF7">
      <w:pPr>
        <w:pStyle w:val="Corpsdetexte"/>
      </w:pPr>
      <w:r>
        <w:rPr>
          <w:b/>
          <w:bCs/>
        </w:rPr>
        <w:t>Quantification</w:t>
      </w:r>
    </w:p>
    <w:p w14:paraId="4D29B6A2" w14:textId="77777777" w:rsidR="00065317" w:rsidRDefault="005C7BF7">
      <w:pPr>
        <w:pStyle w:val="Corpsdetexte"/>
      </w:pPr>
      <w:r>
        <w:t>plusieurs à plusieurs (0,n:0,n)</w:t>
      </w:r>
    </w:p>
    <w:p w14:paraId="54503E51" w14:textId="1D2B4AD0" w:rsidR="00065317" w:rsidRDefault="005C7BF7">
      <w:pPr>
        <w:pStyle w:val="Corpsdetexte"/>
      </w:pPr>
      <w:r>
        <w:rPr>
          <w:b/>
          <w:bCs/>
        </w:rPr>
        <w:t>Note d</w:t>
      </w:r>
      <w:r w:rsidR="00E84B0E">
        <w:rPr>
          <w:b/>
          <w:bCs/>
        </w:rPr>
        <w:t>’</w:t>
      </w:r>
      <w:r>
        <w:rPr>
          <w:b/>
          <w:bCs/>
        </w:rPr>
        <w:t>application</w:t>
      </w:r>
    </w:p>
    <w:p w14:paraId="25737E9F" w14:textId="132146FE" w:rsidR="00065317" w:rsidRDefault="005C7BF7">
      <w:pPr>
        <w:pStyle w:val="Corpsdetexte"/>
      </w:pPr>
      <w:r>
        <w:t xml:space="preserve">Cette propriété associe une instance de </w:t>
      </w:r>
      <w:r>
        <w:rPr>
          <w:rStyle w:val="VerbatimChar"/>
        </w:rPr>
        <w:t>E73_Objet_informationnel</w:t>
      </w:r>
      <w:r>
        <w:t xml:space="preserve"> à une instance de </w:t>
      </w:r>
      <w:r>
        <w:rPr>
          <w:rStyle w:val="VerbatimChar"/>
        </w:rPr>
        <w:t>E90_Objet_symbolique</w:t>
      </w:r>
      <w:r>
        <w:t xml:space="preserve"> (ou une instance de l</w:t>
      </w:r>
      <w:r w:rsidR="00E84B0E">
        <w:t>’</w:t>
      </w:r>
      <w:r>
        <w:t>une de ses sous-classes), la seconde étant incluse dans la première.</w:t>
      </w:r>
    </w:p>
    <w:p w14:paraId="5ACD6164" w14:textId="77777777" w:rsidR="00065317" w:rsidRDefault="005C7BF7">
      <w:pPr>
        <w:pStyle w:val="Corpsdetexte"/>
      </w:pPr>
      <w:r>
        <w:t xml:space="preserve">Cette propriété permet de reconnaître le statut autonome des signes incorporés, créés dans un contexte distinct, et pouvant être incorporés dans de nombreuses instances de </w:t>
      </w:r>
      <w:r>
        <w:rPr>
          <w:rStyle w:val="VerbatimChar"/>
        </w:rPr>
        <w:t>E73_Objet_informationnel</w:t>
      </w:r>
      <w:r>
        <w:t>, ainsi que de mettre en évidence la différence entre les relations partitives structurelles ou accidentelles entre des entités conceptuelles.</w:t>
      </w:r>
    </w:p>
    <w:p w14:paraId="141E2C0C" w14:textId="6A9A8A34" w:rsidR="00065317" w:rsidRDefault="005C7BF7">
      <w:pPr>
        <w:pStyle w:val="Corpsdetexte"/>
      </w:pPr>
      <w:r>
        <w:t>Cette propriété rend compte de plusieurs faits culturels fréquents et significatifs : l</w:t>
      </w:r>
      <w:r w:rsidR="00E84B0E">
        <w:t>’</w:t>
      </w:r>
      <w:r>
        <w:t>inclusion d</w:t>
      </w:r>
      <w:r w:rsidR="00E84B0E">
        <w:t>’</w:t>
      </w:r>
      <w:r>
        <w:t>un poème dans une anthologie, la réutilisation d</w:t>
      </w:r>
      <w:r w:rsidR="00E84B0E">
        <w:t>’</w:t>
      </w:r>
      <w:r>
        <w:t>un aria dans un nouvel opéra, l</w:t>
      </w:r>
      <w:r w:rsidR="00E84B0E">
        <w:t>’</w:t>
      </w:r>
      <w:r>
        <w:t>utilisation d</w:t>
      </w:r>
      <w:r w:rsidR="00E84B0E">
        <w:t>’</w:t>
      </w:r>
      <w:r>
        <w:t>une reproduction d</w:t>
      </w:r>
      <w:r w:rsidR="00E84B0E">
        <w:t>’</w:t>
      </w:r>
      <w:r>
        <w:t>une œuvre peinte pour la couverture d</w:t>
      </w:r>
      <w:r w:rsidR="00E84B0E">
        <w:t>’</w:t>
      </w:r>
      <w:r>
        <w:t>un livre ou le livret d</w:t>
      </w:r>
      <w:r w:rsidR="00E84B0E">
        <w:t>’</w:t>
      </w:r>
      <w:r>
        <w:t>accompagnement d</w:t>
      </w:r>
      <w:r w:rsidR="00E84B0E">
        <w:t>’</w:t>
      </w:r>
      <w:r>
        <w:t>un disque compact, l</w:t>
      </w:r>
      <w:r w:rsidR="00E84B0E">
        <w:t>’</w:t>
      </w:r>
      <w:r>
        <w:t>intégration de citations textuelles, la présence de paroles dans une chanson les mettant en musique, la présence du texte d</w:t>
      </w:r>
      <w:r w:rsidR="00E84B0E">
        <w:t>’</w:t>
      </w:r>
      <w:r>
        <w:t>une pièce de théâtre dans un film basé sur cette pièce, etc.</w:t>
      </w:r>
    </w:p>
    <w:p w14:paraId="648C7F5B" w14:textId="77777777" w:rsidR="00065317" w:rsidRDefault="005C7BF7">
      <w:pPr>
        <w:pStyle w:val="Corpsdetexte"/>
      </w:pPr>
      <w:r>
        <w:t>En particulier, cette propriété permet la modélisation de relations de différents niveaux de spécificité symbolique, telles que les mots de la langue naturelle composant un texte, les caractères composant les mots et la ponctuation, le choix des polices et la mise en page des caractères.</w:t>
      </w:r>
    </w:p>
    <w:p w14:paraId="7CFEAC55" w14:textId="43BCFFA8" w:rsidR="00065317" w:rsidRDefault="005C7BF7">
      <w:pPr>
        <w:pStyle w:val="Corpsdetexte"/>
      </w:pPr>
      <w:r>
        <w:t>Lorsque cette propriété est limitée aux objets informationnels, c.-à-d. lorsqu</w:t>
      </w:r>
      <w:r w:rsidR="00E84B0E">
        <w:t>’</w:t>
      </w:r>
      <w:r>
        <w:t xml:space="preserve">elle est considérée comme ayant à la fois la classe </w:t>
      </w:r>
      <w:r>
        <w:rPr>
          <w:rStyle w:val="VerbatimChar"/>
        </w:rPr>
        <w:t>E73_Objet_informationnel</w:t>
      </w:r>
      <w:r>
        <w:t xml:space="preserve"> comme domaine et comme portée, elle est transitive.</w:t>
      </w:r>
    </w:p>
    <w:p w14:paraId="512636C2" w14:textId="28694236" w:rsidR="00065317" w:rsidRDefault="005C7BF7">
      <w:pPr>
        <w:pStyle w:val="Corpsdetexte"/>
      </w:pPr>
      <w:r>
        <w:t>Une photographie numérique d</w:t>
      </w:r>
      <w:r w:rsidR="00E84B0E">
        <w:t>’</w:t>
      </w:r>
      <w:r>
        <w:t>une page manuscrite inclut le texte de ladite page, si ce dernier est défini comme une séquence de symboles d</w:t>
      </w:r>
      <w:r w:rsidR="00E84B0E">
        <w:t>’</w:t>
      </w:r>
      <w:r>
        <w:t>un type particulier, tels que les caractères latins, et que la résolution et la qualité de l</w:t>
      </w:r>
      <w:r w:rsidR="00E84B0E">
        <w:t>’</w:t>
      </w:r>
      <w:r>
        <w:t>image numérique sont suffisantes pour que ces symboles y soient lisibles.</w:t>
      </w:r>
    </w:p>
    <w:p w14:paraId="6AE6383D" w14:textId="3350410E" w:rsidR="00834C26" w:rsidRDefault="005C7BF7">
      <w:pPr>
        <w:pStyle w:val="Corpsdetexte"/>
        <w:rPr>
          <w:b/>
          <w:bCs/>
        </w:rPr>
      </w:pPr>
      <w:r>
        <w:t>Cette propriété est asymétrique.</w:t>
      </w:r>
    </w:p>
    <w:p w14:paraId="6A200CC0" w14:textId="6DC99F03" w:rsidR="00065317" w:rsidRDefault="005C7BF7">
      <w:pPr>
        <w:pStyle w:val="Corpsdetexte"/>
      </w:pPr>
      <w:r>
        <w:rPr>
          <w:b/>
          <w:bCs/>
        </w:rPr>
        <w:t>Exemples</w:t>
      </w:r>
    </w:p>
    <w:p w14:paraId="6A960AB9" w14:textId="382A23DB" w:rsidR="00065317" w:rsidRDefault="005C7BF7">
      <w:pPr>
        <w:numPr>
          <w:ilvl w:val="0"/>
          <w:numId w:val="275"/>
        </w:numPr>
      </w:pPr>
      <w:r>
        <w:t xml:space="preserve">Le contenu de </w:t>
      </w:r>
      <w:r>
        <w:rPr>
          <w:i/>
          <w:iCs/>
        </w:rPr>
        <w:t>Les Filigranes : dictionnaire historique des marques du papier</w:t>
      </w:r>
      <w:r>
        <w:t xml:space="preserve"> de Charles-Moïse Briquet (</w:t>
      </w:r>
      <w:r>
        <w:rPr>
          <w:rStyle w:val="VerbatimChar"/>
        </w:rPr>
        <w:t>E32_Document_de_référence</w:t>
      </w:r>
      <w:r>
        <w:t>) inclut (</w:t>
      </w:r>
      <w:r>
        <w:rPr>
          <w:rStyle w:val="VerbatimChar"/>
        </w:rPr>
        <w:t>P165_inclut</w:t>
      </w:r>
      <w:r>
        <w:t>) l</w:t>
      </w:r>
      <w:r w:rsidR="00E84B0E">
        <w:t>’</w:t>
      </w:r>
      <w:r>
        <w:t>aspect visuel du filigrane utilisé par un ou plusieurs papetiers espagnols autour de 1358-1361 et identifié comme « Briquet 4019 » (</w:t>
      </w:r>
      <w:r>
        <w:rPr>
          <w:rStyle w:val="VerbatimChar"/>
        </w:rPr>
        <w:t>E37_Marque</w:t>
      </w:r>
      <w:r>
        <w:t>) (Briquet, 1985)</w:t>
      </w:r>
    </w:p>
    <w:p w14:paraId="19264768" w14:textId="11AC9D33" w:rsidR="00065317" w:rsidRDefault="005C7BF7">
      <w:pPr>
        <w:numPr>
          <w:ilvl w:val="0"/>
          <w:numId w:val="275"/>
        </w:numPr>
      </w:pPr>
      <w:r>
        <w:t>Le contenu visuel de l</w:t>
      </w:r>
      <w:r w:rsidR="00E84B0E">
        <w:t>’</w:t>
      </w:r>
      <w:r>
        <w:t xml:space="preserve">œuvre peinte de Jacopo Amigoni connue sous le nom </w:t>
      </w:r>
      <w:r>
        <w:rPr>
          <w:i/>
          <w:iCs/>
        </w:rPr>
        <w:t>Farinelli et ses amis</w:t>
      </w:r>
      <w:r>
        <w:t xml:space="preserve"> (</w:t>
      </w:r>
      <w:r>
        <w:rPr>
          <w:rStyle w:val="VerbatimChar"/>
        </w:rPr>
        <w:t>E36_Entité_visuelle</w:t>
      </w:r>
      <w:r>
        <w:t>) inclut (</w:t>
      </w:r>
      <w:r>
        <w:rPr>
          <w:rStyle w:val="VerbatimChar"/>
        </w:rPr>
        <w:t>P165_inclut</w:t>
      </w:r>
      <w:r>
        <w:t>) la notation musicale de l</w:t>
      </w:r>
      <w:r w:rsidR="00E84B0E">
        <w:t>’</w:t>
      </w:r>
      <w:r>
        <w:t xml:space="preserve">œuvre musicale de Farinelli intitulée </w:t>
      </w:r>
      <w:r>
        <w:rPr>
          <w:i/>
          <w:iCs/>
        </w:rPr>
        <w:t>La Partenza</w:t>
      </w:r>
      <w:r>
        <w:t xml:space="preserve"> (</w:t>
      </w:r>
      <w:r>
        <w:rPr>
          <w:rStyle w:val="VerbatimChar"/>
        </w:rPr>
        <w:t>E73_Objet_informationnel</w:t>
      </w:r>
      <w:r>
        <w:t>) (Musée national du Victoria)</w:t>
      </w:r>
    </w:p>
    <w:p w14:paraId="6C8E1F58" w14:textId="4EF92FEB" w:rsidR="00065317" w:rsidRDefault="005C7BF7">
      <w:pPr>
        <w:numPr>
          <w:ilvl w:val="0"/>
          <w:numId w:val="275"/>
        </w:numPr>
      </w:pPr>
      <w:r>
        <w:t>Le contenu visuel de l</w:t>
      </w:r>
      <w:r w:rsidR="00E84B0E">
        <w:t>’</w:t>
      </w:r>
      <w:r>
        <w:t xml:space="preserve">œuvre peinte de Nicolas Poussin intitulée </w:t>
      </w:r>
      <w:r>
        <w:rPr>
          <w:i/>
          <w:iCs/>
        </w:rPr>
        <w:t>Les Bergers d</w:t>
      </w:r>
      <w:r w:rsidR="00E84B0E">
        <w:rPr>
          <w:i/>
          <w:iCs/>
        </w:rPr>
        <w:t>’</w:t>
      </w:r>
      <w:r>
        <w:rPr>
          <w:i/>
          <w:iCs/>
        </w:rPr>
        <w:t>Arcadie</w:t>
      </w:r>
      <w:r>
        <w:t xml:space="preserve"> (</w:t>
      </w:r>
      <w:r>
        <w:rPr>
          <w:rStyle w:val="VerbatimChar"/>
        </w:rPr>
        <w:t>E36_Entité_visuelle</w:t>
      </w:r>
      <w:r>
        <w:t>) inclut (</w:t>
      </w:r>
      <w:r>
        <w:rPr>
          <w:rStyle w:val="VerbatimChar"/>
        </w:rPr>
        <w:t>P165_inclut</w:t>
      </w:r>
      <w:r>
        <w:t>) la locution latine « Et in Arcadia ego » (</w:t>
      </w:r>
      <w:r>
        <w:rPr>
          <w:rStyle w:val="VerbatimChar"/>
        </w:rPr>
        <w:t>E33_Objet_linguistique</w:t>
      </w:r>
      <w:r>
        <w:t>) (Wikipédia, 2020)</w:t>
      </w:r>
    </w:p>
    <w:p w14:paraId="47AD1057" w14:textId="77777777" w:rsidR="00DE6C24" w:rsidRDefault="00DE6C24">
      <w:pPr>
        <w:spacing w:after="0"/>
        <w:rPr>
          <w:b/>
          <w:bCs/>
        </w:rPr>
      </w:pPr>
      <w:r>
        <w:rPr>
          <w:b/>
          <w:bCs/>
        </w:rPr>
        <w:br w:type="page"/>
      </w:r>
    </w:p>
    <w:p w14:paraId="23556683" w14:textId="3C3B3D57" w:rsidR="00065317" w:rsidRDefault="005C7BF7">
      <w:pPr>
        <w:pStyle w:val="FirstParagraph"/>
      </w:pPr>
      <w:r>
        <w:rPr>
          <w:b/>
          <w:bCs/>
        </w:rPr>
        <w:lastRenderedPageBreak/>
        <w:t>Logique</w:t>
      </w:r>
    </w:p>
    <w:p w14:paraId="1E4A66AA" w14:textId="77777777" w:rsidR="00065317" w:rsidRDefault="005C7BF7">
      <w:pPr>
        <w:pStyle w:val="Corpsdetexte"/>
      </w:pPr>
      <w:r>
        <w:t>P165(x,y) ⇒ E73(x)</w:t>
      </w:r>
    </w:p>
    <w:p w14:paraId="27514EA4" w14:textId="77777777" w:rsidR="00065317" w:rsidRDefault="005C7BF7">
      <w:pPr>
        <w:pStyle w:val="Corpsdetexte"/>
      </w:pPr>
      <w:r>
        <w:t>P165(x,y) ⇒ E90(y)</w:t>
      </w:r>
    </w:p>
    <w:p w14:paraId="7542BCF8" w14:textId="77777777" w:rsidR="00065317" w:rsidRDefault="005C7BF7">
      <w:pPr>
        <w:pStyle w:val="Corpsdetexte"/>
      </w:pPr>
      <w:r>
        <w:t>P165(x,y) ⇒ P106(x,y)</w:t>
      </w:r>
    </w:p>
    <w:p w14:paraId="1C587CAB" w14:textId="77777777" w:rsidR="00065317" w:rsidRDefault="005C7BF7">
      <w:pPr>
        <w:pStyle w:val="Corpsdetexte"/>
      </w:pPr>
      <w:r>
        <w:t>P165(x,y) ⇒ ¬P165(y,x)</w:t>
      </w:r>
    </w:p>
    <w:p w14:paraId="09B3684B" w14:textId="77777777" w:rsidR="00065317" w:rsidRDefault="005C7BF7">
      <w:pPr>
        <w:pStyle w:val="Corpsdetexte"/>
      </w:pPr>
      <w:r>
        <w:rPr>
          <w:b/>
          <w:bCs/>
        </w:rPr>
        <w:t>Propriétés</w:t>
      </w:r>
    </w:p>
    <w:p w14:paraId="42B4B341" w14:textId="77777777" w:rsidR="00065317" w:rsidRDefault="005C7BF7">
      <w:pPr>
        <w:pStyle w:val="Normalcentr"/>
      </w:pPr>
      <w:r>
        <w:rPr>
          <w:b/>
          <w:bCs/>
          <w:i/>
          <w:iCs/>
        </w:rPr>
        <w:t>Note de traduction</w:t>
      </w:r>
    </w:p>
    <w:p w14:paraId="294D8C52" w14:textId="77777777" w:rsidR="00065317" w:rsidRDefault="005C7BF7">
      <w:pPr>
        <w:pStyle w:val="Normalcentr"/>
      </w:pPr>
      <w:r>
        <w:t>« The Singer Farinelli and friends » a été traduit par « Farinelli et ses amis ». Malgré plusieurs recherches, il ne semble pas y avoir de consensus évident en ce qui a trait au titre de la peinture, mais nous avons retenu la traduction diffusée par le projet Utpictura18 maintenu par Aix-Marseille Université.</w:t>
      </w:r>
    </w:p>
    <w:p w14:paraId="1F0CF91D" w14:textId="77777777" w:rsidR="00065317" w:rsidRDefault="005C7BF7">
      <w:pPr>
        <w:pStyle w:val="Normalcentr"/>
      </w:pPr>
      <w:r>
        <w:rPr>
          <w:b/>
          <w:bCs/>
          <w:i/>
          <w:iCs/>
        </w:rPr>
        <w:t>Références</w:t>
      </w:r>
    </w:p>
    <w:p w14:paraId="4FBD8069" w14:textId="263B3A97" w:rsidR="00065317" w:rsidRDefault="005C7BF7">
      <w:pPr>
        <w:pStyle w:val="Normalcentr"/>
      </w:pPr>
      <w:r>
        <w:t>Utpictura18. « Farinelli et ses amis - Amigoni ». Utpictura18. Consulté le 18</w:t>
      </w:r>
      <w:r w:rsidR="00056DCD">
        <w:t> mai </w:t>
      </w:r>
      <w:r>
        <w:t>2023.</w:t>
      </w:r>
      <w:hyperlink r:id="rId260">
        <w:r>
          <w:rPr>
            <w:rStyle w:val="Lienhypertexte"/>
          </w:rPr>
          <w:t xml:space="preserve"> </w:t>
        </w:r>
      </w:hyperlink>
      <w:hyperlink r:id="rId261">
        <w:r>
          <w:rPr>
            <w:rStyle w:val="Lienhypertexte"/>
          </w:rPr>
          <w:t>https://utpictura18.univ-amu.fr/notice/4226-farinelli-amis-amigoni</w:t>
        </w:r>
      </w:hyperlink>
      <w:r>
        <w:t>.</w:t>
      </w:r>
    </w:p>
    <w:p w14:paraId="33F422CC" w14:textId="77777777" w:rsidR="00065317" w:rsidRDefault="005C7BF7" w:rsidP="00914F34">
      <w:pPr>
        <w:pStyle w:val="Titre3"/>
      </w:pPr>
      <w:bookmarkStart w:id="534" w:name="_Toc154048952"/>
      <w:bookmarkStart w:id="535" w:name="X1e84e97271aeaf51caa7c2999340e02123a2399"/>
      <w:bookmarkEnd w:id="533"/>
      <w:r>
        <w:t>P166 a été une présence de (a eu pour présence)</w:t>
      </w:r>
      <w:bookmarkEnd w:id="534"/>
    </w:p>
    <w:p w14:paraId="37E7C01B" w14:textId="77777777" w:rsidR="00065317" w:rsidRDefault="005C7BF7">
      <w:pPr>
        <w:pStyle w:val="FirstParagraph"/>
      </w:pPr>
      <w:r>
        <w:rPr>
          <w:b/>
          <w:bCs/>
        </w:rPr>
        <w:t>Domaine</w:t>
      </w:r>
    </w:p>
    <w:p w14:paraId="50C19709" w14:textId="77777777" w:rsidR="00065317" w:rsidRDefault="005C7BF7">
      <w:pPr>
        <w:pStyle w:val="Corpsdetexte"/>
      </w:pPr>
      <w:r>
        <w:rPr>
          <w:rStyle w:val="VerbatimChar"/>
        </w:rPr>
        <w:t>E93_Présence</w:t>
      </w:r>
    </w:p>
    <w:p w14:paraId="2DCC1C32" w14:textId="77777777" w:rsidR="00065317" w:rsidRDefault="005C7BF7">
      <w:pPr>
        <w:pStyle w:val="Corpsdetexte"/>
      </w:pPr>
      <w:r>
        <w:rPr>
          <w:b/>
          <w:bCs/>
        </w:rPr>
        <w:t>Portée</w:t>
      </w:r>
    </w:p>
    <w:p w14:paraId="0A628189" w14:textId="77777777" w:rsidR="00065317" w:rsidRDefault="005C7BF7">
      <w:pPr>
        <w:pStyle w:val="Corpsdetexte"/>
      </w:pPr>
      <w:r>
        <w:rPr>
          <w:rStyle w:val="VerbatimChar"/>
        </w:rPr>
        <w:t>E92_Volume_spatio-temporel</w:t>
      </w:r>
    </w:p>
    <w:p w14:paraId="0010104F" w14:textId="77777777" w:rsidR="00065317" w:rsidRDefault="005C7BF7">
      <w:pPr>
        <w:pStyle w:val="Corpsdetexte"/>
      </w:pPr>
      <w:r>
        <w:rPr>
          <w:b/>
          <w:bCs/>
        </w:rPr>
        <w:t>Sous-propriété de</w:t>
      </w:r>
    </w:p>
    <w:p w14:paraId="034E4845" w14:textId="2A4CE790" w:rsidR="00065317" w:rsidRDefault="005C7BF7">
      <w:pPr>
        <w:pStyle w:val="Corpsdetexte"/>
      </w:pPr>
      <w:r>
        <w:rPr>
          <w:rStyle w:val="VerbatimChar"/>
        </w:rPr>
        <w:t>E92_Volume_spatio-temporel</w:t>
      </w:r>
      <w:r>
        <w:t xml:space="preserve">. </w:t>
      </w:r>
      <w:r>
        <w:rPr>
          <w:rStyle w:val="VerbatimChar"/>
        </w:rPr>
        <w:t>P10_s</w:t>
      </w:r>
      <w:r w:rsidR="00E84B0E">
        <w:rPr>
          <w:rStyle w:val="VerbatimChar"/>
        </w:rPr>
        <w:t>’</w:t>
      </w:r>
      <w:r>
        <w:rPr>
          <w:rStyle w:val="VerbatimChar"/>
        </w:rPr>
        <w:t>insère_dans (contient)</w:t>
      </w:r>
      <w:r>
        <w:t xml:space="preserve"> : </w:t>
      </w:r>
      <w:r>
        <w:rPr>
          <w:rStyle w:val="VerbatimChar"/>
        </w:rPr>
        <w:t>E92_Volume_spatio-temporel</w:t>
      </w:r>
    </w:p>
    <w:p w14:paraId="6D3740ED" w14:textId="77777777" w:rsidR="00065317" w:rsidRDefault="005C7BF7">
      <w:pPr>
        <w:pStyle w:val="Corpsdetexte"/>
      </w:pPr>
      <w:r>
        <w:rPr>
          <w:b/>
          <w:bCs/>
        </w:rPr>
        <w:t>Super-propriété de</w:t>
      </w:r>
    </w:p>
    <w:p w14:paraId="7BC2C4FD" w14:textId="77777777" w:rsidR="00065317" w:rsidRDefault="005C7BF7">
      <w:pPr>
        <w:pStyle w:val="Corpsdetexte"/>
      </w:pPr>
      <w:r>
        <w:rPr>
          <w:b/>
          <w:bCs/>
        </w:rPr>
        <w:t>Quantification</w:t>
      </w:r>
    </w:p>
    <w:p w14:paraId="7A0C2680" w14:textId="77777777" w:rsidR="00065317" w:rsidRDefault="005C7BF7">
      <w:pPr>
        <w:pStyle w:val="Corpsdetexte"/>
      </w:pPr>
      <w:r>
        <w:t>plusieurs à un, nécessaire (1,1: 0,n)</w:t>
      </w:r>
    </w:p>
    <w:p w14:paraId="3F2E01CC" w14:textId="687EC2B8" w:rsidR="00065317" w:rsidRDefault="005C7BF7">
      <w:pPr>
        <w:pStyle w:val="Corpsdetexte"/>
      </w:pPr>
      <w:r>
        <w:rPr>
          <w:b/>
          <w:bCs/>
        </w:rPr>
        <w:t>Note d</w:t>
      </w:r>
      <w:r w:rsidR="00E84B0E">
        <w:rPr>
          <w:b/>
          <w:bCs/>
        </w:rPr>
        <w:t>’</w:t>
      </w:r>
      <w:r>
        <w:rPr>
          <w:b/>
          <w:bCs/>
        </w:rPr>
        <w:t>application</w:t>
      </w:r>
    </w:p>
    <w:p w14:paraId="6307CE57" w14:textId="691F7976" w:rsidR="00065317" w:rsidRDefault="005C7BF7">
      <w:pPr>
        <w:pStyle w:val="Corpsdetexte"/>
      </w:pPr>
      <w:r>
        <w:t xml:space="preserve">Cette propriété associe une instance de </w:t>
      </w:r>
      <w:r>
        <w:rPr>
          <w:rStyle w:val="VerbatimChar"/>
        </w:rPr>
        <w:t>E93_Présence</w:t>
      </w:r>
      <w:r>
        <w:t xml:space="preserve"> à l</w:t>
      </w:r>
      <w:r w:rsidR="00E84B0E">
        <w:t>’</w:t>
      </w:r>
      <w:r>
        <w:t xml:space="preserve">instance de </w:t>
      </w:r>
      <w:r>
        <w:rPr>
          <w:rStyle w:val="VerbatimChar"/>
        </w:rPr>
        <w:t>E92_Volume_spatio-temporel</w:t>
      </w:r>
      <w:r>
        <w:t xml:space="preserve"> dont elle représente une restriction temporelle (c.-à-d. une tranche de temps). L</w:t>
      </w:r>
      <w:r w:rsidR="00E84B0E">
        <w:t>’</w:t>
      </w:r>
      <w:r>
        <w:t>instanciation de cette propriété constitue une partie nécessaire de l</w:t>
      </w:r>
      <w:r w:rsidR="00E84B0E">
        <w:t>’</w:t>
      </w:r>
      <w:r>
        <w:t>identité de l</w:t>
      </w:r>
      <w:r w:rsidR="00E84B0E">
        <w:t>’</w:t>
      </w:r>
      <w:r>
        <w:t xml:space="preserve">instance de </w:t>
      </w:r>
      <w:r>
        <w:rPr>
          <w:rStyle w:val="VerbatimChar"/>
        </w:rPr>
        <w:t>E93_Présence</w:t>
      </w:r>
      <w:r>
        <w:t>.</w:t>
      </w:r>
    </w:p>
    <w:p w14:paraId="3D83DAA3" w14:textId="77777777" w:rsidR="00065317" w:rsidRDefault="005C7BF7">
      <w:pPr>
        <w:pStyle w:val="Corpsdetexte"/>
      </w:pPr>
      <w:r>
        <w:rPr>
          <w:b/>
          <w:bCs/>
        </w:rPr>
        <w:t>Exemples</w:t>
      </w:r>
    </w:p>
    <w:p w14:paraId="066782CC" w14:textId="4F3A564C" w:rsidR="00065317" w:rsidRDefault="005C7BF7">
      <w:pPr>
        <w:numPr>
          <w:ilvl w:val="0"/>
          <w:numId w:val="276"/>
        </w:numPr>
      </w:pPr>
      <w:r>
        <w:t>L</w:t>
      </w:r>
      <w:r w:rsidR="00E84B0E">
        <w:t>’</w:t>
      </w:r>
      <w:r>
        <w:t>Empire romain le 19</w:t>
      </w:r>
      <w:r w:rsidR="00056DCD">
        <w:t> août </w:t>
      </w:r>
      <w:r>
        <w:t>14 EC (</w:t>
      </w:r>
      <w:r>
        <w:rPr>
          <w:rStyle w:val="VerbatimChar"/>
        </w:rPr>
        <w:t>E93_Présence</w:t>
      </w:r>
      <w:r>
        <w:t>) a été une présence de (</w:t>
      </w:r>
      <w:r>
        <w:rPr>
          <w:rStyle w:val="VerbatimChar"/>
        </w:rPr>
        <w:t>P166_a_été_une_présence_de</w:t>
      </w:r>
      <w:r>
        <w:t>) l</w:t>
      </w:r>
      <w:r w:rsidR="00E84B0E">
        <w:t>’</w:t>
      </w:r>
      <w:r>
        <w:t xml:space="preserve">Empire romain (Clare </w:t>
      </w:r>
      <w:r w:rsidR="009A1E3D">
        <w:t xml:space="preserve">&amp; </w:t>
      </w:r>
      <w:r>
        <w:t>Edwards, 1992)</w:t>
      </w:r>
    </w:p>
    <w:p w14:paraId="4C118EF2" w14:textId="77777777" w:rsidR="00065317" w:rsidRDefault="005C7BF7">
      <w:pPr>
        <w:pStyle w:val="FirstParagraph"/>
      </w:pPr>
      <w:r>
        <w:rPr>
          <w:b/>
          <w:bCs/>
        </w:rPr>
        <w:t>Logique</w:t>
      </w:r>
    </w:p>
    <w:p w14:paraId="58A5B4A7" w14:textId="77777777" w:rsidR="00065317" w:rsidRDefault="005C7BF7">
      <w:pPr>
        <w:pStyle w:val="Corpsdetexte"/>
      </w:pPr>
      <w:r>
        <w:t>P166(x,y) ⇒ E93(x),</w:t>
      </w:r>
    </w:p>
    <w:p w14:paraId="6810433B" w14:textId="77777777" w:rsidR="00065317" w:rsidRDefault="005C7BF7">
      <w:pPr>
        <w:pStyle w:val="Corpsdetexte"/>
      </w:pPr>
      <w:r>
        <w:t>P166(x,y) ⇒ E92(y),</w:t>
      </w:r>
    </w:p>
    <w:p w14:paraId="52F02319" w14:textId="77777777" w:rsidR="00065317" w:rsidRDefault="005C7BF7">
      <w:pPr>
        <w:pStyle w:val="Corpsdetexte"/>
      </w:pPr>
      <w:r>
        <w:t>P166(x,y) ⇒ P10(x,y)</w:t>
      </w:r>
    </w:p>
    <w:p w14:paraId="617F48CD" w14:textId="77777777" w:rsidR="00065317" w:rsidRDefault="005C7BF7">
      <w:pPr>
        <w:pStyle w:val="Corpsdetexte"/>
      </w:pPr>
      <w:r>
        <w:rPr>
          <w:b/>
          <w:bCs/>
        </w:rPr>
        <w:lastRenderedPageBreak/>
        <w:t>Propriétés</w:t>
      </w:r>
    </w:p>
    <w:p w14:paraId="6B18CEB1" w14:textId="77777777" w:rsidR="00065317" w:rsidRDefault="005C7BF7">
      <w:pPr>
        <w:pStyle w:val="Normalcentr"/>
      </w:pPr>
      <w:r>
        <w:rPr>
          <w:b/>
          <w:bCs/>
          <w:i/>
          <w:iCs/>
        </w:rPr>
        <w:t>Note de traduction</w:t>
      </w:r>
    </w:p>
    <w:p w14:paraId="6A4C6818" w14:textId="28DC964C" w:rsidR="00065317" w:rsidRDefault="005C7BF7" w:rsidP="00AF2585">
      <w:pPr>
        <w:pStyle w:val="Normalcentr"/>
      </w:pPr>
      <w:r>
        <w:rPr>
          <w:b/>
          <w:bCs/>
          <w:i/>
          <w:iCs/>
        </w:rPr>
        <w:t>Références</w:t>
      </w:r>
    </w:p>
    <w:p w14:paraId="1042560F" w14:textId="33A01B2C" w:rsidR="00065317" w:rsidRDefault="005C7BF7" w:rsidP="00914F34">
      <w:pPr>
        <w:pStyle w:val="Titre3"/>
      </w:pPr>
      <w:bookmarkStart w:id="536" w:name="_Toc154048953"/>
      <w:bookmarkStart w:id="537" w:name="p167-sinscrivait-dans-(comporte)"/>
      <w:bookmarkEnd w:id="535"/>
      <w:r>
        <w:t>P167 s</w:t>
      </w:r>
      <w:r w:rsidR="00E84B0E">
        <w:t>’</w:t>
      </w:r>
      <w:r>
        <w:t>inscrivait dans (comporte)</w:t>
      </w:r>
      <w:bookmarkEnd w:id="536"/>
    </w:p>
    <w:p w14:paraId="5BEC4228" w14:textId="77777777" w:rsidR="00065317" w:rsidRDefault="005C7BF7">
      <w:pPr>
        <w:pStyle w:val="FirstParagraph"/>
      </w:pPr>
      <w:r>
        <w:rPr>
          <w:b/>
          <w:bCs/>
        </w:rPr>
        <w:t>Domaine</w:t>
      </w:r>
    </w:p>
    <w:p w14:paraId="11B2E807" w14:textId="77777777" w:rsidR="00065317" w:rsidRDefault="005C7BF7">
      <w:pPr>
        <w:pStyle w:val="Corpsdetexte"/>
      </w:pPr>
      <w:r>
        <w:rPr>
          <w:rStyle w:val="VerbatimChar"/>
        </w:rPr>
        <w:t>E93_Présence</w:t>
      </w:r>
    </w:p>
    <w:p w14:paraId="177C12D0" w14:textId="77777777" w:rsidR="00065317" w:rsidRDefault="005C7BF7">
      <w:pPr>
        <w:pStyle w:val="Corpsdetexte"/>
      </w:pPr>
      <w:r>
        <w:rPr>
          <w:b/>
          <w:bCs/>
        </w:rPr>
        <w:t>Portée</w:t>
      </w:r>
    </w:p>
    <w:p w14:paraId="0DEA66DE" w14:textId="77777777" w:rsidR="00065317" w:rsidRDefault="005C7BF7">
      <w:pPr>
        <w:pStyle w:val="Corpsdetexte"/>
      </w:pPr>
      <w:r>
        <w:rPr>
          <w:rStyle w:val="VerbatimChar"/>
        </w:rPr>
        <w:t>E53_Lieu</w:t>
      </w:r>
    </w:p>
    <w:p w14:paraId="74791A0D" w14:textId="77777777" w:rsidR="00065317" w:rsidRDefault="005C7BF7">
      <w:pPr>
        <w:pStyle w:val="Corpsdetexte"/>
      </w:pPr>
      <w:r>
        <w:rPr>
          <w:b/>
          <w:bCs/>
        </w:rPr>
        <w:t>Sous-propriété de</w:t>
      </w:r>
    </w:p>
    <w:p w14:paraId="64E968E5" w14:textId="77777777" w:rsidR="00065317" w:rsidRDefault="005C7BF7">
      <w:pPr>
        <w:pStyle w:val="Corpsdetexte"/>
      </w:pPr>
      <w:r>
        <w:rPr>
          <w:b/>
          <w:bCs/>
        </w:rPr>
        <w:t>Super-propriété de</w:t>
      </w:r>
    </w:p>
    <w:p w14:paraId="696A02EA" w14:textId="77777777" w:rsidR="00065317" w:rsidRDefault="005C7BF7">
      <w:pPr>
        <w:pStyle w:val="Corpsdetexte"/>
      </w:pPr>
      <w:r>
        <w:rPr>
          <w:b/>
          <w:bCs/>
        </w:rPr>
        <w:t>Quantification</w:t>
      </w:r>
    </w:p>
    <w:p w14:paraId="22FEB02A" w14:textId="317E9DC7" w:rsidR="00065317" w:rsidRDefault="005C7BF7">
      <w:pPr>
        <w:pStyle w:val="Corpsdetexte"/>
      </w:pPr>
      <w:r>
        <w:t>plusieurs à plusieurs, nécessaire (1,n;0,n)</w:t>
      </w:r>
    </w:p>
    <w:p w14:paraId="1FB8F6FA" w14:textId="36982576" w:rsidR="00065317" w:rsidRDefault="005C7BF7">
      <w:pPr>
        <w:pStyle w:val="Corpsdetexte"/>
      </w:pPr>
      <w:r>
        <w:rPr>
          <w:b/>
          <w:bCs/>
        </w:rPr>
        <w:t>Note d</w:t>
      </w:r>
      <w:r w:rsidR="00E84B0E">
        <w:rPr>
          <w:b/>
          <w:bCs/>
        </w:rPr>
        <w:t>’</w:t>
      </w:r>
      <w:r>
        <w:rPr>
          <w:b/>
          <w:bCs/>
        </w:rPr>
        <w:t>application</w:t>
      </w:r>
    </w:p>
    <w:p w14:paraId="15E7A5BF" w14:textId="21EE5BA4" w:rsidR="00065317" w:rsidRDefault="005C7BF7">
      <w:pPr>
        <w:pStyle w:val="Corpsdetexte"/>
      </w:pPr>
      <w:r>
        <w:t xml:space="preserve">Cette propriété associe une instance de </w:t>
      </w:r>
      <w:r>
        <w:rPr>
          <w:rStyle w:val="VerbatimChar"/>
        </w:rPr>
        <w:t>E93_Présence</w:t>
      </w:r>
      <w:r>
        <w:t xml:space="preserve"> à une instance de </w:t>
      </w:r>
      <w:r>
        <w:rPr>
          <w:rStyle w:val="VerbatimChar"/>
        </w:rPr>
        <w:t>E53_Lieu</w:t>
      </w:r>
      <w:r>
        <w:t xml:space="preserve"> qui inclut géométriquement la projection spatiale de l</w:t>
      </w:r>
      <w:r w:rsidR="00E84B0E">
        <w:t>’</w:t>
      </w:r>
      <w:r>
        <w:t xml:space="preserve">instance de </w:t>
      </w:r>
      <w:r>
        <w:rPr>
          <w:rStyle w:val="VerbatimChar"/>
        </w:rPr>
        <w:t>E93_Présence</w:t>
      </w:r>
      <w:r>
        <w:t>. Cette propriété peut notamment être utilisée pour indiquer dans quel espace un objet se trouve depuis un certain temps, par exemple dans une pièce d</w:t>
      </w:r>
      <w:r w:rsidR="00E84B0E">
        <w:t>’</w:t>
      </w:r>
      <w:r>
        <w:t>un château ou dans un tiroir. Elle peut également être utilisée pour décrire le confinement de l</w:t>
      </w:r>
      <w:r w:rsidR="00E84B0E">
        <w:t>’</w:t>
      </w:r>
      <w:r>
        <w:t>étendue spatiale d</w:t>
      </w:r>
      <w:r w:rsidR="00E84B0E">
        <w:t>’</w:t>
      </w:r>
      <w:r>
        <w:t>un domaine pendant un intervalle temporel connu.</w:t>
      </w:r>
    </w:p>
    <w:p w14:paraId="72CE4A74" w14:textId="77777777" w:rsidR="00065317" w:rsidRDefault="005C7BF7">
      <w:pPr>
        <w:pStyle w:val="Corpsdetexte"/>
      </w:pPr>
      <w:r>
        <w:t>Cette propriété est un raccourci du chemin sémantique suivant :</w:t>
      </w:r>
    </w:p>
    <w:p w14:paraId="6F0B3B93" w14:textId="03CB5980" w:rsidR="00065317" w:rsidRDefault="005C7BF7">
      <w:pPr>
        <w:pStyle w:val="Corpsdetexte"/>
      </w:pPr>
      <w:r>
        <w:rPr>
          <w:rStyle w:val="VerbatimChar"/>
        </w:rPr>
        <w:t>E93_Présence</w:t>
      </w:r>
      <w:r>
        <w:t xml:space="preserve">, </w:t>
      </w:r>
      <w:r>
        <w:rPr>
          <w:rStyle w:val="VerbatimChar"/>
        </w:rPr>
        <w:t>P161_a_pour_projection_spatiale</w:t>
      </w:r>
      <w:r>
        <w:t xml:space="preserve">, </w:t>
      </w:r>
      <w:r>
        <w:rPr>
          <w:rStyle w:val="VerbatimChar"/>
        </w:rPr>
        <w:t>E53_Lieu</w:t>
      </w:r>
      <w:r>
        <w:t xml:space="preserve">, </w:t>
      </w:r>
      <w:r>
        <w:rPr>
          <w:rStyle w:val="VerbatimChar"/>
        </w:rPr>
        <w:t>P89_s</w:t>
      </w:r>
      <w:r w:rsidR="00E84B0E">
        <w:rPr>
          <w:rStyle w:val="VerbatimChar"/>
        </w:rPr>
        <w:t>’</w:t>
      </w:r>
      <w:r>
        <w:rPr>
          <w:rStyle w:val="VerbatimChar"/>
        </w:rPr>
        <w:t>insère_dans (contient)</w:t>
      </w:r>
      <w:r>
        <w:t xml:space="preserve">, </w:t>
      </w:r>
      <w:r>
        <w:rPr>
          <w:rStyle w:val="VerbatimChar"/>
        </w:rPr>
        <w:t>E53_Lieu</w:t>
      </w:r>
      <w:r>
        <w:t>.</w:t>
      </w:r>
    </w:p>
    <w:p w14:paraId="1CF964ED" w14:textId="77777777" w:rsidR="00065317" w:rsidRDefault="005C7BF7">
      <w:pPr>
        <w:pStyle w:val="Corpsdetexte"/>
      </w:pPr>
      <w:r>
        <w:rPr>
          <w:b/>
          <w:bCs/>
        </w:rPr>
        <w:t>Exemples</w:t>
      </w:r>
    </w:p>
    <w:p w14:paraId="26A18894" w14:textId="0E44BC89" w:rsidR="00065317" w:rsidRDefault="005C7BF7">
      <w:pPr>
        <w:numPr>
          <w:ilvl w:val="0"/>
          <w:numId w:val="277"/>
        </w:numPr>
      </w:pPr>
      <w:r>
        <w:t>La localisation de Johann Joachim Winckelmann en</w:t>
      </w:r>
      <w:r w:rsidR="00056DCD">
        <w:t> décembre </w:t>
      </w:r>
      <w:r>
        <w:t>1775 (</w:t>
      </w:r>
      <w:r>
        <w:rPr>
          <w:rStyle w:val="VerbatimChar"/>
        </w:rPr>
        <w:t>E93_Présence</w:t>
      </w:r>
      <w:r>
        <w:t>) s</w:t>
      </w:r>
      <w:r w:rsidR="00E84B0E">
        <w:t>’</w:t>
      </w:r>
      <w:r>
        <w:t>inscrivait dans (</w:t>
      </w:r>
      <w:r>
        <w:rPr>
          <w:rStyle w:val="VerbatimChar"/>
        </w:rPr>
        <w:t>P167_s</w:t>
      </w:r>
      <w:r w:rsidR="00E84B0E">
        <w:rPr>
          <w:rStyle w:val="VerbatimChar"/>
        </w:rPr>
        <w:t>’</w:t>
      </w:r>
      <w:r>
        <w:rPr>
          <w:rStyle w:val="VerbatimChar"/>
        </w:rPr>
        <w:t>inscrivait_dans</w:t>
      </w:r>
      <w:r>
        <w:t>) Rome (</w:t>
      </w:r>
      <w:r>
        <w:rPr>
          <w:rStyle w:val="VerbatimChar"/>
        </w:rPr>
        <w:t>E53_Lieu</w:t>
      </w:r>
      <w:r>
        <w:t>)</w:t>
      </w:r>
    </w:p>
    <w:p w14:paraId="1E015D40" w14:textId="1DD979FA" w:rsidR="00065317" w:rsidRDefault="005C7BF7">
      <w:pPr>
        <w:numPr>
          <w:ilvl w:val="0"/>
          <w:numId w:val="277"/>
        </w:numPr>
      </w:pPr>
      <w:r>
        <w:t>La localisation de Johann Joachim Winkelmann du 19</w:t>
      </w:r>
      <w:r w:rsidR="00056DCD">
        <w:t> novembre </w:t>
      </w:r>
      <w:r>
        <w:t>1755 au 9</w:t>
      </w:r>
      <w:r w:rsidR="00056DCD">
        <w:t> avril </w:t>
      </w:r>
      <w:r>
        <w:t>1768 (</w:t>
      </w:r>
      <w:r>
        <w:rPr>
          <w:rStyle w:val="VerbatimChar"/>
        </w:rPr>
        <w:t>E93_Présence</w:t>
      </w:r>
      <w:r>
        <w:t>) s</w:t>
      </w:r>
      <w:r w:rsidR="00E84B0E">
        <w:t>’</w:t>
      </w:r>
      <w:r>
        <w:t>inscrivait dans (</w:t>
      </w:r>
      <w:r>
        <w:rPr>
          <w:rStyle w:val="VerbatimChar"/>
        </w:rPr>
        <w:t>P167_s</w:t>
      </w:r>
      <w:r w:rsidR="00E84B0E">
        <w:rPr>
          <w:rStyle w:val="VerbatimChar"/>
        </w:rPr>
        <w:t>’</w:t>
      </w:r>
      <w:r>
        <w:rPr>
          <w:rStyle w:val="VerbatimChar"/>
        </w:rPr>
        <w:t>inscrivait_dans</w:t>
      </w:r>
      <w:r>
        <w:t>) l</w:t>
      </w:r>
      <w:r w:rsidR="00E84B0E">
        <w:t>’</w:t>
      </w:r>
      <w:r>
        <w:t>Italie (</w:t>
      </w:r>
      <w:r>
        <w:rPr>
          <w:rStyle w:val="VerbatimChar"/>
        </w:rPr>
        <w:t>E53_Lieu</w:t>
      </w:r>
      <w:r>
        <w:t>)</w:t>
      </w:r>
    </w:p>
    <w:p w14:paraId="35631EAB" w14:textId="77777777" w:rsidR="00065317" w:rsidRDefault="005C7BF7">
      <w:pPr>
        <w:pStyle w:val="FirstParagraph"/>
      </w:pPr>
      <w:r>
        <w:rPr>
          <w:b/>
          <w:bCs/>
        </w:rPr>
        <w:t>Logique</w:t>
      </w:r>
    </w:p>
    <w:p w14:paraId="369C455D" w14:textId="77777777" w:rsidR="00065317" w:rsidRDefault="005C7BF7">
      <w:pPr>
        <w:pStyle w:val="Corpsdetexte"/>
      </w:pPr>
      <w:r>
        <w:t>P167(x,y) ⇒ E93(x)</w:t>
      </w:r>
    </w:p>
    <w:p w14:paraId="241DBFF4" w14:textId="77777777" w:rsidR="00065317" w:rsidRDefault="005C7BF7">
      <w:pPr>
        <w:pStyle w:val="Corpsdetexte"/>
      </w:pPr>
      <w:r>
        <w:t>P167(x,y) ⇒ E53(y)</w:t>
      </w:r>
    </w:p>
    <w:p w14:paraId="2459ABD7" w14:textId="77777777" w:rsidR="00065317" w:rsidRDefault="005C7BF7">
      <w:pPr>
        <w:pStyle w:val="Corpsdetexte"/>
      </w:pPr>
      <w:r>
        <w:t>P167(x,y) ⇔ (∃z) [E53(z) ˄ P161(x,z) ˄ P89(z,y)]</w:t>
      </w:r>
    </w:p>
    <w:p w14:paraId="1F22136D" w14:textId="77777777" w:rsidR="00065317" w:rsidRDefault="005C7BF7">
      <w:pPr>
        <w:pStyle w:val="Corpsdetexte"/>
      </w:pPr>
      <w:r>
        <w:rPr>
          <w:b/>
          <w:bCs/>
        </w:rPr>
        <w:t>Propriétés</w:t>
      </w:r>
    </w:p>
    <w:p w14:paraId="794FF88A" w14:textId="77777777" w:rsidR="00065317" w:rsidRDefault="005C7BF7">
      <w:pPr>
        <w:pStyle w:val="Normalcentr"/>
      </w:pPr>
      <w:r>
        <w:rPr>
          <w:b/>
          <w:bCs/>
          <w:i/>
          <w:iCs/>
        </w:rPr>
        <w:t>Note de traduction</w:t>
      </w:r>
    </w:p>
    <w:p w14:paraId="4417D083" w14:textId="479AD477" w:rsidR="00065317" w:rsidRDefault="005C7BF7" w:rsidP="00AF2585">
      <w:pPr>
        <w:pStyle w:val="Normalcentr"/>
      </w:pPr>
      <w:r>
        <w:rPr>
          <w:b/>
          <w:bCs/>
          <w:i/>
          <w:iCs/>
        </w:rPr>
        <w:t>Références</w:t>
      </w:r>
    </w:p>
    <w:p w14:paraId="60A70AC1" w14:textId="77777777" w:rsidR="00065317" w:rsidRDefault="005C7BF7" w:rsidP="00914F34">
      <w:pPr>
        <w:pStyle w:val="Titre3"/>
      </w:pPr>
      <w:bookmarkStart w:id="538" w:name="_Toc154048954"/>
      <w:bookmarkStart w:id="539" w:name="p168-lieu-defini-par-(definit-le-lieu)"/>
      <w:bookmarkEnd w:id="537"/>
      <w:r>
        <w:lastRenderedPageBreak/>
        <w:t>P168 lieu défini par (définit le lieu)</w:t>
      </w:r>
      <w:bookmarkEnd w:id="538"/>
    </w:p>
    <w:p w14:paraId="03546DCD" w14:textId="77777777" w:rsidR="00065317" w:rsidRDefault="005C7BF7">
      <w:pPr>
        <w:pStyle w:val="FirstParagraph"/>
      </w:pPr>
      <w:r>
        <w:rPr>
          <w:b/>
          <w:bCs/>
        </w:rPr>
        <w:t>Domaine</w:t>
      </w:r>
    </w:p>
    <w:p w14:paraId="59050339" w14:textId="77777777" w:rsidR="00065317" w:rsidRDefault="005C7BF7">
      <w:pPr>
        <w:pStyle w:val="Corpsdetexte"/>
      </w:pPr>
      <w:r>
        <w:rPr>
          <w:rStyle w:val="VerbatimChar"/>
        </w:rPr>
        <w:t>E53_Lieu</w:t>
      </w:r>
    </w:p>
    <w:p w14:paraId="305992ED" w14:textId="77777777" w:rsidR="00065317" w:rsidRDefault="005C7BF7">
      <w:pPr>
        <w:pStyle w:val="Corpsdetexte"/>
      </w:pPr>
      <w:r>
        <w:rPr>
          <w:b/>
          <w:bCs/>
        </w:rPr>
        <w:t>Portée</w:t>
      </w:r>
    </w:p>
    <w:p w14:paraId="77666A2E" w14:textId="77777777" w:rsidR="00065317" w:rsidRDefault="005C7BF7">
      <w:pPr>
        <w:pStyle w:val="Corpsdetexte"/>
      </w:pPr>
      <w:r>
        <w:rPr>
          <w:rStyle w:val="VerbatimChar"/>
        </w:rPr>
        <w:t>E94_Primitive_spatiale</w:t>
      </w:r>
    </w:p>
    <w:p w14:paraId="2F046FFB" w14:textId="77777777" w:rsidR="00065317" w:rsidRDefault="005C7BF7">
      <w:pPr>
        <w:pStyle w:val="Corpsdetexte"/>
      </w:pPr>
      <w:r>
        <w:rPr>
          <w:b/>
          <w:bCs/>
        </w:rPr>
        <w:t>Sous-propriété de</w:t>
      </w:r>
    </w:p>
    <w:p w14:paraId="5848C108" w14:textId="19D5AC8E" w:rsidR="00065317" w:rsidRDefault="005C7BF7">
      <w:pPr>
        <w:pStyle w:val="Corpsdetexte"/>
      </w:pPr>
      <w:r>
        <w:rPr>
          <w:rStyle w:val="VerbatimChar"/>
        </w:rPr>
        <w:t>E1_Entité_CRM</w:t>
      </w:r>
      <w:r>
        <w:t xml:space="preserve">. </w:t>
      </w:r>
      <w:r>
        <w:rPr>
          <w:rStyle w:val="VerbatimChar"/>
        </w:rPr>
        <w:t>P1_est_identifié_par (identifie)</w:t>
      </w:r>
      <w:r>
        <w:t xml:space="preserve"> : </w:t>
      </w:r>
      <w:r>
        <w:rPr>
          <w:rStyle w:val="VerbatimChar"/>
        </w:rPr>
        <w:t>E41_Appellation</w:t>
      </w:r>
    </w:p>
    <w:p w14:paraId="7A22295E" w14:textId="77777777" w:rsidR="00065317" w:rsidRDefault="005C7BF7">
      <w:pPr>
        <w:pStyle w:val="Corpsdetexte"/>
      </w:pPr>
      <w:r>
        <w:rPr>
          <w:b/>
          <w:bCs/>
        </w:rPr>
        <w:t>Super-propriété de</w:t>
      </w:r>
    </w:p>
    <w:p w14:paraId="0B99F6B5" w14:textId="77777777" w:rsidR="00065317" w:rsidRDefault="005C7BF7">
      <w:pPr>
        <w:pStyle w:val="Corpsdetexte"/>
      </w:pPr>
      <w:r>
        <w:rPr>
          <w:b/>
          <w:bCs/>
        </w:rPr>
        <w:t>Quantification</w:t>
      </w:r>
    </w:p>
    <w:p w14:paraId="2C9A4576" w14:textId="77777777" w:rsidR="00065317" w:rsidRDefault="005C7BF7">
      <w:pPr>
        <w:pStyle w:val="Corpsdetexte"/>
      </w:pPr>
      <w:r>
        <w:t>un à plusieurs, dépendant (0,n:1,1)</w:t>
      </w:r>
    </w:p>
    <w:p w14:paraId="35679330" w14:textId="3E1F863F" w:rsidR="00065317" w:rsidRDefault="005C7BF7">
      <w:pPr>
        <w:pStyle w:val="Corpsdetexte"/>
      </w:pPr>
      <w:r>
        <w:rPr>
          <w:b/>
          <w:bCs/>
        </w:rPr>
        <w:t>Note d</w:t>
      </w:r>
      <w:r w:rsidR="00E84B0E">
        <w:rPr>
          <w:b/>
          <w:bCs/>
        </w:rPr>
        <w:t>’</w:t>
      </w:r>
      <w:r>
        <w:rPr>
          <w:b/>
          <w:bCs/>
        </w:rPr>
        <w:t>application</w:t>
      </w:r>
    </w:p>
    <w:p w14:paraId="618671AD" w14:textId="4F103027" w:rsidR="00065317" w:rsidRDefault="005C7BF7">
      <w:pPr>
        <w:pStyle w:val="Corpsdetexte"/>
      </w:pPr>
      <w:r>
        <w:t xml:space="preserve">Cette propriété associe une instance de </w:t>
      </w:r>
      <w:r>
        <w:rPr>
          <w:rStyle w:val="VerbatimChar"/>
        </w:rPr>
        <w:t>E53_Lieu</w:t>
      </w:r>
      <w:r>
        <w:t xml:space="preserve"> à une instance de </w:t>
      </w:r>
      <w:r>
        <w:rPr>
          <w:rStyle w:val="VerbatimChar"/>
        </w:rPr>
        <w:t>E94_Primitive_spatiale</w:t>
      </w:r>
      <w:r>
        <w:t xml:space="preserve"> qui la définit. Les variantes syntaxiques ou l</w:t>
      </w:r>
      <w:r w:rsidR="00E84B0E">
        <w:t>’</w:t>
      </w:r>
      <w:r>
        <w:t xml:space="preserve">utilisation de différentes écritures peuvent mener à plusieurs instances de </w:t>
      </w:r>
      <w:r>
        <w:rPr>
          <w:rStyle w:val="VerbatimChar"/>
        </w:rPr>
        <w:t>E94_Primitive_spatiale</w:t>
      </w:r>
      <w:r>
        <w:t xml:space="preserve"> définissant exactement le même lieu. Les transformations d</w:t>
      </w:r>
      <w:r w:rsidR="00E84B0E">
        <w:t>’</w:t>
      </w:r>
      <w:r>
        <w:t>un référentiel à un autre aboutissent toujours à de nouvelles définitions des lieux se rapprochant les unes des autres et non pas à des définitions alternatives.</w:t>
      </w:r>
    </w:p>
    <w:p w14:paraId="7DC3E07F" w14:textId="77777777" w:rsidR="00065317" w:rsidRDefault="005C7BF7">
      <w:pPr>
        <w:pStyle w:val="Corpsdetexte"/>
      </w:pPr>
      <w:r>
        <w:rPr>
          <w:b/>
          <w:bCs/>
        </w:rPr>
        <w:t>Exemples</w:t>
      </w:r>
    </w:p>
    <w:p w14:paraId="5E88627E" w14:textId="4268B348" w:rsidR="00065317" w:rsidRDefault="005C7BF7">
      <w:pPr>
        <w:numPr>
          <w:ilvl w:val="0"/>
          <w:numId w:val="278"/>
        </w:numPr>
      </w:pPr>
      <w:r>
        <w:t>Le centroïde du lieu https://sws.geonames.org/735927 (</w:t>
      </w:r>
      <w:r>
        <w:rPr>
          <w:rStyle w:val="VerbatimChar"/>
        </w:rPr>
        <w:t>E53_Lieu</w:t>
      </w:r>
      <w:r>
        <w:t>) est défini par (</w:t>
      </w:r>
      <w:r>
        <w:rPr>
          <w:rStyle w:val="VerbatimChar"/>
        </w:rPr>
        <w:t>P168_lieu_défini_par</w:t>
      </w:r>
      <w:r>
        <w:t>) « 40°31</w:t>
      </w:r>
      <w:r w:rsidR="00E84B0E">
        <w:t>’</w:t>
      </w:r>
      <w:r>
        <w:t>17.9"N 21°15</w:t>
      </w:r>
      <w:r w:rsidR="00E84B0E">
        <w:t>’</w:t>
      </w:r>
      <w:r>
        <w:t>48.3"E » (</w:t>
      </w:r>
      <w:r>
        <w:rPr>
          <w:rStyle w:val="VerbatimChar"/>
        </w:rPr>
        <w:t>E94_Primitive_spatiale</w:t>
      </w:r>
      <w:r>
        <w:t>). [Un point unique estimant le centre de la ville de Kastoria en Grèce]</w:t>
      </w:r>
    </w:p>
    <w:p w14:paraId="31376D71" w14:textId="09F928CA" w:rsidR="00065317" w:rsidRDefault="005C7BF7">
      <w:pPr>
        <w:numPr>
          <w:ilvl w:val="0"/>
          <w:numId w:val="278"/>
        </w:numPr>
      </w:pPr>
      <w:r>
        <w:t>Les coordonnées de Martin pour le lieu Kastoria (</w:t>
      </w:r>
      <w:r>
        <w:rPr>
          <w:rStyle w:val="VerbatimChar"/>
        </w:rPr>
        <w:t>E53_Lieu</w:t>
      </w:r>
      <w:r>
        <w:t>) sont définies par (</w:t>
      </w:r>
      <w:r>
        <w:rPr>
          <w:rStyle w:val="VerbatimChar"/>
        </w:rPr>
        <w:t>P168_lieu_défini_par</w:t>
      </w:r>
      <w:r>
        <w:t>) « 40°30</w:t>
      </w:r>
      <w:r w:rsidR="00E84B0E">
        <w:t>’</w:t>
      </w:r>
      <w:r>
        <w:t>23"N 21°14</w:t>
      </w:r>
      <w:r w:rsidR="00E84B0E">
        <w:t>’</w:t>
      </w:r>
      <w:r>
        <w:t>53"E, 40°31</w:t>
      </w:r>
      <w:r w:rsidR="00E84B0E">
        <w:t>’</w:t>
      </w:r>
      <w:r>
        <w:t>40"N 21°16</w:t>
      </w:r>
      <w:r w:rsidR="00E84B0E">
        <w:t>’</w:t>
      </w:r>
      <w:r>
        <w:t>43"E » (</w:t>
      </w:r>
      <w:r>
        <w:rPr>
          <w:rStyle w:val="VerbatimChar"/>
        </w:rPr>
        <w:t>E94_Primitive_spatiale</w:t>
      </w:r>
      <w:r>
        <w:t>) [une surface couvrant la structure de l</w:t>
      </w:r>
      <w:r w:rsidR="00E84B0E">
        <w:t>’</w:t>
      </w:r>
      <w:r>
        <w:t>occupation de la ville de Kastoria en Grèce]</w:t>
      </w:r>
    </w:p>
    <w:p w14:paraId="366E5095" w14:textId="28EEFEAA" w:rsidR="00065317" w:rsidRDefault="005C7BF7">
      <w:pPr>
        <w:numPr>
          <w:ilvl w:val="0"/>
          <w:numId w:val="278"/>
        </w:numPr>
      </w:pPr>
      <w:r>
        <w:t>Le centroïde de Martin pour le lieu Kastoria (</w:t>
      </w:r>
      <w:r>
        <w:rPr>
          <w:rStyle w:val="VerbatimChar"/>
        </w:rPr>
        <w:t>E53_Lieu</w:t>
      </w:r>
      <w:r>
        <w:t>) est défini par (</w:t>
      </w:r>
      <w:r>
        <w:rPr>
          <w:rStyle w:val="VerbatimChar"/>
        </w:rPr>
        <w:t>P168_lieu_défini_par</w:t>
      </w:r>
      <w:r>
        <w:t>) « 40°31</w:t>
      </w:r>
      <w:r w:rsidR="00E84B0E">
        <w:t>’</w:t>
      </w:r>
      <w:r>
        <w:t>01.5"N 21°15</w:t>
      </w:r>
      <w:r w:rsidR="00E84B0E">
        <w:t>’</w:t>
      </w:r>
      <w:r>
        <w:t>48"E » (</w:t>
      </w:r>
      <w:r>
        <w:rPr>
          <w:rStyle w:val="VerbatimChar"/>
        </w:rPr>
        <w:t>E94_Primitive_spatiale</w:t>
      </w:r>
      <w:r>
        <w:t>). [Un point dans le lac de Kastoria au centre de la région couvert par la ville]</w:t>
      </w:r>
    </w:p>
    <w:p w14:paraId="41163760" w14:textId="7C091B0D" w:rsidR="00065317" w:rsidRDefault="005C7BF7">
      <w:pPr>
        <w:numPr>
          <w:ilvl w:val="0"/>
          <w:numId w:val="278"/>
        </w:numPr>
      </w:pPr>
      <w:r>
        <w:t>La position géographique mesurée par Alexander von Humboldt pour la Plaza Mayor à Cumaná, dans l</w:t>
      </w:r>
      <w:r w:rsidR="00E84B0E">
        <w:t>’</w:t>
      </w:r>
      <w:r>
        <w:t>État de Sucre au Venezuela en 1799-1800 EC (</w:t>
      </w:r>
      <w:r>
        <w:rPr>
          <w:rStyle w:val="VerbatimChar"/>
        </w:rPr>
        <w:t>E53_Lieu</w:t>
      </w:r>
      <w:r>
        <w:t>) est définie par (</w:t>
      </w:r>
      <w:r>
        <w:rPr>
          <w:rStyle w:val="VerbatimChar"/>
        </w:rPr>
        <w:t>P168_lieu_défini_par</w:t>
      </w:r>
      <w:r>
        <w:t>) « 10°27</w:t>
      </w:r>
      <w:r w:rsidR="00E84B0E">
        <w:t>’</w:t>
      </w:r>
      <w:r>
        <w:t>52"N 66°30</w:t>
      </w:r>
      <w:r w:rsidR="00E84B0E">
        <w:t>’</w:t>
      </w:r>
      <w:r>
        <w:t>02"W » (</w:t>
      </w:r>
      <w:r>
        <w:rPr>
          <w:rStyle w:val="VerbatimChar"/>
        </w:rPr>
        <w:t>E94_Primitive_spatiale</w:t>
      </w:r>
      <w:r>
        <w:t>). [À l</w:t>
      </w:r>
      <w:r w:rsidR="00E84B0E">
        <w:t>’</w:t>
      </w:r>
      <w:r>
        <w:t>ouest de l</w:t>
      </w:r>
      <w:r w:rsidR="00E84B0E">
        <w:t>’</w:t>
      </w:r>
      <w:r>
        <w:t>Observatoire de Paris = 64°09</w:t>
      </w:r>
      <w:r w:rsidR="00E84B0E">
        <w:t>’</w:t>
      </w:r>
      <w:r>
        <w:t>51"W de Greenwich, soit 1,1 kilomètre à l</w:t>
      </w:r>
      <w:r w:rsidR="00E84B0E">
        <w:t>’</w:t>
      </w:r>
      <w:r>
        <w:t>est de l</w:t>
      </w:r>
      <w:r w:rsidR="00E84B0E">
        <w:t>’</w:t>
      </w:r>
      <w:r>
        <w:t>actuelle Plaza Andrés Eloy Blanco de Cumaná] (Humboldt, 1859)</w:t>
      </w:r>
    </w:p>
    <w:p w14:paraId="0C573026" w14:textId="77777777" w:rsidR="00065317" w:rsidRDefault="005C7BF7">
      <w:pPr>
        <w:pStyle w:val="FirstParagraph"/>
      </w:pPr>
      <w:r>
        <w:rPr>
          <w:b/>
          <w:bCs/>
        </w:rPr>
        <w:t>Logique</w:t>
      </w:r>
    </w:p>
    <w:p w14:paraId="07DEE638" w14:textId="77777777" w:rsidR="00065317" w:rsidRDefault="005C7BF7">
      <w:pPr>
        <w:pStyle w:val="Corpsdetexte"/>
      </w:pPr>
      <w:r>
        <w:t>P168(x,y) ⇒ E53(x)</w:t>
      </w:r>
    </w:p>
    <w:p w14:paraId="0D329F9B" w14:textId="77777777" w:rsidR="00065317" w:rsidRDefault="005C7BF7">
      <w:pPr>
        <w:pStyle w:val="Corpsdetexte"/>
      </w:pPr>
      <w:r>
        <w:t>P168(x,y) ⇒ E94(y)</w:t>
      </w:r>
    </w:p>
    <w:p w14:paraId="37108F0D" w14:textId="77777777" w:rsidR="00DE6C24" w:rsidRDefault="00DE6C24">
      <w:pPr>
        <w:spacing w:after="0"/>
        <w:rPr>
          <w:b/>
          <w:bCs/>
        </w:rPr>
      </w:pPr>
      <w:r>
        <w:rPr>
          <w:b/>
          <w:bCs/>
        </w:rPr>
        <w:br w:type="page"/>
      </w:r>
    </w:p>
    <w:p w14:paraId="6A21A5B1" w14:textId="6B40FC00" w:rsidR="00065317" w:rsidRDefault="005C7BF7">
      <w:pPr>
        <w:pStyle w:val="Corpsdetexte"/>
      </w:pPr>
      <w:r>
        <w:rPr>
          <w:b/>
          <w:bCs/>
        </w:rPr>
        <w:lastRenderedPageBreak/>
        <w:t>Propriétés</w:t>
      </w:r>
    </w:p>
    <w:p w14:paraId="27DE73D5" w14:textId="77777777" w:rsidR="00065317" w:rsidRDefault="005C7BF7">
      <w:pPr>
        <w:pStyle w:val="Normalcentr"/>
      </w:pPr>
      <w:r>
        <w:rPr>
          <w:b/>
          <w:bCs/>
          <w:i/>
          <w:iCs/>
        </w:rPr>
        <w:t>Note de traduction</w:t>
      </w:r>
    </w:p>
    <w:p w14:paraId="747F5983" w14:textId="35497677" w:rsidR="00065317" w:rsidRDefault="005C7BF7" w:rsidP="00AF2585">
      <w:pPr>
        <w:pStyle w:val="Normalcentr"/>
      </w:pPr>
      <w:r>
        <w:rPr>
          <w:b/>
          <w:bCs/>
          <w:i/>
          <w:iCs/>
        </w:rPr>
        <w:t>Références</w:t>
      </w:r>
    </w:p>
    <w:p w14:paraId="5499FF2F" w14:textId="77777777" w:rsidR="00065317" w:rsidRDefault="005C7BF7" w:rsidP="00914F34">
      <w:pPr>
        <w:pStyle w:val="Titre3"/>
      </w:pPr>
      <w:bookmarkStart w:id="540" w:name="_Toc154048955"/>
      <w:bookmarkStart w:id="541" w:name="X16f6fb71cfbe6ad210143e84f18db2a198b1626"/>
      <w:bookmarkEnd w:id="539"/>
      <w:r>
        <w:t>P169 définit le volume spatio-temporel (volume spatio-temporel défini par)</w:t>
      </w:r>
      <w:bookmarkEnd w:id="540"/>
    </w:p>
    <w:p w14:paraId="32DF8D02" w14:textId="77777777" w:rsidR="00065317" w:rsidRDefault="005C7BF7">
      <w:pPr>
        <w:pStyle w:val="FirstParagraph"/>
      </w:pPr>
      <w:r>
        <w:rPr>
          <w:b/>
          <w:bCs/>
        </w:rPr>
        <w:t>Domaine</w:t>
      </w:r>
    </w:p>
    <w:p w14:paraId="453164E3" w14:textId="77777777" w:rsidR="00065317" w:rsidRDefault="005C7BF7">
      <w:pPr>
        <w:pStyle w:val="Corpsdetexte"/>
      </w:pPr>
      <w:r>
        <w:rPr>
          <w:rStyle w:val="VerbatimChar"/>
        </w:rPr>
        <w:t>E95_Primitive_spatio-temporelle</w:t>
      </w:r>
    </w:p>
    <w:p w14:paraId="12F8262B" w14:textId="77777777" w:rsidR="00065317" w:rsidRDefault="005C7BF7">
      <w:pPr>
        <w:pStyle w:val="Corpsdetexte"/>
      </w:pPr>
      <w:r>
        <w:rPr>
          <w:b/>
          <w:bCs/>
        </w:rPr>
        <w:t>Portée</w:t>
      </w:r>
    </w:p>
    <w:p w14:paraId="54DD00F5" w14:textId="77777777" w:rsidR="00065317" w:rsidRDefault="005C7BF7">
      <w:pPr>
        <w:pStyle w:val="Corpsdetexte"/>
      </w:pPr>
      <w:r>
        <w:rPr>
          <w:rStyle w:val="VerbatimChar"/>
        </w:rPr>
        <w:t>E92_Volume_spatio-temporel</w:t>
      </w:r>
    </w:p>
    <w:p w14:paraId="3D7A9FD4" w14:textId="77777777" w:rsidR="00065317" w:rsidRDefault="005C7BF7">
      <w:pPr>
        <w:pStyle w:val="Corpsdetexte"/>
      </w:pPr>
      <w:r>
        <w:rPr>
          <w:b/>
          <w:bCs/>
        </w:rPr>
        <w:t>Sous-propriété de</w:t>
      </w:r>
    </w:p>
    <w:p w14:paraId="24526647" w14:textId="77777777" w:rsidR="00065317" w:rsidRDefault="005C7BF7">
      <w:pPr>
        <w:pStyle w:val="Corpsdetexte"/>
      </w:pPr>
      <w:r>
        <w:rPr>
          <w:rStyle w:val="VerbatimChar"/>
        </w:rPr>
        <w:t>E41_Appellation</w:t>
      </w:r>
      <w:r>
        <w:t xml:space="preserve">. </w:t>
      </w:r>
      <w:r>
        <w:rPr>
          <w:rStyle w:val="VerbatimChar"/>
        </w:rPr>
        <w:t>P1i_identifie (est_identifié_par)</w:t>
      </w:r>
      <w:r>
        <w:t xml:space="preserve"> : </w:t>
      </w:r>
      <w:r>
        <w:rPr>
          <w:rStyle w:val="VerbatimChar"/>
        </w:rPr>
        <w:t>E1_Entité_CRM</w:t>
      </w:r>
    </w:p>
    <w:p w14:paraId="082A789B" w14:textId="77777777" w:rsidR="00065317" w:rsidRDefault="005C7BF7">
      <w:pPr>
        <w:pStyle w:val="Corpsdetexte"/>
      </w:pPr>
      <w:r>
        <w:rPr>
          <w:b/>
          <w:bCs/>
        </w:rPr>
        <w:t>Super-propriété de</w:t>
      </w:r>
    </w:p>
    <w:p w14:paraId="6061785F" w14:textId="77777777" w:rsidR="00065317" w:rsidRDefault="005C7BF7">
      <w:pPr>
        <w:pStyle w:val="Corpsdetexte"/>
      </w:pPr>
      <w:r>
        <w:rPr>
          <w:b/>
          <w:bCs/>
        </w:rPr>
        <w:t>Quantification</w:t>
      </w:r>
    </w:p>
    <w:p w14:paraId="1653B8D8" w14:textId="77777777" w:rsidR="00065317" w:rsidRDefault="005C7BF7">
      <w:pPr>
        <w:pStyle w:val="Corpsdetexte"/>
      </w:pPr>
      <w:r>
        <w:t>plusieurs à un, nécessaire (1,1:0,n)</w:t>
      </w:r>
    </w:p>
    <w:p w14:paraId="24E6F243" w14:textId="6A5A1EED" w:rsidR="00065317" w:rsidRDefault="005C7BF7">
      <w:pPr>
        <w:pStyle w:val="Corpsdetexte"/>
      </w:pPr>
      <w:r>
        <w:rPr>
          <w:b/>
          <w:bCs/>
        </w:rPr>
        <w:t>Note d</w:t>
      </w:r>
      <w:r w:rsidR="00E84B0E">
        <w:rPr>
          <w:b/>
          <w:bCs/>
        </w:rPr>
        <w:t>’</w:t>
      </w:r>
      <w:r>
        <w:rPr>
          <w:b/>
          <w:bCs/>
        </w:rPr>
        <w:t>application</w:t>
      </w:r>
    </w:p>
    <w:p w14:paraId="4AE8CC3B" w14:textId="4CA7A060" w:rsidR="00065317" w:rsidRDefault="005C7BF7">
      <w:pPr>
        <w:pStyle w:val="Corpsdetexte"/>
      </w:pPr>
      <w:r>
        <w:t xml:space="preserve">Cette propriété associe une instance de </w:t>
      </w:r>
      <w:r>
        <w:rPr>
          <w:rStyle w:val="VerbatimChar"/>
        </w:rPr>
        <w:t>E95_Primitive_spatio-temporelle</w:t>
      </w:r>
      <w:r>
        <w:t xml:space="preserve"> à l</w:t>
      </w:r>
      <w:r w:rsidR="00E84B0E">
        <w:t>’</w:t>
      </w:r>
      <w:r>
        <w:t xml:space="preserve">instance de </w:t>
      </w:r>
      <w:r>
        <w:rPr>
          <w:rStyle w:val="VerbatimChar"/>
        </w:rPr>
        <w:t>E92_Volume_spatio-temporel</w:t>
      </w:r>
      <w:r>
        <w:t xml:space="preserve"> qu</w:t>
      </w:r>
      <w:r w:rsidR="00E84B0E">
        <w:t>’</w:t>
      </w:r>
      <w:r>
        <w:t>elle définit.</w:t>
      </w:r>
    </w:p>
    <w:p w14:paraId="5FEFCFBE" w14:textId="77777777" w:rsidR="00065317" w:rsidRDefault="005C7BF7">
      <w:pPr>
        <w:pStyle w:val="Corpsdetexte"/>
      </w:pPr>
      <w:r>
        <w:rPr>
          <w:b/>
          <w:bCs/>
        </w:rPr>
        <w:t>Exemples</w:t>
      </w:r>
    </w:p>
    <w:p w14:paraId="0E01A3D6" w14:textId="0E862158" w:rsidR="00065317" w:rsidRDefault="005C7BF7">
      <w:pPr>
        <w:numPr>
          <w:ilvl w:val="0"/>
          <w:numId w:val="279"/>
        </w:numPr>
      </w:pPr>
      <w:r>
        <w:t>« 40°30</w:t>
      </w:r>
      <w:r w:rsidR="00E84B0E">
        <w:t>’</w:t>
      </w:r>
      <w:r>
        <w:t>23"N 21°14</w:t>
      </w:r>
      <w:r w:rsidR="00E84B0E">
        <w:t>’</w:t>
      </w:r>
      <w:r>
        <w:t>53"E, 40°31</w:t>
      </w:r>
      <w:r w:rsidR="00E84B0E">
        <w:t>’</w:t>
      </w:r>
      <w:r>
        <w:t>40"N 21°16</w:t>
      </w:r>
      <w:r w:rsidR="00E84B0E">
        <w:t>’</w:t>
      </w:r>
      <w:r>
        <w:t>43"E, 200BC-2020AD » (</w:t>
      </w:r>
      <w:r>
        <w:rPr>
          <w:rStyle w:val="VerbatimChar"/>
        </w:rPr>
        <w:t>E95_Primitive_spatio-temporelle</w:t>
      </w:r>
      <w:r>
        <w:t>) définit le volume spatio-temporel (</w:t>
      </w:r>
      <w:r>
        <w:rPr>
          <w:rStyle w:val="VerbatimChar"/>
        </w:rPr>
        <w:t>P169_définit_le_volume_spatio-temporel</w:t>
      </w:r>
      <w:r>
        <w:t>) de l</w:t>
      </w:r>
      <w:r w:rsidR="00E84B0E">
        <w:t>’</w:t>
      </w:r>
      <w:r>
        <w:t>enceinte spatio-temporelle de Martin en 2020 pour l</w:t>
      </w:r>
      <w:r w:rsidR="00E84B0E">
        <w:t>’</w:t>
      </w:r>
      <w:r>
        <w:t>évolution de l</w:t>
      </w:r>
      <w:r w:rsidR="00E84B0E">
        <w:t>’</w:t>
      </w:r>
      <w:r>
        <w:t>occupation de la ville actuelle de Kastoria en Grèce depuis sa conquête par les Romains (</w:t>
      </w:r>
      <w:r>
        <w:rPr>
          <w:rStyle w:val="VerbatimChar"/>
        </w:rPr>
        <w:t>E92_Volume_spatio-temporel</w:t>
      </w:r>
      <w:r>
        <w:t>) [une surface couvrant la structure de l</w:t>
      </w:r>
      <w:r w:rsidR="00E84B0E">
        <w:t>’</w:t>
      </w:r>
      <w:r>
        <w:t>occupation actuelle de la ville de Kastoria en Grèce, des années 200 AEC à 2020 EC, incluant les étendues des phases antérieures de la ville]</w:t>
      </w:r>
    </w:p>
    <w:p w14:paraId="6FF70D39" w14:textId="77777777" w:rsidR="00065317" w:rsidRDefault="005C7BF7">
      <w:pPr>
        <w:pStyle w:val="FirstParagraph"/>
      </w:pPr>
      <w:r>
        <w:rPr>
          <w:b/>
          <w:bCs/>
        </w:rPr>
        <w:t>Logique</w:t>
      </w:r>
    </w:p>
    <w:p w14:paraId="73C344A8" w14:textId="77777777" w:rsidR="00065317" w:rsidRDefault="005C7BF7">
      <w:pPr>
        <w:pStyle w:val="Corpsdetexte"/>
      </w:pPr>
      <w:r>
        <w:t>P169(x,y) ⇒ E95(x)</w:t>
      </w:r>
    </w:p>
    <w:p w14:paraId="252DD21A" w14:textId="77777777" w:rsidR="00065317" w:rsidRDefault="005C7BF7">
      <w:pPr>
        <w:pStyle w:val="Corpsdetexte"/>
      </w:pPr>
      <w:r>
        <w:t>P169(x,y) ⇒ E92(y)</w:t>
      </w:r>
    </w:p>
    <w:p w14:paraId="69E1E6AA" w14:textId="77777777" w:rsidR="00065317" w:rsidRDefault="005C7BF7">
      <w:pPr>
        <w:pStyle w:val="Corpsdetexte"/>
      </w:pPr>
      <w:r>
        <w:t>P169(x,y) ⇒ P1i(x,y)</w:t>
      </w:r>
    </w:p>
    <w:p w14:paraId="1A5B02F1" w14:textId="77777777" w:rsidR="00065317" w:rsidRDefault="005C7BF7">
      <w:pPr>
        <w:pStyle w:val="Corpsdetexte"/>
      </w:pPr>
      <w:r>
        <w:rPr>
          <w:b/>
          <w:bCs/>
        </w:rPr>
        <w:t>Propriétés</w:t>
      </w:r>
    </w:p>
    <w:p w14:paraId="308CA2B5" w14:textId="77777777" w:rsidR="00065317" w:rsidRDefault="005C7BF7">
      <w:pPr>
        <w:pStyle w:val="Normalcentr"/>
      </w:pPr>
      <w:r>
        <w:rPr>
          <w:b/>
          <w:bCs/>
          <w:i/>
          <w:iCs/>
        </w:rPr>
        <w:t>Note de traduction</w:t>
      </w:r>
    </w:p>
    <w:p w14:paraId="32F595D2" w14:textId="5E527384" w:rsidR="00065317" w:rsidRDefault="005C7BF7" w:rsidP="00AF2585">
      <w:pPr>
        <w:pStyle w:val="Normalcentr"/>
      </w:pPr>
      <w:r>
        <w:rPr>
          <w:b/>
          <w:bCs/>
          <w:i/>
          <w:iCs/>
        </w:rPr>
        <w:t>Références</w:t>
      </w:r>
    </w:p>
    <w:p w14:paraId="12816AD0" w14:textId="77777777" w:rsidR="00065317" w:rsidRDefault="005C7BF7" w:rsidP="00914F34">
      <w:pPr>
        <w:pStyle w:val="Titre3"/>
      </w:pPr>
      <w:bookmarkStart w:id="542" w:name="_Toc154048956"/>
      <w:bookmarkStart w:id="543" w:name="p170-definit-le-temps-(temps-defini-par)"/>
      <w:bookmarkEnd w:id="541"/>
      <w:r>
        <w:t>P170 définit le temps (temps défini par)</w:t>
      </w:r>
      <w:bookmarkEnd w:id="542"/>
    </w:p>
    <w:p w14:paraId="09EB7905" w14:textId="77777777" w:rsidR="00065317" w:rsidRDefault="005C7BF7">
      <w:pPr>
        <w:pStyle w:val="FirstParagraph"/>
      </w:pPr>
      <w:r>
        <w:rPr>
          <w:b/>
          <w:bCs/>
        </w:rPr>
        <w:t>Domaine</w:t>
      </w:r>
    </w:p>
    <w:p w14:paraId="298E64EC" w14:textId="77777777" w:rsidR="00065317" w:rsidRDefault="005C7BF7">
      <w:pPr>
        <w:pStyle w:val="Corpsdetexte"/>
      </w:pPr>
      <w:r>
        <w:rPr>
          <w:rStyle w:val="VerbatimChar"/>
        </w:rPr>
        <w:t>E61_Primitive_temporelle</w:t>
      </w:r>
    </w:p>
    <w:p w14:paraId="46979D6B" w14:textId="77777777" w:rsidR="00DE6C24" w:rsidRDefault="00DE6C24">
      <w:pPr>
        <w:spacing w:after="0"/>
        <w:rPr>
          <w:b/>
          <w:bCs/>
        </w:rPr>
      </w:pPr>
      <w:r>
        <w:rPr>
          <w:b/>
          <w:bCs/>
        </w:rPr>
        <w:br w:type="page"/>
      </w:r>
    </w:p>
    <w:p w14:paraId="56C27CBD" w14:textId="114CB3BA" w:rsidR="00065317" w:rsidRDefault="005C7BF7">
      <w:pPr>
        <w:pStyle w:val="Corpsdetexte"/>
      </w:pPr>
      <w:r>
        <w:rPr>
          <w:b/>
          <w:bCs/>
        </w:rPr>
        <w:lastRenderedPageBreak/>
        <w:t>Portée</w:t>
      </w:r>
    </w:p>
    <w:p w14:paraId="7E3831AD" w14:textId="77777777" w:rsidR="00065317" w:rsidRDefault="005C7BF7">
      <w:pPr>
        <w:pStyle w:val="Corpsdetexte"/>
      </w:pPr>
      <w:r>
        <w:rPr>
          <w:rStyle w:val="VerbatimChar"/>
        </w:rPr>
        <w:t>E52_Intervalle_temporel</w:t>
      </w:r>
    </w:p>
    <w:p w14:paraId="4CD6C3F1" w14:textId="77777777" w:rsidR="00065317" w:rsidRDefault="005C7BF7">
      <w:pPr>
        <w:pStyle w:val="Corpsdetexte"/>
      </w:pPr>
      <w:r>
        <w:rPr>
          <w:b/>
          <w:bCs/>
        </w:rPr>
        <w:t>Sous-propriété de</w:t>
      </w:r>
    </w:p>
    <w:p w14:paraId="6627C565" w14:textId="77777777" w:rsidR="00065317" w:rsidRDefault="005C7BF7">
      <w:pPr>
        <w:pStyle w:val="Corpsdetexte"/>
      </w:pPr>
      <w:r>
        <w:rPr>
          <w:rStyle w:val="VerbatimChar"/>
        </w:rPr>
        <w:t>E41_Appellation</w:t>
      </w:r>
      <w:r>
        <w:t xml:space="preserve">. </w:t>
      </w:r>
      <w:r>
        <w:rPr>
          <w:rStyle w:val="VerbatimChar"/>
        </w:rPr>
        <w:t>P1i_identifie</w:t>
      </w:r>
      <w:r>
        <w:t xml:space="preserve"> : </w:t>
      </w:r>
      <w:r>
        <w:rPr>
          <w:rStyle w:val="VerbatimChar"/>
        </w:rPr>
        <w:t>E1_Entité_CRM</w:t>
      </w:r>
    </w:p>
    <w:p w14:paraId="1ECCB385" w14:textId="77777777" w:rsidR="00065317" w:rsidRDefault="005C7BF7">
      <w:pPr>
        <w:pStyle w:val="Corpsdetexte"/>
      </w:pPr>
      <w:r>
        <w:rPr>
          <w:b/>
          <w:bCs/>
        </w:rPr>
        <w:t>Super-propriété de</w:t>
      </w:r>
    </w:p>
    <w:p w14:paraId="2E0FCA83" w14:textId="77777777" w:rsidR="00065317" w:rsidRDefault="005C7BF7">
      <w:pPr>
        <w:pStyle w:val="Corpsdetexte"/>
      </w:pPr>
      <w:r>
        <w:rPr>
          <w:b/>
          <w:bCs/>
        </w:rPr>
        <w:t>Quantification</w:t>
      </w:r>
    </w:p>
    <w:p w14:paraId="2ED8CB39" w14:textId="77777777" w:rsidR="00065317" w:rsidRDefault="005C7BF7">
      <w:pPr>
        <w:pStyle w:val="Corpsdetexte"/>
      </w:pPr>
      <w:r>
        <w:t>plusieurs à un (0,1:0,n)</w:t>
      </w:r>
    </w:p>
    <w:p w14:paraId="4DF9160F" w14:textId="5ABE663C" w:rsidR="00065317" w:rsidRDefault="005C7BF7">
      <w:pPr>
        <w:pStyle w:val="Corpsdetexte"/>
      </w:pPr>
      <w:r>
        <w:rPr>
          <w:b/>
          <w:bCs/>
        </w:rPr>
        <w:t>Note d</w:t>
      </w:r>
      <w:r w:rsidR="00E84B0E">
        <w:rPr>
          <w:b/>
          <w:bCs/>
        </w:rPr>
        <w:t>’</w:t>
      </w:r>
      <w:r>
        <w:rPr>
          <w:b/>
          <w:bCs/>
        </w:rPr>
        <w:t>application</w:t>
      </w:r>
    </w:p>
    <w:p w14:paraId="67D01ACF" w14:textId="1ED54155" w:rsidR="00065317" w:rsidRDefault="005C7BF7">
      <w:pPr>
        <w:pStyle w:val="Corpsdetexte"/>
      </w:pPr>
      <w:r>
        <w:t xml:space="preserve">Cette propriété associe une instance de </w:t>
      </w:r>
      <w:r>
        <w:rPr>
          <w:rStyle w:val="VerbatimChar"/>
        </w:rPr>
        <w:t>E61_Primitive_temporelle</w:t>
      </w:r>
      <w:r>
        <w:t xml:space="preserve"> à une instance de </w:t>
      </w:r>
      <w:r>
        <w:rPr>
          <w:rStyle w:val="VerbatimChar"/>
        </w:rPr>
        <w:t>E52_Intervalle_temporel</w:t>
      </w:r>
      <w:r>
        <w:t xml:space="preserve"> qui constitue l</w:t>
      </w:r>
      <w:r w:rsidR="00E84B0E">
        <w:t>’</w:t>
      </w:r>
      <w:r>
        <w:t>interprétation des termes de la primitive temporelle comme une étendue en temps réel et absolu.</w:t>
      </w:r>
    </w:p>
    <w:p w14:paraId="35A15D7A" w14:textId="77777777" w:rsidR="00065317" w:rsidRDefault="005C7BF7">
      <w:pPr>
        <w:pStyle w:val="Corpsdetexte"/>
      </w:pPr>
      <w:r>
        <w:t xml:space="preserve">La quantification permet à plusieurs instances de </w:t>
      </w:r>
      <w:r>
        <w:rPr>
          <w:rStyle w:val="VerbatimChar"/>
        </w:rPr>
        <w:t>E61_Primitive_temporelle</w:t>
      </w:r>
      <w:r>
        <w:t xml:space="preserve">, chacune exprimée sous une forme syntaxique différente, de définir la même instance de </w:t>
      </w:r>
      <w:r>
        <w:rPr>
          <w:rStyle w:val="VerbatimChar"/>
        </w:rPr>
        <w:t>E52_Intervalle_temporel</w:t>
      </w:r>
      <w:r>
        <w:t>.</w:t>
      </w:r>
    </w:p>
    <w:p w14:paraId="0A8BE8D7" w14:textId="77777777" w:rsidR="00065317" w:rsidRDefault="005C7BF7">
      <w:pPr>
        <w:pStyle w:val="Corpsdetexte"/>
      </w:pPr>
      <w:r>
        <w:rPr>
          <w:b/>
          <w:bCs/>
        </w:rPr>
        <w:t>Exemples</w:t>
      </w:r>
    </w:p>
    <w:p w14:paraId="34703994" w14:textId="30A5BD6E" w:rsidR="00065317" w:rsidRDefault="005C7BF7">
      <w:pPr>
        <w:numPr>
          <w:ilvl w:val="0"/>
          <w:numId w:val="280"/>
        </w:numPr>
      </w:pPr>
      <w:r>
        <w:t>« 1800-01-01 0:00:00 – 1899-12-21 23:59:59 » définit le temps (</w:t>
      </w:r>
      <w:r>
        <w:rPr>
          <w:rStyle w:val="VerbatimChar"/>
        </w:rPr>
        <w:t>P170_définit_le_temps</w:t>
      </w:r>
      <w:r>
        <w:t>) du XIX</w:t>
      </w:r>
      <w:r>
        <w:rPr>
          <w:vertAlign w:val="superscript"/>
        </w:rPr>
        <w:t>e</w:t>
      </w:r>
      <w:r w:rsidR="00056DCD">
        <w:t> siècle </w:t>
      </w:r>
      <w:r>
        <w:t>(</w:t>
      </w:r>
      <w:r>
        <w:rPr>
          <w:rStyle w:val="VerbatimChar"/>
        </w:rPr>
        <w:t>E52_Intervalle_temporel</w:t>
      </w:r>
      <w:r>
        <w:t>)</w:t>
      </w:r>
    </w:p>
    <w:p w14:paraId="505DA274" w14:textId="4C00573A" w:rsidR="00065317" w:rsidRDefault="005C7BF7">
      <w:pPr>
        <w:numPr>
          <w:ilvl w:val="0"/>
          <w:numId w:val="280"/>
        </w:numPr>
      </w:pPr>
      <w:r>
        <w:t>« 1968-01-01 – 2018-01-01 » définit le temps (</w:t>
      </w:r>
      <w:r>
        <w:rPr>
          <w:rStyle w:val="VerbatimChar"/>
        </w:rPr>
        <w:t>P170_définit_le_temps</w:t>
      </w:r>
      <w:r>
        <w:t>) 1968-01-01 – 2018-01-01 [un intervalle temporel arbitraire pendant lequel le reliquaire de saint Tite était présent dans l</w:t>
      </w:r>
      <w:r w:rsidR="00E84B0E">
        <w:t>’</w:t>
      </w:r>
      <w:r>
        <w:t>église Saint-Tite d</w:t>
      </w:r>
      <w:r w:rsidR="00E84B0E">
        <w:t>’</w:t>
      </w:r>
      <w:r>
        <w:t>Héraklion, en Crète]</w:t>
      </w:r>
    </w:p>
    <w:p w14:paraId="332E251E" w14:textId="77777777" w:rsidR="00065317" w:rsidRDefault="005C7BF7">
      <w:pPr>
        <w:pStyle w:val="FirstParagraph"/>
      </w:pPr>
      <w:r>
        <w:rPr>
          <w:b/>
          <w:bCs/>
        </w:rPr>
        <w:t>Logique</w:t>
      </w:r>
    </w:p>
    <w:p w14:paraId="0C52B5BC" w14:textId="77777777" w:rsidR="00065317" w:rsidRDefault="005C7BF7">
      <w:pPr>
        <w:pStyle w:val="Corpsdetexte"/>
      </w:pPr>
      <w:r>
        <w:t>P170(x,y) ⇒ E61(x)</w:t>
      </w:r>
    </w:p>
    <w:p w14:paraId="5C12ABDC" w14:textId="77777777" w:rsidR="00065317" w:rsidRDefault="005C7BF7">
      <w:pPr>
        <w:pStyle w:val="Corpsdetexte"/>
      </w:pPr>
      <w:r>
        <w:t>P170(x,y) ⇒ E52(y)</w:t>
      </w:r>
    </w:p>
    <w:p w14:paraId="53580A76" w14:textId="77777777" w:rsidR="00065317" w:rsidRDefault="005C7BF7">
      <w:pPr>
        <w:pStyle w:val="Corpsdetexte"/>
      </w:pPr>
      <w:r>
        <w:t>P170(x, y) ⇒ P81i(x, y) ∧ P82i(x, y)</w:t>
      </w:r>
    </w:p>
    <w:p w14:paraId="73962E26" w14:textId="77777777" w:rsidR="00065317" w:rsidRDefault="005C7BF7">
      <w:pPr>
        <w:pStyle w:val="Corpsdetexte"/>
      </w:pPr>
      <w:r>
        <w:rPr>
          <w:b/>
          <w:bCs/>
        </w:rPr>
        <w:t>Propriétés</w:t>
      </w:r>
    </w:p>
    <w:p w14:paraId="63756D7A" w14:textId="77777777" w:rsidR="00065317" w:rsidRDefault="005C7BF7">
      <w:pPr>
        <w:pStyle w:val="Normalcentr"/>
      </w:pPr>
      <w:r>
        <w:rPr>
          <w:b/>
          <w:bCs/>
          <w:i/>
          <w:iCs/>
        </w:rPr>
        <w:t>Note de traduction</w:t>
      </w:r>
    </w:p>
    <w:p w14:paraId="305EE277" w14:textId="0D6E8D4B" w:rsidR="00065317" w:rsidRDefault="005C7BF7" w:rsidP="00AF2585">
      <w:pPr>
        <w:pStyle w:val="Normalcentr"/>
      </w:pPr>
      <w:r>
        <w:rPr>
          <w:b/>
          <w:bCs/>
          <w:i/>
          <w:iCs/>
        </w:rPr>
        <w:t>Références</w:t>
      </w:r>
    </w:p>
    <w:p w14:paraId="4322B271" w14:textId="77777777" w:rsidR="00065317" w:rsidRDefault="005C7BF7" w:rsidP="00914F34">
      <w:pPr>
        <w:pStyle w:val="Titre3"/>
      </w:pPr>
      <w:bookmarkStart w:id="544" w:name="_Toc154048957"/>
      <w:bookmarkStart w:id="545" w:name="p171-quelque-part-dans"/>
      <w:bookmarkEnd w:id="543"/>
      <w:r>
        <w:t>P171 quelque part dans</w:t>
      </w:r>
      <w:bookmarkEnd w:id="544"/>
    </w:p>
    <w:p w14:paraId="25247045" w14:textId="77777777" w:rsidR="00065317" w:rsidRDefault="005C7BF7">
      <w:pPr>
        <w:pStyle w:val="FirstParagraph"/>
      </w:pPr>
      <w:r>
        <w:rPr>
          <w:b/>
          <w:bCs/>
        </w:rPr>
        <w:t>Domaine</w:t>
      </w:r>
    </w:p>
    <w:p w14:paraId="01F3CB08" w14:textId="77777777" w:rsidR="00065317" w:rsidRDefault="005C7BF7">
      <w:pPr>
        <w:pStyle w:val="Corpsdetexte"/>
      </w:pPr>
      <w:r>
        <w:rPr>
          <w:rStyle w:val="VerbatimChar"/>
        </w:rPr>
        <w:t>E53_Lieu</w:t>
      </w:r>
    </w:p>
    <w:p w14:paraId="00C09BB8" w14:textId="77777777" w:rsidR="00065317" w:rsidRDefault="005C7BF7">
      <w:pPr>
        <w:pStyle w:val="Corpsdetexte"/>
      </w:pPr>
      <w:r>
        <w:rPr>
          <w:b/>
          <w:bCs/>
        </w:rPr>
        <w:t>Portée</w:t>
      </w:r>
    </w:p>
    <w:p w14:paraId="7822A2F5" w14:textId="77777777" w:rsidR="00065317" w:rsidRDefault="005C7BF7">
      <w:pPr>
        <w:pStyle w:val="Corpsdetexte"/>
      </w:pPr>
      <w:r>
        <w:rPr>
          <w:rStyle w:val="VerbatimChar"/>
        </w:rPr>
        <w:t>E94_Primitive_spatiale</w:t>
      </w:r>
    </w:p>
    <w:p w14:paraId="63D27BEB" w14:textId="77777777" w:rsidR="00065317" w:rsidRDefault="005C7BF7">
      <w:pPr>
        <w:pStyle w:val="Corpsdetexte"/>
      </w:pPr>
      <w:r>
        <w:rPr>
          <w:b/>
          <w:bCs/>
        </w:rPr>
        <w:t>Sous-propriété de</w:t>
      </w:r>
    </w:p>
    <w:p w14:paraId="1CE8DB30" w14:textId="77777777" w:rsidR="00065317" w:rsidRDefault="005C7BF7">
      <w:pPr>
        <w:pStyle w:val="Corpsdetexte"/>
      </w:pPr>
      <w:r>
        <w:rPr>
          <w:b/>
          <w:bCs/>
        </w:rPr>
        <w:t>Super-propriété de</w:t>
      </w:r>
    </w:p>
    <w:p w14:paraId="3CEBF960" w14:textId="77777777" w:rsidR="00DE6C24" w:rsidRDefault="00DE6C24">
      <w:pPr>
        <w:spacing w:after="0"/>
        <w:rPr>
          <w:b/>
          <w:bCs/>
        </w:rPr>
      </w:pPr>
      <w:r>
        <w:rPr>
          <w:b/>
          <w:bCs/>
        </w:rPr>
        <w:br w:type="page"/>
      </w:r>
    </w:p>
    <w:p w14:paraId="2C2D7ABC" w14:textId="417EEA36" w:rsidR="00065317" w:rsidRDefault="005C7BF7">
      <w:pPr>
        <w:pStyle w:val="Corpsdetexte"/>
      </w:pPr>
      <w:r>
        <w:rPr>
          <w:b/>
          <w:bCs/>
        </w:rPr>
        <w:lastRenderedPageBreak/>
        <w:t>Quantification</w:t>
      </w:r>
    </w:p>
    <w:p w14:paraId="67CA3DE9" w14:textId="77777777" w:rsidR="00065317" w:rsidRDefault="005C7BF7">
      <w:pPr>
        <w:pStyle w:val="Corpsdetexte"/>
      </w:pPr>
      <w:r>
        <w:t>Plusieurs à plusieurs (0,n:0,n)</w:t>
      </w:r>
    </w:p>
    <w:p w14:paraId="54B5F5A6" w14:textId="789F7D17" w:rsidR="00065317" w:rsidRDefault="005C7BF7">
      <w:pPr>
        <w:pStyle w:val="Corpsdetexte"/>
      </w:pPr>
      <w:r>
        <w:rPr>
          <w:b/>
          <w:bCs/>
        </w:rPr>
        <w:t>Note d</w:t>
      </w:r>
      <w:r w:rsidR="00E84B0E">
        <w:rPr>
          <w:b/>
          <w:bCs/>
        </w:rPr>
        <w:t>’</w:t>
      </w:r>
      <w:r>
        <w:rPr>
          <w:b/>
          <w:bCs/>
        </w:rPr>
        <w:t>application</w:t>
      </w:r>
    </w:p>
    <w:p w14:paraId="639DD19F" w14:textId="782B333B" w:rsidR="00065317" w:rsidRDefault="005C7BF7">
      <w:pPr>
        <w:pStyle w:val="Corpsdetexte"/>
      </w:pPr>
      <w:r>
        <w:t>Cette propriété décrit l</w:t>
      </w:r>
      <w:r w:rsidR="00E84B0E">
        <w:t>’</w:t>
      </w:r>
      <w:r>
        <w:t>étendue spatiale maximale à l</w:t>
      </w:r>
      <w:r w:rsidR="00E84B0E">
        <w:t>’</w:t>
      </w:r>
      <w:r>
        <w:t xml:space="preserve">intérieur de laquelle une instance de </w:t>
      </w:r>
      <w:r>
        <w:rPr>
          <w:rStyle w:val="VerbatimChar"/>
        </w:rPr>
        <w:t>E53_Lieu</w:t>
      </w:r>
      <w:r>
        <w:t xml:space="preserve"> s</w:t>
      </w:r>
      <w:r w:rsidR="00E84B0E">
        <w:t>’</w:t>
      </w:r>
      <w:r>
        <w:t xml:space="preserve">inscrit. Il est possible que des instances de </w:t>
      </w:r>
      <w:r>
        <w:rPr>
          <w:rStyle w:val="VerbatimChar"/>
        </w:rPr>
        <w:t>E53_Lieu</w:t>
      </w:r>
      <w:r>
        <w:t xml:space="preserve"> n</w:t>
      </w:r>
      <w:r w:rsidR="00E84B0E">
        <w:t>’</w:t>
      </w:r>
      <w:r>
        <w:t>aient pas d</w:t>
      </w:r>
      <w:r w:rsidR="00E84B0E">
        <w:t>’</w:t>
      </w:r>
      <w:r>
        <w:t>étendues temporelles connues de manière précise. C</w:t>
      </w:r>
      <w:r w:rsidR="00E84B0E">
        <w:t>’</w:t>
      </w:r>
      <w:r>
        <w:t xml:space="preserve">est pour cette raison que le </w:t>
      </w:r>
      <w:r w:rsidR="00C8288F">
        <w:t>CIDOC CRM</w:t>
      </w:r>
      <w:r>
        <w:t xml:space="preserve"> permet les énoncés portant sur les étendues spatiales maximales d</w:t>
      </w:r>
      <w:r w:rsidR="00E84B0E">
        <w:t>’</w:t>
      </w:r>
      <w:r>
        <w:t xml:space="preserve">instances de </w:t>
      </w:r>
      <w:r>
        <w:rPr>
          <w:rStyle w:val="VerbatimChar"/>
        </w:rPr>
        <w:t>E53_Lieu</w:t>
      </w:r>
      <w:r>
        <w:t>. Cette propriété permet l</w:t>
      </w:r>
      <w:r w:rsidR="00E84B0E">
        <w:t>’</w:t>
      </w:r>
      <w:r>
        <w:t>assignation de la valeur d</w:t>
      </w:r>
      <w:r w:rsidR="00E84B0E">
        <w:t>’</w:t>
      </w:r>
      <w:r>
        <w:t xml:space="preserve">une instance de </w:t>
      </w:r>
      <w:r>
        <w:rPr>
          <w:rStyle w:val="VerbatimChar"/>
        </w:rPr>
        <w:t>E94_Primitive_spatiale</w:t>
      </w:r>
      <w:r>
        <w:t xml:space="preserve"> à l</w:t>
      </w:r>
      <w:r w:rsidR="00E84B0E">
        <w:t>’</w:t>
      </w:r>
      <w:r>
        <w:t>étendue spatiale maximale d</w:t>
      </w:r>
      <w:r w:rsidR="00E84B0E">
        <w:t>’</w:t>
      </w:r>
      <w:r>
        <w:t xml:space="preserve">une instance de </w:t>
      </w:r>
      <w:r>
        <w:rPr>
          <w:rStyle w:val="VerbatimChar"/>
        </w:rPr>
        <w:t>E53_Lieu</w:t>
      </w:r>
      <w:r>
        <w:t xml:space="preserve"> (c.-à-d. une frontière externe).</w:t>
      </w:r>
    </w:p>
    <w:p w14:paraId="387FA551" w14:textId="64258AFD" w:rsidR="00065317" w:rsidRDefault="005C7BF7">
      <w:pPr>
        <w:pStyle w:val="Corpsdetexte"/>
      </w:pPr>
      <w:r>
        <w:t xml:space="preserve">Cette propriété est un raccourci du chemin sémantique suivant : </w:t>
      </w:r>
      <w:r>
        <w:rPr>
          <w:rStyle w:val="VerbatimChar"/>
        </w:rPr>
        <w:t>E53_Lieu</w:t>
      </w:r>
      <w:r>
        <w:t xml:space="preserve">, </w:t>
      </w:r>
      <w:r>
        <w:rPr>
          <w:rStyle w:val="VerbatimChar"/>
        </w:rPr>
        <w:t>P89_s</w:t>
      </w:r>
      <w:r w:rsidR="00E84B0E">
        <w:rPr>
          <w:rStyle w:val="VerbatimChar"/>
        </w:rPr>
        <w:t>’</w:t>
      </w:r>
      <w:r>
        <w:rPr>
          <w:rStyle w:val="VerbatimChar"/>
        </w:rPr>
        <w:t>insère_dans</w:t>
      </w:r>
      <w:r>
        <w:t xml:space="preserve">, </w:t>
      </w:r>
      <w:r>
        <w:rPr>
          <w:rStyle w:val="VerbatimChar"/>
        </w:rPr>
        <w:t>E53_Lieu</w:t>
      </w:r>
      <w:r>
        <w:t xml:space="preserve">, </w:t>
      </w:r>
      <w:r>
        <w:rPr>
          <w:rStyle w:val="VerbatimChar"/>
        </w:rPr>
        <w:t>P168_lieu_défini_par</w:t>
      </w:r>
      <w:r>
        <w:t xml:space="preserve">, </w:t>
      </w:r>
      <w:r>
        <w:rPr>
          <w:rStyle w:val="VerbatimChar"/>
        </w:rPr>
        <w:t>E94_Primitive_spatiale</w:t>
      </w:r>
      <w:r>
        <w:t>. C</w:t>
      </w:r>
      <w:r w:rsidR="00E84B0E">
        <w:t>’</w:t>
      </w:r>
      <w:r>
        <w:t xml:space="preserve">est donc un chemin sémantique vers une instance de </w:t>
      </w:r>
      <w:r>
        <w:rPr>
          <w:rStyle w:val="VerbatimChar"/>
        </w:rPr>
        <w:t>E94_Primitive_spatiale</w:t>
      </w:r>
      <w:r>
        <w:t xml:space="preserve"> via un lieu déclaratif (</w:t>
      </w:r>
      <w:r>
        <w:rPr>
          <w:rStyle w:val="VerbatimChar"/>
        </w:rPr>
        <w:t>E53_Lieu</w:t>
      </w:r>
      <w:r>
        <w:t>) qui n</w:t>
      </w:r>
      <w:r w:rsidR="00E84B0E">
        <w:t>’</w:t>
      </w:r>
      <w:r>
        <w:t>est pas explicitement documenté. Pour en savoir plus sur les lieux déclaratifs et leur définition, voir CRMGeo (</w:t>
      </w:r>
      <w:r w:rsidR="003C7A4A">
        <w:t>Doerr</w:t>
      </w:r>
      <w:r>
        <w:t xml:space="preserve"> </w:t>
      </w:r>
      <w:r w:rsidR="009A1E3D">
        <w:t xml:space="preserve">&amp; </w:t>
      </w:r>
      <w:r>
        <w:t>Hiebel</w:t>
      </w:r>
      <w:r w:rsidR="006504BB">
        <w:t>,</w:t>
      </w:r>
      <w:r>
        <w:t xml:space="preserve"> 2013).</w:t>
      </w:r>
    </w:p>
    <w:p w14:paraId="13F5E520" w14:textId="77777777" w:rsidR="00065317" w:rsidRDefault="005C7BF7">
      <w:pPr>
        <w:pStyle w:val="Corpsdetexte"/>
      </w:pPr>
      <w:r>
        <w:rPr>
          <w:b/>
          <w:bCs/>
        </w:rPr>
        <w:t>Exemples</w:t>
      </w:r>
    </w:p>
    <w:p w14:paraId="5B63C827" w14:textId="7E5F8F31" w:rsidR="00065317" w:rsidRDefault="005C7BF7">
      <w:pPr>
        <w:numPr>
          <w:ilvl w:val="0"/>
          <w:numId w:val="281"/>
        </w:numPr>
      </w:pPr>
      <w:r>
        <w:t>L</w:t>
      </w:r>
      <w:r w:rsidR="00E84B0E">
        <w:t>’</w:t>
      </w:r>
      <w:r>
        <w:t>étendue spatiale de l</w:t>
      </w:r>
      <w:r w:rsidR="00E84B0E">
        <w:t>’</w:t>
      </w:r>
      <w:r>
        <w:t>Acropole d</w:t>
      </w:r>
      <w:r w:rsidR="00E84B0E">
        <w:t>’</w:t>
      </w:r>
      <w:r>
        <w:t>Athènes (</w:t>
      </w:r>
      <w:r>
        <w:rPr>
          <w:rStyle w:val="VerbatimChar"/>
        </w:rPr>
        <w:t>E53_Lieu</w:t>
      </w:r>
      <w:r>
        <w:t>) se trouve quelque part à l</w:t>
      </w:r>
      <w:r w:rsidR="00E84B0E">
        <w:t>’</w:t>
      </w:r>
      <w:r>
        <w:t>intérieur (</w:t>
      </w:r>
      <w:r>
        <w:rPr>
          <w:rStyle w:val="VerbatimChar"/>
        </w:rPr>
        <w:t>P171_quelque_part_dans</w:t>
      </w:r>
      <w:r>
        <w:t>) du polygone (37.969172 23.720787, 37.973122 23.721495 37.972741 23.728994, 37.969299 23.729735, 37.969172 23.720787) (</w:t>
      </w:r>
      <w:r>
        <w:rPr>
          <w:rStyle w:val="VerbatimChar"/>
        </w:rPr>
        <w:t>E94_Primitive_spatiale</w:t>
      </w:r>
      <w:r>
        <w:t>)</w:t>
      </w:r>
    </w:p>
    <w:p w14:paraId="1E025D9B" w14:textId="77777777" w:rsidR="00065317" w:rsidRDefault="005C7BF7">
      <w:pPr>
        <w:pStyle w:val="FirstParagraph"/>
      </w:pPr>
      <w:r>
        <w:rPr>
          <w:b/>
          <w:bCs/>
        </w:rPr>
        <w:t>Logique</w:t>
      </w:r>
    </w:p>
    <w:p w14:paraId="5BCDCA30" w14:textId="77777777" w:rsidR="00065317" w:rsidRDefault="005C7BF7">
      <w:pPr>
        <w:pStyle w:val="Corpsdetexte"/>
      </w:pPr>
      <w:r>
        <w:t>P171(x,y) ⇒ E53(x)</w:t>
      </w:r>
    </w:p>
    <w:p w14:paraId="00D28D33" w14:textId="77777777" w:rsidR="00065317" w:rsidRDefault="005C7BF7">
      <w:pPr>
        <w:pStyle w:val="Corpsdetexte"/>
      </w:pPr>
      <w:r>
        <w:t>P171(x,y) ⇒ E94(y)</w:t>
      </w:r>
    </w:p>
    <w:p w14:paraId="287F9760" w14:textId="77777777" w:rsidR="00065317" w:rsidRDefault="005C7BF7">
      <w:pPr>
        <w:pStyle w:val="Corpsdetexte"/>
      </w:pPr>
      <w:r>
        <w:t>P171(x,y) ⇔ (∃z) [E53(z) ˄ P89(x,z) ˄ P168(z,y)]</w:t>
      </w:r>
    </w:p>
    <w:p w14:paraId="1AE7689E" w14:textId="5F7CD790" w:rsidR="00834C26" w:rsidRDefault="005C7BF7" w:rsidP="00914F34">
      <w:pPr>
        <w:pStyle w:val="Corpsdetexte"/>
      </w:pPr>
      <w:r>
        <w:rPr>
          <w:b/>
          <w:bCs/>
        </w:rPr>
        <w:t>Propriétés</w:t>
      </w:r>
    </w:p>
    <w:p w14:paraId="222B57DE" w14:textId="4EF15219" w:rsidR="00065317" w:rsidRDefault="005C7BF7">
      <w:pPr>
        <w:pStyle w:val="Normalcentr"/>
      </w:pPr>
      <w:r>
        <w:rPr>
          <w:b/>
          <w:bCs/>
          <w:i/>
          <w:iCs/>
        </w:rPr>
        <w:t>Note de traduction</w:t>
      </w:r>
    </w:p>
    <w:p w14:paraId="73D6B5F7" w14:textId="2DABA9C2" w:rsidR="00065317" w:rsidRDefault="005C7BF7">
      <w:pPr>
        <w:pStyle w:val="Normalcentr"/>
      </w:pPr>
      <w:r>
        <w:t>Le terme « maximum » a été traduit par l</w:t>
      </w:r>
      <w:r w:rsidR="00E84B0E">
        <w:t>’</w:t>
      </w:r>
      <w:r>
        <w:t>adjectif « maximal » conformément aux recommandations de l</w:t>
      </w:r>
      <w:r w:rsidR="00E84B0E">
        <w:t>’</w:t>
      </w:r>
      <w:r>
        <w:t>Office québécois de la langue française qui indique que l</w:t>
      </w:r>
      <w:r w:rsidR="00E84B0E">
        <w:t>’</w:t>
      </w:r>
      <w:r>
        <w:t>usage de « maximum » devrait être privilégié lorsqu</w:t>
      </w:r>
      <w:r w:rsidR="00E84B0E">
        <w:t>’</w:t>
      </w:r>
      <w:r>
        <w:t>il s</w:t>
      </w:r>
      <w:r w:rsidR="00E84B0E">
        <w:t>’</w:t>
      </w:r>
      <w:r>
        <w:t>agit du nom en faveur de « maximal » lorsqu</w:t>
      </w:r>
      <w:r w:rsidR="00E84B0E">
        <w:t>’</w:t>
      </w:r>
      <w:r>
        <w:t>il s</w:t>
      </w:r>
      <w:r w:rsidR="00E84B0E">
        <w:t>’</w:t>
      </w:r>
      <w:r>
        <w:t>agit d</w:t>
      </w:r>
      <w:r w:rsidR="00E84B0E">
        <w:t>’</w:t>
      </w:r>
      <w:r>
        <w:t>un adjectif.</w:t>
      </w:r>
    </w:p>
    <w:p w14:paraId="0F0FA82A" w14:textId="77777777" w:rsidR="00065317" w:rsidRDefault="005C7BF7">
      <w:pPr>
        <w:pStyle w:val="Normalcentr"/>
      </w:pPr>
      <w:r>
        <w:rPr>
          <w:b/>
          <w:bCs/>
          <w:i/>
          <w:iCs/>
        </w:rPr>
        <w:t>Références</w:t>
      </w:r>
    </w:p>
    <w:p w14:paraId="7CABD3C8" w14:textId="4BDFF7DB" w:rsidR="00834C26" w:rsidRPr="00834C26" w:rsidRDefault="005C7BF7" w:rsidP="00914F34">
      <w:pPr>
        <w:pStyle w:val="Normalcentr"/>
      </w:pPr>
      <w:r>
        <w:t>Office québécois de la langue française. « Maximal, minimal et optimal : accord de l</w:t>
      </w:r>
      <w:r w:rsidR="00E84B0E">
        <w:t>’</w:t>
      </w:r>
      <w:r>
        <w:t xml:space="preserve">adjectif ». Dans </w:t>
      </w:r>
      <w:r>
        <w:rPr>
          <w:i/>
          <w:iCs/>
        </w:rPr>
        <w:t>Banque de dépannage linguistique</w:t>
      </w:r>
      <w:r>
        <w:t>. Québec, CA-QC</w:t>
      </w:r>
      <w:r w:rsidR="001458EA">
        <w:t> </w:t>
      </w:r>
      <w:r>
        <w:t>: Office québécois de la langue fran</w:t>
      </w:r>
      <w:r w:rsidR="001155E9">
        <w:t>ç</w:t>
      </w:r>
      <w:r>
        <w:t>aise, 8</w:t>
      </w:r>
      <w:r w:rsidR="00056DCD">
        <w:t> février </w:t>
      </w:r>
      <w:r>
        <w:t>2023.</w:t>
      </w:r>
      <w:hyperlink r:id="rId262">
        <w:r>
          <w:rPr>
            <w:rStyle w:val="Lienhypertexte"/>
          </w:rPr>
          <w:t xml:space="preserve"> </w:t>
        </w:r>
      </w:hyperlink>
      <w:hyperlink r:id="rId263">
        <w:r>
          <w:rPr>
            <w:rStyle w:val="Lienhypertexte"/>
          </w:rPr>
          <w:t>https://vitrinelinguistique.oqlf.gouv.qc.ca/23433/la-grammaire/ladjectif/accord-de-ladjectif/cas-particuliers-daccord-de-ladjectif/accord-des-adjectifs-maximal-minimal-et-optimal</w:t>
        </w:r>
      </w:hyperlink>
      <w:r>
        <w:t>.</w:t>
      </w:r>
    </w:p>
    <w:p w14:paraId="7D4FA961" w14:textId="77777777" w:rsidR="00065317" w:rsidRDefault="005C7BF7" w:rsidP="00914F34">
      <w:pPr>
        <w:pStyle w:val="Titre3"/>
      </w:pPr>
      <w:bookmarkStart w:id="546" w:name="_Toc154048958"/>
      <w:bookmarkStart w:id="547" w:name="p172-contient"/>
      <w:bookmarkEnd w:id="545"/>
      <w:r>
        <w:t>P172 contient</w:t>
      </w:r>
      <w:bookmarkEnd w:id="546"/>
    </w:p>
    <w:p w14:paraId="7421E84B" w14:textId="77777777" w:rsidR="00065317" w:rsidRDefault="005C7BF7">
      <w:pPr>
        <w:pStyle w:val="FirstParagraph"/>
      </w:pPr>
      <w:r>
        <w:rPr>
          <w:b/>
          <w:bCs/>
        </w:rPr>
        <w:t>Domaine</w:t>
      </w:r>
    </w:p>
    <w:p w14:paraId="53D98167" w14:textId="77777777" w:rsidR="00065317" w:rsidRDefault="005C7BF7">
      <w:pPr>
        <w:pStyle w:val="Corpsdetexte"/>
      </w:pPr>
      <w:r>
        <w:rPr>
          <w:rStyle w:val="VerbatimChar"/>
        </w:rPr>
        <w:t>E53_Lieu</w:t>
      </w:r>
    </w:p>
    <w:p w14:paraId="5A462582" w14:textId="77777777" w:rsidR="00065317" w:rsidRDefault="005C7BF7">
      <w:pPr>
        <w:pStyle w:val="Corpsdetexte"/>
      </w:pPr>
      <w:r>
        <w:rPr>
          <w:b/>
          <w:bCs/>
        </w:rPr>
        <w:t>Portée</w:t>
      </w:r>
    </w:p>
    <w:p w14:paraId="5019C4F1" w14:textId="77777777" w:rsidR="00065317" w:rsidRDefault="005C7BF7">
      <w:pPr>
        <w:pStyle w:val="Corpsdetexte"/>
      </w:pPr>
      <w:r>
        <w:rPr>
          <w:rStyle w:val="VerbatimChar"/>
        </w:rPr>
        <w:t>E94_Primitive_spatiale</w:t>
      </w:r>
    </w:p>
    <w:p w14:paraId="52D9C219" w14:textId="77777777" w:rsidR="00DE6C24" w:rsidRDefault="00DE6C24">
      <w:pPr>
        <w:spacing w:after="0"/>
        <w:rPr>
          <w:b/>
          <w:bCs/>
        </w:rPr>
      </w:pPr>
      <w:r>
        <w:rPr>
          <w:b/>
          <w:bCs/>
        </w:rPr>
        <w:br w:type="page"/>
      </w:r>
    </w:p>
    <w:p w14:paraId="07A52DCB" w14:textId="43CAB6F6" w:rsidR="00065317" w:rsidRDefault="005C7BF7">
      <w:pPr>
        <w:pStyle w:val="Corpsdetexte"/>
      </w:pPr>
      <w:r>
        <w:rPr>
          <w:b/>
          <w:bCs/>
        </w:rPr>
        <w:lastRenderedPageBreak/>
        <w:t>Sous-propriété de</w:t>
      </w:r>
    </w:p>
    <w:p w14:paraId="66DA68DC" w14:textId="77777777" w:rsidR="00065317" w:rsidRDefault="005C7BF7">
      <w:pPr>
        <w:pStyle w:val="Corpsdetexte"/>
      </w:pPr>
      <w:r>
        <w:rPr>
          <w:b/>
          <w:bCs/>
        </w:rPr>
        <w:t>Super-propriété de</w:t>
      </w:r>
    </w:p>
    <w:p w14:paraId="63F5AEE4" w14:textId="77777777" w:rsidR="00065317" w:rsidRDefault="005C7BF7">
      <w:pPr>
        <w:pStyle w:val="Corpsdetexte"/>
      </w:pPr>
      <w:r>
        <w:rPr>
          <w:b/>
          <w:bCs/>
        </w:rPr>
        <w:t>Quantification</w:t>
      </w:r>
    </w:p>
    <w:p w14:paraId="63433B0A" w14:textId="77777777" w:rsidR="00065317" w:rsidRDefault="005C7BF7">
      <w:pPr>
        <w:pStyle w:val="Corpsdetexte"/>
      </w:pPr>
      <w:r>
        <w:t>Plusieurs à plusieurs (0,n:0,n)</w:t>
      </w:r>
    </w:p>
    <w:p w14:paraId="253CE326" w14:textId="386C946A" w:rsidR="00065317" w:rsidRDefault="005C7BF7">
      <w:pPr>
        <w:pStyle w:val="Corpsdetexte"/>
      </w:pPr>
      <w:r>
        <w:rPr>
          <w:b/>
          <w:bCs/>
        </w:rPr>
        <w:t>Note d</w:t>
      </w:r>
      <w:r w:rsidR="00E84B0E">
        <w:rPr>
          <w:b/>
          <w:bCs/>
        </w:rPr>
        <w:t>’</w:t>
      </w:r>
      <w:r>
        <w:rPr>
          <w:b/>
          <w:bCs/>
        </w:rPr>
        <w:t>application</w:t>
      </w:r>
    </w:p>
    <w:p w14:paraId="2BE2ED97" w14:textId="7A73DD3A" w:rsidR="00065317" w:rsidRDefault="005C7BF7">
      <w:pPr>
        <w:pStyle w:val="Corpsdetexte"/>
      </w:pPr>
      <w:r>
        <w:t>Cette propriété décrit l</w:t>
      </w:r>
      <w:r w:rsidR="00E84B0E">
        <w:t>’</w:t>
      </w:r>
      <w:r>
        <w:t xml:space="preserve">étendue spatiale minimale contenue dans une instance de </w:t>
      </w:r>
      <w:r>
        <w:rPr>
          <w:rStyle w:val="VerbatimChar"/>
        </w:rPr>
        <w:t>E53_Lieu</w:t>
      </w:r>
      <w:r>
        <w:t xml:space="preserve">. Il est possible que des instances de </w:t>
      </w:r>
      <w:r>
        <w:rPr>
          <w:rStyle w:val="VerbatimChar"/>
        </w:rPr>
        <w:t>E53_Lieu</w:t>
      </w:r>
      <w:r>
        <w:t xml:space="preserve"> n</w:t>
      </w:r>
      <w:r w:rsidR="00E84B0E">
        <w:t>’</w:t>
      </w:r>
      <w:r>
        <w:t>aient pas d</w:t>
      </w:r>
      <w:r w:rsidR="00E84B0E">
        <w:t>’</w:t>
      </w:r>
      <w:r>
        <w:t>étendues temporelles connues de manière précise. C</w:t>
      </w:r>
      <w:r w:rsidR="00E84B0E">
        <w:t>’</w:t>
      </w:r>
      <w:r>
        <w:t xml:space="preserve">est pour cette raison que le </w:t>
      </w:r>
      <w:r w:rsidR="00C8288F">
        <w:t>CIDOC CRM</w:t>
      </w:r>
      <w:r>
        <w:t xml:space="preserve"> permet les énoncés portant sur les étendues spatiales minimales d</w:t>
      </w:r>
      <w:r w:rsidR="00E84B0E">
        <w:t>’</w:t>
      </w:r>
      <w:r>
        <w:t xml:space="preserve">instances de </w:t>
      </w:r>
      <w:r>
        <w:rPr>
          <w:rStyle w:val="VerbatimChar"/>
        </w:rPr>
        <w:t>E53_Lieu</w:t>
      </w:r>
      <w:r>
        <w:t>. Cette propriété permet l</w:t>
      </w:r>
      <w:r w:rsidR="00E84B0E">
        <w:t>’</w:t>
      </w:r>
      <w:r>
        <w:t>assignation de la valeur d</w:t>
      </w:r>
      <w:r w:rsidR="00E84B0E">
        <w:t>’</w:t>
      </w:r>
      <w:r>
        <w:t xml:space="preserve">une instance de </w:t>
      </w:r>
      <w:r>
        <w:rPr>
          <w:rStyle w:val="VerbatimChar"/>
        </w:rPr>
        <w:t>E94_Primitive_spatiale</w:t>
      </w:r>
      <w:r>
        <w:t xml:space="preserve"> à l</w:t>
      </w:r>
      <w:r w:rsidR="00E84B0E">
        <w:t>’</w:t>
      </w:r>
      <w:r>
        <w:t>étendue spatiale minimale d</w:t>
      </w:r>
      <w:r w:rsidR="00E84B0E">
        <w:t>’</w:t>
      </w:r>
      <w:r>
        <w:t xml:space="preserve">une instance de </w:t>
      </w:r>
      <w:r>
        <w:rPr>
          <w:rStyle w:val="VerbatimChar"/>
        </w:rPr>
        <w:t>E53_Lieu</w:t>
      </w:r>
      <w:r>
        <w:t xml:space="preserve"> (c.-à-d. une frontière interne ou un point situé dans un lieu).</w:t>
      </w:r>
    </w:p>
    <w:p w14:paraId="3BC189F4" w14:textId="77777777" w:rsidR="00065317" w:rsidRDefault="005C7BF7">
      <w:pPr>
        <w:pStyle w:val="Corpsdetexte"/>
      </w:pPr>
      <w:r>
        <w:t xml:space="preserve">Cette propriété est un raccourci du chemin sémantique suivant : </w:t>
      </w:r>
      <w:r>
        <w:rPr>
          <w:rStyle w:val="VerbatimChar"/>
        </w:rPr>
        <w:t>E53_Lieu</w:t>
      </w:r>
      <w:r>
        <w:t xml:space="preserve">, </w:t>
      </w:r>
      <w:r>
        <w:rPr>
          <w:rStyle w:val="VerbatimChar"/>
        </w:rPr>
        <w:t>P89i_contient</w:t>
      </w:r>
      <w:r>
        <w:t xml:space="preserve">, </w:t>
      </w:r>
      <w:r>
        <w:rPr>
          <w:rStyle w:val="VerbatimChar"/>
        </w:rPr>
        <w:t>E53_Lieu</w:t>
      </w:r>
      <w:r>
        <w:t xml:space="preserve">, </w:t>
      </w:r>
      <w:r>
        <w:rPr>
          <w:rStyle w:val="VerbatimChar"/>
        </w:rPr>
        <w:t>P168_lieu_défini_par</w:t>
      </w:r>
      <w:r>
        <w:t xml:space="preserve">, </w:t>
      </w:r>
      <w:r>
        <w:rPr>
          <w:rStyle w:val="VerbatimChar"/>
        </w:rPr>
        <w:t>E94_Primitive_spatiale</w:t>
      </w:r>
      <w:r>
        <w:t>.</w:t>
      </w:r>
    </w:p>
    <w:p w14:paraId="0AD63627" w14:textId="77777777" w:rsidR="00065317" w:rsidRDefault="005C7BF7">
      <w:pPr>
        <w:pStyle w:val="Corpsdetexte"/>
      </w:pPr>
      <w:r>
        <w:rPr>
          <w:b/>
          <w:bCs/>
        </w:rPr>
        <w:t>Exemples</w:t>
      </w:r>
    </w:p>
    <w:p w14:paraId="56E827D8" w14:textId="2B2410A0" w:rsidR="00065317" w:rsidRDefault="005C7BF7">
      <w:pPr>
        <w:numPr>
          <w:ilvl w:val="0"/>
          <w:numId w:val="282"/>
        </w:numPr>
      </w:pPr>
      <w:r>
        <w:t>L</w:t>
      </w:r>
      <w:r w:rsidR="00E84B0E">
        <w:t>’</w:t>
      </w:r>
      <w:r>
        <w:t>étendue spatiale de l</w:t>
      </w:r>
      <w:r w:rsidR="00E84B0E">
        <w:t>’</w:t>
      </w:r>
      <w:r>
        <w:t>Acropole d</w:t>
      </w:r>
      <w:r w:rsidR="00E84B0E">
        <w:t>’</w:t>
      </w:r>
      <w:r>
        <w:t>Athènes (</w:t>
      </w:r>
      <w:r>
        <w:rPr>
          <w:rStyle w:val="VerbatimChar"/>
        </w:rPr>
        <w:t>E53_Lieu</w:t>
      </w:r>
      <w:r>
        <w:t>) contient (</w:t>
      </w:r>
      <w:r>
        <w:rPr>
          <w:rStyle w:val="VerbatimChar"/>
        </w:rPr>
        <w:t>P172_contient</w:t>
      </w:r>
      <w:r>
        <w:t>) le point (37.971431 23.725947) (</w:t>
      </w:r>
      <w:r>
        <w:rPr>
          <w:rStyle w:val="VerbatimChar"/>
        </w:rPr>
        <w:t>E94_Primitive_spatiale</w:t>
      </w:r>
      <w:r>
        <w:t>)</w:t>
      </w:r>
    </w:p>
    <w:p w14:paraId="234D73B8" w14:textId="77777777" w:rsidR="00065317" w:rsidRDefault="005C7BF7">
      <w:pPr>
        <w:pStyle w:val="FirstParagraph"/>
      </w:pPr>
      <w:r>
        <w:rPr>
          <w:b/>
          <w:bCs/>
        </w:rPr>
        <w:t>Logique</w:t>
      </w:r>
    </w:p>
    <w:p w14:paraId="6D5D230C" w14:textId="77777777" w:rsidR="00065317" w:rsidRDefault="005C7BF7">
      <w:pPr>
        <w:pStyle w:val="Corpsdetexte"/>
      </w:pPr>
      <w:r>
        <w:t>P172(x,y) ⇒ E53(x)</w:t>
      </w:r>
    </w:p>
    <w:p w14:paraId="29166EF5" w14:textId="77777777" w:rsidR="00065317" w:rsidRDefault="005C7BF7">
      <w:pPr>
        <w:pStyle w:val="Corpsdetexte"/>
      </w:pPr>
      <w:r>
        <w:t>P172(x,y) ⇒ E94(y)</w:t>
      </w:r>
    </w:p>
    <w:p w14:paraId="5CAB808C" w14:textId="77777777" w:rsidR="00065317" w:rsidRDefault="005C7BF7">
      <w:pPr>
        <w:pStyle w:val="Corpsdetexte"/>
      </w:pPr>
      <w:r>
        <w:t>P172(x,y) ⇔ (∃z) [E53(z) ˄ P89i(x,z) ˄ P168(z,y)]</w:t>
      </w:r>
    </w:p>
    <w:p w14:paraId="1B48F56A" w14:textId="5BAE8880" w:rsidR="00834C26" w:rsidRDefault="005C7BF7" w:rsidP="00914F34">
      <w:pPr>
        <w:pStyle w:val="Corpsdetexte"/>
      </w:pPr>
      <w:r>
        <w:rPr>
          <w:b/>
          <w:bCs/>
        </w:rPr>
        <w:t>Propriétés</w:t>
      </w:r>
    </w:p>
    <w:p w14:paraId="5F1C25A6" w14:textId="3526599F" w:rsidR="00065317" w:rsidRDefault="005C7BF7">
      <w:pPr>
        <w:pStyle w:val="Normalcentr"/>
      </w:pPr>
      <w:r>
        <w:rPr>
          <w:b/>
          <w:bCs/>
          <w:i/>
          <w:iCs/>
        </w:rPr>
        <w:t>Note de traduction</w:t>
      </w:r>
    </w:p>
    <w:p w14:paraId="55DD4CC9" w14:textId="23B367ED" w:rsidR="00065317" w:rsidRDefault="005C7BF7">
      <w:pPr>
        <w:pStyle w:val="Normalcentr"/>
      </w:pPr>
      <w:r>
        <w:t>Le terme « minimum » a été traduit par l</w:t>
      </w:r>
      <w:r w:rsidR="00E84B0E">
        <w:t>’</w:t>
      </w:r>
      <w:r>
        <w:t>adjectif « minimal » conformément aux recommandations de l</w:t>
      </w:r>
      <w:r w:rsidR="00E84B0E">
        <w:t>’</w:t>
      </w:r>
      <w:r>
        <w:t>Office québécois de la langue française qui indique que l</w:t>
      </w:r>
      <w:r w:rsidR="00E84B0E">
        <w:t>’</w:t>
      </w:r>
      <w:r>
        <w:t>usage de « minimum » devrait être privilégié lorsqu</w:t>
      </w:r>
      <w:r w:rsidR="00E84B0E">
        <w:t>’</w:t>
      </w:r>
      <w:r>
        <w:t>il s</w:t>
      </w:r>
      <w:r w:rsidR="00E84B0E">
        <w:t>’</w:t>
      </w:r>
      <w:r>
        <w:t>agit du nom en faveur de « minimal » lorsqu</w:t>
      </w:r>
      <w:r w:rsidR="00E84B0E">
        <w:t>’</w:t>
      </w:r>
      <w:r>
        <w:t>il s</w:t>
      </w:r>
      <w:r w:rsidR="00E84B0E">
        <w:t>’</w:t>
      </w:r>
      <w:r>
        <w:t>agit d</w:t>
      </w:r>
      <w:r w:rsidR="00E84B0E">
        <w:t>’</w:t>
      </w:r>
      <w:r>
        <w:t>un adjectif.</w:t>
      </w:r>
    </w:p>
    <w:p w14:paraId="25D7A20C" w14:textId="77777777" w:rsidR="00065317" w:rsidRDefault="005C7BF7">
      <w:pPr>
        <w:pStyle w:val="Normalcentr"/>
      </w:pPr>
      <w:r>
        <w:rPr>
          <w:b/>
          <w:bCs/>
          <w:i/>
          <w:iCs/>
        </w:rPr>
        <w:t>Références</w:t>
      </w:r>
    </w:p>
    <w:p w14:paraId="1804EFC8" w14:textId="7524216D" w:rsidR="00834C26" w:rsidRPr="00834C26" w:rsidRDefault="005C7BF7" w:rsidP="00914F34">
      <w:pPr>
        <w:pStyle w:val="Normalcentr"/>
      </w:pPr>
      <w:r>
        <w:t>Office québécois de la langue française. « Maximal, minimal et optimal : accord de l</w:t>
      </w:r>
      <w:r w:rsidR="00E84B0E">
        <w:t>’</w:t>
      </w:r>
      <w:r>
        <w:t xml:space="preserve">adjectif ». Dans </w:t>
      </w:r>
      <w:r>
        <w:rPr>
          <w:i/>
          <w:iCs/>
        </w:rPr>
        <w:t>Banque de dépannage linguistique</w:t>
      </w:r>
      <w:r>
        <w:t>. Québec, CA-QC</w:t>
      </w:r>
      <w:r w:rsidR="00AF2585">
        <w:t> </w:t>
      </w:r>
      <w:r>
        <w:t>: Office québécois de la langue fran</w:t>
      </w:r>
      <w:r w:rsidR="00AF2585">
        <w:t>ç</w:t>
      </w:r>
      <w:r>
        <w:t>aise, 8</w:t>
      </w:r>
      <w:r w:rsidR="00056DCD">
        <w:t> février </w:t>
      </w:r>
      <w:r>
        <w:t>2023.</w:t>
      </w:r>
      <w:hyperlink r:id="rId264">
        <w:r>
          <w:rPr>
            <w:rStyle w:val="Lienhypertexte"/>
          </w:rPr>
          <w:t xml:space="preserve"> </w:t>
        </w:r>
      </w:hyperlink>
      <w:hyperlink r:id="rId265">
        <w:r>
          <w:rPr>
            <w:rStyle w:val="Lienhypertexte"/>
          </w:rPr>
          <w:t>https://vitrinelinguistique.oqlf.gouv.qc.ca/23433/la-grammaire/ladjectif/accord-de-ladjectif/cas-particuliers-daccord-de-ladjectif/accord-des-adjectifs-maximal-minimal-et-optimal</w:t>
        </w:r>
      </w:hyperlink>
      <w:r>
        <w:t>.</w:t>
      </w:r>
    </w:p>
    <w:p w14:paraId="618BA65D" w14:textId="77777777" w:rsidR="00065317" w:rsidRDefault="005C7BF7" w:rsidP="00914F34">
      <w:pPr>
        <w:pStyle w:val="Titre3"/>
      </w:pPr>
      <w:bookmarkStart w:id="548" w:name="_Toc154048959"/>
      <w:bookmarkStart w:id="549" w:name="X780e6db10cb69c36347d5e43f99607646ab266a"/>
      <w:bookmarkEnd w:id="547"/>
      <w:r>
        <w:t>P173 commence avant ou au moment de la fin de (se termine après ou au moment du début de)</w:t>
      </w:r>
      <w:bookmarkEnd w:id="548"/>
    </w:p>
    <w:p w14:paraId="457A2795" w14:textId="77777777" w:rsidR="00065317" w:rsidRDefault="005C7BF7">
      <w:pPr>
        <w:pStyle w:val="FirstParagraph"/>
      </w:pPr>
      <w:r>
        <w:rPr>
          <w:b/>
          <w:bCs/>
        </w:rPr>
        <w:t>Domaine</w:t>
      </w:r>
    </w:p>
    <w:p w14:paraId="7A4D6B3F" w14:textId="77777777" w:rsidR="00065317" w:rsidRDefault="005C7BF7">
      <w:pPr>
        <w:pStyle w:val="Corpsdetexte"/>
      </w:pPr>
      <w:r>
        <w:rPr>
          <w:rStyle w:val="VerbatimChar"/>
        </w:rPr>
        <w:t>E2_Entité_temporelle</w:t>
      </w:r>
    </w:p>
    <w:p w14:paraId="07185437" w14:textId="77777777" w:rsidR="00065317" w:rsidRDefault="005C7BF7">
      <w:pPr>
        <w:pStyle w:val="Corpsdetexte"/>
      </w:pPr>
      <w:r>
        <w:rPr>
          <w:b/>
          <w:bCs/>
        </w:rPr>
        <w:t>Portée</w:t>
      </w:r>
    </w:p>
    <w:p w14:paraId="4B636D10" w14:textId="77777777" w:rsidR="00065317" w:rsidRDefault="005C7BF7">
      <w:pPr>
        <w:pStyle w:val="Corpsdetexte"/>
      </w:pPr>
      <w:r>
        <w:rPr>
          <w:rStyle w:val="VerbatimChar"/>
        </w:rPr>
        <w:t>E2_Entité_temporelle</w:t>
      </w:r>
    </w:p>
    <w:p w14:paraId="78AC9A5D" w14:textId="77777777" w:rsidR="00DE6C24" w:rsidRDefault="00DE6C24">
      <w:pPr>
        <w:spacing w:after="0"/>
        <w:rPr>
          <w:b/>
          <w:bCs/>
        </w:rPr>
      </w:pPr>
      <w:r>
        <w:rPr>
          <w:b/>
          <w:bCs/>
        </w:rPr>
        <w:br w:type="page"/>
      </w:r>
    </w:p>
    <w:p w14:paraId="405BE9A9" w14:textId="06F824E8" w:rsidR="00065317" w:rsidRDefault="005C7BF7">
      <w:pPr>
        <w:pStyle w:val="Corpsdetexte"/>
      </w:pPr>
      <w:r>
        <w:rPr>
          <w:b/>
          <w:bCs/>
        </w:rPr>
        <w:lastRenderedPageBreak/>
        <w:t>Sous-propriété de</w:t>
      </w:r>
    </w:p>
    <w:p w14:paraId="211FD2FC" w14:textId="77777777" w:rsidR="00065317" w:rsidRDefault="005C7BF7">
      <w:pPr>
        <w:pStyle w:val="Corpsdetexte"/>
      </w:pPr>
      <w:r>
        <w:rPr>
          <w:b/>
          <w:bCs/>
        </w:rPr>
        <w:t>Super-propriété de</w:t>
      </w:r>
    </w:p>
    <w:p w14:paraId="5CEDD82D" w14:textId="7D650E9B" w:rsidR="00065317" w:rsidRDefault="005C7BF7">
      <w:pPr>
        <w:pStyle w:val="Corpsdetexte"/>
      </w:pPr>
      <w:r>
        <w:rPr>
          <w:rStyle w:val="VerbatimChar"/>
        </w:rPr>
        <w:t>E2_Entité_temporelle</w:t>
      </w:r>
      <w:r>
        <w:t xml:space="preserve">. </w:t>
      </w:r>
      <w:r>
        <w:rPr>
          <w:rStyle w:val="VerbatimChar"/>
        </w:rPr>
        <w:t>P174_commence_avant_la_fin_de (se_termine_après_le_début_de)</w:t>
      </w:r>
      <w:r w:rsidR="0007778E">
        <w:t> </w:t>
      </w:r>
      <w:r>
        <w:t xml:space="preserve">: </w:t>
      </w:r>
      <w:r>
        <w:rPr>
          <w:rStyle w:val="VerbatimChar"/>
        </w:rPr>
        <w:t>E2_Entité_temporelle</w:t>
      </w:r>
    </w:p>
    <w:p w14:paraId="2B8B0CE4" w14:textId="77777777" w:rsidR="00065317" w:rsidRDefault="005C7BF7">
      <w:pPr>
        <w:pStyle w:val="Corpsdetexte"/>
      </w:pPr>
      <w:r>
        <w:rPr>
          <w:b/>
          <w:bCs/>
        </w:rPr>
        <w:t>Quantification</w:t>
      </w:r>
    </w:p>
    <w:p w14:paraId="107A58CE" w14:textId="77777777" w:rsidR="00065317" w:rsidRDefault="005C7BF7">
      <w:pPr>
        <w:pStyle w:val="Corpsdetexte"/>
      </w:pPr>
      <w:r>
        <w:t>plusieurs à plusieurs (0,n,0,n)</w:t>
      </w:r>
    </w:p>
    <w:p w14:paraId="40AD7F5F" w14:textId="66CA872A" w:rsidR="00065317" w:rsidRDefault="005C7BF7">
      <w:pPr>
        <w:pStyle w:val="Corpsdetexte"/>
      </w:pPr>
      <w:r>
        <w:rPr>
          <w:b/>
          <w:bCs/>
        </w:rPr>
        <w:t>Note d</w:t>
      </w:r>
      <w:r w:rsidR="00E84B0E">
        <w:rPr>
          <w:b/>
          <w:bCs/>
        </w:rPr>
        <w:t>’</w:t>
      </w:r>
      <w:r>
        <w:rPr>
          <w:b/>
          <w:bCs/>
        </w:rPr>
        <w:t>application</w:t>
      </w:r>
    </w:p>
    <w:p w14:paraId="5AFC439D" w14:textId="641BCFD1" w:rsidR="00065317" w:rsidRDefault="005C7BF7">
      <w:pPr>
        <w:pStyle w:val="Corpsdetexte"/>
      </w:pPr>
      <w:r>
        <w:t>Cette propriété spécifie que l</w:t>
      </w:r>
      <w:r w:rsidR="00E84B0E">
        <w:t>’</w:t>
      </w:r>
      <w:r>
        <w:t>étendue temporelle de l</w:t>
      </w:r>
      <w:r w:rsidR="00E84B0E">
        <w:t>’</w:t>
      </w:r>
      <w:r>
        <w:t xml:space="preserve">instance du domaine (A) de </w:t>
      </w:r>
      <w:r>
        <w:rPr>
          <w:rStyle w:val="VerbatimChar"/>
        </w:rPr>
        <w:t>E2_Entité_temporelle</w:t>
      </w:r>
      <w:r>
        <w:t xml:space="preserve"> commence avant ou simultanément avec la fin de l</w:t>
      </w:r>
      <w:r w:rsidR="00E84B0E">
        <w:t>’</w:t>
      </w:r>
      <w:r>
        <w:t>étendue temporelle de l</w:t>
      </w:r>
      <w:r w:rsidR="00E84B0E">
        <w:t>’</w:t>
      </w:r>
      <w:r>
        <w:t xml:space="preserve">instance de la portée (B) de </w:t>
      </w:r>
      <w:r>
        <w:rPr>
          <w:rStyle w:val="VerbatimChar"/>
        </w:rPr>
        <w:t>E2_Entité_temporelle</w:t>
      </w:r>
      <w:r>
        <w:t>.</w:t>
      </w:r>
    </w:p>
    <w:p w14:paraId="1ABAD1A7" w14:textId="530B427B" w:rsidR="00065317" w:rsidRDefault="005C7BF7">
      <w:pPr>
        <w:pStyle w:val="Corpsdetexte"/>
      </w:pPr>
      <w:r>
        <w:t>En d</w:t>
      </w:r>
      <w:r w:rsidR="00E84B0E">
        <w:t>’</w:t>
      </w:r>
      <w:r>
        <w:t>autres mots,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début</w:t>
      </w:r>
      <w:r>
        <w:t xml:space="preserve"> ≤ B</w:t>
      </w:r>
      <w:r>
        <w:rPr>
          <w:vertAlign w:val="superscript"/>
        </w:rPr>
        <w:t>fin</w:t>
      </w:r>
      <w:r>
        <w:t xml:space="preserve"> est vrai. Cette propriété fait partie de l</w:t>
      </w:r>
      <w:r w:rsidR="00E84B0E">
        <w:t>’</w:t>
      </w:r>
      <w:r>
        <w:t>ensemble des propriétés temporelles P173 à P176 et P182 à P185.</w:t>
      </w:r>
    </w:p>
    <w:p w14:paraId="0C09B190" w14:textId="4A80DE01" w:rsidR="00065317" w:rsidRDefault="005C7BF7">
      <w:pPr>
        <w:pStyle w:val="Corpsdetexte"/>
      </w:pPr>
      <w:r>
        <w:t>Cette propriété correspond à une disjonction (OU logique) des relations définies par l</w:t>
      </w:r>
      <w:r w:rsidR="00E84B0E">
        <w:t>’</w:t>
      </w:r>
      <w:r>
        <w:t>algèbre des intervalles d</w:t>
      </w:r>
      <w:r w:rsidR="00E84B0E">
        <w:t>’</w:t>
      </w:r>
      <w:r>
        <w:t>Allen suivantes (Allen, 1983) : {se déroule avant, rencontre, rencontré par, chevauche, démarre, démarré par, contient, finit, fini par, est égal à, durant, chevauché par}.</w:t>
      </w:r>
    </w:p>
    <w:p w14:paraId="6AED9622" w14:textId="22D91F71" w:rsidR="00065317" w:rsidRDefault="005C7BF7">
      <w:pPr>
        <w:pStyle w:val="Corpsdetexte"/>
      </w:pPr>
      <w:r>
        <w:t>Cette propriété n</w:t>
      </w:r>
      <w:r w:rsidR="00E84B0E">
        <w:t>’</w:t>
      </w:r>
      <w:r>
        <w:t>est pas transitive.</w:t>
      </w:r>
    </w:p>
    <w:p w14:paraId="37A598BA" w14:textId="77777777" w:rsidR="00065317" w:rsidRDefault="005C7BF7" w:rsidP="00DE6C24">
      <w:pPr>
        <w:pStyle w:val="Corpsdetexte"/>
        <w:spacing w:before="0" w:after="0"/>
      </w:pPr>
      <w:r>
        <w:rPr>
          <w:noProof/>
        </w:rPr>
        <w:drawing>
          <wp:inline distT="0" distB="0" distL="0" distR="0" wp14:anchorId="56E001D4" wp14:editId="6AB2F555">
            <wp:extent cx="6858000" cy="3025913"/>
            <wp:effectExtent l="0" t="0" r="0" b="0"/>
            <wp:docPr id="414" name="Picture" descr="Un diagramme illustre le fonctionnement de la propriété P173_commence_avant_ou_au_moment_de_la_fin_de (se_termine_après_ou_au_moment_du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15" name="Picture" descr="../../drawio/PNG/FR/Fig_8_FR.png"/>
                    <pic:cNvPicPr>
                      <a:picLocks noChangeAspect="1" noChangeArrowheads="1"/>
                    </pic:cNvPicPr>
                  </pic:nvPicPr>
                  <pic:blipFill>
                    <a:blip r:embed="rId266"/>
                    <a:stretch>
                      <a:fillRect/>
                    </a:stretch>
                  </pic:blipFill>
                  <pic:spPr bwMode="auto">
                    <a:xfrm>
                      <a:off x="0" y="0"/>
                      <a:ext cx="6858000" cy="3025913"/>
                    </a:xfrm>
                    <a:prstGeom prst="rect">
                      <a:avLst/>
                    </a:prstGeom>
                    <a:noFill/>
                    <a:ln w="9525">
                      <a:noFill/>
                      <a:headEnd/>
                      <a:tailEnd/>
                    </a:ln>
                  </pic:spPr>
                </pic:pic>
              </a:graphicData>
            </a:graphic>
          </wp:inline>
        </w:drawing>
      </w:r>
    </w:p>
    <w:p w14:paraId="5EEA9732" w14:textId="28EE438D" w:rsidR="00065317" w:rsidRDefault="005C7BF7" w:rsidP="00DE6C24">
      <w:pPr>
        <w:pStyle w:val="Corpsdetexte"/>
        <w:spacing w:before="0" w:after="0"/>
      </w:pPr>
      <w:r w:rsidRPr="00D93D69">
        <w:rPr>
          <w:i/>
          <w:iCs/>
          <w:sz w:val="20"/>
          <w:szCs w:val="20"/>
        </w:rPr>
        <w:t>Figure 8 : L</w:t>
      </w:r>
      <w:r w:rsidR="00E84B0E">
        <w:rPr>
          <w:i/>
          <w:iCs/>
          <w:sz w:val="20"/>
          <w:szCs w:val="20"/>
        </w:rPr>
        <w:t>’</w:t>
      </w:r>
      <w:r w:rsidRPr="00D93D69">
        <w:rPr>
          <w:i/>
          <w:iCs/>
          <w:sz w:val="20"/>
          <w:szCs w:val="20"/>
        </w:rPr>
        <w:t>entité temporelle A commence avant ou au moment de la fin de l</w:t>
      </w:r>
      <w:r w:rsidR="00E84B0E">
        <w:rPr>
          <w:i/>
          <w:iCs/>
          <w:sz w:val="20"/>
          <w:szCs w:val="20"/>
        </w:rPr>
        <w:t>’</w:t>
      </w:r>
      <w:r w:rsidRPr="00D93D69">
        <w:rPr>
          <w:i/>
          <w:iCs/>
          <w:sz w:val="20"/>
          <w:szCs w:val="20"/>
        </w:rPr>
        <w:t>entité temporelle B. Ici, A est plus long que B.</w:t>
      </w:r>
    </w:p>
    <w:p w14:paraId="68B73240" w14:textId="77777777" w:rsidR="00065317" w:rsidRDefault="005C7BF7" w:rsidP="00DE6C24">
      <w:pPr>
        <w:pStyle w:val="Corpsdetexte"/>
        <w:spacing w:before="0" w:after="0"/>
      </w:pPr>
      <w:r>
        <w:rPr>
          <w:noProof/>
        </w:rPr>
        <w:lastRenderedPageBreak/>
        <w:drawing>
          <wp:inline distT="0" distB="0" distL="0" distR="0" wp14:anchorId="6E7ABD7B" wp14:editId="75C3FE55">
            <wp:extent cx="6858000" cy="3025913"/>
            <wp:effectExtent l="0" t="0" r="0" b="0"/>
            <wp:docPr id="417" name="Picture" descr="Un diagramme illustre le fonctionnement de la propriété P173_commence_avant_ou_au_moment_de_la_fin_de (se_termine_après_ou_au_moment_du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18" name="Picture" descr="../../drawio/PNG/FR/Fig_9_FR.png"/>
                    <pic:cNvPicPr>
                      <a:picLocks noChangeAspect="1" noChangeArrowheads="1"/>
                    </pic:cNvPicPr>
                  </pic:nvPicPr>
                  <pic:blipFill>
                    <a:blip r:embed="rId267"/>
                    <a:stretch>
                      <a:fillRect/>
                    </a:stretch>
                  </pic:blipFill>
                  <pic:spPr bwMode="auto">
                    <a:xfrm>
                      <a:off x="0" y="0"/>
                      <a:ext cx="6858000" cy="3025913"/>
                    </a:xfrm>
                    <a:prstGeom prst="rect">
                      <a:avLst/>
                    </a:prstGeom>
                    <a:noFill/>
                    <a:ln w="9525">
                      <a:noFill/>
                      <a:headEnd/>
                      <a:tailEnd/>
                    </a:ln>
                  </pic:spPr>
                </pic:pic>
              </a:graphicData>
            </a:graphic>
          </wp:inline>
        </w:drawing>
      </w:r>
    </w:p>
    <w:p w14:paraId="570FC054" w14:textId="155113A7" w:rsidR="00065317" w:rsidRPr="00D93D69" w:rsidRDefault="005C7BF7" w:rsidP="00DE6C24">
      <w:pPr>
        <w:pStyle w:val="Corpsdetexte"/>
        <w:spacing w:before="0" w:after="0"/>
        <w:rPr>
          <w:sz w:val="20"/>
          <w:szCs w:val="20"/>
        </w:rPr>
      </w:pPr>
      <w:r w:rsidRPr="00D93D69">
        <w:rPr>
          <w:i/>
          <w:iCs/>
          <w:sz w:val="20"/>
          <w:szCs w:val="20"/>
        </w:rPr>
        <w:t>Figure 9 : L</w:t>
      </w:r>
      <w:r w:rsidR="00E84B0E">
        <w:rPr>
          <w:i/>
          <w:iCs/>
          <w:sz w:val="20"/>
          <w:szCs w:val="20"/>
        </w:rPr>
        <w:t>’</w:t>
      </w:r>
      <w:r w:rsidRPr="00D93D69">
        <w:rPr>
          <w:i/>
          <w:iCs/>
          <w:sz w:val="20"/>
          <w:szCs w:val="20"/>
        </w:rPr>
        <w:t>entité temporelle A commence avant ou au moment de la fin de l</w:t>
      </w:r>
      <w:r w:rsidR="00E84B0E">
        <w:rPr>
          <w:i/>
          <w:iCs/>
          <w:sz w:val="20"/>
          <w:szCs w:val="20"/>
        </w:rPr>
        <w:t>’</w:t>
      </w:r>
      <w:r w:rsidRPr="00D93D69">
        <w:rPr>
          <w:i/>
          <w:iCs/>
          <w:sz w:val="20"/>
          <w:szCs w:val="20"/>
        </w:rPr>
        <w:t>entité temporelle B. Ici, A est plus court que B.</w:t>
      </w:r>
    </w:p>
    <w:p w14:paraId="125232C1" w14:textId="77777777" w:rsidR="00065317" w:rsidRDefault="005C7BF7">
      <w:pPr>
        <w:pStyle w:val="Corpsdetexte"/>
      </w:pPr>
      <w:r>
        <w:rPr>
          <w:b/>
          <w:bCs/>
        </w:rPr>
        <w:t>Exemples</w:t>
      </w:r>
    </w:p>
    <w:p w14:paraId="7671E097" w14:textId="77777777" w:rsidR="00065317" w:rsidRDefault="005C7BF7">
      <w:pPr>
        <w:numPr>
          <w:ilvl w:val="0"/>
          <w:numId w:val="283"/>
        </w:numPr>
      </w:pPr>
      <w:r>
        <w:t>La course légendaire de Marathon à Athènes de 490 AEC (</w:t>
      </w:r>
      <w:r>
        <w:rPr>
          <w:rStyle w:val="VerbatimChar"/>
        </w:rPr>
        <w:t>E7_Activité</w:t>
      </w:r>
      <w:r>
        <w:t>) commence avant ou au moment de la fin de (</w:t>
      </w:r>
      <w:r>
        <w:rPr>
          <w:rStyle w:val="VerbatimChar"/>
        </w:rPr>
        <w:t>P173_commence_avant_ou_au_moment_de_la_fin_de</w:t>
      </w:r>
      <w:r>
        <w:t>) la bataille de Marathon de 490 AEC (</w:t>
      </w:r>
      <w:r>
        <w:rPr>
          <w:rStyle w:val="VerbatimChar"/>
        </w:rPr>
        <w:t>E7_Activité</w:t>
      </w:r>
      <w:r>
        <w:t>)</w:t>
      </w:r>
    </w:p>
    <w:p w14:paraId="09C1EFD4" w14:textId="66AB7B9D" w:rsidR="00065317" w:rsidRDefault="005C7BF7">
      <w:pPr>
        <w:numPr>
          <w:ilvl w:val="0"/>
          <w:numId w:val="283"/>
        </w:numPr>
      </w:pPr>
      <w:r>
        <w:t>La seconde période du Min</w:t>
      </w:r>
      <w:r w:rsidR="00C012B4">
        <w:t>œ</w:t>
      </w:r>
      <w:r>
        <w:t>n tardif (LMIIB) (</w:t>
      </w:r>
      <w:r>
        <w:rPr>
          <w:rStyle w:val="VerbatimChar"/>
        </w:rPr>
        <w:t>E4_Période</w:t>
      </w:r>
      <w:r>
        <w:t>) se termine après ou au moment du début de (</w:t>
      </w:r>
      <w:r>
        <w:rPr>
          <w:rStyle w:val="VerbatimChar"/>
        </w:rPr>
        <w:t>P173i_se_termine_après_ou_au_moment_du_début_de</w:t>
      </w:r>
      <w:r>
        <w:t>) la période de Toutânkhamon (1332-1323 AEC). [Un élément de preuve pour cela est fourni par le sceau de scarabée trouvé à Poros dans le contexte de la seconde période du Min</w:t>
      </w:r>
      <w:r w:rsidR="00C012B4">
        <w:t>œ</w:t>
      </w:r>
      <w:r>
        <w:t>n tardif (LMIIB). Le scarabée appartient au type « nh.s n Jmn ». Durant la période Akhenaton, la production de ce type de sceau scarabée s</w:t>
      </w:r>
      <w:r w:rsidR="00E84B0E">
        <w:t>’</w:t>
      </w:r>
      <w:r>
        <w:t>est arrêtée (le nom d</w:t>
      </w:r>
      <w:r w:rsidR="00E84B0E">
        <w:t>’</w:t>
      </w:r>
      <w:r>
        <w:t>Amon n</w:t>
      </w:r>
      <w:r w:rsidR="00E84B0E">
        <w:t>’</w:t>
      </w:r>
      <w:r>
        <w:t>est pas mentionné pendant son règne). Par conséquent, le scarabée ne peut pas avoir été produit avant la période Toutânkhamon et provient probablement d</w:t>
      </w:r>
      <w:r w:rsidR="00E84B0E">
        <w:t>’</w:t>
      </w:r>
      <w:r>
        <w:t>une production ultérieure] (Karetsou, 2000)</w:t>
      </w:r>
    </w:p>
    <w:p w14:paraId="701A4BF0" w14:textId="77777777" w:rsidR="00065317" w:rsidRDefault="005C7BF7">
      <w:pPr>
        <w:pStyle w:val="FirstParagraph"/>
      </w:pPr>
      <w:r>
        <w:rPr>
          <w:b/>
          <w:bCs/>
        </w:rPr>
        <w:t>Logique</w:t>
      </w:r>
    </w:p>
    <w:p w14:paraId="3BE031AB" w14:textId="77777777" w:rsidR="00065317" w:rsidRDefault="005C7BF7">
      <w:pPr>
        <w:pStyle w:val="Corpsdetexte"/>
      </w:pPr>
      <w:r>
        <w:t>P173(x,y) ⇒ E2(x)</w:t>
      </w:r>
    </w:p>
    <w:p w14:paraId="22DE5426" w14:textId="77777777" w:rsidR="00065317" w:rsidRDefault="005C7BF7">
      <w:pPr>
        <w:pStyle w:val="Corpsdetexte"/>
      </w:pPr>
      <w:r>
        <w:t>P173(x,y) ⇒ E2(y)</w:t>
      </w:r>
    </w:p>
    <w:p w14:paraId="464F0647" w14:textId="77777777" w:rsidR="00065317" w:rsidRDefault="005C7BF7">
      <w:pPr>
        <w:pStyle w:val="Corpsdetexte"/>
      </w:pPr>
      <w:r>
        <w:rPr>
          <w:b/>
          <w:bCs/>
        </w:rPr>
        <w:t>Propriétés</w:t>
      </w:r>
    </w:p>
    <w:p w14:paraId="60B0AEC7" w14:textId="77777777" w:rsidR="00065317" w:rsidRDefault="005C7BF7">
      <w:pPr>
        <w:pStyle w:val="Normalcentr"/>
      </w:pPr>
      <w:r>
        <w:rPr>
          <w:b/>
          <w:bCs/>
          <w:i/>
          <w:iCs/>
        </w:rPr>
        <w:t>Note de traduction</w:t>
      </w:r>
    </w:p>
    <w:p w14:paraId="752DF217" w14:textId="77777777" w:rsidR="00065317" w:rsidRDefault="005C7BF7">
      <w:pPr>
        <w:pStyle w:val="Normalcentr"/>
      </w:pPr>
      <w:r>
        <w:rPr>
          <w:b/>
          <w:bCs/>
          <w:i/>
          <w:iCs/>
        </w:rPr>
        <w:t>Références</w:t>
      </w:r>
    </w:p>
    <w:p w14:paraId="227DF53B" w14:textId="3349761C" w:rsidR="00834C26" w:rsidRPr="00834C26" w:rsidRDefault="005C7BF7" w:rsidP="00914F34">
      <w:pPr>
        <w:pStyle w:val="Normalcentr"/>
      </w:pPr>
      <w:r>
        <w:t>Wikipédia. « Algèbre des intervalles d</w:t>
      </w:r>
      <w:r w:rsidR="00E84B0E">
        <w:t>’</w:t>
      </w:r>
      <w:r>
        <w:t xml:space="preserve">Allen ». Dans </w:t>
      </w:r>
      <w:r>
        <w:rPr>
          <w:i/>
          <w:iCs/>
        </w:rPr>
        <w:t>Wikipédia</w:t>
      </w:r>
      <w:r>
        <w:t xml:space="preserve">. </w:t>
      </w:r>
      <w:r w:rsidRPr="00056DCD">
        <w:rPr>
          <w:lang w:val="en-CA"/>
        </w:rPr>
        <w:t>San Francisco, US-CA: Wikipédia, 14</w:t>
      </w:r>
      <w:r w:rsidR="00056DCD" w:rsidRPr="00056DCD">
        <w:rPr>
          <w:lang w:val="en-CA"/>
        </w:rPr>
        <w:t> janvier </w:t>
      </w:r>
      <w:r w:rsidRPr="00056DCD">
        <w:rPr>
          <w:lang w:val="en-CA"/>
        </w:rPr>
        <w:t>2021.</w:t>
      </w:r>
      <w:hyperlink r:id="rId268">
        <w:r w:rsidRPr="00056DCD">
          <w:rPr>
            <w:rStyle w:val="Lienhypertexte"/>
            <w:lang w:val="en-CA"/>
          </w:rPr>
          <w:t xml:space="preserve"> </w:t>
        </w:r>
      </w:hyperlink>
      <w:hyperlink r:id="rId269">
        <w:r>
          <w:rPr>
            <w:rStyle w:val="Lienhypertexte"/>
          </w:rPr>
          <w:t>https://fr.wikipedia.org/wiki/Alg%C3%A8bre_des_intervalles_d%27Allen</w:t>
        </w:r>
      </w:hyperlink>
      <w:r>
        <w:t>.</w:t>
      </w:r>
    </w:p>
    <w:p w14:paraId="58C24E5B" w14:textId="77777777" w:rsidR="00065317" w:rsidRDefault="005C7BF7" w:rsidP="00914F34">
      <w:pPr>
        <w:pStyle w:val="Titre3"/>
      </w:pPr>
      <w:bookmarkStart w:id="550" w:name="_Toc154048960"/>
      <w:bookmarkStart w:id="551" w:name="X5887b56d4e40a3a5fc966e8724b717424412586"/>
      <w:bookmarkEnd w:id="549"/>
      <w:r>
        <w:t xml:space="preserve">P174 commence avant la fin de (se </w:t>
      </w:r>
      <w:r w:rsidRPr="00C2235A">
        <w:t>termine</w:t>
      </w:r>
      <w:r>
        <w:t xml:space="preserve"> après le début de)</w:t>
      </w:r>
      <w:bookmarkEnd w:id="550"/>
    </w:p>
    <w:p w14:paraId="3144D166" w14:textId="77777777" w:rsidR="00065317" w:rsidRDefault="005C7BF7">
      <w:pPr>
        <w:pStyle w:val="FirstParagraph"/>
      </w:pPr>
      <w:r>
        <w:rPr>
          <w:b/>
          <w:bCs/>
        </w:rPr>
        <w:t>Domaine</w:t>
      </w:r>
    </w:p>
    <w:p w14:paraId="382215D0" w14:textId="77777777" w:rsidR="00065317" w:rsidRDefault="005C7BF7">
      <w:pPr>
        <w:pStyle w:val="Corpsdetexte"/>
      </w:pPr>
      <w:r>
        <w:rPr>
          <w:rStyle w:val="VerbatimChar"/>
        </w:rPr>
        <w:t>E2_Entité_temporelle</w:t>
      </w:r>
    </w:p>
    <w:p w14:paraId="0802A1A4" w14:textId="77777777" w:rsidR="00DE6C24" w:rsidRDefault="00DE6C24">
      <w:pPr>
        <w:spacing w:after="0"/>
        <w:rPr>
          <w:b/>
          <w:bCs/>
        </w:rPr>
      </w:pPr>
      <w:r>
        <w:rPr>
          <w:b/>
          <w:bCs/>
        </w:rPr>
        <w:br w:type="page"/>
      </w:r>
    </w:p>
    <w:p w14:paraId="0EABABA6" w14:textId="0E4BAB98" w:rsidR="00065317" w:rsidRDefault="005C7BF7">
      <w:pPr>
        <w:pStyle w:val="Corpsdetexte"/>
      </w:pPr>
      <w:r>
        <w:rPr>
          <w:b/>
          <w:bCs/>
        </w:rPr>
        <w:lastRenderedPageBreak/>
        <w:t>Portée</w:t>
      </w:r>
    </w:p>
    <w:p w14:paraId="6AE4C609" w14:textId="77777777" w:rsidR="00065317" w:rsidRDefault="005C7BF7">
      <w:pPr>
        <w:pStyle w:val="Corpsdetexte"/>
      </w:pPr>
      <w:r>
        <w:rPr>
          <w:rStyle w:val="VerbatimChar"/>
        </w:rPr>
        <w:t>E2_Entité_temporelle</w:t>
      </w:r>
    </w:p>
    <w:p w14:paraId="658E3317" w14:textId="77777777" w:rsidR="00065317" w:rsidRDefault="005C7BF7">
      <w:pPr>
        <w:pStyle w:val="Corpsdetexte"/>
      </w:pPr>
      <w:r>
        <w:rPr>
          <w:b/>
          <w:bCs/>
        </w:rPr>
        <w:t>Sous-propriété de</w:t>
      </w:r>
    </w:p>
    <w:p w14:paraId="1B4AE1E2" w14:textId="77777777" w:rsidR="00065317" w:rsidRDefault="005C7BF7">
      <w:pPr>
        <w:pStyle w:val="Corpsdetexte"/>
      </w:pPr>
      <w:r>
        <w:rPr>
          <w:rStyle w:val="VerbatimChar"/>
        </w:rPr>
        <w:t>E2_Entité_temporelle</w:t>
      </w:r>
      <w:r>
        <w:t xml:space="preserve">. </w:t>
      </w:r>
      <w:r>
        <w:rPr>
          <w:rStyle w:val="VerbatimChar"/>
        </w:rPr>
        <w:t>P173_commence_avant_ou_au_moment_de_la_fin_de (se_termine_après_ou_au_moment_du_début_de)</w:t>
      </w:r>
      <w:r>
        <w:t xml:space="preserve"> : </w:t>
      </w:r>
      <w:r>
        <w:rPr>
          <w:rStyle w:val="VerbatimChar"/>
        </w:rPr>
        <w:t>E2_Entité_temporelle</w:t>
      </w:r>
    </w:p>
    <w:p w14:paraId="22C85D7D" w14:textId="77777777" w:rsidR="00065317" w:rsidRDefault="005C7BF7">
      <w:pPr>
        <w:pStyle w:val="Corpsdetexte"/>
      </w:pPr>
      <w:r>
        <w:rPr>
          <w:b/>
          <w:bCs/>
        </w:rPr>
        <w:t>Super-propriété de</w:t>
      </w:r>
    </w:p>
    <w:p w14:paraId="7BB75BB3" w14:textId="77777777" w:rsidR="00065317" w:rsidRDefault="005C7BF7">
      <w:pPr>
        <w:pStyle w:val="Corpsdetexte"/>
      </w:pPr>
      <w:r>
        <w:rPr>
          <w:rStyle w:val="VerbatimChar"/>
        </w:rPr>
        <w:t>E2_Entité_temporelle</w:t>
      </w:r>
      <w:r>
        <w:t xml:space="preserve">. </w:t>
      </w:r>
      <w:r>
        <w:rPr>
          <w:rStyle w:val="VerbatimChar"/>
        </w:rPr>
        <w:t>P175_commence_avant_ou_au_moment_du_début_de (commence_après_ou_au_moment_du_début_de)</w:t>
      </w:r>
      <w:r>
        <w:t xml:space="preserve"> : </w:t>
      </w:r>
      <w:r>
        <w:rPr>
          <w:rStyle w:val="VerbatimChar"/>
        </w:rPr>
        <w:t>E2_Entité_temporelle</w:t>
      </w:r>
    </w:p>
    <w:p w14:paraId="4445D352" w14:textId="77777777" w:rsidR="00065317" w:rsidRDefault="005C7BF7">
      <w:pPr>
        <w:pStyle w:val="Corpsdetexte"/>
      </w:pPr>
      <w:r>
        <w:rPr>
          <w:rStyle w:val="VerbatimChar"/>
        </w:rPr>
        <w:t>E2_Entité_temporelle</w:t>
      </w:r>
      <w:r>
        <w:t xml:space="preserve">. </w:t>
      </w:r>
      <w:r>
        <w:rPr>
          <w:rStyle w:val="VerbatimChar"/>
        </w:rPr>
        <w:t>P184_se_termine_avant_ou_au_moment_de_la_fin_de (se_termine_au_moment_ou_après_la_fin_de)</w:t>
      </w:r>
      <w:r>
        <w:t xml:space="preserve"> : </w:t>
      </w:r>
      <w:r>
        <w:rPr>
          <w:rStyle w:val="VerbatimChar"/>
        </w:rPr>
        <w:t>E2_Entité_temporelle</w:t>
      </w:r>
    </w:p>
    <w:p w14:paraId="45C8BCD7" w14:textId="77777777" w:rsidR="00065317" w:rsidRDefault="005C7BF7">
      <w:pPr>
        <w:pStyle w:val="Corpsdetexte"/>
      </w:pPr>
      <w:r>
        <w:rPr>
          <w:b/>
          <w:bCs/>
        </w:rPr>
        <w:t>Quantification</w:t>
      </w:r>
    </w:p>
    <w:p w14:paraId="41016BF5" w14:textId="77777777" w:rsidR="00065317" w:rsidRDefault="005C7BF7">
      <w:pPr>
        <w:pStyle w:val="Corpsdetexte"/>
      </w:pPr>
      <w:r>
        <w:t>plusieurs à plusieurs (0,n:0,n)</w:t>
      </w:r>
    </w:p>
    <w:p w14:paraId="6E976666" w14:textId="09949BBD" w:rsidR="00065317" w:rsidRDefault="005C7BF7">
      <w:pPr>
        <w:pStyle w:val="Corpsdetexte"/>
      </w:pPr>
      <w:r>
        <w:rPr>
          <w:b/>
          <w:bCs/>
        </w:rPr>
        <w:t>Note d</w:t>
      </w:r>
      <w:r w:rsidR="00E84B0E">
        <w:rPr>
          <w:b/>
          <w:bCs/>
        </w:rPr>
        <w:t>’</w:t>
      </w:r>
      <w:r>
        <w:rPr>
          <w:b/>
          <w:bCs/>
        </w:rPr>
        <w:t>application</w:t>
      </w:r>
    </w:p>
    <w:p w14:paraId="41405370" w14:textId="151114E8" w:rsidR="00065317" w:rsidRDefault="005C7BF7">
      <w:pPr>
        <w:pStyle w:val="Corpsdetexte"/>
      </w:pPr>
      <w:r>
        <w:t>Cette propriété spécifie que l</w:t>
      </w:r>
      <w:r w:rsidR="00E84B0E">
        <w:t>’</w:t>
      </w:r>
      <w:r>
        <w:t>étendue temporelle de l</w:t>
      </w:r>
      <w:r w:rsidR="00E84B0E">
        <w:t>’</w:t>
      </w:r>
      <w:r>
        <w:t xml:space="preserve">instance du domaine (A) de </w:t>
      </w:r>
      <w:r>
        <w:rPr>
          <w:rStyle w:val="VerbatimChar"/>
        </w:rPr>
        <w:t>E2_Entité_temporelle</w:t>
      </w:r>
      <w:r>
        <w:t>, commence de manière certaine avant la fin de l</w:t>
      </w:r>
      <w:r w:rsidR="00E84B0E">
        <w:t>’</w:t>
      </w:r>
      <w:r>
        <w:t>étendue temporelle de l</w:t>
      </w:r>
      <w:r w:rsidR="00E84B0E">
        <w:t>’</w:t>
      </w:r>
      <w:r>
        <w:t xml:space="preserve">instance de la portée (B) de </w:t>
      </w:r>
      <w:r>
        <w:rPr>
          <w:rStyle w:val="VerbatimChar"/>
        </w:rPr>
        <w:t>E2_Entité_temporelle</w:t>
      </w:r>
      <w:r>
        <w:t>.</w:t>
      </w:r>
    </w:p>
    <w:p w14:paraId="5BCDB73E" w14:textId="17E022EE" w:rsidR="00065317" w:rsidRDefault="005C7BF7">
      <w:pPr>
        <w:pStyle w:val="Corpsdetexte"/>
      </w:pPr>
      <w:r>
        <w:t>En d</w:t>
      </w:r>
      <w:r w:rsidR="00E84B0E">
        <w:t>’</w:t>
      </w:r>
      <w:r>
        <w:t>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début</w:t>
      </w:r>
      <w:r>
        <w:t xml:space="preserve"> &lt; B</w:t>
      </w:r>
      <w:r>
        <w:rPr>
          <w:vertAlign w:val="superscript"/>
        </w:rPr>
        <w:t>fin</w:t>
      </w:r>
      <w:r>
        <w:t xml:space="preserve"> est vrai.</w:t>
      </w:r>
    </w:p>
    <w:p w14:paraId="7DFBB144" w14:textId="402F3DA7" w:rsidR="00065317" w:rsidRDefault="005C7BF7">
      <w:pPr>
        <w:pStyle w:val="Corpsdetexte"/>
      </w:pPr>
      <w:r>
        <w:t>Cette propriété fait partie de l</w:t>
      </w:r>
      <w:r w:rsidR="00E84B0E">
        <w:t>’</w:t>
      </w:r>
      <w:r>
        <w:t>ensemble des propriétés temporelles P173 à P176 et P182 à P185.</w:t>
      </w:r>
    </w:p>
    <w:p w14:paraId="3BCC858C" w14:textId="04EF09B5" w:rsidR="00065317" w:rsidRDefault="005C7BF7">
      <w:pPr>
        <w:pStyle w:val="Corpsdetexte"/>
      </w:pPr>
      <w:r>
        <w:t>Cette propriété correspond à une disjonction (OU logique) des relations définies par l</w:t>
      </w:r>
      <w:r w:rsidR="00E84B0E">
        <w:t>’</w:t>
      </w:r>
      <w:r>
        <w:t>algèbre des intervalles d</w:t>
      </w:r>
      <w:r w:rsidR="00E84B0E">
        <w:t>’</w:t>
      </w:r>
      <w:r>
        <w:t>Allen suivantes (Allen, 1983) : {se déroule avant, rencontre, chevauche, démarre, démarré par, contient, finit, fini par, est égal à, durant, chevauché par}.</w:t>
      </w:r>
    </w:p>
    <w:p w14:paraId="302C31D7" w14:textId="2AB6E229" w:rsidR="00065317" w:rsidRDefault="005C7BF7">
      <w:pPr>
        <w:pStyle w:val="Corpsdetexte"/>
      </w:pPr>
      <w:r>
        <w:t>Typiquement, cette propriété est une conséquence de l</w:t>
      </w:r>
      <w:r w:rsidR="00E84B0E">
        <w:t>’</w:t>
      </w:r>
      <w:r>
        <w:t>influence connue d</w:t>
      </w:r>
      <w:r w:rsidR="00E84B0E">
        <w:t>’</w:t>
      </w:r>
      <w:r>
        <w:t>un évènement sur un autre évènement ou sur une autre activité, tel que le roman commencé par un actant et poursuivi par un autre actant, ou la connaissance d</w:t>
      </w:r>
      <w:r w:rsidR="00E84B0E">
        <w:t>’</w:t>
      </w:r>
      <w:r>
        <w:t>une défaite sur un champ de bataille lointain poussant des actants à mettre fin à leurs activités en cours.</w:t>
      </w:r>
    </w:p>
    <w:p w14:paraId="2A80C0C0" w14:textId="6B9FBF39" w:rsidR="00065317" w:rsidRDefault="005C7BF7">
      <w:pPr>
        <w:pStyle w:val="Corpsdetexte"/>
      </w:pPr>
      <w:r>
        <w:t>Cette propriété n</w:t>
      </w:r>
      <w:r w:rsidR="00E84B0E">
        <w:t>’</w:t>
      </w:r>
      <w:r>
        <w:t>est pas transitive et est irréflexive.</w:t>
      </w:r>
    </w:p>
    <w:p w14:paraId="286F4FB5" w14:textId="77777777" w:rsidR="00065317" w:rsidRDefault="005C7BF7" w:rsidP="00DE6C24">
      <w:pPr>
        <w:pStyle w:val="Corpsdetexte"/>
        <w:spacing w:before="0" w:after="0"/>
      </w:pPr>
      <w:r>
        <w:rPr>
          <w:noProof/>
        </w:rPr>
        <w:lastRenderedPageBreak/>
        <w:drawing>
          <wp:inline distT="0" distB="0" distL="0" distR="0" wp14:anchorId="7B00FD62" wp14:editId="70059834">
            <wp:extent cx="6858000" cy="3473367"/>
            <wp:effectExtent l="0" t="0" r="0" b="0"/>
            <wp:docPr id="422" name="Picture" descr="Un diagramme illustre le fonctionnement de la propriété P174_commence_avant_la fin_de (se_termin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23" name="Picture" descr="../../drawio/PNG/FR/Fig_10_FR.png"/>
                    <pic:cNvPicPr>
                      <a:picLocks noChangeAspect="1" noChangeArrowheads="1"/>
                    </pic:cNvPicPr>
                  </pic:nvPicPr>
                  <pic:blipFill>
                    <a:blip r:embed="rId270"/>
                    <a:stretch>
                      <a:fillRect/>
                    </a:stretch>
                  </pic:blipFill>
                  <pic:spPr bwMode="auto">
                    <a:xfrm>
                      <a:off x="0" y="0"/>
                      <a:ext cx="6858000" cy="3473367"/>
                    </a:xfrm>
                    <a:prstGeom prst="rect">
                      <a:avLst/>
                    </a:prstGeom>
                    <a:noFill/>
                    <a:ln w="9525">
                      <a:noFill/>
                      <a:headEnd/>
                      <a:tailEnd/>
                    </a:ln>
                  </pic:spPr>
                </pic:pic>
              </a:graphicData>
            </a:graphic>
          </wp:inline>
        </w:drawing>
      </w:r>
    </w:p>
    <w:p w14:paraId="515190F2" w14:textId="13675FAE" w:rsidR="00065317" w:rsidRPr="00D93D69" w:rsidRDefault="005C7BF7" w:rsidP="00DE6C24">
      <w:pPr>
        <w:pStyle w:val="Corpsdetexte"/>
        <w:spacing w:before="0" w:after="0"/>
        <w:rPr>
          <w:sz w:val="20"/>
          <w:szCs w:val="20"/>
        </w:rPr>
      </w:pPr>
      <w:r w:rsidRPr="00D93D69">
        <w:rPr>
          <w:i/>
          <w:iCs/>
          <w:sz w:val="20"/>
          <w:szCs w:val="20"/>
        </w:rPr>
        <w:t>Figure 10 : L</w:t>
      </w:r>
      <w:r w:rsidR="00E84B0E">
        <w:rPr>
          <w:i/>
          <w:iCs/>
          <w:sz w:val="20"/>
          <w:szCs w:val="20"/>
        </w:rPr>
        <w:t>’</w:t>
      </w:r>
      <w:r w:rsidRPr="00D93D69">
        <w:rPr>
          <w:i/>
          <w:iCs/>
          <w:sz w:val="20"/>
          <w:szCs w:val="20"/>
        </w:rPr>
        <w:t>entité temporelle A commence avant la fin de l</w:t>
      </w:r>
      <w:r w:rsidR="00E84B0E">
        <w:rPr>
          <w:i/>
          <w:iCs/>
          <w:sz w:val="20"/>
          <w:szCs w:val="20"/>
        </w:rPr>
        <w:t>’</w:t>
      </w:r>
      <w:r w:rsidRPr="00D93D69">
        <w:rPr>
          <w:i/>
          <w:iCs/>
          <w:sz w:val="20"/>
          <w:szCs w:val="20"/>
        </w:rPr>
        <w:t>entité temporelle B. Ici, A est plus long que B.</w:t>
      </w:r>
    </w:p>
    <w:p w14:paraId="4132649D" w14:textId="77777777" w:rsidR="00065317" w:rsidRDefault="00065317">
      <w:pPr>
        <w:pStyle w:val="Corpsdetexte"/>
      </w:pPr>
    </w:p>
    <w:p w14:paraId="454AA690" w14:textId="77777777" w:rsidR="00065317" w:rsidRDefault="005C7BF7" w:rsidP="00DE6C24">
      <w:pPr>
        <w:pStyle w:val="Corpsdetexte"/>
        <w:spacing w:before="0" w:after="0"/>
      </w:pPr>
      <w:r>
        <w:rPr>
          <w:noProof/>
        </w:rPr>
        <w:drawing>
          <wp:inline distT="0" distB="0" distL="0" distR="0" wp14:anchorId="21ACE99F" wp14:editId="018B2D71">
            <wp:extent cx="6858000" cy="3410330"/>
            <wp:effectExtent l="0" t="0" r="0" b="0"/>
            <wp:docPr id="425" name="Picture" descr="Un diagramme illustre le fonctionnement de la propriété P174_commence_avant_la fin_de (se_termin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26" name="Picture" descr="../../drawio/PNG/FR/Fig_11_FR.png"/>
                    <pic:cNvPicPr>
                      <a:picLocks noChangeAspect="1" noChangeArrowheads="1"/>
                    </pic:cNvPicPr>
                  </pic:nvPicPr>
                  <pic:blipFill>
                    <a:blip r:embed="rId271"/>
                    <a:stretch>
                      <a:fillRect/>
                    </a:stretch>
                  </pic:blipFill>
                  <pic:spPr bwMode="auto">
                    <a:xfrm>
                      <a:off x="0" y="0"/>
                      <a:ext cx="6858000" cy="3410330"/>
                    </a:xfrm>
                    <a:prstGeom prst="rect">
                      <a:avLst/>
                    </a:prstGeom>
                    <a:noFill/>
                    <a:ln w="9525">
                      <a:noFill/>
                      <a:headEnd/>
                      <a:tailEnd/>
                    </a:ln>
                  </pic:spPr>
                </pic:pic>
              </a:graphicData>
            </a:graphic>
          </wp:inline>
        </w:drawing>
      </w:r>
    </w:p>
    <w:p w14:paraId="5BE4BFBF" w14:textId="1D899D00" w:rsidR="00065317" w:rsidRPr="00D93D69" w:rsidRDefault="005C7BF7" w:rsidP="00DE6C24">
      <w:pPr>
        <w:pStyle w:val="Corpsdetexte"/>
        <w:spacing w:before="0" w:after="0"/>
        <w:rPr>
          <w:sz w:val="20"/>
          <w:szCs w:val="20"/>
        </w:rPr>
      </w:pPr>
      <w:r w:rsidRPr="00D93D69">
        <w:rPr>
          <w:i/>
          <w:iCs/>
          <w:sz w:val="20"/>
          <w:szCs w:val="20"/>
        </w:rPr>
        <w:t>Figure 11 : L</w:t>
      </w:r>
      <w:r w:rsidR="00E84B0E">
        <w:rPr>
          <w:i/>
          <w:iCs/>
          <w:sz w:val="20"/>
          <w:szCs w:val="20"/>
        </w:rPr>
        <w:t>’</w:t>
      </w:r>
      <w:r w:rsidRPr="00D93D69">
        <w:rPr>
          <w:i/>
          <w:iCs/>
          <w:sz w:val="20"/>
          <w:szCs w:val="20"/>
        </w:rPr>
        <w:t>entité temporelle A commence avant la fin de l</w:t>
      </w:r>
      <w:r w:rsidR="00E84B0E">
        <w:rPr>
          <w:i/>
          <w:iCs/>
          <w:sz w:val="20"/>
          <w:szCs w:val="20"/>
        </w:rPr>
        <w:t>’</w:t>
      </w:r>
      <w:r w:rsidRPr="00D93D69">
        <w:rPr>
          <w:i/>
          <w:iCs/>
          <w:sz w:val="20"/>
          <w:szCs w:val="20"/>
        </w:rPr>
        <w:t>entité temporelle B. Ici, A est plus court que B.</w:t>
      </w:r>
    </w:p>
    <w:p w14:paraId="719CEFA1" w14:textId="77777777" w:rsidR="00065317" w:rsidRDefault="005C7BF7">
      <w:pPr>
        <w:pStyle w:val="Corpsdetexte"/>
      </w:pPr>
      <w:r>
        <w:rPr>
          <w:b/>
          <w:bCs/>
        </w:rPr>
        <w:t>Exemples</w:t>
      </w:r>
    </w:p>
    <w:p w14:paraId="2CA1ED40" w14:textId="71D3E137" w:rsidR="00065317" w:rsidRDefault="005C7BF7">
      <w:pPr>
        <w:numPr>
          <w:ilvl w:val="0"/>
          <w:numId w:val="284"/>
        </w:numPr>
      </w:pPr>
      <w:r>
        <w:t>Le peuplement de la cité d</w:t>
      </w:r>
      <w:r w:rsidR="00E84B0E">
        <w:t>’</w:t>
      </w:r>
      <w:r>
        <w:t>Assur (Ashur) (</w:t>
      </w:r>
      <w:r>
        <w:rPr>
          <w:rStyle w:val="VerbatimChar"/>
        </w:rPr>
        <w:t>E7_Activité)</w:t>
      </w:r>
      <w:r>
        <w:t xml:space="preserve"> commence avant la fin de (</w:t>
      </w:r>
      <w:r>
        <w:rPr>
          <w:rStyle w:val="VerbatimChar"/>
        </w:rPr>
        <w:t>P174_commence_avant_la_fin_de</w:t>
      </w:r>
      <w:r>
        <w:t>) la X</w:t>
      </w:r>
      <w:r>
        <w:rPr>
          <w:vertAlign w:val="superscript"/>
        </w:rPr>
        <w:t>e</w:t>
      </w:r>
      <w:r>
        <w:t xml:space="preserve"> dynastie d</w:t>
      </w:r>
      <w:r w:rsidR="00E84B0E">
        <w:t>’</w:t>
      </w:r>
      <w:r>
        <w:t>Égypte (</w:t>
      </w:r>
      <w:r>
        <w:rPr>
          <w:rStyle w:val="VerbatimChar"/>
        </w:rPr>
        <w:t>E4_Période</w:t>
      </w:r>
      <w:r>
        <w:t>) [Il y a une différence de 200 à 300 ans dans la chronologie de la Première Période intermédiaire, et la fondation de la cité d</w:t>
      </w:r>
      <w:r w:rsidR="00E84B0E">
        <w:t>’</w:t>
      </w:r>
      <w:r>
        <w:t>Assur est datée « autour de 2500 AEC »] (Pedersén, 1986)</w:t>
      </w:r>
    </w:p>
    <w:p w14:paraId="5B176A2B" w14:textId="5D7B59EA" w:rsidR="00065317" w:rsidRDefault="005C7BF7">
      <w:pPr>
        <w:numPr>
          <w:ilvl w:val="0"/>
          <w:numId w:val="284"/>
        </w:numPr>
      </w:pPr>
      <w:r>
        <w:lastRenderedPageBreak/>
        <w:t>La construction de l</w:t>
      </w:r>
      <w:r w:rsidR="00E84B0E">
        <w:t>’</w:t>
      </w:r>
      <w:r>
        <w:t>actuelle basilique Saint-Pierre à Rome (</w:t>
      </w:r>
      <w:r>
        <w:rPr>
          <w:rStyle w:val="VerbatimChar"/>
        </w:rPr>
        <w:t>E7_Activité</w:t>
      </w:r>
      <w:r>
        <w:t>) commence avant la fin de (</w:t>
      </w:r>
      <w:r>
        <w:rPr>
          <w:rStyle w:val="VerbatimChar"/>
        </w:rPr>
        <w:t>P174_commence_avant_la_fin_de</w:t>
      </w:r>
      <w:r>
        <w:t>) la démolition de la basilique Saint-Pierre du IV</w:t>
      </w:r>
      <w:r>
        <w:rPr>
          <w:vertAlign w:val="superscript"/>
        </w:rPr>
        <w:t>e</w:t>
      </w:r>
      <w:r w:rsidR="00056DCD">
        <w:t> siècle </w:t>
      </w:r>
      <w:r>
        <w:t>EC (</w:t>
      </w:r>
      <w:r>
        <w:rPr>
          <w:rStyle w:val="VerbatimChar"/>
        </w:rPr>
        <w:t>E6_Destruction</w:t>
      </w:r>
      <w:r>
        <w:t xml:space="preserve">, </w:t>
      </w:r>
      <w:r>
        <w:rPr>
          <w:rStyle w:val="VerbatimChar"/>
        </w:rPr>
        <w:t>E7_Activité</w:t>
      </w:r>
      <w:r>
        <w:t>) (Bosman, 2004)</w:t>
      </w:r>
    </w:p>
    <w:p w14:paraId="2C50DD1F" w14:textId="77777777" w:rsidR="00065317" w:rsidRDefault="005C7BF7">
      <w:pPr>
        <w:pStyle w:val="FirstParagraph"/>
      </w:pPr>
      <w:r>
        <w:rPr>
          <w:b/>
          <w:bCs/>
        </w:rPr>
        <w:t>Logique</w:t>
      </w:r>
    </w:p>
    <w:p w14:paraId="353FBE83" w14:textId="77777777" w:rsidR="00065317" w:rsidRDefault="005C7BF7">
      <w:pPr>
        <w:pStyle w:val="Corpsdetexte"/>
      </w:pPr>
      <w:r>
        <w:t>P174(x,y) ⇒ E2(x)</w:t>
      </w:r>
    </w:p>
    <w:p w14:paraId="697C6FAB" w14:textId="77777777" w:rsidR="00065317" w:rsidRDefault="005C7BF7">
      <w:pPr>
        <w:pStyle w:val="Corpsdetexte"/>
      </w:pPr>
      <w:r>
        <w:t>P174(x,y) ⇒ E2(y)</w:t>
      </w:r>
    </w:p>
    <w:p w14:paraId="65D4E948" w14:textId="77777777" w:rsidR="00065317" w:rsidRDefault="005C7BF7">
      <w:pPr>
        <w:pStyle w:val="Corpsdetexte"/>
      </w:pPr>
      <w:r>
        <w:t>P174(x,y) ⇒ P173(x,y)</w:t>
      </w:r>
    </w:p>
    <w:p w14:paraId="34065A28" w14:textId="77777777" w:rsidR="00065317" w:rsidRDefault="005C7BF7">
      <w:pPr>
        <w:pStyle w:val="Corpsdetexte"/>
      </w:pPr>
      <w:r>
        <w:t>¬P174(x,x)</w:t>
      </w:r>
    </w:p>
    <w:p w14:paraId="72BD72B1" w14:textId="77777777" w:rsidR="00065317" w:rsidRDefault="005C7BF7">
      <w:pPr>
        <w:pStyle w:val="Corpsdetexte"/>
      </w:pPr>
      <w:r>
        <w:rPr>
          <w:b/>
          <w:bCs/>
        </w:rPr>
        <w:t>Propriétés</w:t>
      </w:r>
    </w:p>
    <w:p w14:paraId="68E5D90C" w14:textId="77777777" w:rsidR="00065317" w:rsidRDefault="005C7BF7">
      <w:pPr>
        <w:pStyle w:val="Normalcentr"/>
      </w:pPr>
      <w:r>
        <w:rPr>
          <w:b/>
          <w:bCs/>
          <w:i/>
          <w:iCs/>
        </w:rPr>
        <w:t>Note de traduction</w:t>
      </w:r>
    </w:p>
    <w:p w14:paraId="54C49F2A" w14:textId="77777777" w:rsidR="00065317" w:rsidRDefault="005C7BF7">
      <w:pPr>
        <w:pStyle w:val="Normalcentr"/>
      </w:pPr>
      <w:r>
        <w:rPr>
          <w:b/>
          <w:bCs/>
          <w:i/>
          <w:iCs/>
        </w:rPr>
        <w:t>Références</w:t>
      </w:r>
    </w:p>
    <w:p w14:paraId="038CEC94" w14:textId="0170B6AC" w:rsidR="00834C26" w:rsidRPr="00834C26" w:rsidRDefault="005C7BF7" w:rsidP="00914F34">
      <w:pPr>
        <w:pStyle w:val="Normalcentr"/>
      </w:pPr>
      <w:r>
        <w:t>Wikipédia. « Algèbre des intervalles d</w:t>
      </w:r>
      <w:r w:rsidR="00E84B0E">
        <w:t>’</w:t>
      </w:r>
      <w:r>
        <w:t xml:space="preserve">Allen ». Dans </w:t>
      </w:r>
      <w:r>
        <w:rPr>
          <w:i/>
          <w:iCs/>
        </w:rPr>
        <w:t>Wikipédia</w:t>
      </w:r>
      <w:r>
        <w:t xml:space="preserve">. </w:t>
      </w:r>
      <w:r w:rsidRPr="00DA2F1F">
        <w:t>San Francisco, US-CA: Wikipédia, 14</w:t>
      </w:r>
      <w:r w:rsidR="00056DCD" w:rsidRPr="00DA2F1F">
        <w:t> janvier </w:t>
      </w:r>
      <w:r w:rsidRPr="00DA2F1F">
        <w:t>2021.</w:t>
      </w:r>
      <w:hyperlink r:id="rId272">
        <w:r w:rsidRPr="00DA2F1F">
          <w:rPr>
            <w:rStyle w:val="Lienhypertexte"/>
          </w:rPr>
          <w:t xml:space="preserve"> </w:t>
        </w:r>
      </w:hyperlink>
      <w:hyperlink r:id="rId273">
        <w:r>
          <w:rPr>
            <w:rStyle w:val="Lienhypertexte"/>
          </w:rPr>
          <w:t>https://fr.wikipedia.org/wiki/Alg%C3%A8bre_des_intervalles_d%27Allen</w:t>
        </w:r>
      </w:hyperlink>
      <w:r>
        <w:t>.</w:t>
      </w:r>
    </w:p>
    <w:p w14:paraId="21217A70" w14:textId="77777777" w:rsidR="00065317" w:rsidRDefault="005C7BF7" w:rsidP="00914F34">
      <w:pPr>
        <w:pStyle w:val="Titre3"/>
      </w:pPr>
      <w:bookmarkStart w:id="552" w:name="_Toc154048961"/>
      <w:bookmarkStart w:id="553" w:name="Xa1fe23082878002499eae07d89bf3b898d0005b"/>
      <w:bookmarkEnd w:id="551"/>
      <w:r>
        <w:t>P175 commence avant ou au moment du début de (commence après ou au moment du début de)</w:t>
      </w:r>
      <w:bookmarkEnd w:id="552"/>
    </w:p>
    <w:p w14:paraId="1C62DCED" w14:textId="77777777" w:rsidR="00065317" w:rsidRDefault="005C7BF7">
      <w:pPr>
        <w:pStyle w:val="FirstParagraph"/>
      </w:pPr>
      <w:r>
        <w:rPr>
          <w:b/>
          <w:bCs/>
        </w:rPr>
        <w:t>Domaine</w:t>
      </w:r>
    </w:p>
    <w:p w14:paraId="17C23975" w14:textId="77777777" w:rsidR="00065317" w:rsidRDefault="005C7BF7">
      <w:pPr>
        <w:pStyle w:val="Corpsdetexte"/>
      </w:pPr>
      <w:r>
        <w:rPr>
          <w:rStyle w:val="VerbatimChar"/>
        </w:rPr>
        <w:t>E2_Entité_temporelle</w:t>
      </w:r>
    </w:p>
    <w:p w14:paraId="1122EA50" w14:textId="77777777" w:rsidR="00065317" w:rsidRDefault="005C7BF7">
      <w:pPr>
        <w:pStyle w:val="Corpsdetexte"/>
      </w:pPr>
      <w:r>
        <w:rPr>
          <w:b/>
          <w:bCs/>
        </w:rPr>
        <w:t>Portée</w:t>
      </w:r>
    </w:p>
    <w:p w14:paraId="0383CA5F" w14:textId="77777777" w:rsidR="00065317" w:rsidRDefault="005C7BF7">
      <w:pPr>
        <w:pStyle w:val="Corpsdetexte"/>
      </w:pPr>
      <w:r>
        <w:rPr>
          <w:rStyle w:val="VerbatimChar"/>
        </w:rPr>
        <w:t>E2_Entité_temporelle</w:t>
      </w:r>
    </w:p>
    <w:p w14:paraId="71F740AD" w14:textId="77777777" w:rsidR="00065317" w:rsidRDefault="005C7BF7">
      <w:pPr>
        <w:pStyle w:val="Corpsdetexte"/>
      </w:pPr>
      <w:r>
        <w:rPr>
          <w:b/>
          <w:bCs/>
        </w:rPr>
        <w:t>Sous-propriété de</w:t>
      </w:r>
    </w:p>
    <w:p w14:paraId="35792675" w14:textId="77777777" w:rsidR="00065317" w:rsidRDefault="005C7BF7">
      <w:pPr>
        <w:pStyle w:val="Corpsdetexte"/>
      </w:pPr>
      <w:r>
        <w:rPr>
          <w:rStyle w:val="VerbatimChar"/>
        </w:rPr>
        <w:t>E2_Entité_temporelle</w:t>
      </w:r>
      <w:r>
        <w:t xml:space="preserve">. </w:t>
      </w:r>
      <w:r>
        <w:rPr>
          <w:rStyle w:val="VerbatimChar"/>
        </w:rPr>
        <w:t>P174_commence_avant_la_fin_de (se_termine_après_le_début_de)</w:t>
      </w:r>
      <w:r>
        <w:t xml:space="preserve"> : </w:t>
      </w:r>
      <w:r>
        <w:rPr>
          <w:rStyle w:val="VerbatimChar"/>
        </w:rPr>
        <w:t>E2_Entité_temporelle</w:t>
      </w:r>
    </w:p>
    <w:p w14:paraId="03C528DB" w14:textId="77777777" w:rsidR="00065317" w:rsidRDefault="005C7BF7">
      <w:pPr>
        <w:pStyle w:val="Corpsdetexte"/>
      </w:pPr>
      <w:r>
        <w:rPr>
          <w:b/>
          <w:bCs/>
        </w:rPr>
        <w:t>Super-propriété de</w:t>
      </w:r>
    </w:p>
    <w:p w14:paraId="3DBCFE93" w14:textId="77777777" w:rsidR="00065317" w:rsidRDefault="005C7BF7">
      <w:pPr>
        <w:pStyle w:val="Corpsdetexte"/>
      </w:pPr>
      <w:r>
        <w:rPr>
          <w:rStyle w:val="VerbatimChar"/>
        </w:rPr>
        <w:t>E2_Entité_temporelle</w:t>
      </w:r>
      <w:r>
        <w:t xml:space="preserve">. </w:t>
      </w:r>
      <w:r>
        <w:rPr>
          <w:rStyle w:val="VerbatimChar"/>
        </w:rPr>
        <w:t>P176_commence_avant_le_début_de (commence_après_le_début_de)</w:t>
      </w:r>
      <w:r>
        <w:t xml:space="preserve"> : </w:t>
      </w:r>
      <w:r>
        <w:rPr>
          <w:rStyle w:val="VerbatimChar"/>
        </w:rPr>
        <w:t>E2_Entité_temporelle</w:t>
      </w:r>
    </w:p>
    <w:p w14:paraId="167F1CE7" w14:textId="77777777" w:rsidR="00065317" w:rsidRDefault="005C7BF7">
      <w:pPr>
        <w:pStyle w:val="Corpsdetexte"/>
      </w:pPr>
      <w:r>
        <w:rPr>
          <w:b/>
          <w:bCs/>
        </w:rPr>
        <w:t>Quantification</w:t>
      </w:r>
    </w:p>
    <w:p w14:paraId="1195630D" w14:textId="68590021" w:rsidR="00834C26" w:rsidRDefault="005C7BF7">
      <w:pPr>
        <w:pStyle w:val="Corpsdetexte"/>
        <w:rPr>
          <w:b/>
          <w:bCs/>
        </w:rPr>
      </w:pPr>
      <w:r>
        <w:t>plusieurs à plusieurs (0,n:0,n)</w:t>
      </w:r>
    </w:p>
    <w:p w14:paraId="6AF00DA4" w14:textId="4B6346A8" w:rsidR="00065317" w:rsidRDefault="005C7BF7">
      <w:pPr>
        <w:pStyle w:val="Corpsdetexte"/>
      </w:pPr>
      <w:r>
        <w:rPr>
          <w:b/>
          <w:bCs/>
        </w:rPr>
        <w:t>Note d</w:t>
      </w:r>
      <w:r w:rsidR="00E84B0E">
        <w:rPr>
          <w:b/>
          <w:bCs/>
        </w:rPr>
        <w:t>’</w:t>
      </w:r>
      <w:r>
        <w:rPr>
          <w:b/>
          <w:bCs/>
        </w:rPr>
        <w:t>application</w:t>
      </w:r>
    </w:p>
    <w:p w14:paraId="164833D5" w14:textId="4DDF1673" w:rsidR="00065317" w:rsidRDefault="005C7BF7">
      <w:pPr>
        <w:pStyle w:val="Corpsdetexte"/>
      </w:pPr>
      <w:r>
        <w:t>Cette propriété spécifie que l</w:t>
      </w:r>
      <w:r w:rsidR="00E84B0E">
        <w:t>’</w:t>
      </w:r>
      <w:r>
        <w:t>étendue temporelle de l</w:t>
      </w:r>
      <w:r w:rsidR="00E84B0E">
        <w:t>’</w:t>
      </w:r>
      <w:r>
        <w:t xml:space="preserve">instance du domaine (A) de </w:t>
      </w:r>
      <w:r>
        <w:rPr>
          <w:rStyle w:val="VerbatimChar"/>
        </w:rPr>
        <w:t>E2_Entité_temporelle</w:t>
      </w:r>
      <w:r>
        <w:t>, commence avant ou au moment du début de l</w:t>
      </w:r>
      <w:r w:rsidR="00E84B0E">
        <w:t>’</w:t>
      </w:r>
      <w:r>
        <w:t>étendue temporelle de l</w:t>
      </w:r>
      <w:r w:rsidR="00E84B0E">
        <w:t>’</w:t>
      </w:r>
      <w:r>
        <w:t xml:space="preserve">instance de la portée (B) de </w:t>
      </w:r>
      <w:r>
        <w:rPr>
          <w:rStyle w:val="VerbatimChar"/>
        </w:rPr>
        <w:t>E2_Entité_temporelle</w:t>
      </w:r>
      <w:r>
        <w:t xml:space="preserve"> .</w:t>
      </w:r>
    </w:p>
    <w:p w14:paraId="6AF9318B" w14:textId="2E0960E6" w:rsidR="00065317" w:rsidRDefault="005C7BF7">
      <w:pPr>
        <w:pStyle w:val="Corpsdetexte"/>
      </w:pPr>
      <w:r>
        <w:t>En d</w:t>
      </w:r>
      <w:r w:rsidR="00E84B0E">
        <w:t>’</w:t>
      </w:r>
      <w:r>
        <w:t>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début</w:t>
      </w:r>
      <w:r>
        <w:t xml:space="preserve"> ≤ B</w:t>
      </w:r>
      <w:r>
        <w:rPr>
          <w:vertAlign w:val="superscript"/>
        </w:rPr>
        <w:t>début</w:t>
      </w:r>
      <w:r>
        <w:t xml:space="preserve"> est vrai.</w:t>
      </w:r>
    </w:p>
    <w:p w14:paraId="74EE800D" w14:textId="30C8ACCD" w:rsidR="00065317" w:rsidRDefault="005C7BF7">
      <w:pPr>
        <w:pStyle w:val="Corpsdetexte"/>
      </w:pPr>
      <w:r>
        <w:t>Cette propriété fait partie de l</w:t>
      </w:r>
      <w:r w:rsidR="00E84B0E">
        <w:t>’</w:t>
      </w:r>
      <w:r>
        <w:t>ensemble des propriétés temporelles P173 à P176 et P182 à P185.</w:t>
      </w:r>
    </w:p>
    <w:p w14:paraId="7CB37BEA" w14:textId="0045D694" w:rsidR="00065317" w:rsidRDefault="005C7BF7">
      <w:pPr>
        <w:pStyle w:val="Corpsdetexte"/>
      </w:pPr>
      <w:r>
        <w:lastRenderedPageBreak/>
        <w:t>Cette propriété correspond à une disjonction (OU logique) des relations définies par l</w:t>
      </w:r>
      <w:r w:rsidR="00E84B0E">
        <w:t>’</w:t>
      </w:r>
      <w:r>
        <w:t>algèbre des intervalles d</w:t>
      </w:r>
      <w:r w:rsidR="00E84B0E">
        <w:t>’</w:t>
      </w:r>
      <w:r>
        <w:t>Allen suivantes [Allen, 1983] : {se déroule avant, rencontre, chevauche, démarre, démarré par, contient, fini par, est égal à}</w:t>
      </w:r>
    </w:p>
    <w:p w14:paraId="0CA5B054" w14:textId="118B1B43" w:rsidR="00065317" w:rsidRDefault="005C7BF7">
      <w:pPr>
        <w:pStyle w:val="Corpsdetexte"/>
      </w:pPr>
      <w:r>
        <w:t>Dans un modèle avec des limites floues, cette propriété n</w:t>
      </w:r>
      <w:r w:rsidR="00E84B0E">
        <w:t>’</w:t>
      </w:r>
      <w:r>
        <w:t>est pas transitive.</w:t>
      </w:r>
    </w:p>
    <w:p w14:paraId="4B6A44C8" w14:textId="77777777" w:rsidR="00065317" w:rsidRDefault="005C7BF7">
      <w:pPr>
        <w:pStyle w:val="Corpsdetexte"/>
      </w:pPr>
      <w:r>
        <w:t>Cette propriété est irréflexive.</w:t>
      </w:r>
    </w:p>
    <w:p w14:paraId="46DD8452" w14:textId="77777777" w:rsidR="00065317" w:rsidRDefault="005C7BF7" w:rsidP="00DE6C24">
      <w:pPr>
        <w:pStyle w:val="Corpsdetexte"/>
        <w:spacing w:before="0" w:after="0"/>
      </w:pPr>
      <w:r>
        <w:rPr>
          <w:noProof/>
        </w:rPr>
        <w:drawing>
          <wp:inline distT="0" distB="0" distL="0" distR="0" wp14:anchorId="535AEFC3" wp14:editId="62ACF005">
            <wp:extent cx="6858000" cy="2977958"/>
            <wp:effectExtent l="0" t="0" r="0" b="0"/>
            <wp:docPr id="429" name="Picture" descr="Un diagramme illustre le fonctionnement de la propriété P175_commence_avant_ou_au_moment_du_début_de (commence_après_ou_au_moment_du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30" name="Picture" descr="../../drawio/PNG/FR/Fig_12_FR.png"/>
                    <pic:cNvPicPr>
                      <a:picLocks noChangeAspect="1" noChangeArrowheads="1"/>
                    </pic:cNvPicPr>
                  </pic:nvPicPr>
                  <pic:blipFill>
                    <a:blip r:embed="rId274"/>
                    <a:stretch>
                      <a:fillRect/>
                    </a:stretch>
                  </pic:blipFill>
                  <pic:spPr bwMode="auto">
                    <a:xfrm>
                      <a:off x="0" y="0"/>
                      <a:ext cx="6858000" cy="2977958"/>
                    </a:xfrm>
                    <a:prstGeom prst="rect">
                      <a:avLst/>
                    </a:prstGeom>
                    <a:noFill/>
                    <a:ln w="9525">
                      <a:noFill/>
                      <a:headEnd/>
                      <a:tailEnd/>
                    </a:ln>
                  </pic:spPr>
                </pic:pic>
              </a:graphicData>
            </a:graphic>
          </wp:inline>
        </w:drawing>
      </w:r>
    </w:p>
    <w:p w14:paraId="3B2A2B8F" w14:textId="5CA0FD8D" w:rsidR="00065317" w:rsidRPr="00D93D69" w:rsidRDefault="005C7BF7" w:rsidP="00DE6C24">
      <w:pPr>
        <w:pStyle w:val="Corpsdetexte"/>
        <w:spacing w:before="0" w:after="0"/>
        <w:rPr>
          <w:sz w:val="20"/>
          <w:szCs w:val="20"/>
        </w:rPr>
      </w:pPr>
      <w:r w:rsidRPr="00D93D69">
        <w:rPr>
          <w:i/>
          <w:iCs/>
          <w:sz w:val="20"/>
          <w:szCs w:val="20"/>
        </w:rPr>
        <w:t>Figure 12 : L</w:t>
      </w:r>
      <w:r w:rsidR="00E84B0E">
        <w:rPr>
          <w:i/>
          <w:iCs/>
          <w:sz w:val="20"/>
          <w:szCs w:val="20"/>
        </w:rPr>
        <w:t>’</w:t>
      </w:r>
      <w:r w:rsidRPr="00D93D69">
        <w:rPr>
          <w:i/>
          <w:iCs/>
          <w:sz w:val="20"/>
          <w:szCs w:val="20"/>
        </w:rPr>
        <w:t>entité temporelle A commence avant ou au moment du début de l</w:t>
      </w:r>
      <w:r w:rsidR="00E84B0E">
        <w:rPr>
          <w:i/>
          <w:iCs/>
          <w:sz w:val="20"/>
          <w:szCs w:val="20"/>
        </w:rPr>
        <w:t>’</w:t>
      </w:r>
      <w:r w:rsidRPr="00D93D69">
        <w:rPr>
          <w:i/>
          <w:iCs/>
          <w:sz w:val="20"/>
          <w:szCs w:val="20"/>
        </w:rPr>
        <w:t>entité temporelle B. Ici, A est plus long que B.</w:t>
      </w:r>
    </w:p>
    <w:p w14:paraId="5BD5EAC2" w14:textId="77777777" w:rsidR="00065317" w:rsidRDefault="00065317">
      <w:pPr>
        <w:pStyle w:val="Corpsdetexte"/>
      </w:pPr>
    </w:p>
    <w:p w14:paraId="389BFE33" w14:textId="77777777" w:rsidR="00065317" w:rsidRDefault="005C7BF7" w:rsidP="00DE6C24">
      <w:pPr>
        <w:pStyle w:val="Corpsdetexte"/>
        <w:spacing w:before="0" w:after="0"/>
      </w:pPr>
      <w:r>
        <w:rPr>
          <w:noProof/>
        </w:rPr>
        <w:drawing>
          <wp:inline distT="0" distB="0" distL="0" distR="0" wp14:anchorId="1F80CF81" wp14:editId="2BA5399E">
            <wp:extent cx="6858000" cy="3126608"/>
            <wp:effectExtent l="0" t="0" r="0" b="0"/>
            <wp:docPr id="432" name="Picture" descr="Un diagramme illustre le fonctionnement de la propriété P175_commence_avant_ou_au_moment_du_début_de (commence_après_ou_au_moment_du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33" name="Picture" descr="../../drawio/PNG/FR/Fig_13_FR.png"/>
                    <pic:cNvPicPr>
                      <a:picLocks noChangeAspect="1" noChangeArrowheads="1"/>
                    </pic:cNvPicPr>
                  </pic:nvPicPr>
                  <pic:blipFill>
                    <a:blip r:embed="rId275"/>
                    <a:stretch>
                      <a:fillRect/>
                    </a:stretch>
                  </pic:blipFill>
                  <pic:spPr bwMode="auto">
                    <a:xfrm>
                      <a:off x="0" y="0"/>
                      <a:ext cx="6858000" cy="3126608"/>
                    </a:xfrm>
                    <a:prstGeom prst="rect">
                      <a:avLst/>
                    </a:prstGeom>
                    <a:noFill/>
                    <a:ln w="9525">
                      <a:noFill/>
                      <a:headEnd/>
                      <a:tailEnd/>
                    </a:ln>
                  </pic:spPr>
                </pic:pic>
              </a:graphicData>
            </a:graphic>
          </wp:inline>
        </w:drawing>
      </w:r>
    </w:p>
    <w:p w14:paraId="5373CFAE" w14:textId="4A9AE984" w:rsidR="00065317" w:rsidRPr="00D93D69" w:rsidRDefault="005C7BF7" w:rsidP="00DE6C24">
      <w:pPr>
        <w:pStyle w:val="Corpsdetexte"/>
        <w:spacing w:before="0" w:after="0"/>
        <w:rPr>
          <w:sz w:val="20"/>
          <w:szCs w:val="20"/>
        </w:rPr>
      </w:pPr>
      <w:r w:rsidRPr="00D93D69">
        <w:rPr>
          <w:i/>
          <w:iCs/>
          <w:sz w:val="20"/>
          <w:szCs w:val="20"/>
        </w:rPr>
        <w:t>Figure 13 : L</w:t>
      </w:r>
      <w:r w:rsidR="00E84B0E">
        <w:rPr>
          <w:i/>
          <w:iCs/>
          <w:sz w:val="20"/>
          <w:szCs w:val="20"/>
        </w:rPr>
        <w:t>’</w:t>
      </w:r>
      <w:r w:rsidRPr="00D93D69">
        <w:rPr>
          <w:i/>
          <w:iCs/>
          <w:sz w:val="20"/>
          <w:szCs w:val="20"/>
        </w:rPr>
        <w:t>entité temporelle A commence avant ou au moment du début de l</w:t>
      </w:r>
      <w:r w:rsidR="00E84B0E">
        <w:rPr>
          <w:i/>
          <w:iCs/>
          <w:sz w:val="20"/>
          <w:szCs w:val="20"/>
        </w:rPr>
        <w:t>’</w:t>
      </w:r>
      <w:r w:rsidRPr="00D93D69">
        <w:rPr>
          <w:i/>
          <w:iCs/>
          <w:sz w:val="20"/>
          <w:szCs w:val="20"/>
        </w:rPr>
        <w:t>entité temporelle B. Ici, A est plus court que B.</w:t>
      </w:r>
    </w:p>
    <w:p w14:paraId="056B38BF" w14:textId="77777777" w:rsidR="00DE6C24" w:rsidRDefault="00DE6C24">
      <w:pPr>
        <w:spacing w:after="0"/>
        <w:rPr>
          <w:b/>
          <w:bCs/>
        </w:rPr>
      </w:pPr>
      <w:r>
        <w:rPr>
          <w:b/>
          <w:bCs/>
        </w:rPr>
        <w:br w:type="page"/>
      </w:r>
    </w:p>
    <w:p w14:paraId="1CF3284B" w14:textId="7B7CFFB8" w:rsidR="00065317" w:rsidRDefault="005C7BF7">
      <w:pPr>
        <w:pStyle w:val="Corpsdetexte"/>
      </w:pPr>
      <w:r>
        <w:rPr>
          <w:b/>
          <w:bCs/>
        </w:rPr>
        <w:lastRenderedPageBreak/>
        <w:t>Exemples</w:t>
      </w:r>
    </w:p>
    <w:p w14:paraId="375D962B" w14:textId="70D25C0B" w:rsidR="00065317" w:rsidRDefault="005C7BF7">
      <w:pPr>
        <w:numPr>
          <w:ilvl w:val="0"/>
          <w:numId w:val="285"/>
        </w:numPr>
      </w:pPr>
      <w:r>
        <w:t>La production du sceau de scarabée trouvé à Poros dans le contexte de la troisième période du Min</w:t>
      </w:r>
      <w:r w:rsidR="00C012B4">
        <w:t>œ</w:t>
      </w:r>
      <w:r>
        <w:t>n tardif (LMIIIB) (</w:t>
      </w:r>
      <w:r>
        <w:rPr>
          <w:rStyle w:val="VerbatimChar"/>
        </w:rPr>
        <w:t>E12_Production</w:t>
      </w:r>
      <w:r>
        <w:t>) commence après ou au moment du début de (</w:t>
      </w:r>
      <w:r>
        <w:rPr>
          <w:rStyle w:val="VerbatimChar"/>
        </w:rPr>
        <w:t>P175i_commence_après_ou_au_moment_du_début_de</w:t>
      </w:r>
      <w:r>
        <w:t>) la période de Toutânkhamon (vers 1332-1323 AEC) (</w:t>
      </w:r>
      <w:r>
        <w:rPr>
          <w:rStyle w:val="VerbatimChar"/>
        </w:rPr>
        <w:t>E4_Période</w:t>
      </w:r>
      <w:r>
        <w:t>). [Le sceau de scarabée trouvé à Poros était associé à des découvertes datées de la période du Min</w:t>
      </w:r>
      <w:r w:rsidR="00C012B4">
        <w:t>œ</w:t>
      </w:r>
      <w:r>
        <w:t>n tardif. Le sceau est daté de la période Toutânkhamon ou plus tard, car il appartient aux scarabées de type « nh.s n Jmn »: Durant la période Akhenaton, la production de ce type de sceau scarabée s</w:t>
      </w:r>
      <w:r w:rsidR="00E84B0E">
        <w:t>’</w:t>
      </w:r>
      <w:r>
        <w:t>est arrêtée (le nom d</w:t>
      </w:r>
      <w:r w:rsidR="00E84B0E">
        <w:t>’</w:t>
      </w:r>
      <w:r>
        <w:t>Amon n</w:t>
      </w:r>
      <w:r w:rsidR="00E84B0E">
        <w:t>’</w:t>
      </w:r>
      <w:r>
        <w:t>est pas mentionné pendant son règne). Par conséquent, le scarabée ne peut pas avoir été produit avant la période Toutânkhamon et provient probablement d</w:t>
      </w:r>
      <w:r w:rsidR="00E84B0E">
        <w:t>’</w:t>
      </w:r>
      <w:r>
        <w:t>une production ultérieure] (Karetsou, 2000)</w:t>
      </w:r>
    </w:p>
    <w:p w14:paraId="1C56D00E" w14:textId="0EBD5E10" w:rsidR="00065317" w:rsidRDefault="005C7BF7">
      <w:pPr>
        <w:numPr>
          <w:ilvl w:val="0"/>
          <w:numId w:val="285"/>
        </w:numPr>
      </w:pPr>
      <w:r>
        <w:t>La production du sceau cylindrique de la première dynastie de Babylone trouvé à Tholos B à Platanos (</w:t>
      </w:r>
      <w:r>
        <w:rPr>
          <w:rStyle w:val="VerbatimChar"/>
        </w:rPr>
        <w:t>E12_Production</w:t>
      </w:r>
      <w:r>
        <w:t>) commence après ou au moment du début de (</w:t>
      </w:r>
      <w:r>
        <w:rPr>
          <w:rStyle w:val="VerbatimChar"/>
        </w:rPr>
        <w:t>P175i_commence_après_ou_au_moment_du_début_de</w:t>
      </w:r>
      <w:r>
        <w:t>) la période Hammurabi du royaume (</w:t>
      </w:r>
      <w:r>
        <w:rPr>
          <w:rStyle w:val="VerbatimChar"/>
        </w:rPr>
        <w:t>E4_Période</w:t>
      </w:r>
      <w:r>
        <w:t>). [Le sceau cylindrique de la première dynastie de Babylone trouvé dans le Tholos B de Platanos suggère une liaison entre le roi Hammurabi et la période MM I. Bien que l</w:t>
      </w:r>
      <w:r w:rsidR="00E84B0E">
        <w:t>’</w:t>
      </w:r>
      <w:r>
        <w:t>on pense que la découverte ait été trouvée dans une couche MM I, elle contenait du matériel des périodes MM III / Y M I. Par conséquent, le sceau peut provenir de la période Hammurabi ou d</w:t>
      </w:r>
      <w:r w:rsidR="00E84B0E">
        <w:t>’</w:t>
      </w:r>
      <w:r>
        <w:t>une période ultérieure] (Walberg, 1992)</w:t>
      </w:r>
    </w:p>
    <w:p w14:paraId="49787A28" w14:textId="77777777" w:rsidR="00065317" w:rsidRDefault="005C7BF7">
      <w:pPr>
        <w:pStyle w:val="FirstParagraph"/>
      </w:pPr>
      <w:r>
        <w:rPr>
          <w:b/>
          <w:bCs/>
        </w:rPr>
        <w:t>Logique</w:t>
      </w:r>
    </w:p>
    <w:p w14:paraId="2DF33EE7" w14:textId="77777777" w:rsidR="00065317" w:rsidRDefault="005C7BF7">
      <w:pPr>
        <w:pStyle w:val="Corpsdetexte"/>
      </w:pPr>
      <w:r>
        <w:t>P175(x,y) ⇒ E2(x)</w:t>
      </w:r>
    </w:p>
    <w:p w14:paraId="67C0ECBF" w14:textId="77777777" w:rsidR="00065317" w:rsidRDefault="005C7BF7">
      <w:pPr>
        <w:pStyle w:val="Corpsdetexte"/>
      </w:pPr>
      <w:r>
        <w:t>P175(x,y) ⇒ E2(y)</w:t>
      </w:r>
    </w:p>
    <w:p w14:paraId="6F474A81" w14:textId="77777777" w:rsidR="00065317" w:rsidRDefault="005C7BF7">
      <w:pPr>
        <w:pStyle w:val="Corpsdetexte"/>
      </w:pPr>
      <w:r>
        <w:t>P175(x,y) ⇒ P174(x,y)</w:t>
      </w:r>
    </w:p>
    <w:p w14:paraId="1D021F04" w14:textId="77777777" w:rsidR="00065317" w:rsidRDefault="005C7BF7">
      <w:pPr>
        <w:pStyle w:val="Corpsdetexte"/>
      </w:pPr>
      <w:r>
        <w:t>¬P175(x,x)</w:t>
      </w:r>
    </w:p>
    <w:p w14:paraId="756CA282" w14:textId="77777777" w:rsidR="00065317" w:rsidRDefault="005C7BF7">
      <w:pPr>
        <w:pStyle w:val="Corpsdetexte"/>
      </w:pPr>
      <w:r>
        <w:rPr>
          <w:b/>
          <w:bCs/>
        </w:rPr>
        <w:t>Propriétés</w:t>
      </w:r>
    </w:p>
    <w:p w14:paraId="63A34F0F" w14:textId="77777777" w:rsidR="00065317" w:rsidRDefault="005C7BF7">
      <w:pPr>
        <w:pStyle w:val="Normalcentr"/>
      </w:pPr>
      <w:r>
        <w:rPr>
          <w:b/>
          <w:bCs/>
          <w:i/>
          <w:iCs/>
        </w:rPr>
        <w:t>Note de traduction</w:t>
      </w:r>
    </w:p>
    <w:p w14:paraId="0B1CD9C7" w14:textId="77777777" w:rsidR="00065317" w:rsidRDefault="005C7BF7">
      <w:pPr>
        <w:pStyle w:val="Normalcentr"/>
      </w:pPr>
      <w:r>
        <w:rPr>
          <w:b/>
          <w:bCs/>
          <w:i/>
          <w:iCs/>
        </w:rPr>
        <w:t>Références</w:t>
      </w:r>
    </w:p>
    <w:p w14:paraId="0FFC8FC2" w14:textId="51269CB8" w:rsidR="00834C26" w:rsidRPr="00834C26" w:rsidRDefault="005C7BF7" w:rsidP="00914F34">
      <w:pPr>
        <w:pStyle w:val="Normalcentr"/>
      </w:pPr>
      <w:r>
        <w:t>Wikipédia. « Algèbre des intervalles d</w:t>
      </w:r>
      <w:r w:rsidR="00E84B0E">
        <w:t>’</w:t>
      </w:r>
      <w:r>
        <w:t xml:space="preserve">Allen ». Dans </w:t>
      </w:r>
      <w:r>
        <w:rPr>
          <w:i/>
          <w:iCs/>
        </w:rPr>
        <w:t>Wikipédia</w:t>
      </w:r>
      <w:r>
        <w:t xml:space="preserve">. </w:t>
      </w:r>
      <w:r w:rsidRPr="00DA2F1F">
        <w:t>San Francisco, US-CA: Wikipédia, 14</w:t>
      </w:r>
      <w:r w:rsidR="00056DCD" w:rsidRPr="00DA2F1F">
        <w:t> janvier </w:t>
      </w:r>
      <w:r w:rsidRPr="00DA2F1F">
        <w:t>2021.</w:t>
      </w:r>
      <w:hyperlink r:id="rId276">
        <w:r w:rsidRPr="00DA2F1F">
          <w:rPr>
            <w:rStyle w:val="Lienhypertexte"/>
          </w:rPr>
          <w:t xml:space="preserve"> </w:t>
        </w:r>
      </w:hyperlink>
      <w:hyperlink r:id="rId277">
        <w:r>
          <w:rPr>
            <w:rStyle w:val="Lienhypertexte"/>
          </w:rPr>
          <w:t>https://fr.wikipedia.org/wiki/Alg%C3%A8bre_des_intervalles_d%27Allen</w:t>
        </w:r>
      </w:hyperlink>
      <w:r>
        <w:t>.</w:t>
      </w:r>
    </w:p>
    <w:p w14:paraId="38FC094C" w14:textId="77777777" w:rsidR="00065317" w:rsidRDefault="005C7BF7" w:rsidP="00914F34">
      <w:pPr>
        <w:pStyle w:val="Titre3"/>
      </w:pPr>
      <w:bookmarkStart w:id="554" w:name="_Toc154048962"/>
      <w:bookmarkStart w:id="555" w:name="X9a5809457e4e0e1ab21f34131032a7dcb7f7992"/>
      <w:bookmarkEnd w:id="553"/>
      <w:r>
        <w:t>P176 commence avant le début de (commence après le début de)</w:t>
      </w:r>
      <w:bookmarkEnd w:id="554"/>
    </w:p>
    <w:p w14:paraId="37FD6D9F" w14:textId="77777777" w:rsidR="00065317" w:rsidRDefault="005C7BF7">
      <w:pPr>
        <w:pStyle w:val="FirstParagraph"/>
      </w:pPr>
      <w:r>
        <w:rPr>
          <w:b/>
          <w:bCs/>
        </w:rPr>
        <w:t>Domaine</w:t>
      </w:r>
    </w:p>
    <w:p w14:paraId="10632B68" w14:textId="77777777" w:rsidR="00065317" w:rsidRDefault="005C7BF7">
      <w:pPr>
        <w:pStyle w:val="Corpsdetexte"/>
      </w:pPr>
      <w:r>
        <w:rPr>
          <w:rStyle w:val="VerbatimChar"/>
        </w:rPr>
        <w:t>E2_Entité_temporelle</w:t>
      </w:r>
    </w:p>
    <w:p w14:paraId="4784E290" w14:textId="77777777" w:rsidR="00065317" w:rsidRDefault="005C7BF7">
      <w:pPr>
        <w:pStyle w:val="Corpsdetexte"/>
      </w:pPr>
      <w:r>
        <w:rPr>
          <w:b/>
          <w:bCs/>
        </w:rPr>
        <w:t>Portée</w:t>
      </w:r>
    </w:p>
    <w:p w14:paraId="4FF4877A" w14:textId="77777777" w:rsidR="00065317" w:rsidRDefault="005C7BF7">
      <w:pPr>
        <w:pStyle w:val="Corpsdetexte"/>
      </w:pPr>
      <w:r>
        <w:rPr>
          <w:rStyle w:val="VerbatimChar"/>
        </w:rPr>
        <w:t>E2_Entité_temporelle</w:t>
      </w:r>
    </w:p>
    <w:p w14:paraId="72FE3300" w14:textId="77777777" w:rsidR="00065317" w:rsidRDefault="005C7BF7">
      <w:pPr>
        <w:pStyle w:val="Corpsdetexte"/>
      </w:pPr>
      <w:r>
        <w:rPr>
          <w:b/>
          <w:bCs/>
        </w:rPr>
        <w:t>Sous-propriété de</w:t>
      </w:r>
    </w:p>
    <w:p w14:paraId="5EFA0BA4" w14:textId="3437BE75" w:rsidR="00834C26" w:rsidRPr="00834C26" w:rsidRDefault="005C7BF7">
      <w:pPr>
        <w:pStyle w:val="Corpsdetexte"/>
      </w:pPr>
      <w:r>
        <w:rPr>
          <w:rStyle w:val="VerbatimChar"/>
        </w:rPr>
        <w:t>E2_Entité_temporelle</w:t>
      </w:r>
      <w:r>
        <w:t xml:space="preserve">. </w:t>
      </w:r>
      <w:r>
        <w:rPr>
          <w:rStyle w:val="VerbatimChar"/>
        </w:rPr>
        <w:t>P175_commence_avant_ou_au_moment_du_début_de (commence_après_ou_au_moment_du_début_de)</w:t>
      </w:r>
      <w:r>
        <w:t xml:space="preserve"> : </w:t>
      </w:r>
      <w:r>
        <w:rPr>
          <w:rStyle w:val="VerbatimChar"/>
        </w:rPr>
        <w:t>E2_Entité_temporelle</w:t>
      </w:r>
    </w:p>
    <w:p w14:paraId="5EC88A89" w14:textId="011974ED" w:rsidR="00065317" w:rsidRDefault="005C7BF7">
      <w:pPr>
        <w:pStyle w:val="Corpsdetexte"/>
      </w:pPr>
      <w:r>
        <w:rPr>
          <w:b/>
          <w:bCs/>
        </w:rPr>
        <w:t>Super-propriété de</w:t>
      </w:r>
    </w:p>
    <w:p w14:paraId="5CA44AF3" w14:textId="563A760B" w:rsidR="00065317" w:rsidRDefault="005C7BF7">
      <w:pPr>
        <w:pStyle w:val="Corpsdetexte"/>
      </w:pPr>
      <w:r>
        <w:rPr>
          <w:rStyle w:val="VerbatimChar"/>
        </w:rPr>
        <w:t>E2_Entité_temporelle</w:t>
      </w:r>
      <w:r>
        <w:t xml:space="preserve">. </w:t>
      </w:r>
      <w:r>
        <w:rPr>
          <w:rStyle w:val="VerbatimChar"/>
        </w:rPr>
        <w:t>P182_se_termine_avant_ou_au_moment_du_début_de (commence_après_ou_au_moment_de_la_fin_de)</w:t>
      </w:r>
      <w:r>
        <w:t xml:space="preserve"> : </w:t>
      </w:r>
      <w:r>
        <w:rPr>
          <w:rStyle w:val="VerbatimChar"/>
        </w:rPr>
        <w:t>E2_Entité_temporelle</w:t>
      </w:r>
      <w:r>
        <w:t xml:space="preserve"> </w:t>
      </w:r>
    </w:p>
    <w:p w14:paraId="25DC42AA" w14:textId="77777777" w:rsidR="00065317" w:rsidRDefault="005C7BF7" w:rsidP="00DE6C24">
      <w:pPr>
        <w:pStyle w:val="Corpsdetexte"/>
        <w:spacing w:before="140" w:after="140"/>
      </w:pPr>
      <w:r>
        <w:rPr>
          <w:b/>
          <w:bCs/>
        </w:rPr>
        <w:lastRenderedPageBreak/>
        <w:t>Quantification</w:t>
      </w:r>
    </w:p>
    <w:p w14:paraId="0DF64D4D" w14:textId="77777777" w:rsidR="00065317" w:rsidRDefault="005C7BF7">
      <w:pPr>
        <w:pStyle w:val="Corpsdetexte"/>
      </w:pPr>
      <w:r>
        <w:t>plusieurs à plusieurs (0,n:0,n)</w:t>
      </w:r>
    </w:p>
    <w:p w14:paraId="3D0038C6" w14:textId="22111AB4" w:rsidR="00065317" w:rsidRDefault="005C7BF7">
      <w:pPr>
        <w:pStyle w:val="Corpsdetexte"/>
      </w:pPr>
      <w:r>
        <w:rPr>
          <w:b/>
          <w:bCs/>
        </w:rPr>
        <w:t>Note d</w:t>
      </w:r>
      <w:r w:rsidR="00E84B0E">
        <w:rPr>
          <w:b/>
          <w:bCs/>
        </w:rPr>
        <w:t>’</w:t>
      </w:r>
      <w:r>
        <w:rPr>
          <w:b/>
          <w:bCs/>
        </w:rPr>
        <w:t>application</w:t>
      </w:r>
    </w:p>
    <w:p w14:paraId="4C8EC771" w14:textId="48627A20" w:rsidR="00065317" w:rsidRDefault="005C7BF7">
      <w:pPr>
        <w:pStyle w:val="Corpsdetexte"/>
      </w:pPr>
      <w:r>
        <w:t>Cette propriété spécifie que l</w:t>
      </w:r>
      <w:r w:rsidR="00E84B0E">
        <w:t>’</w:t>
      </w:r>
      <w:r>
        <w:t>étendue temporelle de l</w:t>
      </w:r>
      <w:r w:rsidR="00E84B0E">
        <w:t>’</w:t>
      </w:r>
      <w:r>
        <w:t xml:space="preserve">instance du domaine (A) de </w:t>
      </w:r>
      <w:r>
        <w:rPr>
          <w:rStyle w:val="VerbatimChar"/>
        </w:rPr>
        <w:t>E2_Entité_temporelle</w:t>
      </w:r>
      <w:r>
        <w:t>, commence de manière certaine avant le début de l</w:t>
      </w:r>
      <w:r w:rsidR="00E84B0E">
        <w:t>’</w:t>
      </w:r>
      <w:r>
        <w:t>étendue temporelle de l</w:t>
      </w:r>
      <w:r w:rsidR="00E84B0E">
        <w:t>’</w:t>
      </w:r>
      <w:r>
        <w:t xml:space="preserve">instance de la portée (B) de </w:t>
      </w:r>
      <w:r>
        <w:rPr>
          <w:rStyle w:val="VerbatimChar"/>
        </w:rPr>
        <w:t>E2_Entité_temporelle</w:t>
      </w:r>
      <w:r>
        <w:t>.</w:t>
      </w:r>
    </w:p>
    <w:p w14:paraId="1C8606C8" w14:textId="1EEAC78D" w:rsidR="00065317" w:rsidRDefault="005C7BF7" w:rsidP="00DE6C24">
      <w:pPr>
        <w:pStyle w:val="Corpsdetexte"/>
        <w:spacing w:before="140" w:after="140"/>
      </w:pPr>
      <w:r>
        <w:t>En d</w:t>
      </w:r>
      <w:r w:rsidR="00E84B0E">
        <w:t>’</w:t>
      </w:r>
      <w:r>
        <w:t>autres termes, si A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début</w:t>
      </w:r>
      <w:r>
        <w:t xml:space="preserve"> &lt; B</w:t>
      </w:r>
      <w:r>
        <w:rPr>
          <w:vertAlign w:val="superscript"/>
        </w:rPr>
        <w:t>début</w:t>
      </w:r>
      <w:r>
        <w:t xml:space="preserve"> est vrai.</w:t>
      </w:r>
    </w:p>
    <w:p w14:paraId="5CBEDA21" w14:textId="0FDA6B53" w:rsidR="00065317" w:rsidRDefault="005C7BF7">
      <w:pPr>
        <w:pStyle w:val="Corpsdetexte"/>
      </w:pPr>
      <w:r>
        <w:t>Cette propriété fait partie de l</w:t>
      </w:r>
      <w:r w:rsidR="00E84B0E">
        <w:t>’</w:t>
      </w:r>
      <w:r>
        <w:t>ensemble des propriétés temporelles P173 à P176 et P182 à P185.</w:t>
      </w:r>
    </w:p>
    <w:p w14:paraId="20C31C07" w14:textId="16F97058" w:rsidR="00065317" w:rsidRDefault="005C7BF7" w:rsidP="00DE6C24">
      <w:pPr>
        <w:pStyle w:val="Corpsdetexte"/>
        <w:spacing w:before="140" w:after="140"/>
      </w:pPr>
      <w:r>
        <w:t>Cette propriété correspond à une disjonction (OU logique) des relations définies par l</w:t>
      </w:r>
      <w:r w:rsidR="00E84B0E">
        <w:t>’</w:t>
      </w:r>
      <w:r>
        <w:t>algèbre des intervalles d</w:t>
      </w:r>
      <w:r w:rsidR="00E84B0E">
        <w:t>’</w:t>
      </w:r>
      <w:r>
        <w:t>Allen suivantes [Allen, 1983] : {se déroule avant, rencontre, chevauche, contient, fini par}.</w:t>
      </w:r>
    </w:p>
    <w:p w14:paraId="7816EB91" w14:textId="77777777" w:rsidR="00065317" w:rsidRDefault="005C7BF7" w:rsidP="00DE6C24">
      <w:pPr>
        <w:pStyle w:val="Corpsdetexte"/>
        <w:spacing w:before="140" w:after="0"/>
      </w:pPr>
      <w:r>
        <w:t>Cette propriété est transitive et asymétrique.</w:t>
      </w:r>
    </w:p>
    <w:p w14:paraId="22580E44" w14:textId="77777777" w:rsidR="00065317" w:rsidRDefault="005C7BF7" w:rsidP="00DE6C24">
      <w:pPr>
        <w:pStyle w:val="Corpsdetexte"/>
        <w:spacing w:before="0" w:after="0"/>
      </w:pPr>
      <w:r>
        <w:rPr>
          <w:noProof/>
        </w:rPr>
        <w:drawing>
          <wp:inline distT="0" distB="0" distL="0" distR="0" wp14:anchorId="7CA02D40" wp14:editId="3155D9F8">
            <wp:extent cx="6489551" cy="3055816"/>
            <wp:effectExtent l="0" t="0" r="6985" b="0"/>
            <wp:docPr id="436" name="Picture" descr="Un diagramme illustre le fonctionnement de la propriété P176_commence_avant_le_début_de (commenc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37" name="Picture" descr="../../drawio/PNG/FR/Fig_14_FR.png"/>
                    <pic:cNvPicPr>
                      <a:picLocks noChangeAspect="1" noChangeArrowheads="1"/>
                    </pic:cNvPicPr>
                  </pic:nvPicPr>
                  <pic:blipFill>
                    <a:blip r:embed="rId278"/>
                    <a:stretch>
                      <a:fillRect/>
                    </a:stretch>
                  </pic:blipFill>
                  <pic:spPr bwMode="auto">
                    <a:xfrm>
                      <a:off x="0" y="0"/>
                      <a:ext cx="6503844" cy="3062546"/>
                    </a:xfrm>
                    <a:prstGeom prst="rect">
                      <a:avLst/>
                    </a:prstGeom>
                    <a:noFill/>
                    <a:ln w="9525">
                      <a:noFill/>
                      <a:headEnd/>
                      <a:tailEnd/>
                    </a:ln>
                  </pic:spPr>
                </pic:pic>
              </a:graphicData>
            </a:graphic>
          </wp:inline>
        </w:drawing>
      </w:r>
    </w:p>
    <w:p w14:paraId="5B0F1BB4" w14:textId="77777777" w:rsidR="00DE6C24" w:rsidRDefault="00DE6C24" w:rsidP="00DE6C24">
      <w:pPr>
        <w:pStyle w:val="Corpsdetexte"/>
        <w:spacing w:before="0" w:after="0"/>
      </w:pPr>
    </w:p>
    <w:p w14:paraId="4758DE7B" w14:textId="3980E18D" w:rsidR="00065317" w:rsidRPr="00DE6C24" w:rsidRDefault="005C7BF7" w:rsidP="00DE6C24">
      <w:pPr>
        <w:pStyle w:val="Corpsdetexte"/>
        <w:spacing w:before="0" w:after="0"/>
        <w:rPr>
          <w:sz w:val="20"/>
          <w:szCs w:val="20"/>
        </w:rPr>
      </w:pPr>
      <w:r w:rsidRPr="00D93D69">
        <w:rPr>
          <w:i/>
          <w:iCs/>
          <w:sz w:val="20"/>
          <w:szCs w:val="20"/>
        </w:rPr>
        <w:t>Figure 14 : L</w:t>
      </w:r>
      <w:r w:rsidR="00E84B0E">
        <w:rPr>
          <w:i/>
          <w:iCs/>
          <w:sz w:val="20"/>
          <w:szCs w:val="20"/>
        </w:rPr>
        <w:t>’</w:t>
      </w:r>
      <w:r w:rsidRPr="00D93D69">
        <w:rPr>
          <w:i/>
          <w:iCs/>
          <w:sz w:val="20"/>
          <w:szCs w:val="20"/>
        </w:rPr>
        <w:t>entité temporelle A commence avant le début de l</w:t>
      </w:r>
      <w:r w:rsidR="00E84B0E">
        <w:rPr>
          <w:i/>
          <w:iCs/>
          <w:sz w:val="20"/>
          <w:szCs w:val="20"/>
        </w:rPr>
        <w:t>’</w:t>
      </w:r>
      <w:r w:rsidRPr="00D93D69">
        <w:rPr>
          <w:i/>
          <w:iCs/>
          <w:sz w:val="20"/>
          <w:szCs w:val="20"/>
        </w:rPr>
        <w:t>entité temporelle B. Ici, A est plus long que B.</w:t>
      </w:r>
    </w:p>
    <w:p w14:paraId="375BF591" w14:textId="77777777" w:rsidR="00065317" w:rsidRDefault="005C7BF7" w:rsidP="00DE6C24">
      <w:pPr>
        <w:pStyle w:val="Corpsdetexte"/>
        <w:spacing w:before="0" w:after="0"/>
      </w:pPr>
      <w:r>
        <w:rPr>
          <w:noProof/>
        </w:rPr>
        <w:drawing>
          <wp:inline distT="0" distB="0" distL="0" distR="0" wp14:anchorId="779D27C8" wp14:editId="49360A2B">
            <wp:extent cx="6466845" cy="2790092"/>
            <wp:effectExtent l="0" t="0" r="0" b="0"/>
            <wp:docPr id="439" name="Picture" descr="Un diagramme illustre le fonctionnement de la propriété P176_commence_avant_le_début_de (commence_après_le_début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40" name="Picture" descr="../../drawio/PNG/FR/Fig_15_FR.png"/>
                    <pic:cNvPicPr>
                      <a:picLocks noChangeAspect="1" noChangeArrowheads="1"/>
                    </pic:cNvPicPr>
                  </pic:nvPicPr>
                  <pic:blipFill>
                    <a:blip r:embed="rId279"/>
                    <a:stretch>
                      <a:fillRect/>
                    </a:stretch>
                  </pic:blipFill>
                  <pic:spPr bwMode="auto">
                    <a:xfrm>
                      <a:off x="0" y="0"/>
                      <a:ext cx="6479039" cy="2795353"/>
                    </a:xfrm>
                    <a:prstGeom prst="rect">
                      <a:avLst/>
                    </a:prstGeom>
                    <a:noFill/>
                    <a:ln w="9525">
                      <a:noFill/>
                      <a:headEnd/>
                      <a:tailEnd/>
                    </a:ln>
                  </pic:spPr>
                </pic:pic>
              </a:graphicData>
            </a:graphic>
          </wp:inline>
        </w:drawing>
      </w:r>
    </w:p>
    <w:p w14:paraId="5DE89032" w14:textId="54DDF4FC" w:rsidR="00065317" w:rsidRPr="00D93D69" w:rsidRDefault="005C7BF7" w:rsidP="00DE6C24">
      <w:pPr>
        <w:pStyle w:val="Corpsdetexte"/>
        <w:spacing w:before="0" w:after="0"/>
        <w:rPr>
          <w:sz w:val="20"/>
          <w:szCs w:val="20"/>
        </w:rPr>
      </w:pPr>
      <w:r w:rsidRPr="00D93D69">
        <w:rPr>
          <w:i/>
          <w:iCs/>
          <w:sz w:val="20"/>
          <w:szCs w:val="20"/>
        </w:rPr>
        <w:t>Figure 15 : L</w:t>
      </w:r>
      <w:r w:rsidR="00E84B0E">
        <w:rPr>
          <w:i/>
          <w:iCs/>
          <w:sz w:val="20"/>
          <w:szCs w:val="20"/>
        </w:rPr>
        <w:t>’</w:t>
      </w:r>
      <w:r w:rsidRPr="00D93D69">
        <w:rPr>
          <w:i/>
          <w:iCs/>
          <w:sz w:val="20"/>
          <w:szCs w:val="20"/>
        </w:rPr>
        <w:t>entité temporelle A commence avant le début de l</w:t>
      </w:r>
      <w:r w:rsidR="00E84B0E">
        <w:rPr>
          <w:i/>
          <w:iCs/>
          <w:sz w:val="20"/>
          <w:szCs w:val="20"/>
        </w:rPr>
        <w:t>’</w:t>
      </w:r>
      <w:r w:rsidRPr="00D93D69">
        <w:rPr>
          <w:i/>
          <w:iCs/>
          <w:sz w:val="20"/>
          <w:szCs w:val="20"/>
        </w:rPr>
        <w:t>entité temporelle B. Ici, A est plus court que B.</w:t>
      </w:r>
    </w:p>
    <w:p w14:paraId="3DF0A3CF" w14:textId="77777777" w:rsidR="00065317" w:rsidRDefault="005C7BF7">
      <w:pPr>
        <w:pStyle w:val="Corpsdetexte"/>
      </w:pPr>
      <w:r>
        <w:rPr>
          <w:b/>
          <w:bCs/>
        </w:rPr>
        <w:lastRenderedPageBreak/>
        <w:t>Exemples</w:t>
      </w:r>
    </w:p>
    <w:p w14:paraId="53C90747" w14:textId="225B09FE" w:rsidR="00065317" w:rsidRDefault="005C7BF7">
      <w:pPr>
        <w:numPr>
          <w:ilvl w:val="0"/>
          <w:numId w:val="286"/>
        </w:numPr>
      </w:pPr>
      <w:r>
        <w:t>Le règne du roi Harold II (</w:t>
      </w:r>
      <w:r>
        <w:rPr>
          <w:rStyle w:val="VerbatimChar"/>
        </w:rPr>
        <w:t>E4_Période</w:t>
      </w:r>
      <w:r>
        <w:t>) commence avant le début de (</w:t>
      </w:r>
      <w:r>
        <w:rPr>
          <w:rStyle w:val="VerbatimChar"/>
        </w:rPr>
        <w:t>P176_commence_avant_le_début_de</w:t>
      </w:r>
      <w:r>
        <w:t>) la bataille de Hastings (</w:t>
      </w:r>
      <w:r>
        <w:rPr>
          <w:rStyle w:val="VerbatimChar"/>
        </w:rPr>
        <w:t>E7_Activité</w:t>
      </w:r>
      <w:r>
        <w:t>) (Wikip</w:t>
      </w:r>
      <w:r w:rsidR="00A577E0">
        <w:t>é</w:t>
      </w:r>
      <w:r>
        <w:t>dia</w:t>
      </w:r>
      <w:r w:rsidR="00A577E0">
        <w:t>,</w:t>
      </w:r>
      <w:r>
        <w:t xml:space="preserve"> 2022a)</w:t>
      </w:r>
    </w:p>
    <w:p w14:paraId="622908C8" w14:textId="599774E2" w:rsidR="00065317" w:rsidRDefault="005C7BF7">
      <w:pPr>
        <w:numPr>
          <w:ilvl w:val="0"/>
          <w:numId w:val="286"/>
        </w:numPr>
      </w:pPr>
      <w:r>
        <w:t>La vie de Attila le Hun (</w:t>
      </w:r>
      <w:r>
        <w:rPr>
          <w:rStyle w:val="VerbatimChar"/>
        </w:rPr>
        <w:t>E4_Période</w:t>
      </w:r>
      <w:r>
        <w:t>) commence avant le début de (</w:t>
      </w:r>
      <w:r>
        <w:rPr>
          <w:rStyle w:val="VerbatimChar"/>
        </w:rPr>
        <w:t>P176_commence_avant_le_début_de</w:t>
      </w:r>
      <w:r>
        <w:t>) la bataille des champs Catalauniques [20</w:t>
      </w:r>
      <w:r w:rsidR="00056DCD">
        <w:t> juin </w:t>
      </w:r>
      <w:r>
        <w:t>451 EC] (</w:t>
      </w:r>
      <w:r>
        <w:rPr>
          <w:rStyle w:val="VerbatimChar"/>
        </w:rPr>
        <w:t>E7_Activité</w:t>
      </w:r>
      <w:r>
        <w:t>) (Wikip</w:t>
      </w:r>
      <w:r w:rsidR="00A577E0">
        <w:t>é</w:t>
      </w:r>
      <w:r>
        <w:t>dia</w:t>
      </w:r>
      <w:r w:rsidR="00A577E0">
        <w:t>,</w:t>
      </w:r>
      <w:r>
        <w:t xml:space="preserve"> 2022b)</w:t>
      </w:r>
    </w:p>
    <w:p w14:paraId="5B42C043" w14:textId="77777777" w:rsidR="00065317" w:rsidRDefault="005C7BF7">
      <w:pPr>
        <w:pStyle w:val="FirstParagraph"/>
      </w:pPr>
      <w:r>
        <w:rPr>
          <w:b/>
          <w:bCs/>
        </w:rPr>
        <w:t>Logique</w:t>
      </w:r>
    </w:p>
    <w:p w14:paraId="2AD6C1DA" w14:textId="77777777" w:rsidR="00065317" w:rsidRDefault="005C7BF7">
      <w:pPr>
        <w:pStyle w:val="Corpsdetexte"/>
      </w:pPr>
      <w:r>
        <w:t>P176(x,y) ⇒ E2(x)</w:t>
      </w:r>
    </w:p>
    <w:p w14:paraId="0BD7972C" w14:textId="77777777" w:rsidR="00065317" w:rsidRDefault="005C7BF7">
      <w:pPr>
        <w:pStyle w:val="Corpsdetexte"/>
      </w:pPr>
      <w:r>
        <w:t>P176(x,y) ⇒ E2(y)</w:t>
      </w:r>
    </w:p>
    <w:p w14:paraId="68CF37B1" w14:textId="77777777" w:rsidR="00065317" w:rsidRDefault="005C7BF7">
      <w:pPr>
        <w:pStyle w:val="Corpsdetexte"/>
      </w:pPr>
      <w:r>
        <w:t>P176(x,y) ⇒ P175(x,y)</w:t>
      </w:r>
    </w:p>
    <w:p w14:paraId="709870CB" w14:textId="77777777" w:rsidR="00065317" w:rsidRDefault="005C7BF7">
      <w:pPr>
        <w:pStyle w:val="Corpsdetexte"/>
      </w:pPr>
      <w:r>
        <w:t>[P176(x,y) ∧ P176(y,z)] ⇒ P176(x,z)</w:t>
      </w:r>
    </w:p>
    <w:p w14:paraId="232C0060" w14:textId="77777777" w:rsidR="00065317" w:rsidRDefault="005C7BF7">
      <w:pPr>
        <w:pStyle w:val="Corpsdetexte"/>
      </w:pPr>
      <w:r>
        <w:t>P176(x,y) ⇒ ¬P176(y,x)</w:t>
      </w:r>
    </w:p>
    <w:p w14:paraId="6A173A9D" w14:textId="77777777" w:rsidR="00065317" w:rsidRDefault="005C7BF7">
      <w:pPr>
        <w:pStyle w:val="Corpsdetexte"/>
      </w:pPr>
      <w:r>
        <w:rPr>
          <w:b/>
          <w:bCs/>
        </w:rPr>
        <w:t>Propriétés</w:t>
      </w:r>
    </w:p>
    <w:p w14:paraId="18308DC7" w14:textId="77777777" w:rsidR="00065317" w:rsidRDefault="005C7BF7">
      <w:pPr>
        <w:pStyle w:val="Normalcentr"/>
      </w:pPr>
      <w:r>
        <w:rPr>
          <w:b/>
          <w:bCs/>
          <w:i/>
          <w:iCs/>
        </w:rPr>
        <w:t>Note de traduction</w:t>
      </w:r>
    </w:p>
    <w:p w14:paraId="19BBBE9F" w14:textId="77777777" w:rsidR="00065317" w:rsidRDefault="005C7BF7">
      <w:pPr>
        <w:pStyle w:val="Normalcentr"/>
      </w:pPr>
      <w:r>
        <w:rPr>
          <w:b/>
          <w:bCs/>
          <w:i/>
          <w:iCs/>
        </w:rPr>
        <w:t>Références</w:t>
      </w:r>
    </w:p>
    <w:p w14:paraId="5E7DC360" w14:textId="16A27481" w:rsidR="00834C26" w:rsidRPr="00834C26" w:rsidRDefault="005C7BF7" w:rsidP="00914F34">
      <w:pPr>
        <w:pStyle w:val="Normalcentr"/>
      </w:pPr>
      <w:r>
        <w:t>Wikipédia. « Algèbre des intervalles d</w:t>
      </w:r>
      <w:r w:rsidR="00E84B0E">
        <w:t>’</w:t>
      </w:r>
      <w:r>
        <w:t xml:space="preserve">Allen ». Dans </w:t>
      </w:r>
      <w:r>
        <w:rPr>
          <w:i/>
          <w:iCs/>
        </w:rPr>
        <w:t>Wikipédia</w:t>
      </w:r>
      <w:r>
        <w:t xml:space="preserve">. </w:t>
      </w:r>
      <w:r w:rsidRPr="00056DCD">
        <w:rPr>
          <w:lang w:val="en-CA"/>
        </w:rPr>
        <w:t>San Francisco, US-CA: Wikipédia, 14</w:t>
      </w:r>
      <w:r w:rsidR="00056DCD" w:rsidRPr="00056DCD">
        <w:rPr>
          <w:lang w:val="en-CA"/>
        </w:rPr>
        <w:t> janvier </w:t>
      </w:r>
      <w:r w:rsidRPr="00056DCD">
        <w:rPr>
          <w:lang w:val="en-CA"/>
        </w:rPr>
        <w:t>2021.</w:t>
      </w:r>
      <w:hyperlink r:id="rId280">
        <w:r w:rsidRPr="00056DCD">
          <w:rPr>
            <w:rStyle w:val="Lienhypertexte"/>
            <w:lang w:val="en-CA"/>
          </w:rPr>
          <w:t xml:space="preserve"> </w:t>
        </w:r>
      </w:hyperlink>
      <w:hyperlink r:id="rId281">
        <w:r>
          <w:rPr>
            <w:rStyle w:val="Lienhypertexte"/>
          </w:rPr>
          <w:t>https://fr.wikipedia.org/wiki/Alg%C3%A8bre_des_intervalles_d%27Allen</w:t>
        </w:r>
      </w:hyperlink>
      <w:r>
        <w:t>.</w:t>
      </w:r>
    </w:p>
    <w:p w14:paraId="7782F2C4" w14:textId="77777777" w:rsidR="00065317" w:rsidRDefault="005C7BF7" w:rsidP="00914F34">
      <w:pPr>
        <w:pStyle w:val="Titre3"/>
      </w:pPr>
      <w:bookmarkStart w:id="556" w:name="_Toc154048963"/>
      <w:bookmarkStart w:id="557" w:name="X8ce7bfc6aa49531bf039de9a3c1899c202f6092"/>
      <w:bookmarkEnd w:id="555"/>
      <w:r>
        <w:t>P177 a assigné le type de propriété (est le type de propriété assigné)</w:t>
      </w:r>
      <w:bookmarkEnd w:id="556"/>
    </w:p>
    <w:p w14:paraId="75A83D0A" w14:textId="77777777" w:rsidR="00065317" w:rsidRDefault="005C7BF7">
      <w:pPr>
        <w:pStyle w:val="FirstParagraph"/>
      </w:pPr>
      <w:r>
        <w:rPr>
          <w:b/>
          <w:bCs/>
        </w:rPr>
        <w:t>Domaine</w:t>
      </w:r>
    </w:p>
    <w:p w14:paraId="523AA1F1" w14:textId="0CC61D02" w:rsidR="00065317" w:rsidRDefault="005C7BF7">
      <w:pPr>
        <w:pStyle w:val="Corpsdetexte"/>
      </w:pPr>
      <w:r>
        <w:rPr>
          <w:rStyle w:val="VerbatimChar"/>
        </w:rPr>
        <w:t>E13_Assignation_d</w:t>
      </w:r>
      <w:r w:rsidR="00E84B0E">
        <w:rPr>
          <w:rStyle w:val="VerbatimChar"/>
        </w:rPr>
        <w:t>’</w:t>
      </w:r>
      <w:r>
        <w:rPr>
          <w:rStyle w:val="VerbatimChar"/>
        </w:rPr>
        <w:t>attribut</w:t>
      </w:r>
    </w:p>
    <w:p w14:paraId="2E637763" w14:textId="77777777" w:rsidR="00065317" w:rsidRDefault="005C7BF7">
      <w:pPr>
        <w:pStyle w:val="Corpsdetexte"/>
      </w:pPr>
      <w:r>
        <w:rPr>
          <w:b/>
          <w:bCs/>
        </w:rPr>
        <w:t>Portée</w:t>
      </w:r>
    </w:p>
    <w:p w14:paraId="38E7ECD4" w14:textId="77777777" w:rsidR="00065317" w:rsidRDefault="005C7BF7">
      <w:pPr>
        <w:pStyle w:val="Corpsdetexte"/>
      </w:pPr>
      <w:r>
        <w:rPr>
          <w:rStyle w:val="VerbatimChar"/>
        </w:rPr>
        <w:t>E55_Type</w:t>
      </w:r>
    </w:p>
    <w:p w14:paraId="34754F04" w14:textId="77777777" w:rsidR="00065317" w:rsidRDefault="005C7BF7">
      <w:pPr>
        <w:pStyle w:val="Corpsdetexte"/>
      </w:pPr>
      <w:r>
        <w:rPr>
          <w:b/>
          <w:bCs/>
        </w:rPr>
        <w:t>Sous-propriété de</w:t>
      </w:r>
    </w:p>
    <w:p w14:paraId="136529AB" w14:textId="77777777" w:rsidR="00065317" w:rsidRDefault="005C7BF7">
      <w:pPr>
        <w:pStyle w:val="Corpsdetexte"/>
      </w:pPr>
      <w:r>
        <w:rPr>
          <w:rStyle w:val="VerbatimChar"/>
        </w:rPr>
        <w:t>E1_Entité_CRM</w:t>
      </w:r>
      <w:r>
        <w:t xml:space="preserve">. </w:t>
      </w:r>
      <w:r>
        <w:rPr>
          <w:rStyle w:val="VerbatimChar"/>
        </w:rPr>
        <w:t>P2_a_pour_type (est_le_type_de)</w:t>
      </w:r>
      <w:r>
        <w:t xml:space="preserve"> : </w:t>
      </w:r>
      <w:r>
        <w:rPr>
          <w:rStyle w:val="VerbatimChar"/>
        </w:rPr>
        <w:t>E55_Type</w:t>
      </w:r>
    </w:p>
    <w:p w14:paraId="2AFC371A" w14:textId="77777777" w:rsidR="00065317" w:rsidRDefault="005C7BF7">
      <w:pPr>
        <w:pStyle w:val="Corpsdetexte"/>
      </w:pPr>
      <w:r>
        <w:rPr>
          <w:b/>
          <w:bCs/>
        </w:rPr>
        <w:t>Super-propriété de</w:t>
      </w:r>
    </w:p>
    <w:p w14:paraId="28DA99D8" w14:textId="77777777" w:rsidR="00065317" w:rsidRDefault="005C7BF7">
      <w:pPr>
        <w:pStyle w:val="Corpsdetexte"/>
      </w:pPr>
      <w:r>
        <w:rPr>
          <w:b/>
          <w:bCs/>
        </w:rPr>
        <w:t>Quantification</w:t>
      </w:r>
    </w:p>
    <w:p w14:paraId="654CAC30" w14:textId="77777777" w:rsidR="00065317" w:rsidRDefault="005C7BF7">
      <w:pPr>
        <w:pStyle w:val="Corpsdetexte"/>
      </w:pPr>
      <w:r>
        <w:t>plusieurs à plusieurs, nécessaire (1,n:0,n)</w:t>
      </w:r>
    </w:p>
    <w:p w14:paraId="49769A88" w14:textId="4AEB9FC0" w:rsidR="00065317" w:rsidRDefault="005C7BF7">
      <w:pPr>
        <w:pStyle w:val="Corpsdetexte"/>
      </w:pPr>
      <w:r>
        <w:rPr>
          <w:b/>
          <w:bCs/>
        </w:rPr>
        <w:t>Note d</w:t>
      </w:r>
      <w:r w:rsidR="00E84B0E">
        <w:rPr>
          <w:b/>
          <w:bCs/>
        </w:rPr>
        <w:t>’</w:t>
      </w:r>
      <w:r>
        <w:rPr>
          <w:b/>
          <w:bCs/>
        </w:rPr>
        <w:t>application</w:t>
      </w:r>
    </w:p>
    <w:p w14:paraId="66133F3A" w14:textId="3A0D1BDF" w:rsidR="00065317" w:rsidRDefault="005C7BF7">
      <w:pPr>
        <w:pStyle w:val="Corpsdetexte"/>
      </w:pPr>
      <w:r>
        <w:t xml:space="preserve">Cette propriété associe une instance de </w:t>
      </w:r>
      <w:r>
        <w:rPr>
          <w:rStyle w:val="VerbatimChar"/>
        </w:rPr>
        <w:t>E13_Assignation_d</w:t>
      </w:r>
      <w:r w:rsidR="00E84B0E">
        <w:rPr>
          <w:rStyle w:val="VerbatimChar"/>
        </w:rPr>
        <w:t>’</w:t>
      </w:r>
      <w:r>
        <w:rPr>
          <w:rStyle w:val="VerbatimChar"/>
        </w:rPr>
        <w:t>attribut</w:t>
      </w:r>
      <w:r>
        <w:t xml:space="preserve"> au type de propriété ou à la relation que cette attribution établit entre l</w:t>
      </w:r>
      <w:r w:rsidR="00E84B0E">
        <w:t>’</w:t>
      </w:r>
      <w:r>
        <w:t>élément auquel elle assigne un attribut et l</w:t>
      </w:r>
      <w:r w:rsidR="00E84B0E">
        <w:t>’</w:t>
      </w:r>
      <w:r>
        <w:t xml:space="preserve">attribut lui-même. Il est à souligner que les propriétés définies par le </w:t>
      </w:r>
      <w:r w:rsidR="00C8288F">
        <w:t>CIDOC CRM</w:t>
      </w:r>
      <w:r>
        <w:t xml:space="preserve"> constituent elles-mêmes des instances de </w:t>
      </w:r>
      <w:r>
        <w:rPr>
          <w:rStyle w:val="VerbatimChar"/>
        </w:rPr>
        <w:t>E55_Type</w:t>
      </w:r>
      <w:r>
        <w:t xml:space="preserve">. La direction de la propriété </w:t>
      </w:r>
      <w:r>
        <w:rPr>
          <w:rStyle w:val="VerbatimChar"/>
        </w:rPr>
        <w:t>P177_a_assigné_le_type_de_propriété</w:t>
      </w:r>
      <w:r>
        <w:t xml:space="preserve"> doit être comprise comme allant de l</w:t>
      </w:r>
      <w:r w:rsidR="00E84B0E">
        <w:t>’</w:t>
      </w:r>
      <w:r>
        <w:t>élément qui a reçu l</w:t>
      </w:r>
      <w:r w:rsidR="00E84B0E">
        <w:t>’</w:t>
      </w:r>
      <w:r>
        <w:t xml:space="preserve">attribut (la portée de la propriété </w:t>
      </w:r>
      <w:r>
        <w:rPr>
          <w:rStyle w:val="VerbatimChar"/>
        </w:rPr>
        <w:t>P140_a_assigné_l</w:t>
      </w:r>
      <w:r w:rsidR="00E84B0E">
        <w:rPr>
          <w:rStyle w:val="VerbatimChar"/>
        </w:rPr>
        <w:t>’</w:t>
      </w:r>
      <w:r>
        <w:rPr>
          <w:rStyle w:val="VerbatimChar"/>
        </w:rPr>
        <w:t>attribut_à</w:t>
      </w:r>
      <w:r>
        <w:t>) vers l</w:t>
      </w:r>
      <w:r w:rsidR="00E84B0E">
        <w:t>’</w:t>
      </w:r>
      <w:r>
        <w:t xml:space="preserve">attribut lui-même (la portée de la propriété </w:t>
      </w:r>
      <w:r>
        <w:rPr>
          <w:rStyle w:val="VerbatimChar"/>
        </w:rPr>
        <w:t>P141_a_assigné</w:t>
      </w:r>
      <w:r>
        <w:t>). Plus d</w:t>
      </w:r>
      <w:r w:rsidR="00E84B0E">
        <w:t>’</w:t>
      </w:r>
      <w:r>
        <w:t>un type de propriété peut être attribué entre deux éléments.</w:t>
      </w:r>
    </w:p>
    <w:p w14:paraId="0B6D7C86" w14:textId="4097F4FF" w:rsidR="00065317" w:rsidRDefault="005C7BF7">
      <w:pPr>
        <w:pStyle w:val="Corpsdetexte"/>
      </w:pPr>
      <w:r>
        <w:lastRenderedPageBreak/>
        <w:t xml:space="preserve">Une explication complète sur le raffinement des concepts du </w:t>
      </w:r>
      <w:r w:rsidR="00C8288F">
        <w:t>CIDOC CRM</w:t>
      </w:r>
      <w:r>
        <w:t xml:space="preserve"> par l</w:t>
      </w:r>
      <w:r w:rsidR="00E84B0E">
        <w:t>’</w:t>
      </w:r>
      <w:r>
        <w:t xml:space="preserve">utilisation de la classe </w:t>
      </w:r>
      <w:r>
        <w:rPr>
          <w:rStyle w:val="VerbatimChar"/>
        </w:rPr>
        <w:t>E55_Type</w:t>
      </w:r>
      <w:r>
        <w:t xml:space="preserve"> est disponible dans la section « Des types » sous « Construits spécifiques de modélisation</w:t>
      </w:r>
      <w:r w:rsidR="006504BB">
        <w:t> </w:t>
      </w:r>
      <w:r>
        <w:t>».</w:t>
      </w:r>
    </w:p>
    <w:p w14:paraId="024EDC1A" w14:textId="77777777" w:rsidR="00065317" w:rsidRDefault="005C7BF7">
      <w:pPr>
        <w:pStyle w:val="Corpsdetexte"/>
      </w:pPr>
      <w:r>
        <w:rPr>
          <w:b/>
          <w:bCs/>
        </w:rPr>
        <w:t>Exemples</w:t>
      </w:r>
    </w:p>
    <w:p w14:paraId="265E867F" w14:textId="56630BD7" w:rsidR="00065317" w:rsidRDefault="005C7BF7">
      <w:pPr>
        <w:numPr>
          <w:ilvl w:val="0"/>
          <w:numId w:val="287"/>
        </w:numPr>
      </w:pPr>
      <w:r>
        <w:t>L</w:t>
      </w:r>
      <w:r w:rsidR="00E84B0E">
        <w:t>’</w:t>
      </w:r>
      <w:r>
        <w:t xml:space="preserve">évaluation de la propriété actuelle de la coupe en argent de Martin </w:t>
      </w:r>
      <w:r w:rsidR="003C7A4A">
        <w:t>Doerr</w:t>
      </w:r>
      <w:r>
        <w:t xml:space="preserve"> en</w:t>
      </w:r>
      <w:r w:rsidR="00056DCD">
        <w:t> février </w:t>
      </w:r>
      <w:r>
        <w:t>1997 (</w:t>
      </w:r>
      <w:r>
        <w:rPr>
          <w:rStyle w:val="VerbatimChar"/>
        </w:rPr>
        <w:t>E13_Assignation_d</w:t>
      </w:r>
      <w:r w:rsidR="00E84B0E">
        <w:rPr>
          <w:rStyle w:val="VerbatimChar"/>
        </w:rPr>
        <w:t>’</w:t>
      </w:r>
      <w:r>
        <w:rPr>
          <w:rStyle w:val="VerbatimChar"/>
        </w:rPr>
        <w:t>attribution</w:t>
      </w:r>
      <w:r>
        <w:t>) a assigné le type de propriété (</w:t>
      </w:r>
      <w:r>
        <w:rPr>
          <w:rStyle w:val="VerbatimChar"/>
        </w:rPr>
        <w:t>P177_a_assigné_le_type_de_propriété</w:t>
      </w:r>
      <w:r>
        <w:t xml:space="preserve">) </w:t>
      </w:r>
      <w:r>
        <w:rPr>
          <w:rStyle w:val="VerbatimChar"/>
        </w:rPr>
        <w:t>P52_a_pour_propriétaire_actuel (est_l</w:t>
      </w:r>
      <w:r w:rsidR="00E84B0E">
        <w:rPr>
          <w:rStyle w:val="VerbatimChar"/>
        </w:rPr>
        <w:t>’</w:t>
      </w:r>
      <w:r>
        <w:rPr>
          <w:rStyle w:val="VerbatimChar"/>
        </w:rPr>
        <w:t>actant_propriétaire_actuel_de)</w:t>
      </w:r>
      <w:r>
        <w:t xml:space="preserve"> (</w:t>
      </w:r>
      <w:r>
        <w:rPr>
          <w:rStyle w:val="VerbatimChar"/>
        </w:rPr>
        <w:t>E55_Type</w:t>
      </w:r>
      <w:r>
        <w:t>) (fictif)</w:t>
      </w:r>
    </w:p>
    <w:p w14:paraId="135A80B2" w14:textId="5465F529" w:rsidR="00065317" w:rsidRDefault="005C7BF7">
      <w:pPr>
        <w:numPr>
          <w:ilvl w:val="0"/>
          <w:numId w:val="287"/>
        </w:numPr>
      </w:pPr>
      <w:r>
        <w:t>L</w:t>
      </w:r>
      <w:r w:rsidR="00E84B0E">
        <w:t>’</w:t>
      </w:r>
      <w:r>
        <w:t>attribution d</w:t>
      </w:r>
      <w:r w:rsidR="00E84B0E">
        <w:t>’</w:t>
      </w:r>
      <w:r>
        <w:t xml:space="preserve">identifiant de la coupe en argent donnée par Martin </w:t>
      </w:r>
      <w:r w:rsidR="003C7A4A">
        <w:t>Doerr</w:t>
      </w:r>
      <w:r>
        <w:t xml:space="preserve"> (</w:t>
      </w:r>
      <w:r>
        <w:rPr>
          <w:rStyle w:val="VerbatimChar"/>
        </w:rPr>
        <w:t>E15_Assignation_d</w:t>
      </w:r>
      <w:r w:rsidR="00E84B0E">
        <w:rPr>
          <w:rStyle w:val="VerbatimChar"/>
        </w:rPr>
        <w:t>’</w:t>
      </w:r>
      <w:r>
        <w:rPr>
          <w:rStyle w:val="VerbatimChar"/>
        </w:rPr>
        <w:t>identifiant</w:t>
      </w:r>
      <w:r>
        <w:t>) le 1</w:t>
      </w:r>
      <w:r>
        <w:rPr>
          <w:vertAlign w:val="superscript"/>
        </w:rPr>
        <w:t>er</w:t>
      </w:r>
      <w:r w:rsidR="00056DCD">
        <w:t> juin </w:t>
      </w:r>
      <w:r>
        <w:t>1997 a assigné le type de propriété (</w:t>
      </w:r>
      <w:r>
        <w:rPr>
          <w:rStyle w:val="VerbatimChar"/>
        </w:rPr>
        <w:t>P177_a_assigné_le_type_de_propriété</w:t>
      </w:r>
      <w:r>
        <w:t xml:space="preserve">) </w:t>
      </w:r>
      <w:r>
        <w:rPr>
          <w:rStyle w:val="VerbatimChar"/>
        </w:rPr>
        <w:t>P48_a_pour_identifiant_préférentiel (est_l</w:t>
      </w:r>
      <w:r w:rsidR="00E84B0E">
        <w:rPr>
          <w:rStyle w:val="VerbatimChar"/>
        </w:rPr>
        <w:t>’</w:t>
      </w:r>
      <w:r>
        <w:rPr>
          <w:rStyle w:val="VerbatimChar"/>
        </w:rPr>
        <w:t>identifiant_préférentiel_de)</w:t>
      </w:r>
      <w:r>
        <w:t xml:space="preserve"> (</w:t>
      </w:r>
      <w:r>
        <w:rPr>
          <w:rStyle w:val="VerbatimChar"/>
        </w:rPr>
        <w:t>E55_Type</w:t>
      </w:r>
      <w:r>
        <w:t>) (fictif)</w:t>
      </w:r>
    </w:p>
    <w:p w14:paraId="1207ECE1" w14:textId="0164F62E" w:rsidR="00065317" w:rsidRDefault="005C7BF7">
      <w:pPr>
        <w:numPr>
          <w:ilvl w:val="0"/>
          <w:numId w:val="287"/>
        </w:numPr>
      </w:pPr>
      <w:r>
        <w:t>L</w:t>
      </w:r>
      <w:r w:rsidR="00E84B0E">
        <w:t>’</w:t>
      </w:r>
      <w:r>
        <w:t xml:space="preserve">examen du manuscrit </w:t>
      </w:r>
      <w:r>
        <w:rPr>
          <w:i/>
          <w:iCs/>
        </w:rPr>
        <w:t>Mont Sinaï, MS gr. 418</w:t>
      </w:r>
      <w:r>
        <w:t xml:space="preserve"> (</w:t>
      </w:r>
      <w:r>
        <w:rPr>
          <w:rStyle w:val="VerbatimChar"/>
        </w:rPr>
        <w:t>E13_Assignation_d</w:t>
      </w:r>
      <w:r w:rsidR="00E84B0E">
        <w:rPr>
          <w:rStyle w:val="VerbatimChar"/>
        </w:rPr>
        <w:t>’</w:t>
      </w:r>
      <w:r>
        <w:rPr>
          <w:rStyle w:val="VerbatimChar"/>
        </w:rPr>
        <w:t>attribution</w:t>
      </w:r>
      <w:r>
        <w:t>) a assigné le type de propriété (</w:t>
      </w:r>
      <w:r>
        <w:rPr>
          <w:rStyle w:val="VerbatimChar"/>
        </w:rPr>
        <w:t>P177_a_assigné_le_type_de_propriété</w:t>
      </w:r>
      <w:r>
        <w:t>) structure de reliure (</w:t>
      </w:r>
      <w:r>
        <w:rPr>
          <w:rStyle w:val="VerbatimChar"/>
        </w:rPr>
        <w:t>E55_Type</w:t>
      </w:r>
      <w:r>
        <w:t>) [«</w:t>
      </w:r>
      <w:r w:rsidR="006504BB">
        <w:t> </w:t>
      </w:r>
      <w:r>
        <w:t xml:space="preserve">type de structure de reliure » réfère à une propriété, externe au </w:t>
      </w:r>
      <w:r w:rsidR="00C8288F">
        <w:t>CIDOC CRM</w:t>
      </w:r>
      <w:r>
        <w:t>, qui lie un livre (</w:t>
      </w:r>
      <w:r>
        <w:rPr>
          <w:rStyle w:val="VerbatimChar"/>
        </w:rPr>
        <w:t>E22_Objet_élaboré_par_l</w:t>
      </w:r>
      <w:r w:rsidR="00E84B0E">
        <w:rPr>
          <w:rStyle w:val="VerbatimChar"/>
        </w:rPr>
        <w:t>’</w:t>
      </w:r>
      <w:r>
        <w:rPr>
          <w:rStyle w:val="VerbatimChar"/>
        </w:rPr>
        <w:t>humain</w:t>
      </w:r>
      <w:r>
        <w:t>) à un type de structure de reliure (</w:t>
      </w:r>
      <w:r>
        <w:rPr>
          <w:rStyle w:val="VerbatimChar"/>
        </w:rPr>
        <w:t>E55_Type</w:t>
      </w:r>
      <w:r>
        <w:t xml:space="preserve">)] (Honey </w:t>
      </w:r>
      <w:r w:rsidR="009A1E3D">
        <w:t xml:space="preserve">&amp; </w:t>
      </w:r>
      <w:r>
        <w:t>Pickwoad, 2010)</w:t>
      </w:r>
    </w:p>
    <w:p w14:paraId="551740C3" w14:textId="06157C12" w:rsidR="00065317" w:rsidRDefault="005C7BF7">
      <w:pPr>
        <w:numPr>
          <w:ilvl w:val="0"/>
          <w:numId w:val="287"/>
        </w:numPr>
      </w:pPr>
      <w:r>
        <w:t>L</w:t>
      </w:r>
      <w:r w:rsidR="00E84B0E">
        <w:t>’</w:t>
      </w:r>
      <w:r>
        <w:t>évaluation de l</w:t>
      </w:r>
      <w:r w:rsidR="00E84B0E">
        <w:t>’</w:t>
      </w:r>
      <w:r>
        <w:t xml:space="preserve">état matériel des bâtonnets de la tranchefile du manuscrit </w:t>
      </w:r>
      <w:r>
        <w:rPr>
          <w:i/>
          <w:iCs/>
        </w:rPr>
        <w:t>Mont Sinaï, MS gr.</w:t>
      </w:r>
      <w:r w:rsidR="006504BB">
        <w:rPr>
          <w:i/>
          <w:iCs/>
        </w:rPr>
        <w:t> </w:t>
      </w:r>
      <w:r>
        <w:rPr>
          <w:i/>
          <w:iCs/>
        </w:rPr>
        <w:t>418</w:t>
      </w:r>
      <w:r>
        <w:t xml:space="preserve"> (</w:t>
      </w:r>
      <w:r>
        <w:rPr>
          <w:rStyle w:val="VerbatimChar"/>
        </w:rPr>
        <w:t>E14_Évaluation_d</w:t>
      </w:r>
      <w:r w:rsidR="00E84B0E">
        <w:rPr>
          <w:rStyle w:val="VerbatimChar"/>
        </w:rPr>
        <w:t>’</w:t>
      </w:r>
      <w:r>
        <w:rPr>
          <w:rStyle w:val="VerbatimChar"/>
        </w:rPr>
        <w:t>état_matériel</w:t>
      </w:r>
      <w:r>
        <w:t>) a assigné le type de propriété (</w:t>
      </w:r>
      <w:r>
        <w:rPr>
          <w:rStyle w:val="VerbatimChar"/>
        </w:rPr>
        <w:t>P177_a_assigné_le_type_de_propriété</w:t>
      </w:r>
      <w:r>
        <w:t>) endommagement (</w:t>
      </w:r>
      <w:r>
        <w:rPr>
          <w:rStyle w:val="VerbatimChar"/>
        </w:rPr>
        <w:t>E55_Type</w:t>
      </w:r>
      <w:r>
        <w:t xml:space="preserve">) [« endommagement » réfère à une propriété, externe au </w:t>
      </w:r>
      <w:r w:rsidR="00C8288F">
        <w:t>CIDOC CRM</w:t>
      </w:r>
      <w:r>
        <w:t>, qui lie une instance de chose matérielle comme un noyau de tranchefile (</w:t>
      </w:r>
      <w:r>
        <w:rPr>
          <w:rStyle w:val="VerbatimChar"/>
        </w:rPr>
        <w:t>E22_Objet_élaboré_par_l</w:t>
      </w:r>
      <w:r w:rsidR="00E84B0E">
        <w:rPr>
          <w:rStyle w:val="VerbatimChar"/>
        </w:rPr>
        <w:t>’</w:t>
      </w:r>
      <w:r>
        <w:rPr>
          <w:rStyle w:val="VerbatimChar"/>
        </w:rPr>
        <w:t>humain</w:t>
      </w:r>
      <w:r>
        <w:t>) à son type de niveau d</w:t>
      </w:r>
      <w:r w:rsidR="00E84B0E">
        <w:t>’</w:t>
      </w:r>
      <w:r>
        <w:t>endommagement (</w:t>
      </w:r>
      <w:r>
        <w:rPr>
          <w:rStyle w:val="VerbatimChar"/>
        </w:rPr>
        <w:t>E55_Type</w:t>
      </w:r>
      <w:r>
        <w:t xml:space="preserve">)] (Honey </w:t>
      </w:r>
      <w:r w:rsidR="009A1E3D">
        <w:t xml:space="preserve">&amp; </w:t>
      </w:r>
      <w:r>
        <w:t>Pickwoad, 2010)</w:t>
      </w:r>
    </w:p>
    <w:p w14:paraId="781C6E8D" w14:textId="60C4FE98" w:rsidR="00065317" w:rsidRDefault="005C7BF7">
      <w:pPr>
        <w:numPr>
          <w:ilvl w:val="0"/>
          <w:numId w:val="287"/>
        </w:numPr>
      </w:pPr>
      <w:r>
        <w:t>L</w:t>
      </w:r>
      <w:r w:rsidR="00E84B0E">
        <w:t>’</w:t>
      </w:r>
      <w:r>
        <w:t>évaluation de l</w:t>
      </w:r>
      <w:r w:rsidR="00E84B0E">
        <w:t>’</w:t>
      </w:r>
      <w:r>
        <w:t xml:space="preserve">état matériel de la couverture du manuscrit </w:t>
      </w:r>
      <w:r>
        <w:rPr>
          <w:i/>
          <w:iCs/>
        </w:rPr>
        <w:t>Mont Sinaï, MS gr.</w:t>
      </w:r>
      <w:r w:rsidR="006504BB">
        <w:rPr>
          <w:i/>
          <w:iCs/>
        </w:rPr>
        <w:t> </w:t>
      </w:r>
      <w:r>
        <w:rPr>
          <w:i/>
          <w:iCs/>
        </w:rPr>
        <w:t>418</w:t>
      </w:r>
      <w:r>
        <w:t xml:space="preserve"> (</w:t>
      </w:r>
      <w:r>
        <w:rPr>
          <w:rStyle w:val="VerbatimChar"/>
        </w:rPr>
        <w:t>E14_Évaluation_d</w:t>
      </w:r>
      <w:r w:rsidR="00E84B0E">
        <w:rPr>
          <w:rStyle w:val="VerbatimChar"/>
        </w:rPr>
        <w:t>’</w:t>
      </w:r>
      <w:r>
        <w:rPr>
          <w:rStyle w:val="VerbatimChar"/>
        </w:rPr>
        <w:t>état_matériel</w:t>
      </w:r>
      <w:r>
        <w:t>) a assigné le type de propriété (</w:t>
      </w:r>
      <w:r>
        <w:rPr>
          <w:rStyle w:val="VerbatimChar"/>
        </w:rPr>
        <w:t>P177_a_assigné_le_type_de_propriété</w:t>
      </w:r>
      <w:r>
        <w:t>) qualité (</w:t>
      </w:r>
      <w:r>
        <w:rPr>
          <w:rStyle w:val="VerbatimChar"/>
        </w:rPr>
        <w:t>E55_Type</w:t>
      </w:r>
      <w:r>
        <w:t xml:space="preserve">) [« qualité » réfère à une propriété, externe au </w:t>
      </w:r>
      <w:r w:rsidR="00C8288F">
        <w:t>CIDOC CRM</w:t>
      </w:r>
      <w:r>
        <w:t>, qui lie une instance de chose matérielle comme une couverture de livre (</w:t>
      </w:r>
      <w:r>
        <w:rPr>
          <w:rStyle w:val="VerbatimChar"/>
        </w:rPr>
        <w:t>E22_Objet_élaboré_par_l</w:t>
      </w:r>
      <w:r w:rsidR="00E84B0E">
        <w:rPr>
          <w:rStyle w:val="VerbatimChar"/>
        </w:rPr>
        <w:t>’</w:t>
      </w:r>
      <w:r>
        <w:rPr>
          <w:rStyle w:val="VerbatimChar"/>
        </w:rPr>
        <w:t>humain</w:t>
      </w:r>
      <w:r>
        <w:t>) à sa qualité (</w:t>
      </w:r>
      <w:r>
        <w:rPr>
          <w:rStyle w:val="VerbatimChar"/>
        </w:rPr>
        <w:t>E55_Type</w:t>
      </w:r>
      <w:r>
        <w:t xml:space="preserve">)] (Honey </w:t>
      </w:r>
      <w:r w:rsidR="009A1E3D">
        <w:t xml:space="preserve">&amp; </w:t>
      </w:r>
      <w:r>
        <w:t>Pickwoad, 2010)</w:t>
      </w:r>
    </w:p>
    <w:p w14:paraId="75C9FEC5" w14:textId="77777777" w:rsidR="00065317" w:rsidRDefault="005C7BF7">
      <w:pPr>
        <w:pStyle w:val="FirstParagraph"/>
      </w:pPr>
      <w:r>
        <w:rPr>
          <w:b/>
          <w:bCs/>
        </w:rPr>
        <w:t>Logique</w:t>
      </w:r>
    </w:p>
    <w:p w14:paraId="613FCCF7" w14:textId="77777777" w:rsidR="00065317" w:rsidRDefault="005C7BF7">
      <w:pPr>
        <w:pStyle w:val="Corpsdetexte"/>
      </w:pPr>
      <w:r>
        <w:t>P177(x,y) ⇒ E13(x)</w:t>
      </w:r>
    </w:p>
    <w:p w14:paraId="67A7143E" w14:textId="77777777" w:rsidR="00065317" w:rsidRDefault="005C7BF7">
      <w:pPr>
        <w:pStyle w:val="Corpsdetexte"/>
      </w:pPr>
      <w:r>
        <w:t>P177(x,y) ⇒ E55(y)</w:t>
      </w:r>
    </w:p>
    <w:p w14:paraId="0FC079AD" w14:textId="77777777" w:rsidR="00065317" w:rsidRDefault="005C7BF7">
      <w:pPr>
        <w:pStyle w:val="Corpsdetexte"/>
      </w:pPr>
      <w:r>
        <w:rPr>
          <w:b/>
          <w:bCs/>
        </w:rPr>
        <w:t>Propriétés</w:t>
      </w:r>
    </w:p>
    <w:p w14:paraId="66088B95" w14:textId="77777777" w:rsidR="00065317" w:rsidRDefault="005C7BF7">
      <w:pPr>
        <w:pStyle w:val="Normalcentr"/>
      </w:pPr>
      <w:r>
        <w:rPr>
          <w:b/>
          <w:bCs/>
          <w:i/>
          <w:iCs/>
        </w:rPr>
        <w:t>Note de traduction</w:t>
      </w:r>
    </w:p>
    <w:p w14:paraId="70DFB3A2" w14:textId="30C1113F" w:rsidR="00065317" w:rsidRDefault="005C7BF7">
      <w:pPr>
        <w:pStyle w:val="Normalcentr"/>
      </w:pPr>
      <w:r>
        <w:t>« Endband cores » a été traduit par « bâtonnets de la tranchefile ». Il aurait aussi été possible de traduire par « noyaux de la tranchefile », mais cette traduction est moins fréquente dans la littérature scientifique. « Endband cores » peut aussi se traduire uniquement par «</w:t>
      </w:r>
      <w:r w:rsidR="00AF2585">
        <w:t> </w:t>
      </w:r>
      <w:r>
        <w:t>bâtonnets », mais afin d</w:t>
      </w:r>
      <w:r w:rsidR="00E84B0E">
        <w:t>’</w:t>
      </w:r>
      <w:r>
        <w:t>éviter toute ambiguïté, l</w:t>
      </w:r>
      <w:r w:rsidR="00E84B0E">
        <w:t>’</w:t>
      </w:r>
      <w:r>
        <w:t>équipe de traduction a décidé d</w:t>
      </w:r>
      <w:r w:rsidR="00E84B0E">
        <w:t>’</w:t>
      </w:r>
      <w:r>
        <w:t>ajouter « de la tranchefile ».</w:t>
      </w:r>
    </w:p>
    <w:p w14:paraId="50FB4C41" w14:textId="77777777" w:rsidR="00065317" w:rsidRDefault="005C7BF7">
      <w:pPr>
        <w:pStyle w:val="Normalcentr"/>
      </w:pPr>
      <w:r>
        <w:rPr>
          <w:b/>
          <w:bCs/>
          <w:i/>
          <w:iCs/>
        </w:rPr>
        <w:t>Références</w:t>
      </w:r>
    </w:p>
    <w:p w14:paraId="53A943F0" w14:textId="18F6BBE0" w:rsidR="00065317" w:rsidRDefault="005C7BF7">
      <w:pPr>
        <w:pStyle w:val="Normalcentr"/>
      </w:pPr>
      <w:r>
        <w:t xml:space="preserve">Lenormand, Louis Sébastien, et W. Maigne. « Tranchefile ». Dans </w:t>
      </w:r>
      <w:r>
        <w:rPr>
          <w:i/>
          <w:iCs/>
        </w:rPr>
        <w:t>Nouveau manuel complet du relieur en tous genres contenant les arts de l</w:t>
      </w:r>
      <w:r w:rsidR="00E84B0E">
        <w:rPr>
          <w:i/>
          <w:iCs/>
        </w:rPr>
        <w:t>’</w:t>
      </w:r>
      <w:r>
        <w:rPr>
          <w:i/>
          <w:iCs/>
        </w:rPr>
        <w:t>assembleur, du satineur, du cartonneur, du marbreur sur tranches et du doreur sur tranches et sur cuir</w:t>
      </w:r>
      <w:r>
        <w:t>, édité par L. Mulo, 171‑75. Manuels Roret. 1900. Reprint, Paris, FR-IDF: Encyclopédie-Roret, 2006.</w:t>
      </w:r>
      <w:hyperlink r:id="rId282">
        <w:r>
          <w:rPr>
            <w:rStyle w:val="Lienhypertexte"/>
          </w:rPr>
          <w:t xml:space="preserve"> </w:t>
        </w:r>
      </w:hyperlink>
      <w:hyperlink r:id="rId283">
        <w:r>
          <w:rPr>
            <w:rStyle w:val="Lienhypertexte"/>
          </w:rPr>
          <w:t>https://www.moulinduverger.com/reliure-manuelle/roret-69.php</w:t>
        </w:r>
      </w:hyperlink>
      <w:r>
        <w:t>.</w:t>
      </w:r>
    </w:p>
    <w:p w14:paraId="1FA01E5D" w14:textId="01B441E1" w:rsidR="00065317" w:rsidRDefault="005C7BF7">
      <w:pPr>
        <w:pStyle w:val="Normalcentr"/>
      </w:pPr>
      <w:r>
        <w:lastRenderedPageBreak/>
        <w:t>Louis, Olivier. « Bâtonnets de tranchefile, fabrication, matériel utilisé et dimensions</w:t>
      </w:r>
      <w:r w:rsidR="009A1E3D">
        <w:t xml:space="preserve">. </w:t>
      </w:r>
      <w:r>
        <w:t xml:space="preserve">» Blogue. </w:t>
      </w:r>
      <w:r>
        <w:rPr>
          <w:i/>
          <w:iCs/>
        </w:rPr>
        <w:t>Reliure d</w:t>
      </w:r>
      <w:r w:rsidR="00E84B0E">
        <w:rPr>
          <w:i/>
          <w:iCs/>
        </w:rPr>
        <w:t>’</w:t>
      </w:r>
      <w:r>
        <w:rPr>
          <w:i/>
          <w:iCs/>
        </w:rPr>
        <w:t>art dare</w:t>
      </w:r>
      <w:r>
        <w:t xml:space="preserve"> (blog), 28</w:t>
      </w:r>
      <w:r w:rsidR="00056DCD">
        <w:t> septembre </w:t>
      </w:r>
      <w:r>
        <w:t>2021.</w:t>
      </w:r>
      <w:hyperlink r:id="rId284">
        <w:r>
          <w:rPr>
            <w:rStyle w:val="Lienhypertexte"/>
          </w:rPr>
          <w:t xml:space="preserve"> </w:t>
        </w:r>
      </w:hyperlink>
      <w:hyperlink r:id="rId285">
        <w:r>
          <w:rPr>
            <w:rStyle w:val="Lienhypertexte"/>
          </w:rPr>
          <w:t>https://reliuredartdare.com/2021/09/batonnets-tranchefile-fabrication/</w:t>
        </w:r>
      </w:hyperlink>
      <w:r>
        <w:t>.</w:t>
      </w:r>
    </w:p>
    <w:p w14:paraId="07C3ACF9" w14:textId="27921ADB" w:rsidR="00834C26" w:rsidRPr="00834C26" w:rsidRDefault="005C7BF7" w:rsidP="00914F34">
      <w:pPr>
        <w:pStyle w:val="Normalcentr"/>
        <w:rPr>
          <w:lang w:val="en-CA"/>
        </w:rPr>
      </w:pPr>
      <w:r>
        <w:t>Smith, Shelagh, et Hélène Franc</w:t>
      </w:r>
      <w:r w:rsidR="00F52177">
        <w:t>oe</w:t>
      </w:r>
      <w:r>
        <w:t xml:space="preserve">ur. </w:t>
      </w:r>
      <w:r w:rsidRPr="00EC2D6E">
        <w:rPr>
          <w:i/>
          <w:iCs/>
          <w:lang w:val="en-CA"/>
        </w:rPr>
        <w:t>English to French Book Arts Terms</w:t>
      </w:r>
      <w:r w:rsidRPr="00EC2D6E">
        <w:rPr>
          <w:lang w:val="en-CA"/>
        </w:rPr>
        <w:t>. Toronto, CA-ON: Canadian Bookbinders and Book Artists Guild, 2021.</w:t>
      </w:r>
      <w:hyperlink r:id="rId286">
        <w:r w:rsidRPr="00EC2D6E">
          <w:rPr>
            <w:rStyle w:val="Lienhypertexte"/>
            <w:lang w:val="en-CA"/>
          </w:rPr>
          <w:t xml:space="preserve"> </w:t>
        </w:r>
      </w:hyperlink>
      <w:hyperlink r:id="rId287">
        <w:r w:rsidRPr="00EC2D6E">
          <w:rPr>
            <w:rStyle w:val="Lienhypertexte"/>
            <w:lang w:val="en-CA"/>
          </w:rPr>
          <w:t>https://www.cbbag.ca/resources/Public/Book%20Arts%20ENG%20FRE%20Translation.pdf</w:t>
        </w:r>
      </w:hyperlink>
      <w:r w:rsidRPr="00EC2D6E">
        <w:rPr>
          <w:lang w:val="en-CA"/>
        </w:rPr>
        <w:t>.</w:t>
      </w:r>
    </w:p>
    <w:p w14:paraId="56DEC979" w14:textId="77777777" w:rsidR="00065317" w:rsidRDefault="005C7BF7" w:rsidP="00914F34">
      <w:pPr>
        <w:pStyle w:val="Titre3"/>
      </w:pPr>
      <w:bookmarkStart w:id="558" w:name="_Toc154048964"/>
      <w:bookmarkStart w:id="559" w:name="Xaf3a79271c8b466ce99f8e009e33a5442e80580"/>
      <w:bookmarkEnd w:id="557"/>
      <w:r>
        <w:t>P179 a eu pour prix de vente (a été le prix de vente de)</w:t>
      </w:r>
      <w:bookmarkEnd w:id="558"/>
    </w:p>
    <w:p w14:paraId="3BE41195" w14:textId="77777777" w:rsidR="00065317" w:rsidRDefault="005C7BF7">
      <w:pPr>
        <w:pStyle w:val="FirstParagraph"/>
      </w:pPr>
      <w:r>
        <w:rPr>
          <w:b/>
          <w:bCs/>
        </w:rPr>
        <w:t>Domaine</w:t>
      </w:r>
    </w:p>
    <w:p w14:paraId="378346D0" w14:textId="77777777" w:rsidR="00065317" w:rsidRDefault="005C7BF7">
      <w:pPr>
        <w:pStyle w:val="Corpsdetexte"/>
      </w:pPr>
      <w:r>
        <w:rPr>
          <w:rStyle w:val="VerbatimChar"/>
        </w:rPr>
        <w:t>E96_Achat</w:t>
      </w:r>
    </w:p>
    <w:p w14:paraId="4240708E" w14:textId="77777777" w:rsidR="00065317" w:rsidRDefault="005C7BF7">
      <w:pPr>
        <w:pStyle w:val="Corpsdetexte"/>
      </w:pPr>
      <w:r>
        <w:rPr>
          <w:b/>
          <w:bCs/>
        </w:rPr>
        <w:t>Portée</w:t>
      </w:r>
    </w:p>
    <w:p w14:paraId="3D2ACD01" w14:textId="77777777" w:rsidR="00065317" w:rsidRDefault="005C7BF7">
      <w:pPr>
        <w:pStyle w:val="Corpsdetexte"/>
      </w:pPr>
      <w:r>
        <w:rPr>
          <w:rStyle w:val="VerbatimChar"/>
        </w:rPr>
        <w:t>E97_Valeur_monétaire</w:t>
      </w:r>
    </w:p>
    <w:p w14:paraId="2E077BE7" w14:textId="77777777" w:rsidR="00065317" w:rsidRDefault="005C7BF7">
      <w:pPr>
        <w:pStyle w:val="Corpsdetexte"/>
      </w:pPr>
      <w:r>
        <w:rPr>
          <w:b/>
          <w:bCs/>
        </w:rPr>
        <w:t>Sous-propriété de</w:t>
      </w:r>
    </w:p>
    <w:p w14:paraId="70290CE7" w14:textId="77777777" w:rsidR="00065317" w:rsidRDefault="005C7BF7">
      <w:pPr>
        <w:pStyle w:val="Corpsdetexte"/>
      </w:pPr>
      <w:r>
        <w:rPr>
          <w:b/>
          <w:bCs/>
        </w:rPr>
        <w:t>Super-propriété de</w:t>
      </w:r>
    </w:p>
    <w:p w14:paraId="71E0FEC3" w14:textId="77777777" w:rsidR="00065317" w:rsidRDefault="005C7BF7">
      <w:pPr>
        <w:pStyle w:val="Corpsdetexte"/>
      </w:pPr>
      <w:r>
        <w:rPr>
          <w:b/>
          <w:bCs/>
        </w:rPr>
        <w:t>Quantification</w:t>
      </w:r>
    </w:p>
    <w:p w14:paraId="5F9A80FD" w14:textId="77777777" w:rsidR="00065317" w:rsidRDefault="005C7BF7">
      <w:pPr>
        <w:pStyle w:val="Corpsdetexte"/>
      </w:pPr>
      <w:r>
        <w:t>plusieurs à plusieurs, nécessaire (1,n;0,n)</w:t>
      </w:r>
    </w:p>
    <w:p w14:paraId="45535761" w14:textId="7B6F394B" w:rsidR="00065317" w:rsidRDefault="005C7BF7">
      <w:pPr>
        <w:pStyle w:val="Corpsdetexte"/>
      </w:pPr>
      <w:r>
        <w:rPr>
          <w:b/>
          <w:bCs/>
        </w:rPr>
        <w:t>Note d</w:t>
      </w:r>
      <w:r w:rsidR="00E84B0E">
        <w:rPr>
          <w:b/>
          <w:bCs/>
        </w:rPr>
        <w:t>’</w:t>
      </w:r>
      <w:r>
        <w:rPr>
          <w:b/>
          <w:bCs/>
        </w:rPr>
        <w:t>application</w:t>
      </w:r>
    </w:p>
    <w:p w14:paraId="294C0C8A" w14:textId="7CEFBE93" w:rsidR="00065317" w:rsidRDefault="005C7BF7">
      <w:pPr>
        <w:pStyle w:val="Corpsdetexte"/>
      </w:pPr>
      <w:r>
        <w:t xml:space="preserve">Cette propriété établit la relation entre une instance de </w:t>
      </w:r>
      <w:r>
        <w:rPr>
          <w:rStyle w:val="VerbatimChar"/>
        </w:rPr>
        <w:t>E96_Achat</w:t>
      </w:r>
      <w:r>
        <w:t xml:space="preserve"> et une instance de </w:t>
      </w:r>
      <w:r>
        <w:rPr>
          <w:rStyle w:val="VerbatimChar"/>
        </w:rPr>
        <w:t>E97_Valeur_monétaire</w:t>
      </w:r>
      <w:r>
        <w:t xml:space="preserve"> qui forme une contrepartie pour la transaction. La valeur monétaire qui a été convenue peut changer au cours de l</w:t>
      </w:r>
      <w:r w:rsidR="00E84B0E">
        <w:t>’</w:t>
      </w:r>
      <w:r>
        <w:t>activité d</w:t>
      </w:r>
      <w:r w:rsidR="00E84B0E">
        <w:t>’</w:t>
      </w:r>
      <w:r>
        <w:t>achat.</w:t>
      </w:r>
    </w:p>
    <w:p w14:paraId="6589DDFA" w14:textId="77777777" w:rsidR="00065317" w:rsidRDefault="005C7BF7">
      <w:pPr>
        <w:pStyle w:val="Corpsdetexte"/>
      </w:pPr>
      <w:r>
        <w:rPr>
          <w:b/>
          <w:bCs/>
        </w:rPr>
        <w:t>Exemples</w:t>
      </w:r>
    </w:p>
    <w:p w14:paraId="7515A379" w14:textId="5A42E3D1" w:rsidR="00065317" w:rsidRDefault="005C7BF7">
      <w:pPr>
        <w:numPr>
          <w:ilvl w:val="0"/>
          <w:numId w:val="288"/>
        </w:numPr>
      </w:pPr>
      <w:r>
        <w:t>La vente de l</w:t>
      </w:r>
      <w:r w:rsidR="00E84B0E">
        <w:t>’</w:t>
      </w:r>
      <w:r>
        <w:t xml:space="preserve">œuvre de Vincent Van Gogh </w:t>
      </w:r>
      <w:r>
        <w:rPr>
          <w:i/>
          <w:iCs/>
        </w:rPr>
        <w:t>Nature morte : Vase avec quinze tournesols</w:t>
      </w:r>
      <w:r>
        <w:t xml:space="preserve"> le 30</w:t>
      </w:r>
      <w:r w:rsidR="00056DCD">
        <w:t> mars </w:t>
      </w:r>
      <w:r>
        <w:t>1987 (</w:t>
      </w:r>
      <w:r>
        <w:rPr>
          <w:rStyle w:val="VerbatimChar"/>
        </w:rPr>
        <w:t>E96_Achat</w:t>
      </w:r>
      <w:r>
        <w:t>) a eu pour prix de vente (</w:t>
      </w:r>
      <w:r>
        <w:rPr>
          <w:rStyle w:val="VerbatimChar"/>
        </w:rPr>
        <w:t>P179_a_eu_pour_prix_de_vente</w:t>
      </w:r>
      <w:r>
        <w:t>) le prix d</w:t>
      </w:r>
      <w:r w:rsidR="00E84B0E">
        <w:t>’</w:t>
      </w:r>
      <w:r>
        <w:t>adjudication par Christie</w:t>
      </w:r>
      <w:r w:rsidR="00E84B0E">
        <w:t>’</w:t>
      </w:r>
      <w:r>
        <w:t xml:space="preserve">s pour </w:t>
      </w:r>
      <w:r>
        <w:rPr>
          <w:i/>
          <w:iCs/>
        </w:rPr>
        <w:t>Nature morte : Vase avec quinze tournesols</w:t>
      </w:r>
      <w:r>
        <w:t xml:space="preserve"> (</w:t>
      </w:r>
      <w:r>
        <w:rPr>
          <w:rStyle w:val="VerbatimChar"/>
        </w:rPr>
        <w:t>E97_Valeur_monétaire</w:t>
      </w:r>
      <w:r>
        <w:t>)</w:t>
      </w:r>
    </w:p>
    <w:p w14:paraId="5A2D4920" w14:textId="465E0E6A" w:rsidR="00065317" w:rsidRDefault="005C7BF7">
      <w:pPr>
        <w:numPr>
          <w:ilvl w:val="0"/>
          <w:numId w:val="288"/>
        </w:numPr>
      </w:pPr>
      <w:r>
        <w:t>La vente de 10 okkas de clous par le capitaine A. Syrmas le 18</w:t>
      </w:r>
      <w:r w:rsidR="00056DCD">
        <w:t> septembre </w:t>
      </w:r>
      <w:r>
        <w:t>1895 (</w:t>
      </w:r>
      <w:r>
        <w:rPr>
          <w:rStyle w:val="VerbatimChar"/>
        </w:rPr>
        <w:t>E96_Achat</w:t>
      </w:r>
      <w:r>
        <w:t>) a eu pour prix de vente (</w:t>
      </w:r>
      <w:r>
        <w:rPr>
          <w:rStyle w:val="VerbatimChar"/>
        </w:rPr>
        <w:t>P179_a_eu_pour_prix_de_vente</w:t>
      </w:r>
      <w:r>
        <w:t>) 20 piastres (grosi) (</w:t>
      </w:r>
      <w:r>
        <w:rPr>
          <w:rStyle w:val="VerbatimChar"/>
        </w:rPr>
        <w:t>E97_Valeur_monétaire</w:t>
      </w:r>
      <w:r>
        <w:t>) (Syrmas, 1896)</w:t>
      </w:r>
    </w:p>
    <w:p w14:paraId="165B2752" w14:textId="77777777" w:rsidR="00065317" w:rsidRDefault="005C7BF7">
      <w:pPr>
        <w:pStyle w:val="FirstParagraph"/>
      </w:pPr>
      <w:r>
        <w:rPr>
          <w:b/>
          <w:bCs/>
        </w:rPr>
        <w:t>Logique</w:t>
      </w:r>
    </w:p>
    <w:p w14:paraId="42002E56" w14:textId="77777777" w:rsidR="00065317" w:rsidRDefault="005C7BF7">
      <w:pPr>
        <w:pStyle w:val="Corpsdetexte"/>
      </w:pPr>
      <w:r>
        <w:t>P179(x,y) ⇒ E96(x)</w:t>
      </w:r>
    </w:p>
    <w:p w14:paraId="1BFE5FE7" w14:textId="77777777" w:rsidR="00065317" w:rsidRDefault="005C7BF7">
      <w:pPr>
        <w:pStyle w:val="Corpsdetexte"/>
      </w:pPr>
      <w:r>
        <w:t>P179(x,y) ⇒ E97(y)</w:t>
      </w:r>
    </w:p>
    <w:p w14:paraId="08B1DF69" w14:textId="77777777" w:rsidR="00065317" w:rsidRDefault="005C7BF7">
      <w:pPr>
        <w:pStyle w:val="Corpsdetexte"/>
      </w:pPr>
      <w:r>
        <w:rPr>
          <w:b/>
          <w:bCs/>
        </w:rPr>
        <w:t>Propriétés</w:t>
      </w:r>
    </w:p>
    <w:p w14:paraId="2AD4855B" w14:textId="77777777" w:rsidR="00065317" w:rsidRDefault="005C7BF7">
      <w:pPr>
        <w:pStyle w:val="Normalcentr"/>
      </w:pPr>
      <w:r>
        <w:rPr>
          <w:b/>
          <w:bCs/>
          <w:i/>
          <w:iCs/>
        </w:rPr>
        <w:t>Note de traduction</w:t>
      </w:r>
    </w:p>
    <w:p w14:paraId="360CAF1A" w14:textId="77777777" w:rsidR="00065317" w:rsidRDefault="005C7BF7">
      <w:pPr>
        <w:pStyle w:val="Normalcentr"/>
      </w:pPr>
      <w:r>
        <w:t>Le terme « okka » est une ancienne unité de mesure de poids, utilisé autrefois dans les régions de Turquie, Égypte, Hongerie et Roumanie.</w:t>
      </w:r>
    </w:p>
    <w:p w14:paraId="1FA65762" w14:textId="45B01E49" w:rsidR="00065317" w:rsidRDefault="005C7BF7">
      <w:pPr>
        <w:pStyle w:val="Normalcentr"/>
      </w:pPr>
      <w:r>
        <w:t>Le terme « grosi » est le nom grec d</w:t>
      </w:r>
      <w:r w:rsidR="00E84B0E">
        <w:t>’</w:t>
      </w:r>
      <w:r>
        <w:t>une monnaie de l</w:t>
      </w:r>
      <w:r w:rsidR="00E84B0E">
        <w:t>’</w:t>
      </w:r>
      <w:r>
        <w:t>empire ottoman équivalente au « gros »</w:t>
      </w:r>
    </w:p>
    <w:p w14:paraId="4D36E4EC" w14:textId="77777777" w:rsidR="00DE6C24" w:rsidRDefault="00DE6C24">
      <w:pPr>
        <w:spacing w:after="0"/>
        <w:rPr>
          <w:b/>
          <w:bCs/>
          <w:i/>
          <w:iCs/>
          <w:sz w:val="22"/>
        </w:rPr>
      </w:pPr>
      <w:r>
        <w:rPr>
          <w:b/>
          <w:bCs/>
          <w:i/>
          <w:iCs/>
        </w:rPr>
        <w:br w:type="page"/>
      </w:r>
    </w:p>
    <w:p w14:paraId="4B730366" w14:textId="6D9A22D3" w:rsidR="00065317" w:rsidRDefault="005C7BF7">
      <w:pPr>
        <w:pStyle w:val="Normalcentr"/>
      </w:pPr>
      <w:r>
        <w:rPr>
          <w:b/>
          <w:bCs/>
          <w:i/>
          <w:iCs/>
        </w:rPr>
        <w:lastRenderedPageBreak/>
        <w:t>Références</w:t>
      </w:r>
    </w:p>
    <w:p w14:paraId="16562DC2" w14:textId="3EDE2152" w:rsidR="00065317" w:rsidRDefault="005C7BF7">
      <w:pPr>
        <w:pStyle w:val="Normalcentr"/>
      </w:pPr>
      <w:r w:rsidRPr="00C37040">
        <w:rPr>
          <w:lang w:val="fr-CA"/>
        </w:rPr>
        <w:t xml:space="preserve">Wikipédia. « Groschen ». Dans </w:t>
      </w:r>
      <w:r w:rsidRPr="00C37040">
        <w:rPr>
          <w:i/>
          <w:iCs/>
          <w:lang w:val="fr-CA"/>
        </w:rPr>
        <w:t>Wikipedia</w:t>
      </w:r>
      <w:r w:rsidRPr="00C37040">
        <w:rPr>
          <w:lang w:val="fr-CA"/>
        </w:rPr>
        <w:t xml:space="preserve">. </w:t>
      </w:r>
      <w:r w:rsidRPr="00EC2D6E">
        <w:rPr>
          <w:lang w:val="en-CA"/>
        </w:rPr>
        <w:t>San Francisco, US-CA: Wikipédia, 6</w:t>
      </w:r>
      <w:r w:rsidR="00056DCD">
        <w:rPr>
          <w:lang w:val="en-CA"/>
        </w:rPr>
        <w:t> mai </w:t>
      </w:r>
      <w:r w:rsidRPr="00EC2D6E">
        <w:rPr>
          <w:lang w:val="en-CA"/>
        </w:rPr>
        <w:t>2023.</w:t>
      </w:r>
      <w:hyperlink r:id="rId288">
        <w:r w:rsidRPr="00EC2D6E">
          <w:rPr>
            <w:rStyle w:val="Lienhypertexte"/>
            <w:lang w:val="en-CA"/>
          </w:rPr>
          <w:t xml:space="preserve"> </w:t>
        </w:r>
      </w:hyperlink>
      <w:hyperlink r:id="rId289">
        <w:r>
          <w:rPr>
            <w:rStyle w:val="Lienhypertexte"/>
          </w:rPr>
          <w:t>https://en.wikipedia.org/w/index.php?title=Groschen&amp;oldid=1153418826</w:t>
        </w:r>
      </w:hyperlink>
      <w:r>
        <w:t>.</w:t>
      </w:r>
    </w:p>
    <w:p w14:paraId="4AD92C17" w14:textId="01FD8015" w:rsidR="00834C26" w:rsidRPr="00834C26" w:rsidRDefault="005C7BF7" w:rsidP="00914F34">
      <w:pPr>
        <w:pStyle w:val="Normalcentr"/>
      </w:pPr>
      <w:r w:rsidRPr="00EC2D6E">
        <w:rPr>
          <w:lang w:val="en-CA"/>
        </w:rPr>
        <w:t xml:space="preserve">———. « Oka ». Dans </w:t>
      </w:r>
      <w:r w:rsidRPr="00EC2D6E">
        <w:rPr>
          <w:i/>
          <w:iCs/>
          <w:lang w:val="en-CA"/>
        </w:rPr>
        <w:t>Wiktionary</w:t>
      </w:r>
      <w:r w:rsidRPr="00EC2D6E">
        <w:rPr>
          <w:lang w:val="en-CA"/>
        </w:rPr>
        <w:t>. San Francisco, US-CA: Wikipédia, 8</w:t>
      </w:r>
      <w:r w:rsidR="00056DCD">
        <w:rPr>
          <w:lang w:val="en-CA"/>
        </w:rPr>
        <w:t> avril </w:t>
      </w:r>
      <w:r w:rsidRPr="00EC2D6E">
        <w:rPr>
          <w:lang w:val="en-CA"/>
        </w:rPr>
        <w:t>2023.</w:t>
      </w:r>
      <w:hyperlink r:id="rId290">
        <w:r w:rsidRPr="00EC2D6E">
          <w:rPr>
            <w:rStyle w:val="Lienhypertexte"/>
            <w:lang w:val="en-CA"/>
          </w:rPr>
          <w:t xml:space="preserve"> </w:t>
        </w:r>
      </w:hyperlink>
      <w:hyperlink r:id="rId291">
        <w:r>
          <w:rPr>
            <w:rStyle w:val="Lienhypertexte"/>
          </w:rPr>
          <w:t>https://en.wiktionary.org/w/index.php?title=oka&amp;oldid=72628696</w:t>
        </w:r>
      </w:hyperlink>
      <w:r>
        <w:t>.</w:t>
      </w:r>
    </w:p>
    <w:p w14:paraId="6A921063" w14:textId="1AEEE22C" w:rsidR="00065317" w:rsidRDefault="005C7BF7" w:rsidP="00914F34">
      <w:pPr>
        <w:pStyle w:val="Titre3"/>
      </w:pPr>
      <w:bookmarkStart w:id="560" w:name="_Toc154048965"/>
      <w:bookmarkStart w:id="561" w:name="X5a2a25f1f37adf872c7ba9edbb6a8a5b8067843"/>
      <w:bookmarkEnd w:id="559"/>
      <w:r>
        <w:t>P180 a pour unité monétaire (était l</w:t>
      </w:r>
      <w:r w:rsidR="00E84B0E">
        <w:t>’</w:t>
      </w:r>
      <w:r>
        <w:t>unité monétaire de)</w:t>
      </w:r>
      <w:bookmarkEnd w:id="560"/>
    </w:p>
    <w:p w14:paraId="008B843B" w14:textId="77777777" w:rsidR="00065317" w:rsidRDefault="005C7BF7">
      <w:pPr>
        <w:pStyle w:val="FirstParagraph"/>
      </w:pPr>
      <w:r>
        <w:rPr>
          <w:b/>
          <w:bCs/>
        </w:rPr>
        <w:t>Domaine</w:t>
      </w:r>
    </w:p>
    <w:p w14:paraId="035C82E2" w14:textId="77777777" w:rsidR="00065317" w:rsidRDefault="005C7BF7">
      <w:pPr>
        <w:pStyle w:val="Corpsdetexte"/>
      </w:pPr>
      <w:r>
        <w:rPr>
          <w:rStyle w:val="VerbatimChar"/>
        </w:rPr>
        <w:t>E97_Valeur_monétaire</w:t>
      </w:r>
    </w:p>
    <w:p w14:paraId="0F15DB77" w14:textId="77777777" w:rsidR="00065317" w:rsidRDefault="005C7BF7">
      <w:pPr>
        <w:pStyle w:val="Corpsdetexte"/>
      </w:pPr>
      <w:r>
        <w:rPr>
          <w:b/>
          <w:bCs/>
        </w:rPr>
        <w:t>Portée</w:t>
      </w:r>
    </w:p>
    <w:p w14:paraId="54912E84" w14:textId="77777777" w:rsidR="00065317" w:rsidRDefault="005C7BF7">
      <w:pPr>
        <w:pStyle w:val="Corpsdetexte"/>
      </w:pPr>
      <w:r>
        <w:rPr>
          <w:rStyle w:val="VerbatimChar"/>
        </w:rPr>
        <w:t>E98_Unité_monétaire</w:t>
      </w:r>
    </w:p>
    <w:p w14:paraId="60B2670F" w14:textId="77777777" w:rsidR="00065317" w:rsidRDefault="005C7BF7">
      <w:pPr>
        <w:pStyle w:val="Corpsdetexte"/>
      </w:pPr>
      <w:r>
        <w:rPr>
          <w:b/>
          <w:bCs/>
        </w:rPr>
        <w:t>Sous-propriété de</w:t>
      </w:r>
    </w:p>
    <w:p w14:paraId="37288616" w14:textId="71FC2B63" w:rsidR="00065317" w:rsidRDefault="005C7BF7">
      <w:pPr>
        <w:pStyle w:val="Corpsdetexte"/>
      </w:pPr>
      <w:r>
        <w:rPr>
          <w:rStyle w:val="VerbatimChar"/>
        </w:rPr>
        <w:t>E54_Dimension</w:t>
      </w:r>
      <w:r>
        <w:t xml:space="preserve">. </w:t>
      </w:r>
      <w:r>
        <w:rPr>
          <w:rStyle w:val="VerbatimChar"/>
        </w:rPr>
        <w:t>P91_a_pour_unité_de_mesure (est_l</w:t>
      </w:r>
      <w:r w:rsidR="00E84B0E">
        <w:rPr>
          <w:rStyle w:val="VerbatimChar"/>
        </w:rPr>
        <w:t>’</w:t>
      </w:r>
      <w:r>
        <w:rPr>
          <w:rStyle w:val="VerbatimChar"/>
        </w:rPr>
        <w:t>unité_de_mesure_de)</w:t>
      </w:r>
      <w:r>
        <w:t xml:space="preserve"> : </w:t>
      </w:r>
      <w:r>
        <w:rPr>
          <w:rStyle w:val="VerbatimChar"/>
        </w:rPr>
        <w:t>E58_Unité_de_mesure</w:t>
      </w:r>
    </w:p>
    <w:p w14:paraId="28ACD974" w14:textId="77777777" w:rsidR="00065317" w:rsidRDefault="005C7BF7">
      <w:pPr>
        <w:pStyle w:val="Corpsdetexte"/>
      </w:pPr>
      <w:r>
        <w:rPr>
          <w:b/>
          <w:bCs/>
        </w:rPr>
        <w:t>Super-propriété de</w:t>
      </w:r>
    </w:p>
    <w:p w14:paraId="0A1EFA5B" w14:textId="77777777" w:rsidR="00065317" w:rsidRDefault="005C7BF7">
      <w:pPr>
        <w:pStyle w:val="Corpsdetexte"/>
      </w:pPr>
      <w:r>
        <w:rPr>
          <w:b/>
          <w:bCs/>
        </w:rPr>
        <w:t>Quantification</w:t>
      </w:r>
    </w:p>
    <w:p w14:paraId="617725E9" w14:textId="77777777" w:rsidR="00065317" w:rsidRDefault="005C7BF7">
      <w:pPr>
        <w:pStyle w:val="Corpsdetexte"/>
      </w:pPr>
      <w:r>
        <w:t>plusieurs à un, nécessaire (1,1:0,n)</w:t>
      </w:r>
    </w:p>
    <w:p w14:paraId="32F645F8" w14:textId="51A8D2B8" w:rsidR="00065317" w:rsidRDefault="005C7BF7">
      <w:pPr>
        <w:pStyle w:val="Corpsdetexte"/>
      </w:pPr>
      <w:r>
        <w:rPr>
          <w:b/>
          <w:bCs/>
        </w:rPr>
        <w:t>Note d</w:t>
      </w:r>
      <w:r w:rsidR="00E84B0E">
        <w:rPr>
          <w:b/>
          <w:bCs/>
        </w:rPr>
        <w:t>’</w:t>
      </w:r>
      <w:r>
        <w:rPr>
          <w:b/>
          <w:bCs/>
        </w:rPr>
        <w:t>application</w:t>
      </w:r>
    </w:p>
    <w:p w14:paraId="2CE70B45" w14:textId="6AA58484" w:rsidR="00065317" w:rsidRDefault="005C7BF7">
      <w:pPr>
        <w:pStyle w:val="Corpsdetexte"/>
      </w:pPr>
      <w:r>
        <w:t xml:space="preserve">Cette propriété établit la relation entre une instance de </w:t>
      </w:r>
      <w:r>
        <w:rPr>
          <w:rStyle w:val="VerbatimChar"/>
        </w:rPr>
        <w:t>E97_Valeur_monétaire</w:t>
      </w:r>
      <w:r>
        <w:t xml:space="preserve"> et l</w:t>
      </w:r>
      <w:r w:rsidR="00E84B0E">
        <w:t>’</w:t>
      </w:r>
      <w:r>
        <w:t xml:space="preserve">instance de </w:t>
      </w:r>
      <w:r>
        <w:rPr>
          <w:rStyle w:val="VerbatimChar"/>
        </w:rPr>
        <w:t>E98_Unité_monétaire</w:t>
      </w:r>
      <w:r>
        <w:t xml:space="preserve"> dans laquelle elle est mesurée.</w:t>
      </w:r>
    </w:p>
    <w:p w14:paraId="36A8172E" w14:textId="77777777" w:rsidR="00065317" w:rsidRDefault="005C7BF7">
      <w:pPr>
        <w:pStyle w:val="Corpsdetexte"/>
      </w:pPr>
      <w:r>
        <w:rPr>
          <w:b/>
          <w:bCs/>
        </w:rPr>
        <w:t>Exemples</w:t>
      </w:r>
    </w:p>
    <w:p w14:paraId="698E13A1" w14:textId="000B00ED" w:rsidR="00065317" w:rsidRDefault="005C7BF7">
      <w:pPr>
        <w:numPr>
          <w:ilvl w:val="0"/>
          <w:numId w:val="289"/>
        </w:numPr>
      </w:pPr>
      <w:r>
        <w:t>Le prix d</w:t>
      </w:r>
      <w:r w:rsidR="00E84B0E">
        <w:t>’</w:t>
      </w:r>
      <w:r>
        <w:t>adjudication par Christie</w:t>
      </w:r>
      <w:r w:rsidR="00E84B0E">
        <w:t>’</w:t>
      </w:r>
      <w:r>
        <w:t>s de l</w:t>
      </w:r>
      <w:r w:rsidR="00E84B0E">
        <w:t>’</w:t>
      </w:r>
      <w:r>
        <w:t xml:space="preserve">œuvre peinte </w:t>
      </w:r>
      <w:r>
        <w:rPr>
          <w:i/>
          <w:iCs/>
        </w:rPr>
        <w:t>Vase avec quinze tournesols</w:t>
      </w:r>
      <w:r>
        <w:t xml:space="preserve"> (</w:t>
      </w:r>
      <w:r>
        <w:rPr>
          <w:rStyle w:val="VerbatimChar"/>
        </w:rPr>
        <w:t>E97_Valeur_monétaire</w:t>
      </w:r>
      <w:r>
        <w:t>) a pour unité monétaire (</w:t>
      </w:r>
      <w:r>
        <w:rPr>
          <w:rStyle w:val="VerbatimChar"/>
        </w:rPr>
        <w:t>P180_a_pour_unité_monétaire</w:t>
      </w:r>
      <w:r>
        <w:t>) livre sterling (</w:t>
      </w:r>
      <w:r>
        <w:rPr>
          <w:rStyle w:val="VerbatimChar"/>
        </w:rPr>
        <w:t>E98_Unité_monétaire</w:t>
      </w:r>
      <w:r>
        <w:t>)</w:t>
      </w:r>
    </w:p>
    <w:p w14:paraId="0A93F21D" w14:textId="77777777" w:rsidR="00065317" w:rsidRDefault="005C7BF7">
      <w:pPr>
        <w:pStyle w:val="FirstParagraph"/>
      </w:pPr>
      <w:r>
        <w:rPr>
          <w:b/>
          <w:bCs/>
        </w:rPr>
        <w:t>Logique</w:t>
      </w:r>
    </w:p>
    <w:p w14:paraId="68BC0837" w14:textId="77777777" w:rsidR="00065317" w:rsidRDefault="005C7BF7">
      <w:pPr>
        <w:pStyle w:val="Corpsdetexte"/>
      </w:pPr>
      <w:r>
        <w:t>P180(x,y) ⇒ E97(x)</w:t>
      </w:r>
    </w:p>
    <w:p w14:paraId="10942357" w14:textId="77777777" w:rsidR="00065317" w:rsidRDefault="005C7BF7">
      <w:pPr>
        <w:pStyle w:val="Corpsdetexte"/>
      </w:pPr>
      <w:r>
        <w:t>P180(x,y) ⇒ E98(y)</w:t>
      </w:r>
    </w:p>
    <w:p w14:paraId="1E1C6FAA" w14:textId="77777777" w:rsidR="00065317" w:rsidRDefault="005C7BF7">
      <w:pPr>
        <w:pStyle w:val="Corpsdetexte"/>
      </w:pPr>
      <w:r>
        <w:t>P180(x,y) ⇒ P91(x,y)</w:t>
      </w:r>
    </w:p>
    <w:p w14:paraId="43F482EE" w14:textId="77777777" w:rsidR="00065317" w:rsidRDefault="005C7BF7">
      <w:pPr>
        <w:pStyle w:val="Corpsdetexte"/>
      </w:pPr>
      <w:r>
        <w:rPr>
          <w:b/>
          <w:bCs/>
        </w:rPr>
        <w:t>Propriétés</w:t>
      </w:r>
    </w:p>
    <w:p w14:paraId="164FCAD1" w14:textId="77777777" w:rsidR="00065317" w:rsidRDefault="005C7BF7">
      <w:pPr>
        <w:pStyle w:val="Normalcentr"/>
      </w:pPr>
      <w:r>
        <w:rPr>
          <w:b/>
          <w:bCs/>
          <w:i/>
          <w:iCs/>
        </w:rPr>
        <w:t>Note de traduction</w:t>
      </w:r>
    </w:p>
    <w:p w14:paraId="2651E413" w14:textId="52CE25FC" w:rsidR="00065317" w:rsidRDefault="005C7BF7" w:rsidP="00AF2585">
      <w:pPr>
        <w:pStyle w:val="Normalcentr"/>
      </w:pPr>
      <w:r>
        <w:rPr>
          <w:b/>
          <w:bCs/>
          <w:i/>
          <w:iCs/>
        </w:rPr>
        <w:t>Références</w:t>
      </w:r>
    </w:p>
    <w:p w14:paraId="2EA76CF8" w14:textId="77777777" w:rsidR="00065317" w:rsidRDefault="005C7BF7" w:rsidP="00914F34">
      <w:pPr>
        <w:pStyle w:val="Titre3"/>
      </w:pPr>
      <w:bookmarkStart w:id="562" w:name="_Toc154048966"/>
      <w:bookmarkStart w:id="563" w:name="Xb9d734bf600db01ff72e1c14026f540dd1e9568"/>
      <w:bookmarkEnd w:id="561"/>
      <w:r>
        <w:t>P182 se termine avant ou au moment du début de (commence après ou au moment de la fin de)</w:t>
      </w:r>
      <w:bookmarkEnd w:id="562"/>
    </w:p>
    <w:p w14:paraId="680C252E" w14:textId="77777777" w:rsidR="00065317" w:rsidRDefault="005C7BF7">
      <w:pPr>
        <w:pStyle w:val="FirstParagraph"/>
      </w:pPr>
      <w:r>
        <w:rPr>
          <w:b/>
          <w:bCs/>
        </w:rPr>
        <w:t>Domaine</w:t>
      </w:r>
    </w:p>
    <w:p w14:paraId="34FB53AB" w14:textId="77777777" w:rsidR="00065317" w:rsidRDefault="005C7BF7">
      <w:pPr>
        <w:pStyle w:val="Corpsdetexte"/>
      </w:pPr>
      <w:r>
        <w:rPr>
          <w:rStyle w:val="VerbatimChar"/>
        </w:rPr>
        <w:t>E2_Entité_temporelle</w:t>
      </w:r>
    </w:p>
    <w:p w14:paraId="68F578C6" w14:textId="77777777" w:rsidR="00DE6C24" w:rsidRDefault="00DE6C24">
      <w:pPr>
        <w:spacing w:after="0"/>
        <w:rPr>
          <w:b/>
          <w:bCs/>
        </w:rPr>
      </w:pPr>
      <w:r>
        <w:rPr>
          <w:b/>
          <w:bCs/>
        </w:rPr>
        <w:br w:type="page"/>
      </w:r>
    </w:p>
    <w:p w14:paraId="28C58790" w14:textId="4DF91DB5" w:rsidR="00065317" w:rsidRDefault="005C7BF7">
      <w:pPr>
        <w:pStyle w:val="Corpsdetexte"/>
      </w:pPr>
      <w:r>
        <w:rPr>
          <w:b/>
          <w:bCs/>
        </w:rPr>
        <w:lastRenderedPageBreak/>
        <w:t>Portée</w:t>
      </w:r>
    </w:p>
    <w:p w14:paraId="51C7E53D" w14:textId="4FBC605A" w:rsidR="00834C26" w:rsidRDefault="005C7BF7">
      <w:pPr>
        <w:pStyle w:val="Corpsdetexte"/>
        <w:rPr>
          <w:b/>
          <w:bCs/>
        </w:rPr>
      </w:pPr>
      <w:r>
        <w:rPr>
          <w:rStyle w:val="VerbatimChar"/>
        </w:rPr>
        <w:t>E2_Entité_temporelle</w:t>
      </w:r>
    </w:p>
    <w:p w14:paraId="1F215317" w14:textId="37D06BE4" w:rsidR="00065317" w:rsidRDefault="005C7BF7">
      <w:pPr>
        <w:pStyle w:val="Corpsdetexte"/>
      </w:pPr>
      <w:r>
        <w:rPr>
          <w:b/>
          <w:bCs/>
        </w:rPr>
        <w:t>Sous-propriété de</w:t>
      </w:r>
    </w:p>
    <w:p w14:paraId="5C7D5BAA" w14:textId="77777777" w:rsidR="00065317" w:rsidRDefault="005C7BF7">
      <w:pPr>
        <w:pStyle w:val="Corpsdetexte"/>
      </w:pPr>
      <w:r>
        <w:rPr>
          <w:rStyle w:val="VerbatimChar"/>
        </w:rPr>
        <w:t>E2_Entité_temporelle</w:t>
      </w:r>
      <w:r>
        <w:t xml:space="preserve">. </w:t>
      </w:r>
      <w:r>
        <w:rPr>
          <w:rStyle w:val="VerbatimChar"/>
        </w:rPr>
        <w:t>P176_commence_avant_le_début_de (commence_après_le_début_de)</w:t>
      </w:r>
      <w:r>
        <w:t xml:space="preserve"> : </w:t>
      </w:r>
      <w:r>
        <w:rPr>
          <w:rStyle w:val="VerbatimChar"/>
        </w:rPr>
        <w:t>E2_Entité_temporelle</w:t>
      </w:r>
    </w:p>
    <w:p w14:paraId="50327F72" w14:textId="77777777" w:rsidR="00065317" w:rsidRDefault="005C7BF7">
      <w:pPr>
        <w:pStyle w:val="Corpsdetexte"/>
      </w:pPr>
      <w:r>
        <w:rPr>
          <w:rStyle w:val="VerbatimChar"/>
        </w:rPr>
        <w:t>E2_Entité_temporelle</w:t>
      </w:r>
      <w:r>
        <w:t xml:space="preserve">. </w:t>
      </w:r>
      <w:r>
        <w:rPr>
          <w:rStyle w:val="VerbatimChar"/>
        </w:rPr>
        <w:t>P185_se_termine_avant_la_fin_de (se_termine_après_la_fin_de)</w:t>
      </w:r>
      <w:r>
        <w:t xml:space="preserve"> : </w:t>
      </w:r>
      <w:r>
        <w:rPr>
          <w:rStyle w:val="VerbatimChar"/>
        </w:rPr>
        <w:t>E2_Entité_temporelle</w:t>
      </w:r>
    </w:p>
    <w:p w14:paraId="3C500777" w14:textId="77777777" w:rsidR="00065317" w:rsidRDefault="005C7BF7">
      <w:pPr>
        <w:pStyle w:val="Corpsdetexte"/>
      </w:pPr>
      <w:r>
        <w:rPr>
          <w:b/>
          <w:bCs/>
        </w:rPr>
        <w:t>Super-propriété de</w:t>
      </w:r>
    </w:p>
    <w:p w14:paraId="653B2BE8" w14:textId="77777777" w:rsidR="00065317" w:rsidRDefault="005C7BF7">
      <w:pPr>
        <w:pStyle w:val="Corpsdetexte"/>
      </w:pPr>
      <w:r>
        <w:rPr>
          <w:rStyle w:val="VerbatimChar"/>
        </w:rPr>
        <w:t>E2_Entité_temporelle</w:t>
      </w:r>
      <w:r>
        <w:t xml:space="preserve">. </w:t>
      </w:r>
      <w:r>
        <w:rPr>
          <w:rStyle w:val="VerbatimChar"/>
        </w:rPr>
        <w:t>P183_se_termine_avant_le_début_de (commence_après_la_fin_de)</w:t>
      </w:r>
      <w:r>
        <w:t xml:space="preserve"> : </w:t>
      </w:r>
      <w:r>
        <w:rPr>
          <w:rStyle w:val="VerbatimChar"/>
        </w:rPr>
        <w:t>E2_Entité_temporelle</w:t>
      </w:r>
    </w:p>
    <w:p w14:paraId="2A104EA8" w14:textId="77777777" w:rsidR="00065317" w:rsidRDefault="005C7BF7">
      <w:pPr>
        <w:pStyle w:val="Corpsdetexte"/>
      </w:pPr>
      <w:r>
        <w:rPr>
          <w:b/>
          <w:bCs/>
        </w:rPr>
        <w:t>Quantification</w:t>
      </w:r>
    </w:p>
    <w:p w14:paraId="4EA641AC" w14:textId="77777777" w:rsidR="00065317" w:rsidRDefault="005C7BF7">
      <w:pPr>
        <w:pStyle w:val="Corpsdetexte"/>
      </w:pPr>
      <w:r>
        <w:t>plusieurs à plusieurs (0,n:0,n)</w:t>
      </w:r>
    </w:p>
    <w:p w14:paraId="5B3237A1" w14:textId="4C934724" w:rsidR="00065317" w:rsidRDefault="005C7BF7">
      <w:pPr>
        <w:pStyle w:val="Corpsdetexte"/>
      </w:pPr>
      <w:r>
        <w:rPr>
          <w:b/>
          <w:bCs/>
        </w:rPr>
        <w:t>Note d</w:t>
      </w:r>
      <w:r w:rsidR="00E84B0E">
        <w:rPr>
          <w:b/>
          <w:bCs/>
        </w:rPr>
        <w:t>’</w:t>
      </w:r>
      <w:r>
        <w:rPr>
          <w:b/>
          <w:bCs/>
        </w:rPr>
        <w:t>application</w:t>
      </w:r>
    </w:p>
    <w:p w14:paraId="308CF4A7" w14:textId="3D5E665E" w:rsidR="00065317" w:rsidRDefault="005C7BF7">
      <w:pPr>
        <w:pStyle w:val="Corpsdetexte"/>
      </w:pPr>
      <w:r>
        <w:t>Cette propriété spécifie que l</w:t>
      </w:r>
      <w:r w:rsidR="00E84B0E">
        <w:t>’</w:t>
      </w:r>
      <w:r>
        <w:t>étendue temporelle de l</w:t>
      </w:r>
      <w:r w:rsidR="00E84B0E">
        <w:t>’</w:t>
      </w:r>
      <w:r>
        <w:t xml:space="preserve">instance du domaine (A) de </w:t>
      </w:r>
      <w:r>
        <w:rPr>
          <w:rStyle w:val="VerbatimChar"/>
        </w:rPr>
        <w:t>E2_Entité_temporelle</w:t>
      </w:r>
      <w:r>
        <w:t xml:space="preserve"> se termine avant ou simultanément avec le début de l</w:t>
      </w:r>
      <w:r w:rsidR="00E84B0E">
        <w:t>’</w:t>
      </w:r>
      <w:r>
        <w:t>étendue temporelle de l</w:t>
      </w:r>
      <w:r w:rsidR="00E84B0E">
        <w:t>’</w:t>
      </w:r>
      <w:r>
        <w:t xml:space="preserve">instance de la portée (B) de </w:t>
      </w:r>
      <w:r>
        <w:rPr>
          <w:rStyle w:val="VerbatimChar"/>
        </w:rPr>
        <w:t>E2_Entité_temporelle</w:t>
      </w:r>
      <w:r>
        <w:t>.</w:t>
      </w:r>
    </w:p>
    <w:p w14:paraId="2A928A5A" w14:textId="6F1256DF" w:rsidR="00065317" w:rsidRDefault="005C7BF7">
      <w:pPr>
        <w:pStyle w:val="Corpsdetexte"/>
      </w:pPr>
      <w:r>
        <w:t>En d</w:t>
      </w:r>
      <w:r w:rsidR="00E84B0E">
        <w:t>’</w:t>
      </w:r>
      <w:r>
        <w:t>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fin</w:t>
      </w:r>
      <w:r>
        <w:t xml:space="preserve"> ≤ B</w:t>
      </w:r>
      <w:r>
        <w:rPr>
          <w:vertAlign w:val="superscript"/>
        </w:rPr>
        <w:t>début</w:t>
      </w:r>
      <w:r>
        <w:t xml:space="preserve"> est vrai.</w:t>
      </w:r>
    </w:p>
    <w:p w14:paraId="52D276CF" w14:textId="456D0F1C" w:rsidR="00065317" w:rsidRDefault="005C7BF7">
      <w:pPr>
        <w:pStyle w:val="Corpsdetexte"/>
      </w:pPr>
      <w:r>
        <w:t>Cette propriété fait partie de l</w:t>
      </w:r>
      <w:r w:rsidR="00E84B0E">
        <w:t>’</w:t>
      </w:r>
      <w:r>
        <w:t>ensemble des propriétés temporelles P173 à P176 et P182 à P185.</w:t>
      </w:r>
    </w:p>
    <w:p w14:paraId="6F24D46A" w14:textId="36418761" w:rsidR="00065317" w:rsidRDefault="005C7BF7">
      <w:pPr>
        <w:pStyle w:val="Corpsdetexte"/>
      </w:pPr>
      <w:r>
        <w:t>Cette propriété correspond à une disjonction (OU logique) des relations définies par l</w:t>
      </w:r>
      <w:r w:rsidR="00E84B0E">
        <w:t>’</w:t>
      </w:r>
      <w:r>
        <w:t>algèbre des intervalles d</w:t>
      </w:r>
      <w:r w:rsidR="00E84B0E">
        <w:t>’</w:t>
      </w:r>
      <w:r>
        <w:t>Allen suivantes (Allen, 1983) : {avant, rencontre}</w:t>
      </w:r>
    </w:p>
    <w:p w14:paraId="72F5D1F4" w14:textId="77777777" w:rsidR="00065317" w:rsidRDefault="005C7BF7">
      <w:pPr>
        <w:pStyle w:val="Corpsdetexte"/>
      </w:pPr>
      <w:r>
        <w:t>Cette propriété est transitive et asymétrique.</w:t>
      </w:r>
    </w:p>
    <w:p w14:paraId="5B8469C3" w14:textId="77777777" w:rsidR="00065317" w:rsidRDefault="005C7BF7" w:rsidP="00DE6C24">
      <w:pPr>
        <w:pStyle w:val="Corpsdetexte"/>
        <w:spacing w:before="0" w:after="0"/>
      </w:pPr>
      <w:r>
        <w:rPr>
          <w:noProof/>
        </w:rPr>
        <w:drawing>
          <wp:inline distT="0" distB="0" distL="0" distR="0" wp14:anchorId="646699A1" wp14:editId="4F20A056">
            <wp:extent cx="6858000" cy="3025913"/>
            <wp:effectExtent l="0" t="0" r="0" b="0"/>
            <wp:docPr id="448" name="Picture" descr="Un diagramme illustre le fonctionnement de la propriété P182_se_termine_avant_ou_au_moment_du_début_de (commence_après_ou_au_moment_de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49" name="Picture" descr="../../drawio/PNG/FR/Fig_16_FR.png"/>
                    <pic:cNvPicPr>
                      <a:picLocks noChangeAspect="1" noChangeArrowheads="1"/>
                    </pic:cNvPicPr>
                  </pic:nvPicPr>
                  <pic:blipFill>
                    <a:blip r:embed="rId292"/>
                    <a:stretch>
                      <a:fillRect/>
                    </a:stretch>
                  </pic:blipFill>
                  <pic:spPr bwMode="auto">
                    <a:xfrm>
                      <a:off x="0" y="0"/>
                      <a:ext cx="6858000" cy="3025913"/>
                    </a:xfrm>
                    <a:prstGeom prst="rect">
                      <a:avLst/>
                    </a:prstGeom>
                    <a:noFill/>
                    <a:ln w="9525">
                      <a:noFill/>
                      <a:headEnd/>
                      <a:tailEnd/>
                    </a:ln>
                  </pic:spPr>
                </pic:pic>
              </a:graphicData>
            </a:graphic>
          </wp:inline>
        </w:drawing>
      </w:r>
    </w:p>
    <w:p w14:paraId="01DA3BE1" w14:textId="526B9158" w:rsidR="00065317" w:rsidRPr="009C62B3" w:rsidRDefault="005C7BF7" w:rsidP="00DE6C24">
      <w:pPr>
        <w:pStyle w:val="Corpsdetexte"/>
        <w:spacing w:before="0" w:after="0"/>
        <w:rPr>
          <w:sz w:val="20"/>
          <w:szCs w:val="20"/>
        </w:rPr>
      </w:pPr>
      <w:r w:rsidRPr="009C62B3">
        <w:rPr>
          <w:i/>
          <w:iCs/>
          <w:sz w:val="20"/>
          <w:szCs w:val="20"/>
        </w:rPr>
        <w:t>Figure 16 : L</w:t>
      </w:r>
      <w:r w:rsidR="00E84B0E">
        <w:rPr>
          <w:i/>
          <w:iCs/>
          <w:sz w:val="20"/>
          <w:szCs w:val="20"/>
        </w:rPr>
        <w:t>’</w:t>
      </w:r>
      <w:r w:rsidRPr="009C62B3">
        <w:rPr>
          <w:i/>
          <w:iCs/>
          <w:sz w:val="20"/>
          <w:szCs w:val="20"/>
        </w:rPr>
        <w:t>entité temporelle A termine avant ou au moment du début de l</w:t>
      </w:r>
      <w:r w:rsidR="00E84B0E">
        <w:rPr>
          <w:i/>
          <w:iCs/>
          <w:sz w:val="20"/>
          <w:szCs w:val="20"/>
        </w:rPr>
        <w:t>’</w:t>
      </w:r>
      <w:r w:rsidRPr="009C62B3">
        <w:rPr>
          <w:i/>
          <w:iCs/>
          <w:sz w:val="20"/>
          <w:szCs w:val="20"/>
        </w:rPr>
        <w:t>entité temporelle B. Ici, A est plus long que B.</w:t>
      </w:r>
    </w:p>
    <w:p w14:paraId="2C37D8A4" w14:textId="77777777" w:rsidR="00065317" w:rsidRDefault="00065317">
      <w:pPr>
        <w:pStyle w:val="Corpsdetexte"/>
      </w:pPr>
    </w:p>
    <w:p w14:paraId="757EE45E" w14:textId="77777777" w:rsidR="00065317" w:rsidRDefault="005C7BF7" w:rsidP="00DE6C24">
      <w:pPr>
        <w:pStyle w:val="Corpsdetexte"/>
        <w:spacing w:before="0" w:after="0"/>
      </w:pPr>
      <w:r>
        <w:rPr>
          <w:noProof/>
        </w:rPr>
        <w:lastRenderedPageBreak/>
        <w:drawing>
          <wp:inline distT="0" distB="0" distL="0" distR="0" wp14:anchorId="31B3DDD5" wp14:editId="5C51FF02">
            <wp:extent cx="6858000" cy="3025913"/>
            <wp:effectExtent l="0" t="0" r="0" b="0"/>
            <wp:docPr id="451" name="Picture" descr="Un diagramme illustre le fonctionnement de la propriété P182_se_termine_avant_ou_au_moment_du_début_de (commence_après_ou_au_moment_de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52" name="Picture" descr="../../drawio/PNG/FR/Fig_17_FR.png"/>
                    <pic:cNvPicPr>
                      <a:picLocks noChangeAspect="1" noChangeArrowheads="1"/>
                    </pic:cNvPicPr>
                  </pic:nvPicPr>
                  <pic:blipFill>
                    <a:blip r:embed="rId293"/>
                    <a:stretch>
                      <a:fillRect/>
                    </a:stretch>
                  </pic:blipFill>
                  <pic:spPr bwMode="auto">
                    <a:xfrm>
                      <a:off x="0" y="0"/>
                      <a:ext cx="6858000" cy="3025913"/>
                    </a:xfrm>
                    <a:prstGeom prst="rect">
                      <a:avLst/>
                    </a:prstGeom>
                    <a:noFill/>
                    <a:ln w="9525">
                      <a:noFill/>
                      <a:headEnd/>
                      <a:tailEnd/>
                    </a:ln>
                  </pic:spPr>
                </pic:pic>
              </a:graphicData>
            </a:graphic>
          </wp:inline>
        </w:drawing>
      </w:r>
    </w:p>
    <w:p w14:paraId="200BE45C" w14:textId="6804A06D" w:rsidR="00065317" w:rsidRPr="009C62B3" w:rsidRDefault="005C7BF7" w:rsidP="00DE6C24">
      <w:pPr>
        <w:pStyle w:val="Corpsdetexte"/>
        <w:spacing w:before="0" w:after="0"/>
        <w:rPr>
          <w:sz w:val="20"/>
          <w:szCs w:val="20"/>
        </w:rPr>
      </w:pPr>
      <w:r w:rsidRPr="009C62B3">
        <w:rPr>
          <w:i/>
          <w:iCs/>
          <w:sz w:val="20"/>
          <w:szCs w:val="20"/>
        </w:rPr>
        <w:t>Figure 17 : L</w:t>
      </w:r>
      <w:r w:rsidR="00E84B0E">
        <w:rPr>
          <w:i/>
          <w:iCs/>
          <w:sz w:val="20"/>
          <w:szCs w:val="20"/>
        </w:rPr>
        <w:t>’</w:t>
      </w:r>
      <w:r w:rsidRPr="009C62B3">
        <w:rPr>
          <w:i/>
          <w:iCs/>
          <w:sz w:val="20"/>
          <w:szCs w:val="20"/>
        </w:rPr>
        <w:t>entité temporelle A termine avant ou au moment du début de l</w:t>
      </w:r>
      <w:r w:rsidR="00E84B0E">
        <w:rPr>
          <w:i/>
          <w:iCs/>
          <w:sz w:val="20"/>
          <w:szCs w:val="20"/>
        </w:rPr>
        <w:t>’</w:t>
      </w:r>
      <w:r w:rsidRPr="009C62B3">
        <w:rPr>
          <w:i/>
          <w:iCs/>
          <w:sz w:val="20"/>
          <w:szCs w:val="20"/>
        </w:rPr>
        <w:t>entité temporelle B. Ici, A est plus court que B.</w:t>
      </w:r>
    </w:p>
    <w:p w14:paraId="03445ACB" w14:textId="77777777" w:rsidR="00065317" w:rsidRDefault="005C7BF7">
      <w:pPr>
        <w:pStyle w:val="Corpsdetexte"/>
      </w:pPr>
      <w:r>
        <w:rPr>
          <w:b/>
          <w:bCs/>
        </w:rPr>
        <w:t>Exemples</w:t>
      </w:r>
    </w:p>
    <w:p w14:paraId="705BC827" w14:textId="57596BDF" w:rsidR="00065317" w:rsidRDefault="005C7BF7">
      <w:pPr>
        <w:numPr>
          <w:ilvl w:val="0"/>
          <w:numId w:val="290"/>
        </w:numPr>
      </w:pPr>
      <w:r>
        <w:t>Lerne III (</w:t>
      </w:r>
      <w:r>
        <w:rPr>
          <w:rStyle w:val="VerbatimChar"/>
        </w:rPr>
        <w:t>E4_Période</w:t>
      </w:r>
      <w:r>
        <w:t>) se termine avant ou au moment du début de (</w:t>
      </w:r>
      <w:r>
        <w:rPr>
          <w:rStyle w:val="VerbatimChar"/>
        </w:rPr>
        <w:t>P182_se_termine_avant_ou_au_moment_du_début_de</w:t>
      </w:r>
      <w:r>
        <w:t>) Lerne IV (</w:t>
      </w:r>
      <w:r>
        <w:rPr>
          <w:rStyle w:val="VerbatimChar"/>
        </w:rPr>
        <w:t>E4_Période</w:t>
      </w:r>
      <w:r>
        <w:t>). [« Le site de Lerne n</w:t>
      </w:r>
      <w:r w:rsidR="00E84B0E">
        <w:t>’</w:t>
      </w:r>
      <w:r>
        <w:t>est probablement pas resté inhabité longtemps après la destruction de la Maison des Tuiles et la construction du tumulus. S</w:t>
      </w:r>
      <w:r w:rsidR="00E84B0E">
        <w:t>’</w:t>
      </w:r>
      <w:r>
        <w:t>il y a eu un décalage correspondant à la première période de l</w:t>
      </w:r>
      <w:r w:rsidR="00E84B0E">
        <w:t>’</w:t>
      </w:r>
      <w:r>
        <w:t>Helladique ancien III en Argolide, comme certains le suggèrent (voir,</w:t>
      </w:r>
      <w:r w:rsidR="00C8288F">
        <w:t> p. ex. </w:t>
      </w:r>
      <w:r>
        <w:t>Manning 1995, 55-60), celui-ci fut bref. Selon Rutter, la quatrième occupation a commencé autour de 2200 à 2150 AEC et s</w:t>
      </w:r>
      <w:r w:rsidR="00E84B0E">
        <w:t>’</w:t>
      </w:r>
      <w:r>
        <w:t xml:space="preserve">est terminée autour de 2050 à 2000 AEC »] (Banks </w:t>
      </w:r>
      <w:r w:rsidR="009A1E3D">
        <w:t xml:space="preserve">&amp; </w:t>
      </w:r>
      <w:r>
        <w:t>Reese, 2013)</w:t>
      </w:r>
    </w:p>
    <w:p w14:paraId="0C1A7908" w14:textId="3958AD09" w:rsidR="00065317" w:rsidRDefault="005C7BF7">
      <w:pPr>
        <w:numPr>
          <w:ilvl w:val="0"/>
          <w:numId w:val="290"/>
        </w:numPr>
      </w:pPr>
      <w:r>
        <w:t>L</w:t>
      </w:r>
      <w:r w:rsidR="00E84B0E">
        <w:t>’</w:t>
      </w:r>
      <w:r>
        <w:t>usage des tombeaux datant de la première période helladique ancienne (HA I) de Crissa en Phocide (</w:t>
      </w:r>
      <w:r>
        <w:rPr>
          <w:rStyle w:val="VerbatimChar"/>
        </w:rPr>
        <w:t>E4_Période</w:t>
      </w:r>
      <w:r>
        <w:t>) se termine avant ou au moment du début de (</w:t>
      </w:r>
      <w:r>
        <w:rPr>
          <w:rStyle w:val="VerbatimChar"/>
        </w:rPr>
        <w:t>P182_se_termine_avant_ou_au_moment_du_début_de</w:t>
      </w:r>
      <w:r>
        <w:t>) la troisième période helladique ancienne (HA III) de réutilisation des tombeaux de Crissa en Phocide (</w:t>
      </w:r>
      <w:r>
        <w:rPr>
          <w:rStyle w:val="VerbatimChar"/>
        </w:rPr>
        <w:t>E4_Période</w:t>
      </w:r>
      <w:r>
        <w:t>). [Il y a eu un « possible hiatus dans l</w:t>
      </w:r>
      <w:r w:rsidR="00E84B0E">
        <w:t>’</w:t>
      </w:r>
      <w:r>
        <w:t>occupation de certains sites comme celui de Crissa, en Phocide, qui était bien occupé durant la troisième période helladique ancienne (HA III) et durant la période helladique moyenne (HM). Des éléments de poterie associés à cette occupation durant la période HA II-B ont été identifiés, mais aucun exemple certain de poterie de la période HA II-A »] (Phialon 2018)</w:t>
      </w:r>
    </w:p>
    <w:p w14:paraId="6EA1F1DC" w14:textId="77777777" w:rsidR="00065317" w:rsidRDefault="005C7BF7">
      <w:pPr>
        <w:pStyle w:val="FirstParagraph"/>
      </w:pPr>
      <w:r>
        <w:rPr>
          <w:b/>
          <w:bCs/>
        </w:rPr>
        <w:t>Logique</w:t>
      </w:r>
    </w:p>
    <w:p w14:paraId="55C8697A" w14:textId="77777777" w:rsidR="00065317" w:rsidRDefault="005C7BF7">
      <w:pPr>
        <w:pStyle w:val="Corpsdetexte"/>
      </w:pPr>
      <w:r>
        <w:t>P182(x,y) ⇒ E2(x)</w:t>
      </w:r>
    </w:p>
    <w:p w14:paraId="04833E2C" w14:textId="77777777" w:rsidR="00065317" w:rsidRDefault="005C7BF7">
      <w:pPr>
        <w:pStyle w:val="Corpsdetexte"/>
      </w:pPr>
      <w:r>
        <w:t>P182(x,y) ⇒ E2(y)</w:t>
      </w:r>
    </w:p>
    <w:p w14:paraId="39F4D116" w14:textId="77777777" w:rsidR="00065317" w:rsidRDefault="005C7BF7">
      <w:pPr>
        <w:pStyle w:val="Corpsdetexte"/>
      </w:pPr>
      <w:r>
        <w:t>P182(x,y) ⇒ P176(x,y)</w:t>
      </w:r>
    </w:p>
    <w:p w14:paraId="00060E31" w14:textId="77777777" w:rsidR="00065317" w:rsidRDefault="005C7BF7">
      <w:pPr>
        <w:pStyle w:val="Corpsdetexte"/>
      </w:pPr>
      <w:r>
        <w:t>P182(x,y) ⇒ P185(x,y)</w:t>
      </w:r>
    </w:p>
    <w:p w14:paraId="035B0F13" w14:textId="77777777" w:rsidR="00065317" w:rsidRDefault="005C7BF7">
      <w:pPr>
        <w:pStyle w:val="Corpsdetexte"/>
      </w:pPr>
      <w:r>
        <w:t>[P182(x,y) ⋀ P182(y,z) ⇒ P182(x,z)]</w:t>
      </w:r>
    </w:p>
    <w:p w14:paraId="575DF1E4" w14:textId="77777777" w:rsidR="00065317" w:rsidRDefault="005C7BF7">
      <w:pPr>
        <w:pStyle w:val="Corpsdetexte"/>
      </w:pPr>
      <w:r>
        <w:t>P182(x,y) ⇒ ¬P182(y,x)</w:t>
      </w:r>
    </w:p>
    <w:p w14:paraId="49401C0B" w14:textId="77777777" w:rsidR="00DE6C24" w:rsidRDefault="00DE6C24">
      <w:pPr>
        <w:spacing w:after="0"/>
        <w:rPr>
          <w:b/>
          <w:bCs/>
        </w:rPr>
      </w:pPr>
      <w:r>
        <w:rPr>
          <w:b/>
          <w:bCs/>
        </w:rPr>
        <w:br w:type="page"/>
      </w:r>
    </w:p>
    <w:p w14:paraId="4A15A2D8" w14:textId="5587792A" w:rsidR="00065317" w:rsidRDefault="005C7BF7">
      <w:pPr>
        <w:pStyle w:val="Corpsdetexte"/>
      </w:pPr>
      <w:r>
        <w:rPr>
          <w:b/>
          <w:bCs/>
        </w:rPr>
        <w:lastRenderedPageBreak/>
        <w:t>Propriétés</w:t>
      </w:r>
    </w:p>
    <w:p w14:paraId="3B151920" w14:textId="77777777" w:rsidR="00065317" w:rsidRDefault="005C7BF7">
      <w:pPr>
        <w:pStyle w:val="Normalcentr"/>
      </w:pPr>
      <w:r>
        <w:rPr>
          <w:b/>
          <w:bCs/>
          <w:i/>
          <w:iCs/>
        </w:rPr>
        <w:t>Note de traduction</w:t>
      </w:r>
    </w:p>
    <w:p w14:paraId="3371C69A" w14:textId="77777777" w:rsidR="00065317" w:rsidRDefault="005C7BF7">
      <w:pPr>
        <w:pStyle w:val="Normalcentr"/>
      </w:pPr>
      <w:r>
        <w:rPr>
          <w:b/>
          <w:bCs/>
          <w:i/>
          <w:iCs/>
        </w:rPr>
        <w:t>Références</w:t>
      </w:r>
    </w:p>
    <w:p w14:paraId="5E373CD7" w14:textId="7C622621" w:rsidR="00834C26" w:rsidRPr="00834C26" w:rsidRDefault="005C7BF7" w:rsidP="00914F34">
      <w:pPr>
        <w:pStyle w:val="Normalcentr"/>
      </w:pPr>
      <w:r>
        <w:t>Wikipédia. « Algèbre des intervalles d</w:t>
      </w:r>
      <w:r w:rsidR="00E84B0E">
        <w:t>’</w:t>
      </w:r>
      <w:r>
        <w:t xml:space="preserve">Allen ». Dans </w:t>
      </w:r>
      <w:r>
        <w:rPr>
          <w:i/>
          <w:iCs/>
        </w:rPr>
        <w:t>Wikipédia</w:t>
      </w:r>
      <w:r>
        <w:t xml:space="preserve">. </w:t>
      </w:r>
      <w:r w:rsidRPr="00056DCD">
        <w:rPr>
          <w:lang w:val="en-CA"/>
        </w:rPr>
        <w:t>San Francisco, US-CA: Wikipédia, 14</w:t>
      </w:r>
      <w:r w:rsidR="00056DCD" w:rsidRPr="00056DCD">
        <w:rPr>
          <w:lang w:val="en-CA"/>
        </w:rPr>
        <w:t> janvier </w:t>
      </w:r>
      <w:r w:rsidRPr="00056DCD">
        <w:rPr>
          <w:lang w:val="en-CA"/>
        </w:rPr>
        <w:t>2021.</w:t>
      </w:r>
      <w:hyperlink r:id="rId294">
        <w:r w:rsidRPr="00056DCD">
          <w:rPr>
            <w:rStyle w:val="Lienhypertexte"/>
            <w:lang w:val="en-CA"/>
          </w:rPr>
          <w:t xml:space="preserve"> </w:t>
        </w:r>
      </w:hyperlink>
      <w:hyperlink r:id="rId295">
        <w:r>
          <w:rPr>
            <w:rStyle w:val="Lienhypertexte"/>
          </w:rPr>
          <w:t>https://fr.wikipedia.org/wiki/Alg%C3%A8bre_des_intervalles_d%27Allen</w:t>
        </w:r>
      </w:hyperlink>
      <w:r>
        <w:t>.</w:t>
      </w:r>
    </w:p>
    <w:p w14:paraId="6B21D198" w14:textId="77777777" w:rsidR="00065317" w:rsidRDefault="005C7BF7" w:rsidP="00914F34">
      <w:pPr>
        <w:pStyle w:val="Titre3"/>
      </w:pPr>
      <w:bookmarkStart w:id="564" w:name="_Toc154048967"/>
      <w:bookmarkStart w:id="565" w:name="X51c0d05ae6ab563d5aa3e299116b0f9bd6ecb82"/>
      <w:bookmarkEnd w:id="563"/>
      <w:r>
        <w:t>P183 se termine avant le début de (commence après la fin de)</w:t>
      </w:r>
      <w:bookmarkEnd w:id="564"/>
    </w:p>
    <w:p w14:paraId="0B7298C7" w14:textId="77777777" w:rsidR="00065317" w:rsidRDefault="005C7BF7">
      <w:pPr>
        <w:pStyle w:val="FirstParagraph"/>
      </w:pPr>
      <w:r>
        <w:rPr>
          <w:b/>
          <w:bCs/>
        </w:rPr>
        <w:t>Domaine</w:t>
      </w:r>
    </w:p>
    <w:p w14:paraId="465BB4C7" w14:textId="77777777" w:rsidR="00065317" w:rsidRDefault="005C7BF7">
      <w:pPr>
        <w:pStyle w:val="Corpsdetexte"/>
      </w:pPr>
      <w:r>
        <w:rPr>
          <w:rStyle w:val="VerbatimChar"/>
        </w:rPr>
        <w:t>E2_Entité_temporelle</w:t>
      </w:r>
    </w:p>
    <w:p w14:paraId="47330FC2" w14:textId="77777777" w:rsidR="00065317" w:rsidRDefault="005C7BF7">
      <w:pPr>
        <w:pStyle w:val="Corpsdetexte"/>
      </w:pPr>
      <w:r>
        <w:rPr>
          <w:b/>
          <w:bCs/>
        </w:rPr>
        <w:t>Portée</w:t>
      </w:r>
    </w:p>
    <w:p w14:paraId="0CF05AAC" w14:textId="77777777" w:rsidR="00065317" w:rsidRDefault="005C7BF7">
      <w:pPr>
        <w:pStyle w:val="Corpsdetexte"/>
      </w:pPr>
      <w:r>
        <w:rPr>
          <w:rStyle w:val="VerbatimChar"/>
        </w:rPr>
        <w:t>E2_Entité_temporelle</w:t>
      </w:r>
    </w:p>
    <w:p w14:paraId="7BD3401D" w14:textId="77777777" w:rsidR="00065317" w:rsidRDefault="005C7BF7">
      <w:pPr>
        <w:pStyle w:val="Corpsdetexte"/>
      </w:pPr>
      <w:r>
        <w:rPr>
          <w:b/>
          <w:bCs/>
        </w:rPr>
        <w:t>Sous-propriété de</w:t>
      </w:r>
    </w:p>
    <w:p w14:paraId="724F8B3F" w14:textId="77777777" w:rsidR="00065317" w:rsidRDefault="005C7BF7">
      <w:pPr>
        <w:pStyle w:val="Corpsdetexte"/>
      </w:pPr>
      <w:r>
        <w:rPr>
          <w:rStyle w:val="VerbatimChar"/>
        </w:rPr>
        <w:t>E2_Entité_temporelle</w:t>
      </w:r>
      <w:r>
        <w:t xml:space="preserve">. </w:t>
      </w:r>
      <w:r>
        <w:rPr>
          <w:rStyle w:val="VerbatimChar"/>
        </w:rPr>
        <w:t>P182_se_termine_avant_ou_au_moment_du_début_de (commence_après_ou_au_moment_de_la_fin_de)</w:t>
      </w:r>
      <w:r>
        <w:t xml:space="preserve"> : </w:t>
      </w:r>
      <w:r>
        <w:rPr>
          <w:rStyle w:val="VerbatimChar"/>
        </w:rPr>
        <w:t>E2_Entité_temporelle</w:t>
      </w:r>
    </w:p>
    <w:p w14:paraId="709DF3AF" w14:textId="77777777" w:rsidR="00065317" w:rsidRDefault="005C7BF7" w:rsidP="003E6361">
      <w:pPr>
        <w:pStyle w:val="Corpsdetexte"/>
        <w:spacing w:before="140" w:after="140"/>
      </w:pPr>
      <w:r>
        <w:rPr>
          <w:b/>
          <w:bCs/>
        </w:rPr>
        <w:t>Super-propriété de</w:t>
      </w:r>
    </w:p>
    <w:p w14:paraId="769A6DE4" w14:textId="77777777" w:rsidR="00065317" w:rsidRDefault="005C7BF7" w:rsidP="003E6361">
      <w:pPr>
        <w:pStyle w:val="Corpsdetexte"/>
        <w:spacing w:before="140" w:after="140"/>
      </w:pPr>
      <w:r>
        <w:rPr>
          <w:b/>
          <w:bCs/>
        </w:rPr>
        <w:t>Quantification</w:t>
      </w:r>
    </w:p>
    <w:p w14:paraId="1D76C4A2" w14:textId="77777777" w:rsidR="00065317" w:rsidRDefault="005C7BF7">
      <w:pPr>
        <w:pStyle w:val="Corpsdetexte"/>
      </w:pPr>
      <w:r>
        <w:t>plusieurs à plusieurs (0,n:0,n)</w:t>
      </w:r>
    </w:p>
    <w:p w14:paraId="7062379E" w14:textId="53C915AD" w:rsidR="00065317" w:rsidRDefault="005C7BF7">
      <w:pPr>
        <w:pStyle w:val="Corpsdetexte"/>
      </w:pPr>
      <w:r>
        <w:rPr>
          <w:b/>
          <w:bCs/>
        </w:rPr>
        <w:t>Note d</w:t>
      </w:r>
      <w:r w:rsidR="00E84B0E">
        <w:rPr>
          <w:b/>
          <w:bCs/>
        </w:rPr>
        <w:t>’</w:t>
      </w:r>
      <w:r>
        <w:rPr>
          <w:b/>
          <w:bCs/>
        </w:rPr>
        <w:t>application</w:t>
      </w:r>
    </w:p>
    <w:p w14:paraId="02FC8E28" w14:textId="1734C150" w:rsidR="00065317" w:rsidRDefault="005C7BF7">
      <w:pPr>
        <w:pStyle w:val="Corpsdetexte"/>
      </w:pPr>
      <w:r>
        <w:t>Cette propriété spécifie que l</w:t>
      </w:r>
      <w:r w:rsidR="00E84B0E">
        <w:t>’</w:t>
      </w:r>
      <w:r>
        <w:t>étendue temporelle de l</w:t>
      </w:r>
      <w:r w:rsidR="00E84B0E">
        <w:t>’</w:t>
      </w:r>
      <w:r>
        <w:t xml:space="preserve">instance du domaine (A) de </w:t>
      </w:r>
      <w:r>
        <w:rPr>
          <w:rStyle w:val="VerbatimChar"/>
        </w:rPr>
        <w:t>E2_Entité_temporelle</w:t>
      </w:r>
      <w:r>
        <w:t xml:space="preserve"> se termine définitivement avant le début de l</w:t>
      </w:r>
      <w:r w:rsidR="00E84B0E">
        <w:t>’</w:t>
      </w:r>
      <w:r>
        <w:t>étendue temporelle de l</w:t>
      </w:r>
      <w:r w:rsidR="00E84B0E">
        <w:t>’</w:t>
      </w:r>
      <w:r>
        <w:t xml:space="preserve">instance de la portée (B) de </w:t>
      </w:r>
      <w:r>
        <w:rPr>
          <w:rStyle w:val="VerbatimChar"/>
        </w:rPr>
        <w:t>E2_Entité_temporelle</w:t>
      </w:r>
      <w:r>
        <w:t>.</w:t>
      </w:r>
    </w:p>
    <w:p w14:paraId="2DE63B6C" w14:textId="46758090" w:rsidR="00065317" w:rsidRDefault="005C7BF7">
      <w:pPr>
        <w:pStyle w:val="Corpsdetexte"/>
      </w:pPr>
      <w:r>
        <w:t>En d</w:t>
      </w:r>
      <w:r w:rsidR="00E84B0E">
        <w:t>’</w:t>
      </w:r>
      <w:r>
        <w:t>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fin</w:t>
      </w:r>
      <w:r>
        <w:t xml:space="preserve"> &lt; B</w:t>
      </w:r>
      <w:r>
        <w:rPr>
          <w:vertAlign w:val="superscript"/>
        </w:rPr>
        <w:t>début</w:t>
      </w:r>
      <w:r>
        <w:t xml:space="preserve"> est vrai.</w:t>
      </w:r>
    </w:p>
    <w:p w14:paraId="74825C20" w14:textId="27284322" w:rsidR="00065317" w:rsidRDefault="005C7BF7">
      <w:pPr>
        <w:pStyle w:val="Corpsdetexte"/>
      </w:pPr>
      <w:r>
        <w:t>Cette propriété fait partie de l</w:t>
      </w:r>
      <w:r w:rsidR="00E84B0E">
        <w:t>’</w:t>
      </w:r>
      <w:r>
        <w:t>ensemble des propriétés temporelles P173 à P176 et P182 à P185.</w:t>
      </w:r>
    </w:p>
    <w:p w14:paraId="481529D1" w14:textId="2CCA1857" w:rsidR="00065317" w:rsidRDefault="005C7BF7" w:rsidP="003E6361">
      <w:pPr>
        <w:pStyle w:val="Corpsdetexte"/>
        <w:spacing w:before="140" w:after="140"/>
      </w:pPr>
      <w:r>
        <w:t>Cette propriété correspond à la relation temporelle définie par l</w:t>
      </w:r>
      <w:r w:rsidR="00E84B0E">
        <w:t>’</w:t>
      </w:r>
      <w:r>
        <w:t>algèbre des intervalles d</w:t>
      </w:r>
      <w:r w:rsidR="00E84B0E">
        <w:t>’</w:t>
      </w:r>
      <w:r>
        <w:t>Allen (Allen, 1983) : {avant}</w:t>
      </w:r>
    </w:p>
    <w:p w14:paraId="6EF209DE" w14:textId="77777777" w:rsidR="00065317" w:rsidRDefault="005C7BF7" w:rsidP="003E6361">
      <w:pPr>
        <w:pStyle w:val="Corpsdetexte"/>
        <w:spacing w:before="140" w:after="0"/>
      </w:pPr>
      <w:r>
        <w:t>Cette propriété est transitive et asymétrique.</w:t>
      </w:r>
    </w:p>
    <w:p w14:paraId="56718CC6" w14:textId="77777777" w:rsidR="00065317" w:rsidRDefault="005C7BF7" w:rsidP="003E6361">
      <w:pPr>
        <w:pStyle w:val="Corpsdetexte"/>
        <w:spacing w:before="0" w:after="0"/>
      </w:pPr>
      <w:r>
        <w:rPr>
          <w:noProof/>
        </w:rPr>
        <w:drawing>
          <wp:inline distT="0" distB="0" distL="0" distR="0" wp14:anchorId="50B0C645" wp14:editId="1A4231AC">
            <wp:extent cx="6181969" cy="2438156"/>
            <wp:effectExtent l="0" t="0" r="0" b="635"/>
            <wp:docPr id="455" name="Picture" descr="Un diagramme illustre le fonctionnement de la propriété P183_se_termine_avant_le_début_de (commence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56" name="Picture" descr="../../drawio/PNG/FR/Fig_18_FR.png"/>
                    <pic:cNvPicPr>
                      <a:picLocks noChangeAspect="1" noChangeArrowheads="1"/>
                    </pic:cNvPicPr>
                  </pic:nvPicPr>
                  <pic:blipFill>
                    <a:blip r:embed="rId296"/>
                    <a:stretch>
                      <a:fillRect/>
                    </a:stretch>
                  </pic:blipFill>
                  <pic:spPr bwMode="auto">
                    <a:xfrm>
                      <a:off x="0" y="0"/>
                      <a:ext cx="6208556" cy="2448642"/>
                    </a:xfrm>
                    <a:prstGeom prst="rect">
                      <a:avLst/>
                    </a:prstGeom>
                    <a:noFill/>
                    <a:ln w="9525">
                      <a:noFill/>
                      <a:headEnd/>
                      <a:tailEnd/>
                    </a:ln>
                  </pic:spPr>
                </pic:pic>
              </a:graphicData>
            </a:graphic>
          </wp:inline>
        </w:drawing>
      </w:r>
    </w:p>
    <w:p w14:paraId="70259C83" w14:textId="24D855CC" w:rsidR="00065317" w:rsidRPr="003E6361" w:rsidRDefault="005C7BF7" w:rsidP="003E6361">
      <w:pPr>
        <w:pStyle w:val="Corpsdetexte"/>
        <w:spacing w:before="0" w:after="0"/>
        <w:rPr>
          <w:sz w:val="20"/>
          <w:szCs w:val="20"/>
        </w:rPr>
      </w:pPr>
      <w:r w:rsidRPr="009C62B3">
        <w:rPr>
          <w:i/>
          <w:iCs/>
          <w:sz w:val="20"/>
          <w:szCs w:val="20"/>
        </w:rPr>
        <w:t>Figure 18 : L</w:t>
      </w:r>
      <w:r w:rsidR="00E84B0E">
        <w:rPr>
          <w:i/>
          <w:iCs/>
          <w:sz w:val="20"/>
          <w:szCs w:val="20"/>
        </w:rPr>
        <w:t>’</w:t>
      </w:r>
      <w:r w:rsidRPr="009C62B3">
        <w:rPr>
          <w:i/>
          <w:iCs/>
          <w:sz w:val="20"/>
          <w:szCs w:val="20"/>
        </w:rPr>
        <w:t>entité temporelle A termine avant le début de l</w:t>
      </w:r>
      <w:r w:rsidR="00E84B0E">
        <w:rPr>
          <w:i/>
          <w:iCs/>
          <w:sz w:val="20"/>
          <w:szCs w:val="20"/>
        </w:rPr>
        <w:t>’</w:t>
      </w:r>
      <w:r w:rsidRPr="009C62B3">
        <w:rPr>
          <w:i/>
          <w:iCs/>
          <w:sz w:val="20"/>
          <w:szCs w:val="20"/>
        </w:rPr>
        <w:t>entité temporelle B. Ici, A est plus long que B.</w:t>
      </w:r>
    </w:p>
    <w:p w14:paraId="6DF2488B" w14:textId="77777777" w:rsidR="00065317" w:rsidRDefault="005C7BF7" w:rsidP="003E6361">
      <w:pPr>
        <w:pStyle w:val="Corpsdetexte"/>
        <w:spacing w:before="0" w:after="0"/>
      </w:pPr>
      <w:r>
        <w:rPr>
          <w:noProof/>
        </w:rPr>
        <w:lastRenderedPageBreak/>
        <w:drawing>
          <wp:inline distT="0" distB="0" distL="0" distR="0" wp14:anchorId="7987A987" wp14:editId="647FAA82">
            <wp:extent cx="6858000" cy="2800435"/>
            <wp:effectExtent l="0" t="0" r="0" b="0"/>
            <wp:docPr id="458" name="Picture" descr="Un diagramme illustre le fonctionnement de la propriété P183_se_termine_avant_le_début_de (commence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59" name="Picture" descr="../../drawio/PNG/FR/Fig_19_FR.png"/>
                    <pic:cNvPicPr>
                      <a:picLocks noChangeAspect="1" noChangeArrowheads="1"/>
                    </pic:cNvPicPr>
                  </pic:nvPicPr>
                  <pic:blipFill>
                    <a:blip r:embed="rId297"/>
                    <a:stretch>
                      <a:fillRect/>
                    </a:stretch>
                  </pic:blipFill>
                  <pic:spPr bwMode="auto">
                    <a:xfrm>
                      <a:off x="0" y="0"/>
                      <a:ext cx="6858000" cy="2800435"/>
                    </a:xfrm>
                    <a:prstGeom prst="rect">
                      <a:avLst/>
                    </a:prstGeom>
                    <a:noFill/>
                    <a:ln w="9525">
                      <a:noFill/>
                      <a:headEnd/>
                      <a:tailEnd/>
                    </a:ln>
                  </pic:spPr>
                </pic:pic>
              </a:graphicData>
            </a:graphic>
          </wp:inline>
        </w:drawing>
      </w:r>
    </w:p>
    <w:p w14:paraId="02D5FF8D" w14:textId="059BB7CF" w:rsidR="00065317" w:rsidRPr="009C62B3" w:rsidRDefault="005C7BF7" w:rsidP="003E6361">
      <w:pPr>
        <w:pStyle w:val="Corpsdetexte"/>
        <w:spacing w:before="0" w:after="0"/>
        <w:rPr>
          <w:sz w:val="20"/>
          <w:szCs w:val="20"/>
        </w:rPr>
      </w:pPr>
      <w:r w:rsidRPr="009C62B3">
        <w:rPr>
          <w:i/>
          <w:iCs/>
          <w:sz w:val="20"/>
          <w:szCs w:val="20"/>
        </w:rPr>
        <w:t>Figure 19 : L</w:t>
      </w:r>
      <w:r w:rsidR="00E84B0E">
        <w:rPr>
          <w:i/>
          <w:iCs/>
          <w:sz w:val="20"/>
          <w:szCs w:val="20"/>
        </w:rPr>
        <w:t>’</w:t>
      </w:r>
      <w:r w:rsidRPr="009C62B3">
        <w:rPr>
          <w:i/>
          <w:iCs/>
          <w:sz w:val="20"/>
          <w:szCs w:val="20"/>
        </w:rPr>
        <w:t>entité temporelle A termine avant le début de l</w:t>
      </w:r>
      <w:r w:rsidR="00E84B0E">
        <w:rPr>
          <w:i/>
          <w:iCs/>
          <w:sz w:val="20"/>
          <w:szCs w:val="20"/>
        </w:rPr>
        <w:t>’</w:t>
      </w:r>
      <w:r w:rsidRPr="009C62B3">
        <w:rPr>
          <w:i/>
          <w:iCs/>
          <w:sz w:val="20"/>
          <w:szCs w:val="20"/>
        </w:rPr>
        <w:t>entité temporelle B. Ici, A est plus court que B.</w:t>
      </w:r>
    </w:p>
    <w:p w14:paraId="66B96BDC" w14:textId="77777777" w:rsidR="00065317" w:rsidRDefault="005C7BF7">
      <w:pPr>
        <w:pStyle w:val="Corpsdetexte"/>
      </w:pPr>
      <w:r>
        <w:rPr>
          <w:b/>
          <w:bCs/>
        </w:rPr>
        <w:t>Exemples</w:t>
      </w:r>
    </w:p>
    <w:p w14:paraId="726BB422" w14:textId="5B85BEBD" w:rsidR="00065317" w:rsidRDefault="005C7BF7">
      <w:pPr>
        <w:numPr>
          <w:ilvl w:val="0"/>
          <w:numId w:val="291"/>
        </w:numPr>
      </w:pPr>
      <w:r>
        <w:t>Gisle prenant ses fonctions d</w:t>
      </w:r>
      <w:r w:rsidR="00E84B0E">
        <w:t>’</w:t>
      </w:r>
      <w:r>
        <w:t>évêque de Linköping en 1139 EC (</w:t>
      </w:r>
      <w:r>
        <w:rPr>
          <w:rStyle w:val="VerbatimChar"/>
        </w:rPr>
        <w:t>E7_Activité</w:t>
      </w:r>
      <w:r>
        <w:t>) se termine avant le début de (</w:t>
      </w:r>
      <w:r>
        <w:rPr>
          <w:rStyle w:val="VerbatimChar"/>
        </w:rPr>
        <w:t>P183_se_termine_avant_le_début_de</w:t>
      </w:r>
      <w:r>
        <w:t xml:space="preserve">) la composition de la saga </w:t>
      </w:r>
      <w:r>
        <w:rPr>
          <w:i/>
          <w:iCs/>
        </w:rPr>
        <w:t>Guta</w:t>
      </w:r>
      <w:r>
        <w:t xml:space="preserve"> (</w:t>
      </w:r>
      <w:r>
        <w:rPr>
          <w:rStyle w:val="VerbatimChar"/>
        </w:rPr>
        <w:t>E65_Création</w:t>
      </w:r>
      <w:r>
        <w:t>) (Peel, 1999)</w:t>
      </w:r>
    </w:p>
    <w:p w14:paraId="28EA6BB2" w14:textId="77777777" w:rsidR="00065317" w:rsidRDefault="005C7BF7">
      <w:pPr>
        <w:numPr>
          <w:ilvl w:val="0"/>
          <w:numId w:val="291"/>
        </w:numPr>
      </w:pPr>
      <w:r>
        <w:t>Troie VII (</w:t>
      </w:r>
      <w:r>
        <w:rPr>
          <w:rStyle w:val="VerbatimChar"/>
        </w:rPr>
        <w:t>E4_Période</w:t>
      </w:r>
      <w:r>
        <w:t>) se termine avant le début de (</w:t>
      </w:r>
      <w:r>
        <w:rPr>
          <w:rStyle w:val="VerbatimChar"/>
        </w:rPr>
        <w:t>P183_se_termine_avant_le_début_de</w:t>
      </w:r>
      <w:r>
        <w:t>) Troie VIII (</w:t>
      </w:r>
      <w:r>
        <w:rPr>
          <w:rStyle w:val="VerbatimChar"/>
        </w:rPr>
        <w:t>E4_Période</w:t>
      </w:r>
      <w:r>
        <w:t>) [inhabitée depuis environ 200 ans]</w:t>
      </w:r>
    </w:p>
    <w:p w14:paraId="44326282" w14:textId="54BFD7B8" w:rsidR="00065317" w:rsidRDefault="005C7BF7">
      <w:pPr>
        <w:numPr>
          <w:ilvl w:val="0"/>
          <w:numId w:val="291"/>
        </w:numPr>
      </w:pPr>
      <w:r>
        <w:t>L</w:t>
      </w:r>
      <w:r w:rsidR="00E84B0E">
        <w:t>’</w:t>
      </w:r>
      <w:r>
        <w:t>usage du quatrième tombeau du groupe de Nikitopoulos à Nihoria durant les périodes helladiques moyenne (HM) et ancienne (HA) (</w:t>
      </w:r>
      <w:r>
        <w:rPr>
          <w:rStyle w:val="VerbatimChar"/>
        </w:rPr>
        <w:t>E4_Période</w:t>
      </w:r>
      <w:r>
        <w:t>) se termine avant le début de (</w:t>
      </w:r>
      <w:r>
        <w:rPr>
          <w:rStyle w:val="VerbatimChar"/>
        </w:rPr>
        <w:t>P183_se_termine_avant_le_début_de</w:t>
      </w:r>
      <w:r>
        <w:t>) la réutilisation du tombeau du groupe de Nikitopoulos durant la période helladique ancienne (HA III-A) (</w:t>
      </w:r>
      <w:r>
        <w:rPr>
          <w:rStyle w:val="VerbatimChar"/>
        </w:rPr>
        <w:t>E4_Période</w:t>
      </w:r>
      <w:r>
        <w:t>) [« Des six tombes excavées du groupe de Nikitopoulos [...] les trouvailles de la quatrième datent des périodes helladique moyenne II (HM II) ou helladique moyenne III (HM III) à helladique ancienne I (HA I) à l</w:t>
      </w:r>
      <w:r w:rsidR="00E84B0E">
        <w:t>’</w:t>
      </w:r>
      <w:r>
        <w:t>exception des trouvailles matérielles au nord qui datent uniformément de la seconde période helladique ancienne A2 (HA II-A2) et de l</w:t>
      </w:r>
      <w:r w:rsidR="00E84B0E">
        <w:t>’</w:t>
      </w:r>
      <w:r>
        <w:t>aiguière trouvée au centre du sol qui date de la seconde période helladique ancienne A1 (HA II-A1). [...] Les preuves conservées indiquent clairement un usage entre la troisième période helladique moyenne (HM III) et la première période helladique ancienne (HA I), suivi par une période de réutilisation durant la troisième période helladique ancienne (HA III-A), ce qui s</w:t>
      </w:r>
      <w:r w:rsidR="00E84B0E">
        <w:t>’</w:t>
      </w:r>
      <w:r>
        <w:t>aligne avec les trouvailles dans des sites architecturalement similaires tels que 13:Kamínia et 10: Gouvalári »] (Boyd, 2002).</w:t>
      </w:r>
    </w:p>
    <w:p w14:paraId="5BF9DCB5" w14:textId="77777777" w:rsidR="00065317" w:rsidRDefault="005C7BF7">
      <w:pPr>
        <w:pStyle w:val="FirstParagraph"/>
      </w:pPr>
      <w:r>
        <w:rPr>
          <w:b/>
          <w:bCs/>
        </w:rPr>
        <w:t>Logique</w:t>
      </w:r>
    </w:p>
    <w:p w14:paraId="1B94F089" w14:textId="77777777" w:rsidR="00065317" w:rsidRDefault="005C7BF7">
      <w:pPr>
        <w:pStyle w:val="Corpsdetexte"/>
      </w:pPr>
      <w:r>
        <w:t>P183(x,y) ⇒ E2(x)</w:t>
      </w:r>
    </w:p>
    <w:p w14:paraId="3BDC7702" w14:textId="77777777" w:rsidR="00065317" w:rsidRDefault="005C7BF7">
      <w:pPr>
        <w:pStyle w:val="Corpsdetexte"/>
      </w:pPr>
      <w:r>
        <w:t>P183(x,y) ⇒ E2(y)</w:t>
      </w:r>
    </w:p>
    <w:p w14:paraId="13CE6D42" w14:textId="77777777" w:rsidR="00065317" w:rsidRDefault="005C7BF7">
      <w:pPr>
        <w:pStyle w:val="Corpsdetexte"/>
      </w:pPr>
      <w:r>
        <w:t>P183(x,y) ⇒ P182(x,y)</w:t>
      </w:r>
    </w:p>
    <w:p w14:paraId="7142352C" w14:textId="77777777" w:rsidR="00065317" w:rsidRDefault="005C7BF7">
      <w:pPr>
        <w:pStyle w:val="Corpsdetexte"/>
      </w:pPr>
      <w:r>
        <w:t>[P183(x,y) ∧ P183(y,z)] ⇒ P183(x,z)</w:t>
      </w:r>
    </w:p>
    <w:p w14:paraId="13FEBBAB" w14:textId="77777777" w:rsidR="00065317" w:rsidRDefault="005C7BF7">
      <w:pPr>
        <w:pStyle w:val="Corpsdetexte"/>
      </w:pPr>
      <w:r>
        <w:t>P183(x,y) ⇒ ¬P183(y,x)</w:t>
      </w:r>
    </w:p>
    <w:p w14:paraId="3ABCCC3A" w14:textId="77777777" w:rsidR="003E6361" w:rsidRDefault="003E6361">
      <w:pPr>
        <w:spacing w:after="0"/>
        <w:rPr>
          <w:b/>
          <w:bCs/>
        </w:rPr>
      </w:pPr>
      <w:r>
        <w:rPr>
          <w:b/>
          <w:bCs/>
        </w:rPr>
        <w:br w:type="page"/>
      </w:r>
    </w:p>
    <w:p w14:paraId="2E724B24" w14:textId="787850B3" w:rsidR="00065317" w:rsidRDefault="005C7BF7">
      <w:pPr>
        <w:pStyle w:val="Corpsdetexte"/>
      </w:pPr>
      <w:r>
        <w:rPr>
          <w:b/>
          <w:bCs/>
        </w:rPr>
        <w:lastRenderedPageBreak/>
        <w:t>Propriétés</w:t>
      </w:r>
    </w:p>
    <w:p w14:paraId="71B96A82" w14:textId="77777777" w:rsidR="00065317" w:rsidRDefault="005C7BF7">
      <w:pPr>
        <w:pStyle w:val="Normalcentr"/>
      </w:pPr>
      <w:r>
        <w:rPr>
          <w:b/>
          <w:bCs/>
          <w:i/>
          <w:iCs/>
        </w:rPr>
        <w:t>Note de traduction</w:t>
      </w:r>
    </w:p>
    <w:p w14:paraId="7137F389" w14:textId="77777777" w:rsidR="00065317" w:rsidRDefault="005C7BF7">
      <w:pPr>
        <w:pStyle w:val="Normalcentr"/>
      </w:pPr>
      <w:r>
        <w:rPr>
          <w:b/>
          <w:bCs/>
          <w:i/>
          <w:iCs/>
        </w:rPr>
        <w:t>Références</w:t>
      </w:r>
    </w:p>
    <w:p w14:paraId="2F3664CB" w14:textId="149FDE2B" w:rsidR="00834C26" w:rsidRPr="00834C26" w:rsidRDefault="005C7BF7" w:rsidP="00914F34">
      <w:pPr>
        <w:pStyle w:val="Normalcentr"/>
      </w:pPr>
      <w:r>
        <w:t>Wikipédia. « Algèbre des intervalles d</w:t>
      </w:r>
      <w:r w:rsidR="00E84B0E">
        <w:t>’</w:t>
      </w:r>
      <w:r>
        <w:t xml:space="preserve">Allen ». Dans </w:t>
      </w:r>
      <w:r>
        <w:rPr>
          <w:i/>
          <w:iCs/>
        </w:rPr>
        <w:t>Wikipédia</w:t>
      </w:r>
      <w:r>
        <w:t xml:space="preserve">. </w:t>
      </w:r>
      <w:r w:rsidRPr="00056DCD">
        <w:rPr>
          <w:lang w:val="en-CA"/>
        </w:rPr>
        <w:t>San Francisco, US-CA: Wikipédia, 14</w:t>
      </w:r>
      <w:r w:rsidR="00056DCD" w:rsidRPr="00056DCD">
        <w:rPr>
          <w:lang w:val="en-CA"/>
        </w:rPr>
        <w:t> janvier </w:t>
      </w:r>
      <w:r w:rsidRPr="00056DCD">
        <w:rPr>
          <w:lang w:val="en-CA"/>
        </w:rPr>
        <w:t>2021.</w:t>
      </w:r>
      <w:hyperlink r:id="rId298">
        <w:r w:rsidRPr="00056DCD">
          <w:rPr>
            <w:rStyle w:val="Lienhypertexte"/>
            <w:lang w:val="en-CA"/>
          </w:rPr>
          <w:t xml:space="preserve"> </w:t>
        </w:r>
      </w:hyperlink>
      <w:hyperlink r:id="rId299">
        <w:r>
          <w:rPr>
            <w:rStyle w:val="Lienhypertexte"/>
          </w:rPr>
          <w:t>https://fr.wikipedia.org/wiki/Alg%C3%A8bre_des_intervalles_d%27Allen</w:t>
        </w:r>
      </w:hyperlink>
      <w:r>
        <w:t>.</w:t>
      </w:r>
    </w:p>
    <w:p w14:paraId="6FAB049E" w14:textId="77777777" w:rsidR="00065317" w:rsidRDefault="005C7BF7" w:rsidP="00DD1219">
      <w:pPr>
        <w:pStyle w:val="Titre3"/>
      </w:pPr>
      <w:bookmarkStart w:id="566" w:name="_Toc154048968"/>
      <w:bookmarkStart w:id="567" w:name="X39d6b7401a22e1fa22d8386e0c654a5df518378"/>
      <w:bookmarkEnd w:id="565"/>
      <w:r>
        <w:t>P184 se termine avant ou au moment de la fin de (se termine au moment de ou après la fin de)</w:t>
      </w:r>
      <w:bookmarkEnd w:id="566"/>
    </w:p>
    <w:p w14:paraId="0EDD0DC0" w14:textId="77777777" w:rsidR="00065317" w:rsidRDefault="005C7BF7">
      <w:pPr>
        <w:pStyle w:val="FirstParagraph"/>
      </w:pPr>
      <w:r>
        <w:rPr>
          <w:b/>
          <w:bCs/>
        </w:rPr>
        <w:t>Domaine</w:t>
      </w:r>
    </w:p>
    <w:p w14:paraId="5165250A" w14:textId="77777777" w:rsidR="00065317" w:rsidRDefault="005C7BF7">
      <w:pPr>
        <w:pStyle w:val="Corpsdetexte"/>
      </w:pPr>
      <w:r>
        <w:rPr>
          <w:rStyle w:val="VerbatimChar"/>
        </w:rPr>
        <w:t>E2_Entité_temporelle</w:t>
      </w:r>
    </w:p>
    <w:p w14:paraId="304AC381" w14:textId="77777777" w:rsidR="00065317" w:rsidRDefault="005C7BF7">
      <w:pPr>
        <w:pStyle w:val="Corpsdetexte"/>
      </w:pPr>
      <w:r>
        <w:rPr>
          <w:b/>
          <w:bCs/>
        </w:rPr>
        <w:t>Portée</w:t>
      </w:r>
    </w:p>
    <w:p w14:paraId="3F3B01A8" w14:textId="77777777" w:rsidR="00065317" w:rsidRDefault="005C7BF7">
      <w:pPr>
        <w:pStyle w:val="Corpsdetexte"/>
      </w:pPr>
      <w:r>
        <w:rPr>
          <w:rStyle w:val="VerbatimChar"/>
        </w:rPr>
        <w:t>E2_Entité_temporelle</w:t>
      </w:r>
    </w:p>
    <w:p w14:paraId="55BB630C" w14:textId="77777777" w:rsidR="00065317" w:rsidRDefault="005C7BF7">
      <w:pPr>
        <w:pStyle w:val="Corpsdetexte"/>
      </w:pPr>
      <w:r>
        <w:rPr>
          <w:b/>
          <w:bCs/>
        </w:rPr>
        <w:t>Sous-propriété de</w:t>
      </w:r>
    </w:p>
    <w:p w14:paraId="10D3951C" w14:textId="77777777" w:rsidR="00065317" w:rsidRDefault="005C7BF7">
      <w:pPr>
        <w:pStyle w:val="Corpsdetexte"/>
      </w:pPr>
      <w:r>
        <w:rPr>
          <w:rStyle w:val="VerbatimChar"/>
        </w:rPr>
        <w:t>E2_Entité_temporelle</w:t>
      </w:r>
      <w:r>
        <w:t xml:space="preserve">. </w:t>
      </w:r>
      <w:r>
        <w:rPr>
          <w:rStyle w:val="VerbatimChar"/>
        </w:rPr>
        <w:t>P174_commence_avant_la_fin_de (se_termine_après_le_début_de)</w:t>
      </w:r>
      <w:r>
        <w:t xml:space="preserve"> : </w:t>
      </w:r>
      <w:r>
        <w:rPr>
          <w:rStyle w:val="VerbatimChar"/>
        </w:rPr>
        <w:t>E2_Entité_temporelle</w:t>
      </w:r>
    </w:p>
    <w:p w14:paraId="200C0D2B" w14:textId="77777777" w:rsidR="00065317" w:rsidRDefault="005C7BF7">
      <w:pPr>
        <w:pStyle w:val="Corpsdetexte"/>
      </w:pPr>
      <w:r>
        <w:rPr>
          <w:b/>
          <w:bCs/>
        </w:rPr>
        <w:t>Super-propriété de</w:t>
      </w:r>
    </w:p>
    <w:p w14:paraId="0961F4BB" w14:textId="77777777" w:rsidR="00065317" w:rsidRDefault="005C7BF7">
      <w:pPr>
        <w:pStyle w:val="Corpsdetexte"/>
      </w:pPr>
      <w:r>
        <w:rPr>
          <w:rStyle w:val="VerbatimChar"/>
        </w:rPr>
        <w:t>E2_Entité_temporelle</w:t>
      </w:r>
      <w:r>
        <w:t xml:space="preserve">. </w:t>
      </w:r>
      <w:r>
        <w:rPr>
          <w:rStyle w:val="VerbatimChar"/>
        </w:rPr>
        <w:t>P185_se_termine_avant_la_fin_de (se_termine_après_la_fin_de)</w:t>
      </w:r>
      <w:r>
        <w:t xml:space="preserve"> : </w:t>
      </w:r>
      <w:r>
        <w:rPr>
          <w:rStyle w:val="VerbatimChar"/>
        </w:rPr>
        <w:t>E2_Entité_temporelle</w:t>
      </w:r>
    </w:p>
    <w:p w14:paraId="0DF64FB3" w14:textId="77777777" w:rsidR="00065317" w:rsidRDefault="005C7BF7">
      <w:pPr>
        <w:pStyle w:val="Corpsdetexte"/>
      </w:pPr>
      <w:r>
        <w:rPr>
          <w:b/>
          <w:bCs/>
        </w:rPr>
        <w:t>Quantification</w:t>
      </w:r>
    </w:p>
    <w:p w14:paraId="70B79A88" w14:textId="77BF9902" w:rsidR="00834C26" w:rsidRDefault="005C7BF7">
      <w:pPr>
        <w:pStyle w:val="Corpsdetexte"/>
        <w:rPr>
          <w:b/>
          <w:bCs/>
        </w:rPr>
      </w:pPr>
      <w:r>
        <w:t>plusieurs à plusieurs (0,n:0,n)</w:t>
      </w:r>
    </w:p>
    <w:p w14:paraId="193BB754" w14:textId="765968AC" w:rsidR="00065317" w:rsidRDefault="005C7BF7">
      <w:pPr>
        <w:pStyle w:val="Corpsdetexte"/>
      </w:pPr>
      <w:r>
        <w:rPr>
          <w:b/>
          <w:bCs/>
        </w:rPr>
        <w:t>Note d</w:t>
      </w:r>
      <w:r w:rsidR="00E84B0E">
        <w:rPr>
          <w:b/>
          <w:bCs/>
        </w:rPr>
        <w:t>’</w:t>
      </w:r>
      <w:r>
        <w:rPr>
          <w:b/>
          <w:bCs/>
        </w:rPr>
        <w:t>application</w:t>
      </w:r>
    </w:p>
    <w:p w14:paraId="22F4C18C" w14:textId="633A4C06" w:rsidR="00065317" w:rsidRDefault="005C7BF7">
      <w:pPr>
        <w:pStyle w:val="Corpsdetexte"/>
      </w:pPr>
      <w:r>
        <w:t>Cette propriété précise que l</w:t>
      </w:r>
      <w:r w:rsidR="00E84B0E">
        <w:t>’</w:t>
      </w:r>
      <w:r>
        <w:t>étendue temporelle de l</w:t>
      </w:r>
      <w:r w:rsidR="00E84B0E">
        <w:t>’</w:t>
      </w:r>
      <w:r>
        <w:t xml:space="preserve">instance du domaine (A) de </w:t>
      </w:r>
      <w:r>
        <w:rPr>
          <w:rStyle w:val="VerbatimChar"/>
        </w:rPr>
        <w:t>E2_Entité_temporelle</w:t>
      </w:r>
      <w:r>
        <w:t xml:space="preserve"> se termine avant ou au moment de la fin de l</w:t>
      </w:r>
      <w:r w:rsidR="00E84B0E">
        <w:t>’</w:t>
      </w:r>
      <w:r>
        <w:t xml:space="preserve">instance de la portée (B) de </w:t>
      </w:r>
      <w:r>
        <w:rPr>
          <w:rStyle w:val="VerbatimChar"/>
        </w:rPr>
        <w:t>E2_Entité_temporelle</w:t>
      </w:r>
      <w:r>
        <w:t>.</w:t>
      </w:r>
    </w:p>
    <w:p w14:paraId="22B1DBE5" w14:textId="2572E3AE" w:rsidR="00065317" w:rsidRDefault="005C7BF7">
      <w:pPr>
        <w:pStyle w:val="Corpsdetexte"/>
      </w:pPr>
      <w:r>
        <w:t>En d</w:t>
      </w:r>
      <w:r w:rsidR="00E84B0E">
        <w:t>’</w:t>
      </w:r>
      <w:r>
        <w:t>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fin</w:t>
      </w:r>
      <w:r>
        <w:t xml:space="preserve"> ≤ B</w:t>
      </w:r>
      <w:r>
        <w:rPr>
          <w:vertAlign w:val="superscript"/>
        </w:rPr>
        <w:t>fin</w:t>
      </w:r>
      <w:r>
        <w:t xml:space="preserve"> est vrai.</w:t>
      </w:r>
    </w:p>
    <w:p w14:paraId="1C4DB756" w14:textId="5500FA55" w:rsidR="00065317" w:rsidRDefault="005C7BF7">
      <w:pPr>
        <w:pStyle w:val="Corpsdetexte"/>
      </w:pPr>
      <w:r>
        <w:t>Cette propriété fait partie de l</w:t>
      </w:r>
      <w:r w:rsidR="00E84B0E">
        <w:t>’</w:t>
      </w:r>
      <w:r>
        <w:t>ensemble des propriétés temporelles P173 à P176 et P182 à P185.</w:t>
      </w:r>
    </w:p>
    <w:p w14:paraId="6C7F1B3B" w14:textId="33FB3572" w:rsidR="00065317" w:rsidRDefault="005C7BF7">
      <w:pPr>
        <w:pStyle w:val="Corpsdetexte"/>
      </w:pPr>
      <w:r>
        <w:t>Cette propriété correspond à une disjonction (OU logique) des relations définies par l</w:t>
      </w:r>
      <w:r w:rsidR="00E84B0E">
        <w:t>’</w:t>
      </w:r>
      <w:r>
        <w:t>algèbre des intervalles d</w:t>
      </w:r>
      <w:r w:rsidR="00E84B0E">
        <w:t>’</w:t>
      </w:r>
      <w:r>
        <w:t>Allen suivantes (Allen, 1983) : {se déroule avant, rencontre, chevauche, termine par, démarre, est égal à, se déroule pendant, termine}.</w:t>
      </w:r>
    </w:p>
    <w:p w14:paraId="597988C3" w14:textId="77777777" w:rsidR="003E6361" w:rsidRDefault="003E6361">
      <w:pPr>
        <w:spacing w:after="0"/>
      </w:pPr>
      <w:r>
        <w:br w:type="page"/>
      </w:r>
    </w:p>
    <w:p w14:paraId="6344A117" w14:textId="77F3A7CE" w:rsidR="00065317" w:rsidRDefault="005C7BF7" w:rsidP="003E6361">
      <w:pPr>
        <w:pStyle w:val="Corpsdetexte"/>
        <w:spacing w:after="0"/>
      </w:pPr>
      <w:r>
        <w:lastRenderedPageBreak/>
        <w:t>Cette propriété est irréflexive.</w:t>
      </w:r>
    </w:p>
    <w:p w14:paraId="5AE4D688" w14:textId="77777777" w:rsidR="00065317" w:rsidRDefault="005C7BF7" w:rsidP="003E6361">
      <w:pPr>
        <w:pStyle w:val="Corpsdetexte"/>
        <w:spacing w:before="0" w:after="0"/>
      </w:pPr>
      <w:r>
        <w:rPr>
          <w:noProof/>
        </w:rPr>
        <w:drawing>
          <wp:inline distT="0" distB="0" distL="0" distR="0" wp14:anchorId="10BD30D8" wp14:editId="45078C5C">
            <wp:extent cx="6858000" cy="3075436"/>
            <wp:effectExtent l="0" t="0" r="0" b="0"/>
            <wp:docPr id="462" name="Picture" descr="Un diagramme illustre le fonctionnement de la propriété P184_se_termine_avant_ou_au_moment_de_la_fin_de (se_termine_au_moment_ou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63" name="Picture" descr="../../drawio/PNG/FR/Fig_20_FR.png"/>
                    <pic:cNvPicPr>
                      <a:picLocks noChangeAspect="1" noChangeArrowheads="1"/>
                    </pic:cNvPicPr>
                  </pic:nvPicPr>
                  <pic:blipFill>
                    <a:blip r:embed="rId300"/>
                    <a:stretch>
                      <a:fillRect/>
                    </a:stretch>
                  </pic:blipFill>
                  <pic:spPr bwMode="auto">
                    <a:xfrm>
                      <a:off x="0" y="0"/>
                      <a:ext cx="6858000" cy="3075436"/>
                    </a:xfrm>
                    <a:prstGeom prst="rect">
                      <a:avLst/>
                    </a:prstGeom>
                    <a:noFill/>
                    <a:ln w="9525">
                      <a:noFill/>
                      <a:headEnd/>
                      <a:tailEnd/>
                    </a:ln>
                  </pic:spPr>
                </pic:pic>
              </a:graphicData>
            </a:graphic>
          </wp:inline>
        </w:drawing>
      </w:r>
    </w:p>
    <w:p w14:paraId="5F440FAB" w14:textId="6B35FBB1" w:rsidR="00065317" w:rsidRPr="003E6361" w:rsidRDefault="005C7BF7" w:rsidP="003E6361">
      <w:pPr>
        <w:pStyle w:val="Corpsdetexte"/>
        <w:spacing w:before="0" w:after="0"/>
        <w:rPr>
          <w:i/>
          <w:iCs/>
          <w:sz w:val="20"/>
          <w:szCs w:val="20"/>
        </w:rPr>
      </w:pPr>
      <w:r w:rsidRPr="009C62B3">
        <w:rPr>
          <w:i/>
          <w:iCs/>
          <w:sz w:val="20"/>
          <w:szCs w:val="20"/>
        </w:rPr>
        <w:t>Figure 20 : L</w:t>
      </w:r>
      <w:r w:rsidR="00E84B0E">
        <w:rPr>
          <w:i/>
          <w:iCs/>
          <w:sz w:val="20"/>
          <w:szCs w:val="20"/>
        </w:rPr>
        <w:t>’</w:t>
      </w:r>
      <w:r w:rsidRPr="009C62B3">
        <w:rPr>
          <w:i/>
          <w:iCs/>
          <w:sz w:val="20"/>
          <w:szCs w:val="20"/>
        </w:rPr>
        <w:t>entité temporelle A termine avant ou au moment de la fin de l</w:t>
      </w:r>
      <w:r w:rsidR="00E84B0E">
        <w:rPr>
          <w:i/>
          <w:iCs/>
          <w:sz w:val="20"/>
          <w:szCs w:val="20"/>
        </w:rPr>
        <w:t>’</w:t>
      </w:r>
      <w:r w:rsidRPr="009C62B3">
        <w:rPr>
          <w:i/>
          <w:iCs/>
          <w:sz w:val="20"/>
          <w:szCs w:val="20"/>
        </w:rPr>
        <w:t>entité temporelle B. Ici, A est plus long que B.</w:t>
      </w:r>
    </w:p>
    <w:p w14:paraId="5119FDAB" w14:textId="77777777" w:rsidR="00065317" w:rsidRDefault="005C7BF7" w:rsidP="003E6361">
      <w:pPr>
        <w:pStyle w:val="Corpsdetexte"/>
        <w:spacing w:after="0"/>
      </w:pPr>
      <w:r>
        <w:rPr>
          <w:noProof/>
        </w:rPr>
        <w:drawing>
          <wp:inline distT="0" distB="0" distL="0" distR="0" wp14:anchorId="4DA0809C" wp14:editId="2172BCB0">
            <wp:extent cx="6858000" cy="3025913"/>
            <wp:effectExtent l="0" t="0" r="0" b="0"/>
            <wp:docPr id="465" name="Picture" descr="Un diagramme illustre le fonctionnement de la propriété P184_se_termine_avant_ou_au_moment_de_la_fin_de (se_termine_au_moment_ou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66" name="Picture" descr="../../drawio/PNG/FR/Fig_21_FR.png"/>
                    <pic:cNvPicPr>
                      <a:picLocks noChangeAspect="1" noChangeArrowheads="1"/>
                    </pic:cNvPicPr>
                  </pic:nvPicPr>
                  <pic:blipFill>
                    <a:blip r:embed="rId301"/>
                    <a:stretch>
                      <a:fillRect/>
                    </a:stretch>
                  </pic:blipFill>
                  <pic:spPr bwMode="auto">
                    <a:xfrm>
                      <a:off x="0" y="0"/>
                      <a:ext cx="6858000" cy="3025913"/>
                    </a:xfrm>
                    <a:prstGeom prst="rect">
                      <a:avLst/>
                    </a:prstGeom>
                    <a:noFill/>
                    <a:ln w="9525">
                      <a:noFill/>
                      <a:headEnd/>
                      <a:tailEnd/>
                    </a:ln>
                  </pic:spPr>
                </pic:pic>
              </a:graphicData>
            </a:graphic>
          </wp:inline>
        </w:drawing>
      </w:r>
    </w:p>
    <w:p w14:paraId="6D256E32" w14:textId="0BABDAA5" w:rsidR="00065317" w:rsidRPr="009C62B3" w:rsidRDefault="005C7BF7" w:rsidP="003E6361">
      <w:pPr>
        <w:pStyle w:val="Corpsdetexte"/>
        <w:spacing w:before="0" w:after="0"/>
        <w:rPr>
          <w:sz w:val="20"/>
          <w:szCs w:val="20"/>
        </w:rPr>
      </w:pPr>
      <w:r w:rsidRPr="009C62B3">
        <w:rPr>
          <w:i/>
          <w:iCs/>
          <w:sz w:val="20"/>
          <w:szCs w:val="20"/>
        </w:rPr>
        <w:t>Figure 21 : L</w:t>
      </w:r>
      <w:r w:rsidR="00E84B0E">
        <w:rPr>
          <w:i/>
          <w:iCs/>
          <w:sz w:val="20"/>
          <w:szCs w:val="20"/>
        </w:rPr>
        <w:t>’</w:t>
      </w:r>
      <w:r w:rsidRPr="009C62B3">
        <w:rPr>
          <w:i/>
          <w:iCs/>
          <w:sz w:val="20"/>
          <w:szCs w:val="20"/>
        </w:rPr>
        <w:t>entité temporelle A termine avant ou au moment de la fin de l</w:t>
      </w:r>
      <w:r w:rsidR="00E84B0E">
        <w:rPr>
          <w:i/>
          <w:iCs/>
          <w:sz w:val="20"/>
          <w:szCs w:val="20"/>
        </w:rPr>
        <w:t>’</w:t>
      </w:r>
      <w:r w:rsidRPr="009C62B3">
        <w:rPr>
          <w:i/>
          <w:iCs/>
          <w:sz w:val="20"/>
          <w:szCs w:val="20"/>
        </w:rPr>
        <w:t>entité temporelle B. Ici, A est plus court que B.</w:t>
      </w:r>
    </w:p>
    <w:p w14:paraId="500175A4" w14:textId="77777777" w:rsidR="00065317" w:rsidRDefault="005C7BF7">
      <w:pPr>
        <w:pStyle w:val="Corpsdetexte"/>
      </w:pPr>
      <w:r>
        <w:rPr>
          <w:b/>
          <w:bCs/>
        </w:rPr>
        <w:t>Exemples</w:t>
      </w:r>
    </w:p>
    <w:p w14:paraId="630AE99F" w14:textId="0C5DE8D3" w:rsidR="00065317" w:rsidRDefault="005C7BF7">
      <w:pPr>
        <w:numPr>
          <w:ilvl w:val="0"/>
          <w:numId w:val="292"/>
        </w:numPr>
      </w:pPr>
      <w:r>
        <w:t>Le règne du roi Harold II (</w:t>
      </w:r>
      <w:r>
        <w:rPr>
          <w:rStyle w:val="VerbatimChar"/>
        </w:rPr>
        <w:t>E4_Période</w:t>
      </w:r>
      <w:r>
        <w:t>) se termine avant ou au moment de la fin (</w:t>
      </w:r>
      <w:r>
        <w:rPr>
          <w:rStyle w:val="VerbatimChar"/>
        </w:rPr>
        <w:t>P184_se_termine_avant_ou_au_moment_de_la_fin_de</w:t>
      </w:r>
      <w:r>
        <w:t>) de la bataille de Hastings (</w:t>
      </w:r>
      <w:r>
        <w:rPr>
          <w:rStyle w:val="VerbatimChar"/>
        </w:rPr>
        <w:t>E7_Activité</w:t>
      </w:r>
      <w:r>
        <w:t>) (Wikip</w:t>
      </w:r>
      <w:r w:rsidR="00504558">
        <w:t>é</w:t>
      </w:r>
      <w:r>
        <w:t>dia</w:t>
      </w:r>
      <w:r w:rsidR="00C2235A">
        <w:t>,</w:t>
      </w:r>
      <w:r>
        <w:t xml:space="preserve"> 2022a)</w:t>
      </w:r>
    </w:p>
    <w:p w14:paraId="34B158D2" w14:textId="77777777" w:rsidR="00065317" w:rsidRDefault="005C7BF7">
      <w:pPr>
        <w:pStyle w:val="FirstParagraph"/>
      </w:pPr>
      <w:r>
        <w:rPr>
          <w:b/>
          <w:bCs/>
        </w:rPr>
        <w:t>Logique</w:t>
      </w:r>
    </w:p>
    <w:p w14:paraId="12A944E3" w14:textId="77777777" w:rsidR="00065317" w:rsidRDefault="005C7BF7">
      <w:pPr>
        <w:pStyle w:val="Corpsdetexte"/>
      </w:pPr>
      <w:r>
        <w:t>P184(x,y) ⇒ E2(x)</w:t>
      </w:r>
    </w:p>
    <w:p w14:paraId="02C46EB8" w14:textId="77777777" w:rsidR="00065317" w:rsidRDefault="005C7BF7">
      <w:pPr>
        <w:pStyle w:val="Corpsdetexte"/>
      </w:pPr>
      <w:r>
        <w:t>P184(x,y) ⇒ E2(y)</w:t>
      </w:r>
    </w:p>
    <w:p w14:paraId="44D82970" w14:textId="77777777" w:rsidR="00065317" w:rsidRDefault="005C7BF7">
      <w:pPr>
        <w:pStyle w:val="Corpsdetexte"/>
      </w:pPr>
      <w:r>
        <w:t>P184(x,y) ⇒ P174(x,y)</w:t>
      </w:r>
    </w:p>
    <w:p w14:paraId="33BA880E" w14:textId="09B9AD50" w:rsidR="00065317" w:rsidRDefault="005C7BF7">
      <w:pPr>
        <w:pStyle w:val="Corpsdetexte"/>
      </w:pPr>
      <w:r>
        <w:t>P184(x,x)</w:t>
      </w:r>
    </w:p>
    <w:p w14:paraId="16024DD1" w14:textId="77777777" w:rsidR="00065317" w:rsidRDefault="005C7BF7">
      <w:pPr>
        <w:pStyle w:val="Corpsdetexte"/>
      </w:pPr>
      <w:r>
        <w:rPr>
          <w:b/>
          <w:bCs/>
        </w:rPr>
        <w:lastRenderedPageBreak/>
        <w:t>Propriétés</w:t>
      </w:r>
    </w:p>
    <w:p w14:paraId="716FFE66" w14:textId="77777777" w:rsidR="00065317" w:rsidRDefault="005C7BF7">
      <w:pPr>
        <w:pStyle w:val="Normalcentr"/>
      </w:pPr>
      <w:r>
        <w:rPr>
          <w:b/>
          <w:bCs/>
          <w:i/>
          <w:iCs/>
        </w:rPr>
        <w:t>Note de traduction</w:t>
      </w:r>
    </w:p>
    <w:p w14:paraId="707F8716" w14:textId="77777777" w:rsidR="00065317" w:rsidRDefault="005C7BF7">
      <w:pPr>
        <w:pStyle w:val="Normalcentr"/>
      </w:pPr>
      <w:r>
        <w:rPr>
          <w:b/>
          <w:bCs/>
          <w:i/>
          <w:iCs/>
        </w:rPr>
        <w:t>Références</w:t>
      </w:r>
    </w:p>
    <w:p w14:paraId="79E75577" w14:textId="270D404B" w:rsidR="00834C26" w:rsidRPr="00834C26" w:rsidRDefault="005C7BF7" w:rsidP="00914F34">
      <w:pPr>
        <w:pStyle w:val="Normalcentr"/>
      </w:pPr>
      <w:r>
        <w:t>Wikipédia. « Algèbre des intervalles d</w:t>
      </w:r>
      <w:r w:rsidR="00E84B0E">
        <w:t>’</w:t>
      </w:r>
      <w:r>
        <w:t xml:space="preserve">Allen ». Dans </w:t>
      </w:r>
      <w:r>
        <w:rPr>
          <w:i/>
          <w:iCs/>
        </w:rPr>
        <w:t>Wikipédia</w:t>
      </w:r>
      <w:r>
        <w:t xml:space="preserve">. </w:t>
      </w:r>
      <w:r w:rsidRPr="009741EE">
        <w:t>San Francisco, US-CA: Wikipédia, 14</w:t>
      </w:r>
      <w:r w:rsidR="00056DCD" w:rsidRPr="009741EE">
        <w:t> janvier </w:t>
      </w:r>
      <w:r w:rsidRPr="009741EE">
        <w:t>2021.</w:t>
      </w:r>
      <w:hyperlink r:id="rId302">
        <w:r w:rsidRPr="009741EE">
          <w:rPr>
            <w:rStyle w:val="Lienhypertexte"/>
          </w:rPr>
          <w:t xml:space="preserve"> </w:t>
        </w:r>
      </w:hyperlink>
      <w:hyperlink r:id="rId303">
        <w:r>
          <w:rPr>
            <w:rStyle w:val="Lienhypertexte"/>
          </w:rPr>
          <w:t>https://fr.wikipedia.org/wiki/Alg%C3%A8bre_des_intervalles_d%27Allen</w:t>
        </w:r>
      </w:hyperlink>
      <w:r>
        <w:t>.</w:t>
      </w:r>
    </w:p>
    <w:p w14:paraId="0F086B6E" w14:textId="77777777" w:rsidR="00065317" w:rsidRDefault="005C7BF7" w:rsidP="00914F34">
      <w:pPr>
        <w:pStyle w:val="Titre3"/>
      </w:pPr>
      <w:bookmarkStart w:id="568" w:name="_Toc154048969"/>
      <w:bookmarkStart w:id="569" w:name="Xc3c206952c0b80224488c6c4e4d0e14e9fbe66c"/>
      <w:bookmarkEnd w:id="567"/>
      <w:r>
        <w:t>P185 se termine avant la fin de (se termine après la fin de)</w:t>
      </w:r>
      <w:bookmarkEnd w:id="568"/>
    </w:p>
    <w:p w14:paraId="510E2570" w14:textId="77777777" w:rsidR="00065317" w:rsidRDefault="005C7BF7">
      <w:pPr>
        <w:pStyle w:val="FirstParagraph"/>
      </w:pPr>
      <w:r>
        <w:rPr>
          <w:b/>
          <w:bCs/>
        </w:rPr>
        <w:t>Domaine</w:t>
      </w:r>
    </w:p>
    <w:p w14:paraId="26BF28A8" w14:textId="77777777" w:rsidR="00065317" w:rsidRDefault="005C7BF7">
      <w:pPr>
        <w:pStyle w:val="Corpsdetexte"/>
      </w:pPr>
      <w:r>
        <w:rPr>
          <w:rStyle w:val="VerbatimChar"/>
        </w:rPr>
        <w:t>E2_Entité_temporelle</w:t>
      </w:r>
    </w:p>
    <w:p w14:paraId="0E878F40" w14:textId="77777777" w:rsidR="00065317" w:rsidRDefault="005C7BF7">
      <w:pPr>
        <w:pStyle w:val="Corpsdetexte"/>
      </w:pPr>
      <w:r>
        <w:rPr>
          <w:b/>
          <w:bCs/>
        </w:rPr>
        <w:t>Portée</w:t>
      </w:r>
    </w:p>
    <w:p w14:paraId="724389A9" w14:textId="68BA3A27" w:rsidR="00834C26" w:rsidRDefault="005C7BF7">
      <w:pPr>
        <w:pStyle w:val="Corpsdetexte"/>
        <w:rPr>
          <w:b/>
          <w:bCs/>
        </w:rPr>
      </w:pPr>
      <w:r>
        <w:rPr>
          <w:rStyle w:val="VerbatimChar"/>
        </w:rPr>
        <w:t>E2_Entité_temporelle</w:t>
      </w:r>
    </w:p>
    <w:p w14:paraId="6D7F6E6A" w14:textId="3AC6A8B9" w:rsidR="00065317" w:rsidRDefault="005C7BF7">
      <w:pPr>
        <w:pStyle w:val="Corpsdetexte"/>
      </w:pPr>
      <w:r>
        <w:rPr>
          <w:b/>
          <w:bCs/>
        </w:rPr>
        <w:t>Sous-propriété de</w:t>
      </w:r>
    </w:p>
    <w:p w14:paraId="4CBBCEF8" w14:textId="77777777" w:rsidR="00065317" w:rsidRDefault="005C7BF7">
      <w:pPr>
        <w:pStyle w:val="Corpsdetexte"/>
      </w:pPr>
      <w:r>
        <w:rPr>
          <w:rStyle w:val="VerbatimChar"/>
        </w:rPr>
        <w:t>E2_Entité_temporelle</w:t>
      </w:r>
      <w:r>
        <w:t xml:space="preserve">. </w:t>
      </w:r>
      <w:r>
        <w:rPr>
          <w:rStyle w:val="VerbatimChar"/>
        </w:rPr>
        <w:t>P184_se_termine_avant_ou_au_moment_de_la_fin_de (se_termine_au_moment_ou_après_la_fin_de)</w:t>
      </w:r>
      <w:r>
        <w:t xml:space="preserve"> : </w:t>
      </w:r>
      <w:r>
        <w:rPr>
          <w:rStyle w:val="VerbatimChar"/>
        </w:rPr>
        <w:t>E2_Entité_temporelle</w:t>
      </w:r>
    </w:p>
    <w:p w14:paraId="5BFFEC37" w14:textId="77777777" w:rsidR="00065317" w:rsidRDefault="005C7BF7">
      <w:pPr>
        <w:pStyle w:val="Corpsdetexte"/>
      </w:pPr>
      <w:r>
        <w:rPr>
          <w:b/>
          <w:bCs/>
        </w:rPr>
        <w:t>Super-propriété de</w:t>
      </w:r>
    </w:p>
    <w:p w14:paraId="0415D7F2" w14:textId="77777777" w:rsidR="00065317" w:rsidRDefault="005C7BF7">
      <w:pPr>
        <w:pStyle w:val="Corpsdetexte"/>
      </w:pPr>
      <w:r>
        <w:rPr>
          <w:rStyle w:val="VerbatimChar"/>
        </w:rPr>
        <w:t>E2_Entité_temporelle</w:t>
      </w:r>
      <w:r>
        <w:t xml:space="preserve">. </w:t>
      </w:r>
      <w:r>
        <w:rPr>
          <w:rStyle w:val="VerbatimChar"/>
        </w:rPr>
        <w:t>P182_se_termine_avant_ou_au_moment_du_début_de (commence_après_ou_au_moment_de_la_fin_de)</w:t>
      </w:r>
      <w:r>
        <w:t xml:space="preserve"> : </w:t>
      </w:r>
      <w:r>
        <w:rPr>
          <w:rStyle w:val="VerbatimChar"/>
        </w:rPr>
        <w:t>E2_Entité_temporelle</w:t>
      </w:r>
    </w:p>
    <w:p w14:paraId="550A09D9" w14:textId="77777777" w:rsidR="00065317" w:rsidRDefault="005C7BF7">
      <w:pPr>
        <w:pStyle w:val="Corpsdetexte"/>
      </w:pPr>
      <w:r>
        <w:rPr>
          <w:b/>
          <w:bCs/>
        </w:rPr>
        <w:t>Quantification</w:t>
      </w:r>
    </w:p>
    <w:p w14:paraId="7D28A6BD" w14:textId="77777777" w:rsidR="00065317" w:rsidRDefault="005C7BF7">
      <w:pPr>
        <w:pStyle w:val="Corpsdetexte"/>
      </w:pPr>
      <w:r>
        <w:t>plusieurs à plusieurs (0,n:0,n)</w:t>
      </w:r>
    </w:p>
    <w:p w14:paraId="1B91A9DB" w14:textId="6340EA46" w:rsidR="00065317" w:rsidRDefault="005C7BF7">
      <w:pPr>
        <w:pStyle w:val="Corpsdetexte"/>
      </w:pPr>
      <w:r>
        <w:rPr>
          <w:b/>
          <w:bCs/>
        </w:rPr>
        <w:t>Note d</w:t>
      </w:r>
      <w:r w:rsidR="00E84B0E">
        <w:rPr>
          <w:b/>
          <w:bCs/>
        </w:rPr>
        <w:t>’</w:t>
      </w:r>
      <w:r>
        <w:rPr>
          <w:b/>
          <w:bCs/>
        </w:rPr>
        <w:t>application</w:t>
      </w:r>
    </w:p>
    <w:p w14:paraId="3E2E0083" w14:textId="5358D138" w:rsidR="00065317" w:rsidRDefault="005C7BF7">
      <w:pPr>
        <w:pStyle w:val="Corpsdetexte"/>
      </w:pPr>
      <w:r>
        <w:t>Cette propriété précise que l</w:t>
      </w:r>
      <w:r w:rsidR="00E84B0E">
        <w:t>’</w:t>
      </w:r>
      <w:r>
        <w:t>étendue temporelle de l</w:t>
      </w:r>
      <w:r w:rsidR="00E84B0E">
        <w:t>’</w:t>
      </w:r>
      <w:r>
        <w:t xml:space="preserve">instance du domaine (A) de </w:t>
      </w:r>
      <w:r>
        <w:rPr>
          <w:rStyle w:val="VerbatimChar"/>
        </w:rPr>
        <w:t>E2_Entité_temporelle</w:t>
      </w:r>
      <w:r>
        <w:t xml:space="preserve"> se termine définitivement avant la fin de l</w:t>
      </w:r>
      <w:r w:rsidR="00E84B0E">
        <w:t>’</w:t>
      </w:r>
      <w:r>
        <w:t xml:space="preserve">instance de la portée (B) de </w:t>
      </w:r>
      <w:r>
        <w:rPr>
          <w:rStyle w:val="VerbatimChar"/>
        </w:rPr>
        <w:t>E2_Entité_temporelle</w:t>
      </w:r>
      <w:r>
        <w:t>.</w:t>
      </w:r>
    </w:p>
    <w:p w14:paraId="05D68626" w14:textId="0D10C457" w:rsidR="00065317" w:rsidRDefault="005C7BF7">
      <w:pPr>
        <w:pStyle w:val="Corpsdetexte"/>
      </w:pPr>
      <w:r>
        <w:t>En d</w:t>
      </w:r>
      <w:r w:rsidR="00E84B0E">
        <w:t>’</w:t>
      </w:r>
      <w:r>
        <w:t>autres termes, si A = [A</w:t>
      </w:r>
      <w:r>
        <w:rPr>
          <w:vertAlign w:val="superscript"/>
        </w:rPr>
        <w:t>début</w:t>
      </w:r>
      <w:r>
        <w:t>, A</w:t>
      </w:r>
      <w:r>
        <w:rPr>
          <w:vertAlign w:val="superscript"/>
        </w:rPr>
        <w:t>fin</w:t>
      </w:r>
      <w:r>
        <w:t>] et B = [B</w:t>
      </w:r>
      <w:r>
        <w:rPr>
          <w:vertAlign w:val="superscript"/>
        </w:rPr>
        <w:t>début</w:t>
      </w:r>
      <w:r>
        <w:t>, B</w:t>
      </w:r>
      <w:r>
        <w:rPr>
          <w:vertAlign w:val="superscript"/>
        </w:rPr>
        <w:t>fin</w:t>
      </w:r>
      <w:r>
        <w:t>], alors A</w:t>
      </w:r>
      <w:r>
        <w:rPr>
          <w:vertAlign w:val="superscript"/>
        </w:rPr>
        <w:t>fin</w:t>
      </w:r>
      <w:r>
        <w:t xml:space="preserve"> &lt; B</w:t>
      </w:r>
      <w:r>
        <w:rPr>
          <w:vertAlign w:val="superscript"/>
        </w:rPr>
        <w:t>fin</w:t>
      </w:r>
      <w:r>
        <w:t xml:space="preserve"> est vrai.</w:t>
      </w:r>
    </w:p>
    <w:p w14:paraId="11E50A24" w14:textId="27778038" w:rsidR="00065317" w:rsidRDefault="005C7BF7">
      <w:pPr>
        <w:pStyle w:val="Corpsdetexte"/>
      </w:pPr>
      <w:r>
        <w:t>Cette propriété fait partie de l</w:t>
      </w:r>
      <w:r w:rsidR="00E84B0E">
        <w:t>’</w:t>
      </w:r>
      <w:r>
        <w:t>ensemble des propriétés temporelles P173 à P176 et P182 à P185.</w:t>
      </w:r>
    </w:p>
    <w:p w14:paraId="1AC2D29C" w14:textId="55A77C58" w:rsidR="00065317" w:rsidRDefault="005C7BF7">
      <w:pPr>
        <w:pStyle w:val="Corpsdetexte"/>
      </w:pPr>
      <w:r>
        <w:t>Cette propriété correspond à une disjonction (OU logique) des relations définies par l</w:t>
      </w:r>
      <w:r w:rsidR="00E84B0E">
        <w:t>’</w:t>
      </w:r>
      <w:r>
        <w:t>algèbre des intervalles d</w:t>
      </w:r>
      <w:r w:rsidR="00E84B0E">
        <w:t>’</w:t>
      </w:r>
      <w:r>
        <w:t>Allen suivantes (Allen, 1983) : {se déroule avant, rencontre, chevauche, démarre, se déroule pendant}.</w:t>
      </w:r>
    </w:p>
    <w:p w14:paraId="6637FECD" w14:textId="77777777" w:rsidR="003E6361" w:rsidRDefault="003E6361">
      <w:pPr>
        <w:spacing w:after="0"/>
      </w:pPr>
      <w:r>
        <w:br w:type="page"/>
      </w:r>
    </w:p>
    <w:p w14:paraId="3F1661BF" w14:textId="1759AC69" w:rsidR="00065317" w:rsidRDefault="005C7BF7">
      <w:pPr>
        <w:pStyle w:val="Corpsdetexte"/>
      </w:pPr>
      <w:r>
        <w:lastRenderedPageBreak/>
        <w:t>Cette propriété est transitive et asymétrique.</w:t>
      </w:r>
    </w:p>
    <w:p w14:paraId="58B0A345" w14:textId="77777777" w:rsidR="00065317" w:rsidRDefault="005C7BF7" w:rsidP="003E6361">
      <w:pPr>
        <w:pStyle w:val="Corpsdetexte"/>
        <w:spacing w:before="0" w:after="0"/>
      </w:pPr>
      <w:r>
        <w:rPr>
          <w:noProof/>
        </w:rPr>
        <w:drawing>
          <wp:inline distT="0" distB="0" distL="0" distR="0" wp14:anchorId="49BD6183" wp14:editId="0152B390">
            <wp:extent cx="6858000" cy="3349540"/>
            <wp:effectExtent l="0" t="0" r="0" b="0"/>
            <wp:docPr id="469" name="Picture" descr="Un diagramme illustre le fonctionnement de la propriété P185_se_termine_avant_la_fin_de (se_termine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long que l'évènement B."/>
            <wp:cNvGraphicFramePr/>
            <a:graphic xmlns:a="http://schemas.openxmlformats.org/drawingml/2006/main">
              <a:graphicData uri="http://schemas.openxmlformats.org/drawingml/2006/picture">
                <pic:pic xmlns:pic="http://schemas.openxmlformats.org/drawingml/2006/picture">
                  <pic:nvPicPr>
                    <pic:cNvPr id="470" name="Picture" descr="../../drawio/PNG/FR/Fig_22_FR.png"/>
                    <pic:cNvPicPr>
                      <a:picLocks noChangeAspect="1" noChangeArrowheads="1"/>
                    </pic:cNvPicPr>
                  </pic:nvPicPr>
                  <pic:blipFill>
                    <a:blip r:embed="rId304"/>
                    <a:stretch>
                      <a:fillRect/>
                    </a:stretch>
                  </pic:blipFill>
                  <pic:spPr bwMode="auto">
                    <a:xfrm>
                      <a:off x="0" y="0"/>
                      <a:ext cx="6858000" cy="3349540"/>
                    </a:xfrm>
                    <a:prstGeom prst="rect">
                      <a:avLst/>
                    </a:prstGeom>
                    <a:noFill/>
                    <a:ln w="9525">
                      <a:noFill/>
                      <a:headEnd/>
                      <a:tailEnd/>
                    </a:ln>
                  </pic:spPr>
                </pic:pic>
              </a:graphicData>
            </a:graphic>
          </wp:inline>
        </w:drawing>
      </w:r>
    </w:p>
    <w:p w14:paraId="0ACBCC14" w14:textId="5C287F08" w:rsidR="00065317" w:rsidRPr="003E6361" w:rsidRDefault="005C7BF7" w:rsidP="003E6361">
      <w:pPr>
        <w:pStyle w:val="Corpsdetexte"/>
        <w:spacing w:before="0" w:after="0"/>
        <w:rPr>
          <w:sz w:val="20"/>
          <w:szCs w:val="20"/>
        </w:rPr>
      </w:pPr>
      <w:r w:rsidRPr="009C62B3">
        <w:rPr>
          <w:i/>
          <w:iCs/>
          <w:sz w:val="20"/>
          <w:szCs w:val="20"/>
        </w:rPr>
        <w:t>Figure 22 : L</w:t>
      </w:r>
      <w:r w:rsidR="00E84B0E">
        <w:rPr>
          <w:i/>
          <w:iCs/>
          <w:sz w:val="20"/>
          <w:szCs w:val="20"/>
        </w:rPr>
        <w:t>’</w:t>
      </w:r>
      <w:r w:rsidRPr="009C62B3">
        <w:rPr>
          <w:i/>
          <w:iCs/>
          <w:sz w:val="20"/>
          <w:szCs w:val="20"/>
        </w:rPr>
        <w:t>entité temporelle A termine avant la fin de l</w:t>
      </w:r>
      <w:r w:rsidR="00E84B0E">
        <w:rPr>
          <w:i/>
          <w:iCs/>
          <w:sz w:val="20"/>
          <w:szCs w:val="20"/>
        </w:rPr>
        <w:t>’</w:t>
      </w:r>
      <w:r w:rsidRPr="009C62B3">
        <w:rPr>
          <w:i/>
          <w:iCs/>
          <w:sz w:val="20"/>
          <w:szCs w:val="20"/>
        </w:rPr>
        <w:t>entité temporelle B. Ici, A est plus long que B.</w:t>
      </w:r>
    </w:p>
    <w:p w14:paraId="4760D76F" w14:textId="77777777" w:rsidR="00065317" w:rsidRDefault="005C7BF7" w:rsidP="003E6361">
      <w:pPr>
        <w:pStyle w:val="Corpsdetexte"/>
        <w:spacing w:after="0"/>
      </w:pPr>
      <w:r>
        <w:rPr>
          <w:noProof/>
        </w:rPr>
        <w:drawing>
          <wp:inline distT="0" distB="0" distL="0" distR="0" wp14:anchorId="5CBF4E0A" wp14:editId="3221AE5A">
            <wp:extent cx="6743700" cy="3479800"/>
            <wp:effectExtent l="0" t="0" r="0" b="0"/>
            <wp:docPr id="472" name="Picture" descr="Un diagramme illustre le fonctionnement de la propriété P185_se_termine_avant_la_fin_de (se_termine_après_la_fin_de) en définissant un évènement B par rapport à deux évènements A où ces deux derniers se déroulent à des moments différents. Chaque évènement est représenté par un rectangle divisé en trois sections. La première et la troisième section représentent des zones de transition dans lesquelles l'entité temporelle décrite est en cours de développement ou de disparition. L'évènement A est plus court que l'évènement B."/>
            <wp:cNvGraphicFramePr/>
            <a:graphic xmlns:a="http://schemas.openxmlformats.org/drawingml/2006/main">
              <a:graphicData uri="http://schemas.openxmlformats.org/drawingml/2006/picture">
                <pic:pic xmlns:pic="http://schemas.openxmlformats.org/drawingml/2006/picture">
                  <pic:nvPicPr>
                    <pic:cNvPr id="473" name="Picture" descr="../../drawio/PNG/FR/Fig_23_FR.png"/>
                    <pic:cNvPicPr>
                      <a:picLocks noChangeAspect="1" noChangeArrowheads="1"/>
                    </pic:cNvPicPr>
                  </pic:nvPicPr>
                  <pic:blipFill>
                    <a:blip r:embed="rId305"/>
                    <a:stretch>
                      <a:fillRect/>
                    </a:stretch>
                  </pic:blipFill>
                  <pic:spPr bwMode="auto">
                    <a:xfrm>
                      <a:off x="0" y="0"/>
                      <a:ext cx="6743700" cy="3479800"/>
                    </a:xfrm>
                    <a:prstGeom prst="rect">
                      <a:avLst/>
                    </a:prstGeom>
                    <a:noFill/>
                    <a:ln w="9525">
                      <a:noFill/>
                      <a:headEnd/>
                      <a:tailEnd/>
                    </a:ln>
                  </pic:spPr>
                </pic:pic>
              </a:graphicData>
            </a:graphic>
          </wp:inline>
        </w:drawing>
      </w:r>
    </w:p>
    <w:p w14:paraId="693591B1" w14:textId="6E7EF8FF" w:rsidR="00065317" w:rsidRPr="009C62B3" w:rsidRDefault="005C7BF7" w:rsidP="003E6361">
      <w:pPr>
        <w:pStyle w:val="Corpsdetexte"/>
        <w:spacing w:before="0" w:after="0"/>
        <w:rPr>
          <w:sz w:val="20"/>
          <w:szCs w:val="20"/>
        </w:rPr>
      </w:pPr>
      <w:r w:rsidRPr="009C62B3">
        <w:rPr>
          <w:i/>
          <w:iCs/>
          <w:sz w:val="20"/>
          <w:szCs w:val="20"/>
        </w:rPr>
        <w:t>Figure 23 : L</w:t>
      </w:r>
      <w:r w:rsidR="00E84B0E">
        <w:rPr>
          <w:i/>
          <w:iCs/>
          <w:sz w:val="20"/>
          <w:szCs w:val="20"/>
        </w:rPr>
        <w:t>’</w:t>
      </w:r>
      <w:r w:rsidRPr="009C62B3">
        <w:rPr>
          <w:i/>
          <w:iCs/>
          <w:sz w:val="20"/>
          <w:szCs w:val="20"/>
        </w:rPr>
        <w:t>entité temporelle A termine avant la fin de l</w:t>
      </w:r>
      <w:r w:rsidR="00E84B0E">
        <w:rPr>
          <w:i/>
          <w:iCs/>
          <w:sz w:val="20"/>
          <w:szCs w:val="20"/>
        </w:rPr>
        <w:t>’</w:t>
      </w:r>
      <w:r w:rsidRPr="009C62B3">
        <w:rPr>
          <w:i/>
          <w:iCs/>
          <w:sz w:val="20"/>
          <w:szCs w:val="20"/>
        </w:rPr>
        <w:t>entité temporelle B. Ici, A est plus court que B.</w:t>
      </w:r>
    </w:p>
    <w:p w14:paraId="4723215F" w14:textId="77777777" w:rsidR="00065317" w:rsidRDefault="005C7BF7">
      <w:pPr>
        <w:pStyle w:val="Corpsdetexte"/>
      </w:pPr>
      <w:r>
        <w:rPr>
          <w:b/>
          <w:bCs/>
        </w:rPr>
        <w:t>Exemples</w:t>
      </w:r>
    </w:p>
    <w:p w14:paraId="29C40CD5" w14:textId="07F1B08F" w:rsidR="00065317" w:rsidRDefault="005C7BF7">
      <w:pPr>
        <w:numPr>
          <w:ilvl w:val="0"/>
          <w:numId w:val="293"/>
        </w:numPr>
      </w:pPr>
      <w:r>
        <w:t>L</w:t>
      </w:r>
      <w:r w:rsidR="00E84B0E">
        <w:t>’</w:t>
      </w:r>
      <w:r>
        <w:t>abbaye de Godstow, dans l</w:t>
      </w:r>
      <w:r w:rsidR="00E84B0E">
        <w:t>’</w:t>
      </w:r>
      <w:r>
        <w:t>Oxfordshire au Royaume-Uni, en tant qu</w:t>
      </w:r>
      <w:r w:rsidR="00E84B0E">
        <w:t>’</w:t>
      </w:r>
      <w:r>
        <w:t>abbaye fonctionnelle (</w:t>
      </w:r>
      <w:r>
        <w:rPr>
          <w:rStyle w:val="VerbatimChar"/>
        </w:rPr>
        <w:t>E4_Période</w:t>
      </w:r>
      <w:r>
        <w:t>) se termine avant la fin du (</w:t>
      </w:r>
      <w:r>
        <w:rPr>
          <w:rStyle w:val="VerbatimChar"/>
        </w:rPr>
        <w:t>P185_se_termine_avant_la_fin_de</w:t>
      </w:r>
      <w:r>
        <w:t>) règne de Henry VIII (</w:t>
      </w:r>
      <w:r>
        <w:rPr>
          <w:rStyle w:val="VerbatimChar"/>
        </w:rPr>
        <w:t>E4_Période</w:t>
      </w:r>
      <w:r>
        <w:t>)</w:t>
      </w:r>
    </w:p>
    <w:p w14:paraId="72EE880B" w14:textId="77777777" w:rsidR="003E6361" w:rsidRDefault="003E6361">
      <w:pPr>
        <w:spacing w:after="0"/>
        <w:rPr>
          <w:b/>
          <w:bCs/>
        </w:rPr>
      </w:pPr>
      <w:r>
        <w:rPr>
          <w:b/>
          <w:bCs/>
        </w:rPr>
        <w:br w:type="page"/>
      </w:r>
    </w:p>
    <w:p w14:paraId="612D209E" w14:textId="7D4C4B37" w:rsidR="00065317" w:rsidRDefault="005C7BF7">
      <w:pPr>
        <w:pStyle w:val="FirstParagraph"/>
      </w:pPr>
      <w:r>
        <w:rPr>
          <w:b/>
          <w:bCs/>
        </w:rPr>
        <w:lastRenderedPageBreak/>
        <w:t>Logique</w:t>
      </w:r>
    </w:p>
    <w:p w14:paraId="1B49340E" w14:textId="77777777" w:rsidR="00065317" w:rsidRDefault="005C7BF7">
      <w:pPr>
        <w:pStyle w:val="Corpsdetexte"/>
      </w:pPr>
      <w:r>
        <w:t>P185(x,y) ⇒ E2(x)</w:t>
      </w:r>
    </w:p>
    <w:p w14:paraId="625EAAB7" w14:textId="77777777" w:rsidR="00065317" w:rsidRDefault="005C7BF7">
      <w:pPr>
        <w:pStyle w:val="Corpsdetexte"/>
      </w:pPr>
      <w:r>
        <w:t>P185(x,y) ⇒ E2(y)</w:t>
      </w:r>
    </w:p>
    <w:p w14:paraId="64C82012" w14:textId="77777777" w:rsidR="00065317" w:rsidRDefault="005C7BF7">
      <w:pPr>
        <w:pStyle w:val="Corpsdetexte"/>
      </w:pPr>
      <w:r>
        <w:t>P185(x,y) ⇒ P184(x,y)</w:t>
      </w:r>
    </w:p>
    <w:p w14:paraId="6C833A76" w14:textId="4B55C91A" w:rsidR="00065317" w:rsidRDefault="005C7BF7">
      <w:pPr>
        <w:pStyle w:val="Corpsdetexte"/>
      </w:pPr>
      <w:r>
        <w:t>[P185(x,y) ∧ P185(y,z)] ⇒ P185(x,z)P185(x,y) ⇒ P185(y,x)</w:t>
      </w:r>
    </w:p>
    <w:p w14:paraId="0166BE9A" w14:textId="77777777" w:rsidR="00065317" w:rsidRDefault="005C7BF7">
      <w:pPr>
        <w:pStyle w:val="Corpsdetexte"/>
      </w:pPr>
      <w:r>
        <w:rPr>
          <w:b/>
          <w:bCs/>
        </w:rPr>
        <w:t>Propriétés</w:t>
      </w:r>
    </w:p>
    <w:p w14:paraId="5DAAC5A1" w14:textId="77777777" w:rsidR="00065317" w:rsidRDefault="005C7BF7">
      <w:pPr>
        <w:pStyle w:val="Normalcentr"/>
      </w:pPr>
      <w:r>
        <w:rPr>
          <w:b/>
          <w:bCs/>
          <w:i/>
          <w:iCs/>
        </w:rPr>
        <w:t>Note de traduction</w:t>
      </w:r>
    </w:p>
    <w:p w14:paraId="7B6C875B" w14:textId="77777777" w:rsidR="00065317" w:rsidRDefault="005C7BF7">
      <w:pPr>
        <w:pStyle w:val="Normalcentr"/>
      </w:pPr>
      <w:r>
        <w:rPr>
          <w:b/>
          <w:bCs/>
          <w:i/>
          <w:iCs/>
        </w:rPr>
        <w:t>Références</w:t>
      </w:r>
    </w:p>
    <w:p w14:paraId="0D919982" w14:textId="3560B581" w:rsidR="00065317" w:rsidRDefault="005C7BF7">
      <w:pPr>
        <w:pStyle w:val="Normalcentr"/>
      </w:pPr>
      <w:r>
        <w:t>Wikipédia. « Algèbre des intervalles d</w:t>
      </w:r>
      <w:r w:rsidR="00E84B0E">
        <w:t>’</w:t>
      </w:r>
      <w:r>
        <w:t xml:space="preserve">Allen ». Dans </w:t>
      </w:r>
      <w:r>
        <w:rPr>
          <w:i/>
          <w:iCs/>
        </w:rPr>
        <w:t>Wikipédia</w:t>
      </w:r>
      <w:r>
        <w:t xml:space="preserve">. </w:t>
      </w:r>
      <w:r w:rsidRPr="00056DCD">
        <w:rPr>
          <w:lang w:val="en-CA"/>
        </w:rPr>
        <w:t>San Francisco, US-CA: Wikipédia, 14</w:t>
      </w:r>
      <w:r w:rsidR="00056DCD" w:rsidRPr="00056DCD">
        <w:rPr>
          <w:lang w:val="en-CA"/>
        </w:rPr>
        <w:t> janvier </w:t>
      </w:r>
      <w:r w:rsidRPr="00056DCD">
        <w:rPr>
          <w:lang w:val="en-CA"/>
        </w:rPr>
        <w:t>2021.</w:t>
      </w:r>
      <w:hyperlink r:id="rId306">
        <w:r w:rsidRPr="00056DCD">
          <w:rPr>
            <w:rStyle w:val="Lienhypertexte"/>
            <w:lang w:val="en-CA"/>
          </w:rPr>
          <w:t xml:space="preserve"> </w:t>
        </w:r>
      </w:hyperlink>
      <w:hyperlink r:id="rId307">
        <w:r>
          <w:rPr>
            <w:rStyle w:val="Lienhypertexte"/>
          </w:rPr>
          <w:t>https://fr.wikipedia.org/wiki/Alg%C3%A8bre_des_intervalles_d%27Allen</w:t>
        </w:r>
      </w:hyperlink>
      <w:r>
        <w:t>.</w:t>
      </w:r>
    </w:p>
    <w:p w14:paraId="25BAD5FD" w14:textId="77777777" w:rsidR="00065317" w:rsidRDefault="005C7BF7" w:rsidP="00914F34">
      <w:pPr>
        <w:pStyle w:val="Titre3"/>
      </w:pPr>
      <w:bookmarkStart w:id="570" w:name="_Toc154048970"/>
      <w:bookmarkStart w:id="571" w:name="X11e61e6f8751689395f13bdd23ebb43656582f6"/>
      <w:bookmarkEnd w:id="569"/>
      <w:r>
        <w:t>P186 a produit la chose du type (est produit par)</w:t>
      </w:r>
      <w:bookmarkEnd w:id="570"/>
    </w:p>
    <w:p w14:paraId="0BB00283" w14:textId="77777777" w:rsidR="00065317" w:rsidRDefault="005C7BF7">
      <w:pPr>
        <w:pStyle w:val="FirstParagraph"/>
      </w:pPr>
      <w:r>
        <w:rPr>
          <w:b/>
          <w:bCs/>
        </w:rPr>
        <w:t>Domaine</w:t>
      </w:r>
    </w:p>
    <w:p w14:paraId="7A5D0685" w14:textId="77777777" w:rsidR="00065317" w:rsidRDefault="005C7BF7">
      <w:pPr>
        <w:pStyle w:val="Corpsdetexte"/>
      </w:pPr>
      <w:r>
        <w:rPr>
          <w:rStyle w:val="VerbatimChar"/>
        </w:rPr>
        <w:t>E12_Production</w:t>
      </w:r>
    </w:p>
    <w:p w14:paraId="5DD01F97" w14:textId="77777777" w:rsidR="00065317" w:rsidRDefault="005C7BF7">
      <w:pPr>
        <w:pStyle w:val="Corpsdetexte"/>
      </w:pPr>
      <w:r>
        <w:rPr>
          <w:b/>
          <w:bCs/>
        </w:rPr>
        <w:t>Portée</w:t>
      </w:r>
    </w:p>
    <w:p w14:paraId="1458C6B0" w14:textId="77777777" w:rsidR="00065317" w:rsidRDefault="005C7BF7">
      <w:pPr>
        <w:pStyle w:val="Corpsdetexte"/>
      </w:pPr>
      <w:r>
        <w:rPr>
          <w:rStyle w:val="VerbatimChar"/>
        </w:rPr>
        <w:t>E99_Modèle_de_produit</w:t>
      </w:r>
    </w:p>
    <w:p w14:paraId="2CCB17D1" w14:textId="77777777" w:rsidR="00065317" w:rsidRDefault="005C7BF7">
      <w:pPr>
        <w:pStyle w:val="Corpsdetexte"/>
      </w:pPr>
      <w:r>
        <w:rPr>
          <w:b/>
          <w:bCs/>
        </w:rPr>
        <w:t>Sous-propriété de</w:t>
      </w:r>
    </w:p>
    <w:p w14:paraId="065D8A84" w14:textId="77777777" w:rsidR="00065317" w:rsidRDefault="005C7BF7">
      <w:pPr>
        <w:pStyle w:val="Corpsdetexte"/>
      </w:pPr>
      <w:r>
        <w:rPr>
          <w:b/>
          <w:bCs/>
        </w:rPr>
        <w:t>Super-propriété de</w:t>
      </w:r>
    </w:p>
    <w:p w14:paraId="4D979868" w14:textId="77777777" w:rsidR="00065317" w:rsidRDefault="005C7BF7">
      <w:pPr>
        <w:pStyle w:val="Corpsdetexte"/>
      </w:pPr>
      <w:r>
        <w:rPr>
          <w:b/>
          <w:bCs/>
        </w:rPr>
        <w:t>Quantification</w:t>
      </w:r>
    </w:p>
    <w:p w14:paraId="4BBEBF4C" w14:textId="77777777" w:rsidR="00065317" w:rsidRDefault="005C7BF7">
      <w:pPr>
        <w:pStyle w:val="Corpsdetexte"/>
      </w:pPr>
      <w:r>
        <w:t>plusieurs à plusieurs (0,n:0,n)</w:t>
      </w:r>
    </w:p>
    <w:p w14:paraId="6FBDA790" w14:textId="170D3D2F" w:rsidR="00065317" w:rsidRDefault="005C7BF7">
      <w:pPr>
        <w:pStyle w:val="Corpsdetexte"/>
      </w:pPr>
      <w:r>
        <w:rPr>
          <w:b/>
          <w:bCs/>
        </w:rPr>
        <w:t>Note d</w:t>
      </w:r>
      <w:r w:rsidR="00E84B0E">
        <w:rPr>
          <w:b/>
          <w:bCs/>
        </w:rPr>
        <w:t>’</w:t>
      </w:r>
      <w:r>
        <w:rPr>
          <w:b/>
          <w:bCs/>
        </w:rPr>
        <w:t>application</w:t>
      </w:r>
    </w:p>
    <w:p w14:paraId="59D24129" w14:textId="438AEB67" w:rsidR="00065317" w:rsidRDefault="005C7BF7">
      <w:pPr>
        <w:pStyle w:val="Corpsdetexte"/>
      </w:pPr>
      <w:r>
        <w:t xml:space="preserve">Cette propriété associe une instance de </w:t>
      </w:r>
      <w:r>
        <w:rPr>
          <w:rStyle w:val="VerbatimChar"/>
        </w:rPr>
        <w:t>E12_Production</w:t>
      </w:r>
      <w:r>
        <w:t xml:space="preserve"> avec l</w:t>
      </w:r>
      <w:r w:rsidR="00E84B0E">
        <w:t>’</w:t>
      </w:r>
      <w:r>
        <w:t xml:space="preserve">instance de </w:t>
      </w:r>
      <w:r>
        <w:rPr>
          <w:rStyle w:val="VerbatimChar"/>
        </w:rPr>
        <w:t>E99_Modèle_de_produit</w:t>
      </w:r>
      <w:r>
        <w:t xml:space="preserve"> qui identifie le modèle de la chose produite.</w:t>
      </w:r>
    </w:p>
    <w:p w14:paraId="721AB9DA" w14:textId="77777777" w:rsidR="00065317" w:rsidRDefault="005C7BF7">
      <w:pPr>
        <w:pStyle w:val="Corpsdetexte"/>
      </w:pPr>
      <w:r>
        <w:rPr>
          <w:b/>
          <w:bCs/>
        </w:rPr>
        <w:t>Exemples</w:t>
      </w:r>
    </w:p>
    <w:p w14:paraId="0658D8FC" w14:textId="66AF8E5D" w:rsidR="00065317" w:rsidRDefault="005C7BF7">
      <w:pPr>
        <w:numPr>
          <w:ilvl w:val="0"/>
          <w:numId w:val="294"/>
        </w:numPr>
      </w:pPr>
      <w:r>
        <w:t>L</w:t>
      </w:r>
      <w:r w:rsidR="00E84B0E">
        <w:t>’</w:t>
      </w:r>
      <w:r>
        <w:t>activité de production reliée à la « Standard Limousine Type II » de l</w:t>
      </w:r>
      <w:r w:rsidR="00E84B0E">
        <w:t>’</w:t>
      </w:r>
      <w:r>
        <w:t>usine Volkswagen entre 1949 et 1953 (</w:t>
      </w:r>
      <w:r>
        <w:rPr>
          <w:rStyle w:val="VerbatimChar"/>
        </w:rPr>
        <w:t>E12_Production</w:t>
      </w:r>
      <w:r>
        <w:t>) a produit une chose du type (</w:t>
      </w:r>
      <w:r>
        <w:rPr>
          <w:rStyle w:val="VerbatimChar"/>
        </w:rPr>
        <w:t>P186_a_produit_la_chose_du_type</w:t>
      </w:r>
      <w:r>
        <w:t>) Volkswagen Type 11 (Beetle) (</w:t>
      </w:r>
      <w:r>
        <w:rPr>
          <w:rStyle w:val="VerbatimChar"/>
        </w:rPr>
        <w:t>E99_Modèle_de_produit</w:t>
      </w:r>
      <w:r>
        <w:t>) (Rieger, 2013)</w:t>
      </w:r>
    </w:p>
    <w:p w14:paraId="1988E788" w14:textId="77777777" w:rsidR="00065317" w:rsidRDefault="005C7BF7">
      <w:pPr>
        <w:pStyle w:val="FirstParagraph"/>
      </w:pPr>
      <w:r>
        <w:rPr>
          <w:b/>
          <w:bCs/>
        </w:rPr>
        <w:t>Logique</w:t>
      </w:r>
    </w:p>
    <w:p w14:paraId="342717C9" w14:textId="77777777" w:rsidR="00065317" w:rsidRDefault="005C7BF7">
      <w:pPr>
        <w:pStyle w:val="Corpsdetexte"/>
      </w:pPr>
      <w:r>
        <w:t>P186(x,y) ⇒ E12(x)</w:t>
      </w:r>
    </w:p>
    <w:p w14:paraId="5AC84984" w14:textId="77777777" w:rsidR="00065317" w:rsidRDefault="005C7BF7">
      <w:pPr>
        <w:pStyle w:val="Corpsdetexte"/>
      </w:pPr>
      <w:r>
        <w:t>P186(x,y) ⇒ E99(y)</w:t>
      </w:r>
    </w:p>
    <w:p w14:paraId="50B94271" w14:textId="77777777" w:rsidR="00065317" w:rsidRDefault="005C7BF7">
      <w:pPr>
        <w:pStyle w:val="Corpsdetexte"/>
      </w:pPr>
      <w:r>
        <w:t>P186(x,y) ⇒ (∃z) [E24(z) ∧ P108(x,z) ∧ P2(z,y)]</w:t>
      </w:r>
    </w:p>
    <w:p w14:paraId="6E36BBB2" w14:textId="77777777" w:rsidR="00065317" w:rsidRDefault="005C7BF7">
      <w:pPr>
        <w:pStyle w:val="Corpsdetexte"/>
      </w:pPr>
      <w:r>
        <w:rPr>
          <w:b/>
          <w:bCs/>
        </w:rPr>
        <w:t>Propriétés</w:t>
      </w:r>
    </w:p>
    <w:p w14:paraId="44CB82EA" w14:textId="77777777" w:rsidR="00065317" w:rsidRDefault="005C7BF7">
      <w:pPr>
        <w:pStyle w:val="Normalcentr"/>
      </w:pPr>
      <w:r>
        <w:rPr>
          <w:b/>
          <w:bCs/>
          <w:i/>
          <w:iCs/>
        </w:rPr>
        <w:t>Note de traduction</w:t>
      </w:r>
    </w:p>
    <w:p w14:paraId="5AD4D654" w14:textId="60130D02" w:rsidR="00065317" w:rsidRDefault="005C7BF7" w:rsidP="00C1746C">
      <w:pPr>
        <w:pStyle w:val="Normalcentr"/>
      </w:pPr>
      <w:r>
        <w:rPr>
          <w:b/>
          <w:bCs/>
          <w:i/>
          <w:iCs/>
        </w:rPr>
        <w:t>Références</w:t>
      </w:r>
    </w:p>
    <w:p w14:paraId="322F3733" w14:textId="77777777" w:rsidR="00065317" w:rsidRDefault="005C7BF7" w:rsidP="00914F34">
      <w:pPr>
        <w:pStyle w:val="Titre3"/>
      </w:pPr>
      <w:bookmarkStart w:id="572" w:name="_Toc154048971"/>
      <w:bookmarkStart w:id="573" w:name="X04db28084428cbda12797f2b954cc46fd19093e"/>
      <w:bookmarkEnd w:id="571"/>
      <w:r>
        <w:lastRenderedPageBreak/>
        <w:t>P187 a pour plan de production (est le plan de production de)</w:t>
      </w:r>
      <w:bookmarkEnd w:id="572"/>
    </w:p>
    <w:p w14:paraId="58655B78" w14:textId="77777777" w:rsidR="00065317" w:rsidRDefault="005C7BF7">
      <w:pPr>
        <w:pStyle w:val="FirstParagraph"/>
      </w:pPr>
      <w:r>
        <w:rPr>
          <w:b/>
          <w:bCs/>
        </w:rPr>
        <w:t>Domaine</w:t>
      </w:r>
    </w:p>
    <w:p w14:paraId="4372F06C" w14:textId="77777777" w:rsidR="00065317" w:rsidRDefault="005C7BF7">
      <w:pPr>
        <w:pStyle w:val="Corpsdetexte"/>
      </w:pPr>
      <w:r>
        <w:rPr>
          <w:rStyle w:val="VerbatimChar"/>
        </w:rPr>
        <w:t>E99_Modèle_de_produit</w:t>
      </w:r>
    </w:p>
    <w:p w14:paraId="2B7E334E" w14:textId="77777777" w:rsidR="00065317" w:rsidRDefault="005C7BF7">
      <w:pPr>
        <w:pStyle w:val="Corpsdetexte"/>
      </w:pPr>
      <w:r>
        <w:rPr>
          <w:b/>
          <w:bCs/>
        </w:rPr>
        <w:t>Portée</w:t>
      </w:r>
    </w:p>
    <w:p w14:paraId="23830989" w14:textId="77777777" w:rsidR="00065317" w:rsidRDefault="005C7BF7">
      <w:pPr>
        <w:pStyle w:val="Corpsdetexte"/>
      </w:pPr>
      <w:r>
        <w:rPr>
          <w:rStyle w:val="VerbatimChar"/>
        </w:rPr>
        <w:t>E29_Conceptualisation_ou_procédure</w:t>
      </w:r>
    </w:p>
    <w:p w14:paraId="75118A35" w14:textId="77777777" w:rsidR="00065317" w:rsidRDefault="005C7BF7">
      <w:pPr>
        <w:pStyle w:val="Corpsdetexte"/>
      </w:pPr>
      <w:r>
        <w:rPr>
          <w:b/>
          <w:bCs/>
        </w:rPr>
        <w:t>Sous-propriété de</w:t>
      </w:r>
    </w:p>
    <w:p w14:paraId="3CF0115C" w14:textId="77777777" w:rsidR="00065317" w:rsidRDefault="005C7BF7">
      <w:pPr>
        <w:pStyle w:val="Corpsdetexte"/>
      </w:pPr>
      <w:r>
        <w:rPr>
          <w:b/>
          <w:bCs/>
        </w:rPr>
        <w:t>Super-propriété de</w:t>
      </w:r>
    </w:p>
    <w:p w14:paraId="60D6C4DF" w14:textId="77777777" w:rsidR="00065317" w:rsidRDefault="005C7BF7">
      <w:pPr>
        <w:pStyle w:val="Corpsdetexte"/>
      </w:pPr>
      <w:r>
        <w:rPr>
          <w:b/>
          <w:bCs/>
        </w:rPr>
        <w:t>Quantification</w:t>
      </w:r>
    </w:p>
    <w:p w14:paraId="2A4B7FAC" w14:textId="77777777" w:rsidR="00065317" w:rsidRDefault="005C7BF7">
      <w:pPr>
        <w:pStyle w:val="Corpsdetexte"/>
      </w:pPr>
      <w:r>
        <w:t>un à plusieurs (1,n:1,1)</w:t>
      </w:r>
    </w:p>
    <w:p w14:paraId="2D6DA91A" w14:textId="1BCF89E3" w:rsidR="00065317" w:rsidRDefault="005C7BF7">
      <w:pPr>
        <w:pStyle w:val="Corpsdetexte"/>
      </w:pPr>
      <w:r>
        <w:rPr>
          <w:b/>
          <w:bCs/>
        </w:rPr>
        <w:t>Note d</w:t>
      </w:r>
      <w:r w:rsidR="00E84B0E">
        <w:rPr>
          <w:b/>
          <w:bCs/>
        </w:rPr>
        <w:t>’</w:t>
      </w:r>
      <w:r>
        <w:rPr>
          <w:b/>
          <w:bCs/>
        </w:rPr>
        <w:t>application</w:t>
      </w:r>
    </w:p>
    <w:p w14:paraId="62FD0616" w14:textId="2EE1016E" w:rsidR="00065317" w:rsidRDefault="005C7BF7">
      <w:pPr>
        <w:pStyle w:val="Corpsdetexte"/>
      </w:pPr>
      <w:r>
        <w:t xml:space="preserve">Cette propriété associe une instance de </w:t>
      </w:r>
      <w:r>
        <w:rPr>
          <w:rStyle w:val="VerbatimChar"/>
        </w:rPr>
        <w:t>E99_Modèle_de_produit</w:t>
      </w:r>
      <w:r>
        <w:t xml:space="preserve"> à une instance de </w:t>
      </w:r>
      <w:r>
        <w:rPr>
          <w:rStyle w:val="VerbatimChar"/>
        </w:rPr>
        <w:t>E29_Conceptualisation_ou_procédure</w:t>
      </w:r>
      <w:r>
        <w:t xml:space="preserve"> qui détermine la production d</w:t>
      </w:r>
      <w:r w:rsidR="00E84B0E">
        <w:t>’</w:t>
      </w:r>
      <w:r>
        <w:t xml:space="preserve">instances de </w:t>
      </w:r>
      <w:r>
        <w:rPr>
          <w:rStyle w:val="VerbatimChar"/>
        </w:rPr>
        <w:t>E18_Chose_matérielle</w:t>
      </w:r>
      <w:r>
        <w:t xml:space="preserve"> dans son entièreté. Les instances de </w:t>
      </w:r>
      <w:r>
        <w:rPr>
          <w:rStyle w:val="VerbatimChar"/>
        </w:rPr>
        <w:t>E18_Chose_matérielle</w:t>
      </w:r>
      <w:r>
        <w:t xml:space="preserve"> qui résultent de ce processus sont considérées comme des exemples de cette instance de </w:t>
      </w:r>
      <w:r>
        <w:rPr>
          <w:rStyle w:val="VerbatimChar"/>
        </w:rPr>
        <w:t>E99_Modèle_de_produit</w:t>
      </w:r>
      <w:r>
        <w:t xml:space="preserve"> tant que le processus spécifié a été correctement exécuté.</w:t>
      </w:r>
    </w:p>
    <w:p w14:paraId="1FDF6A50" w14:textId="267BC9E9" w:rsidR="00065317" w:rsidRDefault="005C7BF7">
      <w:pPr>
        <w:pStyle w:val="Corpsdetexte"/>
      </w:pPr>
      <w:r>
        <w:t>Il est important de noter que l</w:t>
      </w:r>
      <w:r w:rsidR="00E84B0E">
        <w:t>’</w:t>
      </w:r>
      <w:r>
        <w:t xml:space="preserve">instance de </w:t>
      </w:r>
      <w:r>
        <w:rPr>
          <w:rStyle w:val="VerbatimChar"/>
        </w:rPr>
        <w:t>E29_Conceptualisation_ou_procédure</w:t>
      </w:r>
      <w:r>
        <w:t xml:space="preserve"> peut ne pas être fixée dans une forme écrite ou graphique. Ainsi, elle peut nécessiter l</w:t>
      </w:r>
      <w:r w:rsidR="00E84B0E">
        <w:t>’</w:t>
      </w:r>
      <w:r>
        <w:t>utilisation de modèles ou d</w:t>
      </w:r>
      <w:r w:rsidR="00E84B0E">
        <w:t>’</w:t>
      </w:r>
      <w:r>
        <w:t>outils qui sont spécifiques à son modèle de produit.</w:t>
      </w:r>
    </w:p>
    <w:p w14:paraId="58FE3D40" w14:textId="77777777" w:rsidR="00065317" w:rsidRDefault="005C7BF7">
      <w:pPr>
        <w:pStyle w:val="Corpsdetexte"/>
      </w:pPr>
      <w:r>
        <w:t xml:space="preserve">Une même instance de </w:t>
      </w:r>
      <w:r>
        <w:rPr>
          <w:rStyle w:val="VerbatimChar"/>
        </w:rPr>
        <w:t>E99_Modèle_de_produit</w:t>
      </w:r>
      <w:r>
        <w:t xml:space="preserve"> peut être associée à de nombreux plans différents.</w:t>
      </w:r>
    </w:p>
    <w:p w14:paraId="2C80B750" w14:textId="77777777" w:rsidR="00065317" w:rsidRDefault="005C7BF7">
      <w:pPr>
        <w:pStyle w:val="Corpsdetexte"/>
      </w:pPr>
      <w:r>
        <w:rPr>
          <w:b/>
          <w:bCs/>
        </w:rPr>
        <w:t>Exemples</w:t>
      </w:r>
    </w:p>
    <w:p w14:paraId="61054397" w14:textId="77777777" w:rsidR="00065317" w:rsidRDefault="005C7BF7">
      <w:pPr>
        <w:numPr>
          <w:ilvl w:val="0"/>
          <w:numId w:val="295"/>
        </w:numPr>
      </w:pPr>
      <w:r>
        <w:t>La Volkswagen « Type 11 (Coccinelle) » (</w:t>
      </w:r>
      <w:r>
        <w:rPr>
          <w:rStyle w:val="VerbatimChar"/>
        </w:rPr>
        <w:t>E99_Modèle_de_produit</w:t>
      </w:r>
      <w:r>
        <w:t>) a les plans de production (</w:t>
      </w:r>
      <w:r>
        <w:rPr>
          <w:rStyle w:val="VerbatimChar"/>
        </w:rPr>
        <w:t>E29_Conceptualisation_ou_procédure</w:t>
      </w:r>
      <w:r>
        <w:t>) (Rieger, 2013)</w:t>
      </w:r>
    </w:p>
    <w:p w14:paraId="21FED54B" w14:textId="77777777" w:rsidR="00065317" w:rsidRDefault="005C7BF7">
      <w:pPr>
        <w:pStyle w:val="FirstParagraph"/>
      </w:pPr>
      <w:r>
        <w:rPr>
          <w:b/>
          <w:bCs/>
        </w:rPr>
        <w:t>Logique</w:t>
      </w:r>
    </w:p>
    <w:p w14:paraId="48496521" w14:textId="77777777" w:rsidR="00065317" w:rsidRDefault="005C7BF7">
      <w:pPr>
        <w:pStyle w:val="Corpsdetexte"/>
      </w:pPr>
      <w:r>
        <w:t>P187(x,y) ⇒ E99(x)</w:t>
      </w:r>
    </w:p>
    <w:p w14:paraId="42B97662" w14:textId="77777777" w:rsidR="00065317" w:rsidRDefault="005C7BF7">
      <w:pPr>
        <w:pStyle w:val="Corpsdetexte"/>
      </w:pPr>
      <w:r>
        <w:t>P187(x,y) ⇒ E29(y)</w:t>
      </w:r>
    </w:p>
    <w:p w14:paraId="5FFF6DCF" w14:textId="77777777" w:rsidR="00065317" w:rsidRDefault="005C7BF7">
      <w:pPr>
        <w:pStyle w:val="Corpsdetexte"/>
      </w:pPr>
      <w:r>
        <w:rPr>
          <w:b/>
          <w:bCs/>
        </w:rPr>
        <w:t>Propriétés</w:t>
      </w:r>
    </w:p>
    <w:p w14:paraId="652480BA" w14:textId="77777777" w:rsidR="00065317" w:rsidRDefault="005C7BF7">
      <w:pPr>
        <w:pStyle w:val="Normalcentr"/>
      </w:pPr>
      <w:r>
        <w:rPr>
          <w:b/>
          <w:bCs/>
          <w:i/>
          <w:iCs/>
        </w:rPr>
        <w:t>Note de traduction</w:t>
      </w:r>
    </w:p>
    <w:p w14:paraId="65742A0A" w14:textId="55E6ED6D" w:rsidR="00065317" w:rsidRDefault="005C7BF7" w:rsidP="00C1746C">
      <w:pPr>
        <w:pStyle w:val="Normalcentr"/>
      </w:pPr>
      <w:r>
        <w:rPr>
          <w:b/>
          <w:bCs/>
          <w:i/>
          <w:iCs/>
        </w:rPr>
        <w:t>Références</w:t>
      </w:r>
    </w:p>
    <w:p w14:paraId="347DBB51" w14:textId="5110C4B7" w:rsidR="00065317" w:rsidRDefault="005C7BF7" w:rsidP="00914F34">
      <w:pPr>
        <w:pStyle w:val="Titre3"/>
      </w:pPr>
      <w:bookmarkStart w:id="574" w:name="_Toc154048972"/>
      <w:bookmarkStart w:id="575" w:name="Xc9b86990ba096d42a7981122bba4e44ef591902"/>
      <w:bookmarkEnd w:id="573"/>
      <w:r>
        <w:t>P188 nécessite l</w:t>
      </w:r>
      <w:r w:rsidR="00E84B0E">
        <w:t>’</w:t>
      </w:r>
      <w:r>
        <w:t>outil (est l</w:t>
      </w:r>
      <w:r w:rsidR="00E84B0E">
        <w:t>’</w:t>
      </w:r>
      <w:r>
        <w:t>outil de production de)</w:t>
      </w:r>
      <w:bookmarkEnd w:id="574"/>
    </w:p>
    <w:p w14:paraId="5687EBAA" w14:textId="77777777" w:rsidR="00065317" w:rsidRDefault="005C7BF7">
      <w:pPr>
        <w:pStyle w:val="FirstParagraph"/>
      </w:pPr>
      <w:r>
        <w:rPr>
          <w:b/>
          <w:bCs/>
        </w:rPr>
        <w:t>Domaine</w:t>
      </w:r>
    </w:p>
    <w:p w14:paraId="3768BF69" w14:textId="77777777" w:rsidR="00065317" w:rsidRDefault="005C7BF7">
      <w:pPr>
        <w:pStyle w:val="Corpsdetexte"/>
      </w:pPr>
      <w:r>
        <w:rPr>
          <w:rStyle w:val="VerbatimChar"/>
        </w:rPr>
        <w:t>E99_Modèle_de_produit</w:t>
      </w:r>
    </w:p>
    <w:p w14:paraId="4883F324" w14:textId="77777777" w:rsidR="00065317" w:rsidRDefault="005C7BF7">
      <w:pPr>
        <w:pStyle w:val="Corpsdetexte"/>
      </w:pPr>
      <w:r>
        <w:rPr>
          <w:b/>
          <w:bCs/>
        </w:rPr>
        <w:t>Portée</w:t>
      </w:r>
    </w:p>
    <w:p w14:paraId="0913774F" w14:textId="77777777" w:rsidR="00065317" w:rsidRDefault="005C7BF7">
      <w:pPr>
        <w:pStyle w:val="Corpsdetexte"/>
      </w:pPr>
      <w:r>
        <w:rPr>
          <w:rStyle w:val="VerbatimChar"/>
        </w:rPr>
        <w:t>E19_Objet_matériel</w:t>
      </w:r>
    </w:p>
    <w:p w14:paraId="6C7383FF" w14:textId="77777777" w:rsidR="003E6361" w:rsidRDefault="003E6361">
      <w:pPr>
        <w:spacing w:after="0"/>
        <w:rPr>
          <w:b/>
          <w:bCs/>
        </w:rPr>
      </w:pPr>
      <w:r>
        <w:rPr>
          <w:b/>
          <w:bCs/>
        </w:rPr>
        <w:br w:type="page"/>
      </w:r>
    </w:p>
    <w:p w14:paraId="4AD4D343" w14:textId="43E612FE" w:rsidR="00065317" w:rsidRDefault="005C7BF7">
      <w:pPr>
        <w:pStyle w:val="Corpsdetexte"/>
      </w:pPr>
      <w:r>
        <w:rPr>
          <w:b/>
          <w:bCs/>
        </w:rPr>
        <w:lastRenderedPageBreak/>
        <w:t>Sous-propriété de</w:t>
      </w:r>
    </w:p>
    <w:p w14:paraId="61B988B4" w14:textId="77777777" w:rsidR="00065317" w:rsidRDefault="005C7BF7">
      <w:pPr>
        <w:pStyle w:val="Corpsdetexte"/>
      </w:pPr>
      <w:r>
        <w:rPr>
          <w:b/>
          <w:bCs/>
        </w:rPr>
        <w:t>Super-propriété de</w:t>
      </w:r>
    </w:p>
    <w:p w14:paraId="25BE59A7" w14:textId="77777777" w:rsidR="00065317" w:rsidRDefault="005C7BF7">
      <w:pPr>
        <w:pStyle w:val="Corpsdetexte"/>
      </w:pPr>
      <w:r>
        <w:rPr>
          <w:b/>
          <w:bCs/>
        </w:rPr>
        <w:t>Quantification</w:t>
      </w:r>
    </w:p>
    <w:p w14:paraId="1282239A" w14:textId="77777777" w:rsidR="00065317" w:rsidRDefault="005C7BF7">
      <w:pPr>
        <w:pStyle w:val="Corpsdetexte"/>
      </w:pPr>
      <w:r>
        <w:t>un à plusieurs (1,n:1,1)</w:t>
      </w:r>
    </w:p>
    <w:p w14:paraId="259C8CCF" w14:textId="3915C9C5" w:rsidR="00065317" w:rsidRDefault="005C7BF7">
      <w:pPr>
        <w:pStyle w:val="Corpsdetexte"/>
      </w:pPr>
      <w:r>
        <w:rPr>
          <w:b/>
          <w:bCs/>
        </w:rPr>
        <w:t>Note d</w:t>
      </w:r>
      <w:r w:rsidR="00E84B0E">
        <w:rPr>
          <w:b/>
          <w:bCs/>
        </w:rPr>
        <w:t>’</w:t>
      </w:r>
      <w:r>
        <w:rPr>
          <w:b/>
          <w:bCs/>
        </w:rPr>
        <w:t>application</w:t>
      </w:r>
    </w:p>
    <w:p w14:paraId="7C5528B3" w14:textId="429FCE57" w:rsidR="00834C26" w:rsidRDefault="005C7BF7">
      <w:pPr>
        <w:pStyle w:val="Corpsdetexte"/>
        <w:rPr>
          <w:b/>
          <w:bCs/>
        </w:rPr>
      </w:pPr>
      <w:r>
        <w:t xml:space="preserve">Cette propriété associe une instance de </w:t>
      </w:r>
      <w:r>
        <w:rPr>
          <w:rStyle w:val="VerbatimChar"/>
        </w:rPr>
        <w:t>E99_Modèle_de_produit</w:t>
      </w:r>
      <w:r>
        <w:t xml:space="preserve"> à une instance de </w:t>
      </w:r>
      <w:r>
        <w:rPr>
          <w:rStyle w:val="VerbatimChar"/>
        </w:rPr>
        <w:t>E19_Objet_matériel</w:t>
      </w:r>
      <w:r>
        <w:t xml:space="preserve"> nécessaire à la production d</w:t>
      </w:r>
      <w:r w:rsidR="00E84B0E">
        <w:t>’</w:t>
      </w:r>
      <w:r>
        <w:t xml:space="preserve">une instance de </w:t>
      </w:r>
      <w:r>
        <w:rPr>
          <w:rStyle w:val="VerbatimChar"/>
        </w:rPr>
        <w:t>E18_Chose_matérielle</w:t>
      </w:r>
      <w:r>
        <w:t>. Lorsque le processus de production est exécuté adéquatement – conformément au plan et en utilisant l</w:t>
      </w:r>
      <w:r w:rsidR="00E84B0E">
        <w:t>’</w:t>
      </w:r>
      <w:r>
        <w:t xml:space="preserve">instance indiquée de </w:t>
      </w:r>
      <w:r>
        <w:rPr>
          <w:rStyle w:val="VerbatimChar"/>
        </w:rPr>
        <w:t>E19_Objet_matériel</w:t>
      </w:r>
      <w:r>
        <w:t xml:space="preserve"> – l</w:t>
      </w:r>
      <w:r w:rsidR="00E84B0E">
        <w:t>’</w:t>
      </w:r>
      <w:r>
        <w:t xml:space="preserve">instance de </w:t>
      </w:r>
      <w:r>
        <w:rPr>
          <w:rStyle w:val="VerbatimChar"/>
        </w:rPr>
        <w:t>E18_Chose_matérielle</w:t>
      </w:r>
      <w:r>
        <w:t xml:space="preserve"> qui en résulte est considérée comme des exemples de cette instance de </w:t>
      </w:r>
      <w:r>
        <w:rPr>
          <w:rStyle w:val="VerbatimChar"/>
        </w:rPr>
        <w:t>E99_Modèle_de_produit</w:t>
      </w:r>
      <w:r>
        <w:t xml:space="preserve">. Cette instance de </w:t>
      </w:r>
      <w:r>
        <w:rPr>
          <w:rStyle w:val="VerbatimChar"/>
        </w:rPr>
        <w:t>E19_Objet_matériel</w:t>
      </w:r>
      <w:r>
        <w:t xml:space="preserve"> peut avoir des caractéristiques distinctes qui sont transformées en caractéristiques typiques de l</w:t>
      </w:r>
      <w:r w:rsidR="00E84B0E">
        <w:t>’</w:t>
      </w:r>
      <w:r>
        <w:t xml:space="preserve">instance résultante de </w:t>
      </w:r>
      <w:r>
        <w:rPr>
          <w:rStyle w:val="VerbatimChar"/>
        </w:rPr>
        <w:t>E18_Chose_matérielle</w:t>
      </w:r>
      <w:r>
        <w:t>, comme c</w:t>
      </w:r>
      <w:r w:rsidR="00E84B0E">
        <w:t>’</w:t>
      </w:r>
      <w:r>
        <w:t>est le cas de modèles ou de moules.</w:t>
      </w:r>
    </w:p>
    <w:p w14:paraId="0A6CF6AE" w14:textId="198AC931" w:rsidR="00065317" w:rsidRDefault="005C7BF7">
      <w:pPr>
        <w:pStyle w:val="Corpsdetexte"/>
      </w:pPr>
      <w:r>
        <w:rPr>
          <w:b/>
          <w:bCs/>
        </w:rPr>
        <w:t>Exemples</w:t>
      </w:r>
    </w:p>
    <w:p w14:paraId="11403AA5" w14:textId="2851BA58" w:rsidR="00065317" w:rsidRDefault="005C7BF7">
      <w:pPr>
        <w:numPr>
          <w:ilvl w:val="0"/>
          <w:numId w:val="296"/>
        </w:numPr>
      </w:pPr>
      <w:r>
        <w:t>La Volkswagen « Type 11 (Coccinelle) » (</w:t>
      </w:r>
      <w:r>
        <w:rPr>
          <w:rStyle w:val="VerbatimChar"/>
        </w:rPr>
        <w:t>E99_Modèle_de_produit</w:t>
      </w:r>
      <w:r>
        <w:t>) nécessite (</w:t>
      </w:r>
      <w:r>
        <w:rPr>
          <w:rStyle w:val="VerbatimChar"/>
        </w:rPr>
        <w:t>P188_nécessite_l</w:t>
      </w:r>
      <w:r w:rsidR="00E84B0E">
        <w:rPr>
          <w:rStyle w:val="VerbatimChar"/>
        </w:rPr>
        <w:t>’</w:t>
      </w:r>
      <w:r>
        <w:rPr>
          <w:rStyle w:val="VerbatimChar"/>
        </w:rPr>
        <w:t>outil</w:t>
      </w:r>
      <w:r>
        <w:t>) un moule pour la production de son coffre à bagages (</w:t>
      </w:r>
      <w:r>
        <w:rPr>
          <w:rStyle w:val="VerbatimChar"/>
        </w:rPr>
        <w:t>E19_Objet_matériel</w:t>
      </w:r>
      <w:r>
        <w:t>) [voir l</w:t>
      </w:r>
      <w:r w:rsidR="00E84B0E">
        <w:t>’</w:t>
      </w:r>
      <w:r>
        <w:t>image du moule (</w:t>
      </w:r>
      <w:hyperlink r:id="rId308">
        <w:r>
          <w:rPr>
            <w:rStyle w:val="Lienhypertexte"/>
          </w:rPr>
          <w:t>https://upload.wikimedia.org/wikipedia/commons/thumb/b/b5/Volkswagen_Type_1_(Auto_classique_St._Lazare_%2710).jpg/220px-Volkswagen_Type_1_(Auto_classique_St._Lazare_%2710).jpg</w:t>
        </w:r>
      </w:hyperlink>
      <w:r>
        <w:t>)] (Rieger, 2013)</w:t>
      </w:r>
    </w:p>
    <w:p w14:paraId="681696B5" w14:textId="77777777" w:rsidR="00065317" w:rsidRDefault="005C7BF7">
      <w:pPr>
        <w:pStyle w:val="FirstParagraph"/>
      </w:pPr>
      <w:r>
        <w:rPr>
          <w:b/>
          <w:bCs/>
        </w:rPr>
        <w:t>Logique</w:t>
      </w:r>
    </w:p>
    <w:p w14:paraId="45A09959" w14:textId="77777777" w:rsidR="00065317" w:rsidRDefault="005C7BF7">
      <w:pPr>
        <w:pStyle w:val="Corpsdetexte"/>
      </w:pPr>
      <w:r>
        <w:t>P188(x,y) ⇒ E99(x)</w:t>
      </w:r>
    </w:p>
    <w:p w14:paraId="3D27C998" w14:textId="77777777" w:rsidR="00065317" w:rsidRDefault="005C7BF7">
      <w:pPr>
        <w:pStyle w:val="Corpsdetexte"/>
      </w:pPr>
      <w:r>
        <w:t>P188(x,y) ⇒ E19(y)</w:t>
      </w:r>
    </w:p>
    <w:p w14:paraId="3A6D9307" w14:textId="77777777" w:rsidR="00065317" w:rsidRDefault="005C7BF7">
      <w:pPr>
        <w:pStyle w:val="Corpsdetexte"/>
      </w:pPr>
      <w:r>
        <w:rPr>
          <w:b/>
          <w:bCs/>
        </w:rPr>
        <w:t>Propriétés</w:t>
      </w:r>
    </w:p>
    <w:p w14:paraId="18AE3FF9" w14:textId="77777777" w:rsidR="00065317" w:rsidRDefault="005C7BF7">
      <w:pPr>
        <w:pStyle w:val="Normalcentr"/>
      </w:pPr>
      <w:r>
        <w:rPr>
          <w:b/>
          <w:bCs/>
          <w:i/>
          <w:iCs/>
        </w:rPr>
        <w:t>Note de traduction</w:t>
      </w:r>
    </w:p>
    <w:p w14:paraId="70B29E63" w14:textId="07BBC3F0" w:rsidR="00065317" w:rsidRDefault="005C7BF7" w:rsidP="00C1746C">
      <w:pPr>
        <w:pStyle w:val="Normalcentr"/>
      </w:pPr>
      <w:r>
        <w:rPr>
          <w:b/>
          <w:bCs/>
          <w:i/>
          <w:iCs/>
        </w:rPr>
        <w:t>Références</w:t>
      </w:r>
    </w:p>
    <w:p w14:paraId="0F733A5F" w14:textId="77777777" w:rsidR="00065317" w:rsidRDefault="005C7BF7" w:rsidP="00914F34">
      <w:pPr>
        <w:pStyle w:val="Titre3"/>
      </w:pPr>
      <w:bookmarkStart w:id="576" w:name="_Toc154048973"/>
      <w:bookmarkStart w:id="577" w:name="p189-approxime-(est-approxime-par)"/>
      <w:bookmarkEnd w:id="575"/>
      <w:r>
        <w:t>P189 approxime (est approximé par)</w:t>
      </w:r>
      <w:bookmarkEnd w:id="576"/>
    </w:p>
    <w:p w14:paraId="52931279" w14:textId="77777777" w:rsidR="00065317" w:rsidRDefault="005C7BF7">
      <w:pPr>
        <w:pStyle w:val="FirstParagraph"/>
      </w:pPr>
      <w:r>
        <w:rPr>
          <w:b/>
          <w:bCs/>
        </w:rPr>
        <w:t>Domaine</w:t>
      </w:r>
    </w:p>
    <w:p w14:paraId="6F387C21" w14:textId="77777777" w:rsidR="00065317" w:rsidRDefault="005C7BF7">
      <w:pPr>
        <w:pStyle w:val="Corpsdetexte"/>
      </w:pPr>
      <w:r>
        <w:rPr>
          <w:rStyle w:val="VerbatimChar"/>
        </w:rPr>
        <w:t>E53_Lieu</w:t>
      </w:r>
    </w:p>
    <w:p w14:paraId="64FEE576" w14:textId="77777777" w:rsidR="00065317" w:rsidRDefault="005C7BF7">
      <w:pPr>
        <w:pStyle w:val="Corpsdetexte"/>
      </w:pPr>
      <w:r>
        <w:rPr>
          <w:b/>
          <w:bCs/>
        </w:rPr>
        <w:t>Portée</w:t>
      </w:r>
    </w:p>
    <w:p w14:paraId="21B5DA3A" w14:textId="77777777" w:rsidR="00065317" w:rsidRDefault="005C7BF7">
      <w:pPr>
        <w:pStyle w:val="Corpsdetexte"/>
      </w:pPr>
      <w:r>
        <w:rPr>
          <w:rStyle w:val="VerbatimChar"/>
        </w:rPr>
        <w:t>E53_Lieu</w:t>
      </w:r>
    </w:p>
    <w:p w14:paraId="5881AE4C" w14:textId="77777777" w:rsidR="00065317" w:rsidRDefault="005C7BF7">
      <w:pPr>
        <w:pStyle w:val="Corpsdetexte"/>
      </w:pPr>
      <w:r>
        <w:rPr>
          <w:b/>
          <w:bCs/>
        </w:rPr>
        <w:t>Sous-propriété de</w:t>
      </w:r>
    </w:p>
    <w:p w14:paraId="0208818A" w14:textId="77777777" w:rsidR="00065317" w:rsidRDefault="005C7BF7">
      <w:pPr>
        <w:pStyle w:val="Corpsdetexte"/>
      </w:pPr>
      <w:r>
        <w:rPr>
          <w:b/>
          <w:bCs/>
        </w:rPr>
        <w:t>Super-propriété de</w:t>
      </w:r>
    </w:p>
    <w:p w14:paraId="1B5E3C23" w14:textId="77777777" w:rsidR="00065317" w:rsidRDefault="005C7BF7">
      <w:pPr>
        <w:pStyle w:val="Corpsdetexte"/>
      </w:pPr>
      <w:r>
        <w:rPr>
          <w:b/>
          <w:bCs/>
        </w:rPr>
        <w:t>Quantification</w:t>
      </w:r>
    </w:p>
    <w:p w14:paraId="0935DC9E" w14:textId="77777777" w:rsidR="00065317" w:rsidRDefault="005C7BF7">
      <w:pPr>
        <w:pStyle w:val="Corpsdetexte"/>
      </w:pPr>
      <w:r>
        <w:t>plusieurs à plusieurs (0,n:0,n)</w:t>
      </w:r>
    </w:p>
    <w:p w14:paraId="3E26D19D" w14:textId="77777777" w:rsidR="003E6361" w:rsidRDefault="003E6361">
      <w:pPr>
        <w:spacing w:after="0"/>
        <w:rPr>
          <w:b/>
          <w:bCs/>
        </w:rPr>
      </w:pPr>
      <w:r>
        <w:rPr>
          <w:b/>
          <w:bCs/>
        </w:rPr>
        <w:br w:type="page"/>
      </w:r>
    </w:p>
    <w:p w14:paraId="725D51F7" w14:textId="269BB2CB" w:rsidR="00065317" w:rsidRDefault="005C7BF7">
      <w:pPr>
        <w:pStyle w:val="Corpsdetexte"/>
      </w:pPr>
      <w:r>
        <w:rPr>
          <w:b/>
          <w:bCs/>
        </w:rPr>
        <w:lastRenderedPageBreak/>
        <w:t>Note d</w:t>
      </w:r>
      <w:r w:rsidR="00E84B0E">
        <w:rPr>
          <w:b/>
          <w:bCs/>
        </w:rPr>
        <w:t>’</w:t>
      </w:r>
      <w:r>
        <w:rPr>
          <w:b/>
          <w:bCs/>
        </w:rPr>
        <w:t>application</w:t>
      </w:r>
    </w:p>
    <w:p w14:paraId="011E7642" w14:textId="5396E0D8" w:rsidR="00065317" w:rsidRDefault="005C7BF7">
      <w:pPr>
        <w:pStyle w:val="Corpsdetexte"/>
      </w:pPr>
      <w:r>
        <w:t xml:space="preserve">Cette propriété associe une instance de </w:t>
      </w:r>
      <w:r>
        <w:rPr>
          <w:rStyle w:val="VerbatimChar"/>
        </w:rPr>
        <w:t>E53_Lieu</w:t>
      </w:r>
      <w:r>
        <w:t xml:space="preserve"> à une autre instance de </w:t>
      </w:r>
      <w:r>
        <w:rPr>
          <w:rStyle w:val="VerbatimChar"/>
        </w:rPr>
        <w:t>E53_Lieu</w:t>
      </w:r>
      <w:r>
        <w:t xml:space="preserve"> qui est définie dans le même espace de référence et qui est utilisée pour approximer la première. La propriété n</w:t>
      </w:r>
      <w:r w:rsidR="00E84B0E">
        <w:t>’</w:t>
      </w:r>
      <w:r>
        <w:t>indique pas nécessairement la qualité ou l</w:t>
      </w:r>
      <w:r w:rsidR="00E84B0E">
        <w:t>’</w:t>
      </w:r>
      <w:r>
        <w:t>exactitude de cette approximation, mais plutôt l</w:t>
      </w:r>
      <w:r w:rsidR="00E84B0E">
        <w:t>’</w:t>
      </w:r>
      <w:r>
        <w:t>utilisation de la première instance de lieu pour approximer la seconde.</w:t>
      </w:r>
    </w:p>
    <w:p w14:paraId="08AB6978" w14:textId="58EA9AFF" w:rsidR="00065317" w:rsidRDefault="005C7BF7">
      <w:pPr>
        <w:pStyle w:val="Corpsdetexte"/>
      </w:pPr>
      <w:r>
        <w:t>Dans les pratiques courantes en documentation, les lieux ou points de rencontre, par exemple en archéologie, en botanique ou en zoologie, sont souvent liés au village, à la rivière ou à tout autre lieu nommé le plus proche sans que la relation avec ce lieu soit détaillée, par exemple s</w:t>
      </w:r>
      <w:r w:rsidR="00E84B0E">
        <w:t>’</w:t>
      </w:r>
      <w:r>
        <w:t>il est situé dans le village ou à une certaine distance du lieu spécifié. Dans ce cas, le lieu « phénoménal » indiqué dans la documentation peut être considéré comme une approximation du lieu de rencontre réel sans connaissances plus spécifiques.</w:t>
      </w:r>
    </w:p>
    <w:p w14:paraId="32F9C982" w14:textId="117ECCB5" w:rsidR="00065317" w:rsidRDefault="005C7BF7">
      <w:pPr>
        <w:pStyle w:val="Corpsdetexte"/>
      </w:pPr>
      <w:r>
        <w:t>Dans la documentation plus récente, l</w:t>
      </w:r>
      <w:r w:rsidR="00E84B0E">
        <w:t>’</w:t>
      </w:r>
      <w:r>
        <w:t>information sur les coordonnées de points est souvent fournie à partir de mesures GPS ou d</w:t>
      </w:r>
      <w:r w:rsidR="00E84B0E">
        <w:t>’</w:t>
      </w:r>
      <w:r>
        <w:t>un géoréférencement provenant d</w:t>
      </w:r>
      <w:r w:rsidR="00E84B0E">
        <w:t>’</w:t>
      </w:r>
      <w:r>
        <w:t>une carte. Cette information sur les coordonnées de points n</w:t>
      </w:r>
      <w:r w:rsidR="00E84B0E">
        <w:t>’</w:t>
      </w:r>
      <w:r>
        <w:t>indique pas le lieu réel du point de rencontre, mais l</w:t>
      </w:r>
      <w:r w:rsidR="00E84B0E">
        <w:t>’</w:t>
      </w:r>
      <w:r>
        <w:t>approxime plutôt avec un lieu « déclaratif ». L</w:t>
      </w:r>
      <w:r w:rsidR="00E84B0E">
        <w:t>’</w:t>
      </w:r>
      <w:r>
        <w:t>exactitude de cette information dépend de la méthodologie utilisée lors de la création de ces coordonnées. Elle peut dépendre de limitations techniques comme la précision du GPS, mais également de la méthode par laquelle la position GPS est définie par rapport à la caractéristique mesurée. Si la méthodologie est connue, un écart maximal par rapport au point mesuré peut être calculé et le point de rencontre ou la caractéristique de ce lieu peut être lié à l</w:t>
      </w:r>
      <w:r w:rsidR="00E84B0E">
        <w:t>’</w:t>
      </w:r>
      <w:r>
        <w:t xml:space="preserve">aire résultante en utilisant une instance de </w:t>
      </w:r>
      <w:r>
        <w:rPr>
          <w:rStyle w:val="VerbatimChar"/>
        </w:rPr>
        <w:t>P171_quelque_part_dans</w:t>
      </w:r>
      <w:r>
        <w:t>.</w:t>
      </w:r>
    </w:p>
    <w:p w14:paraId="33B445F3" w14:textId="6ECFFEB0" w:rsidR="00065317" w:rsidRDefault="005C7BF7">
      <w:pPr>
        <w:pStyle w:val="Corpsdetexte"/>
      </w:pPr>
      <w:r>
        <w:t>Cette propriété n</w:t>
      </w:r>
      <w:r w:rsidR="00E84B0E">
        <w:t>’</w:t>
      </w:r>
      <w:r>
        <w:t>est pas transitive et est réflexive.</w:t>
      </w:r>
    </w:p>
    <w:p w14:paraId="25EC4293" w14:textId="77777777" w:rsidR="00065317" w:rsidRDefault="005C7BF7">
      <w:pPr>
        <w:pStyle w:val="Corpsdetexte"/>
      </w:pPr>
      <w:r>
        <w:rPr>
          <w:b/>
          <w:bCs/>
        </w:rPr>
        <w:t>Exemples</w:t>
      </w:r>
    </w:p>
    <w:p w14:paraId="73C2C193" w14:textId="01295728" w:rsidR="00065317" w:rsidRDefault="005C7BF7">
      <w:pPr>
        <w:numPr>
          <w:ilvl w:val="0"/>
          <w:numId w:val="297"/>
        </w:numPr>
      </w:pPr>
      <w:r>
        <w:t>[40°31</w:t>
      </w:r>
      <w:r w:rsidR="00E84B0E">
        <w:t>’</w:t>
      </w:r>
      <w:r>
        <w:t>17.9"N 21°15</w:t>
      </w:r>
      <w:r w:rsidR="00E84B0E">
        <w:t>’</w:t>
      </w:r>
      <w:r>
        <w:t>48.3"E] (</w:t>
      </w:r>
      <w:r>
        <w:rPr>
          <w:rStyle w:val="VerbatimChar"/>
        </w:rPr>
        <w:t>E53_Lieu</w:t>
      </w:r>
      <w:r>
        <w:t>) approxime (</w:t>
      </w:r>
      <w:r>
        <w:rPr>
          <w:rStyle w:val="VerbatimChar"/>
        </w:rPr>
        <w:t>P189_approxime</w:t>
      </w:r>
      <w:r>
        <w:t>) Kastoria, en Grèce, dont l</w:t>
      </w:r>
      <w:r w:rsidR="00E84B0E">
        <w:t>’</w:t>
      </w:r>
      <w:r>
        <w:t>identifiant du Getty Thesaurus of Geographic Names (TGN) est « 7010880 » (</w:t>
      </w:r>
      <w:r>
        <w:rPr>
          <w:rStyle w:val="VerbatimChar"/>
        </w:rPr>
        <w:t>E53_Lieu</w:t>
      </w:r>
      <w:r>
        <w:t>). [Le lieu déclaratif approximé par un point est défini par les coordonnées tirées de https://sws.geonames.org/735927]</w:t>
      </w:r>
    </w:p>
    <w:p w14:paraId="1189277E" w14:textId="1DEEBEB4" w:rsidR="00065317" w:rsidRDefault="005C7BF7">
      <w:pPr>
        <w:numPr>
          <w:ilvl w:val="0"/>
          <w:numId w:val="297"/>
        </w:numPr>
      </w:pPr>
      <w:r>
        <w:t>[40°31</w:t>
      </w:r>
      <w:r w:rsidR="00E84B0E">
        <w:t>’</w:t>
      </w:r>
      <w:r>
        <w:t>00.1"N 21°16</w:t>
      </w:r>
      <w:r w:rsidR="00E84B0E">
        <w:t>’</w:t>
      </w:r>
      <w:r>
        <w:t>00.1"E] (</w:t>
      </w:r>
      <w:r>
        <w:rPr>
          <w:rStyle w:val="VerbatimChar"/>
        </w:rPr>
        <w:t>E53_Lieu</w:t>
      </w:r>
      <w:r>
        <w:t>) approxime (</w:t>
      </w:r>
      <w:r>
        <w:rPr>
          <w:rStyle w:val="VerbatimChar"/>
        </w:rPr>
        <w:t>P189_approxime</w:t>
      </w:r>
      <w:r>
        <w:t>) Kastoria, en Grèce, dont l</w:t>
      </w:r>
      <w:r w:rsidR="00E84B0E">
        <w:t>’</w:t>
      </w:r>
      <w:r>
        <w:t>identifiant du Getty Thesaurus of Geographic Names (TGN) est « 7010880 » (</w:t>
      </w:r>
      <w:r>
        <w:rPr>
          <w:rStyle w:val="VerbatimChar"/>
        </w:rPr>
        <w:t>E53_Lieu</w:t>
      </w:r>
      <w:r>
        <w:t>). [Le lieu déclaratif approximé par un point est défini par les coordonnées tirées de http://vocab.getty.edu/page/tgn/7010880]</w:t>
      </w:r>
    </w:p>
    <w:p w14:paraId="55BCCB0A" w14:textId="46E50E66" w:rsidR="00065317" w:rsidRDefault="005C7BF7">
      <w:pPr>
        <w:numPr>
          <w:ilvl w:val="0"/>
          <w:numId w:val="297"/>
        </w:numPr>
      </w:pPr>
      <w:r>
        <w:t>[40°04</w:t>
      </w:r>
      <w:r w:rsidR="00E84B0E">
        <w:t>’</w:t>
      </w:r>
      <w:r>
        <w:t>60.0"N 22°21</w:t>
      </w:r>
      <w:r w:rsidR="00E84B0E">
        <w:t>’</w:t>
      </w:r>
      <w:r>
        <w:t>00.0"E] (</w:t>
      </w:r>
      <w:r>
        <w:rPr>
          <w:rStyle w:val="VerbatimChar"/>
        </w:rPr>
        <w:t>E53_Lieu</w:t>
      </w:r>
      <w:r>
        <w:t>) approxime (</w:t>
      </w:r>
      <w:r>
        <w:rPr>
          <w:rStyle w:val="VerbatimChar"/>
        </w:rPr>
        <w:t>P189_approxime</w:t>
      </w:r>
      <w:r>
        <w:t>) le Parc national du Mont Olympe, en Grèce (</w:t>
      </w:r>
      <w:r>
        <w:rPr>
          <w:rStyle w:val="VerbatimChar"/>
        </w:rPr>
        <w:t>E53_Lieu</w:t>
      </w:r>
      <w:r>
        <w:t>). [Le lieu déclaratif approximé par un point est défini par les coordonnées tirées de https://www.geonames.org/6941814]</w:t>
      </w:r>
    </w:p>
    <w:p w14:paraId="46C6164C" w14:textId="77777777" w:rsidR="00065317" w:rsidRDefault="005C7BF7">
      <w:pPr>
        <w:pStyle w:val="FirstParagraph"/>
      </w:pPr>
      <w:r>
        <w:rPr>
          <w:b/>
          <w:bCs/>
        </w:rPr>
        <w:t>Logique</w:t>
      </w:r>
    </w:p>
    <w:p w14:paraId="38524F61" w14:textId="77777777" w:rsidR="00065317" w:rsidRDefault="005C7BF7">
      <w:pPr>
        <w:pStyle w:val="Corpsdetexte"/>
      </w:pPr>
      <w:r>
        <w:t>P189(x,y) ⇒ E53(x)</w:t>
      </w:r>
    </w:p>
    <w:p w14:paraId="48BC1A0C" w14:textId="77777777" w:rsidR="00065317" w:rsidRDefault="005C7BF7">
      <w:pPr>
        <w:pStyle w:val="Corpsdetexte"/>
      </w:pPr>
      <w:r>
        <w:t>P189(x,y) ⇒ E53 (y)</w:t>
      </w:r>
    </w:p>
    <w:p w14:paraId="73402815" w14:textId="77777777" w:rsidR="00065317" w:rsidRDefault="005C7BF7">
      <w:pPr>
        <w:pStyle w:val="Corpsdetexte"/>
      </w:pPr>
      <w:r>
        <w:t>P189(x,y,z) ⇒ [P189(x,y) ∧ E55(z)]</w:t>
      </w:r>
    </w:p>
    <w:p w14:paraId="7F4E92C7" w14:textId="77777777" w:rsidR="00065317" w:rsidRDefault="005C7BF7">
      <w:pPr>
        <w:pStyle w:val="Corpsdetexte"/>
      </w:pPr>
      <w:r>
        <w:t>P189(x,x)</w:t>
      </w:r>
    </w:p>
    <w:p w14:paraId="0461E4E4" w14:textId="77777777" w:rsidR="00065317" w:rsidRDefault="005C7BF7">
      <w:pPr>
        <w:pStyle w:val="Corpsdetexte"/>
      </w:pPr>
      <w:r>
        <w:rPr>
          <w:b/>
          <w:bCs/>
        </w:rPr>
        <w:t>Propriétés</w:t>
      </w:r>
    </w:p>
    <w:p w14:paraId="3A96B766" w14:textId="77777777" w:rsidR="00065317" w:rsidRDefault="005C7BF7">
      <w:pPr>
        <w:pStyle w:val="Corpsdetexte"/>
      </w:pPr>
      <w:r>
        <w:rPr>
          <w:rStyle w:val="VerbatimChar"/>
        </w:rPr>
        <w:t>P189.1_a_pour_type</w:t>
      </w:r>
      <w:r>
        <w:t xml:space="preserve"> : </w:t>
      </w:r>
      <w:r>
        <w:rPr>
          <w:rStyle w:val="VerbatimChar"/>
        </w:rPr>
        <w:t>E55_Type</w:t>
      </w:r>
    </w:p>
    <w:p w14:paraId="4306A337" w14:textId="77777777" w:rsidR="00065317" w:rsidRDefault="005C7BF7">
      <w:pPr>
        <w:pStyle w:val="Normalcentr"/>
      </w:pPr>
      <w:r>
        <w:rPr>
          <w:b/>
          <w:bCs/>
          <w:i/>
          <w:iCs/>
        </w:rPr>
        <w:lastRenderedPageBreak/>
        <w:t>Note de traduction</w:t>
      </w:r>
    </w:p>
    <w:p w14:paraId="34FAF4EA" w14:textId="495889FB" w:rsidR="00065317" w:rsidRDefault="005C7BF7" w:rsidP="006C36BC">
      <w:pPr>
        <w:pStyle w:val="Normalcentr"/>
      </w:pPr>
      <w:r>
        <w:rPr>
          <w:b/>
          <w:bCs/>
          <w:i/>
          <w:iCs/>
        </w:rPr>
        <w:t>Références</w:t>
      </w:r>
    </w:p>
    <w:p w14:paraId="1A927779" w14:textId="77777777" w:rsidR="00065317" w:rsidRDefault="005C7BF7" w:rsidP="00914F34">
      <w:pPr>
        <w:pStyle w:val="Titre3"/>
      </w:pPr>
      <w:bookmarkStart w:id="578" w:name="_Toc154048974"/>
      <w:bookmarkStart w:id="579" w:name="p190-a-pour-contenu-symbolique"/>
      <w:bookmarkEnd w:id="577"/>
      <w:r>
        <w:t>P190 a pour contenu symbolique</w:t>
      </w:r>
      <w:bookmarkEnd w:id="578"/>
    </w:p>
    <w:p w14:paraId="7FFE14DA" w14:textId="77777777" w:rsidR="00065317" w:rsidRDefault="005C7BF7">
      <w:pPr>
        <w:pStyle w:val="FirstParagraph"/>
      </w:pPr>
      <w:r>
        <w:rPr>
          <w:b/>
          <w:bCs/>
        </w:rPr>
        <w:t>Domaine</w:t>
      </w:r>
    </w:p>
    <w:p w14:paraId="5172DC5D" w14:textId="77777777" w:rsidR="00065317" w:rsidRDefault="005C7BF7">
      <w:pPr>
        <w:pStyle w:val="Corpsdetexte"/>
      </w:pPr>
      <w:r>
        <w:rPr>
          <w:rStyle w:val="VerbatimChar"/>
        </w:rPr>
        <w:t>E90_Objet_symbolique</w:t>
      </w:r>
    </w:p>
    <w:p w14:paraId="3E7CCEA7" w14:textId="77777777" w:rsidR="00065317" w:rsidRDefault="005C7BF7">
      <w:pPr>
        <w:pStyle w:val="Corpsdetexte"/>
      </w:pPr>
      <w:r>
        <w:rPr>
          <w:b/>
          <w:bCs/>
        </w:rPr>
        <w:t>Portée</w:t>
      </w:r>
    </w:p>
    <w:p w14:paraId="5510A19A" w14:textId="77777777" w:rsidR="00065317" w:rsidRDefault="005C7BF7">
      <w:pPr>
        <w:pStyle w:val="Corpsdetexte"/>
      </w:pPr>
      <w:r>
        <w:rPr>
          <w:rStyle w:val="VerbatimChar"/>
        </w:rPr>
        <w:t>E62_Chaîne_de_caractères</w:t>
      </w:r>
    </w:p>
    <w:p w14:paraId="7A146EFA" w14:textId="77777777" w:rsidR="00065317" w:rsidRDefault="005C7BF7">
      <w:pPr>
        <w:pStyle w:val="Corpsdetexte"/>
      </w:pPr>
      <w:r>
        <w:rPr>
          <w:b/>
          <w:bCs/>
        </w:rPr>
        <w:t>Sous-propriété de</w:t>
      </w:r>
    </w:p>
    <w:p w14:paraId="7CF26B72" w14:textId="77777777" w:rsidR="00065317" w:rsidRDefault="005C7BF7">
      <w:pPr>
        <w:pStyle w:val="Corpsdetexte"/>
      </w:pPr>
      <w:r>
        <w:rPr>
          <w:rStyle w:val="VerbatimChar"/>
        </w:rPr>
        <w:t>E1_Entité_CRM</w:t>
      </w:r>
      <w:r>
        <w:t xml:space="preserve">. </w:t>
      </w:r>
      <w:r>
        <w:rPr>
          <w:rStyle w:val="VerbatimChar"/>
        </w:rPr>
        <w:t>P3_a_pour_note</w:t>
      </w:r>
      <w:r>
        <w:t xml:space="preserve"> : </w:t>
      </w:r>
      <w:r>
        <w:rPr>
          <w:rStyle w:val="VerbatimChar"/>
        </w:rPr>
        <w:t>E62_Chaîne_de_caractères</w:t>
      </w:r>
    </w:p>
    <w:p w14:paraId="7B10F3B7" w14:textId="77777777" w:rsidR="00065317" w:rsidRDefault="005C7BF7">
      <w:pPr>
        <w:pStyle w:val="Corpsdetexte"/>
      </w:pPr>
      <w:r>
        <w:rPr>
          <w:b/>
          <w:bCs/>
        </w:rPr>
        <w:t>Super-propriété de</w:t>
      </w:r>
    </w:p>
    <w:p w14:paraId="5462A4B2" w14:textId="77777777" w:rsidR="00065317" w:rsidRDefault="005C7BF7">
      <w:pPr>
        <w:pStyle w:val="Corpsdetexte"/>
      </w:pPr>
      <w:r>
        <w:rPr>
          <w:b/>
          <w:bCs/>
        </w:rPr>
        <w:t>Quantification</w:t>
      </w:r>
    </w:p>
    <w:p w14:paraId="67552C2F" w14:textId="77777777" w:rsidR="00065317" w:rsidRDefault="005C7BF7">
      <w:pPr>
        <w:pStyle w:val="Corpsdetexte"/>
      </w:pPr>
      <w:r>
        <w:t>plusieurs à plusieurs (0,n:0,n)</w:t>
      </w:r>
    </w:p>
    <w:p w14:paraId="498CFA04" w14:textId="566E1436" w:rsidR="00065317" w:rsidRDefault="005C7BF7">
      <w:pPr>
        <w:pStyle w:val="Corpsdetexte"/>
      </w:pPr>
      <w:r>
        <w:rPr>
          <w:b/>
          <w:bCs/>
        </w:rPr>
        <w:t>Note d</w:t>
      </w:r>
      <w:r w:rsidR="00E84B0E">
        <w:rPr>
          <w:b/>
          <w:bCs/>
        </w:rPr>
        <w:t>’</w:t>
      </w:r>
      <w:r>
        <w:rPr>
          <w:b/>
          <w:bCs/>
        </w:rPr>
        <w:t>application</w:t>
      </w:r>
    </w:p>
    <w:p w14:paraId="4060375B" w14:textId="1AF0D855" w:rsidR="00065317" w:rsidRDefault="005C7BF7">
      <w:pPr>
        <w:pStyle w:val="Corpsdetexte"/>
      </w:pPr>
      <w:r>
        <w:t xml:space="preserve">Cette propriété associe une instance de </w:t>
      </w:r>
      <w:r>
        <w:rPr>
          <w:rStyle w:val="VerbatimChar"/>
        </w:rPr>
        <w:t>E90_Objet_symbolique</w:t>
      </w:r>
      <w:r>
        <w:t xml:space="preserve"> avec une représentation complète et identifiable de son contenu sous la forme d</w:t>
      </w:r>
      <w:r w:rsidR="00E84B0E">
        <w:t>’</w:t>
      </w:r>
      <w:r>
        <w:t xml:space="preserve">une instance de </w:t>
      </w:r>
      <w:r>
        <w:rPr>
          <w:rStyle w:val="VerbatimChar"/>
        </w:rPr>
        <w:t>E62_Chaîne_de_caractères</w:t>
      </w:r>
      <w:r>
        <w:t>.</w:t>
      </w:r>
    </w:p>
    <w:p w14:paraId="463877F9" w14:textId="40827944" w:rsidR="00065317" w:rsidRDefault="005C7BF7">
      <w:pPr>
        <w:pStyle w:val="Corpsdetexte"/>
      </w:pPr>
      <w:r>
        <w:t>Cette propriété ne s</w:t>
      </w:r>
      <w:r w:rsidR="00E84B0E">
        <w:t>’</w:t>
      </w:r>
      <w:r>
        <w:t>applique qu</w:t>
      </w:r>
      <w:r w:rsidR="00E84B0E">
        <w:t>’</w:t>
      </w:r>
      <w:r>
        <w:t xml:space="preserve">aux instances de </w:t>
      </w:r>
      <w:r>
        <w:rPr>
          <w:rStyle w:val="VerbatimChar"/>
        </w:rPr>
        <w:t>E90_Objet_symbolique</w:t>
      </w:r>
      <w:r>
        <w:t xml:space="preserve"> qui peuvent être complètement représentées sous cette forme. La représentation peut être plus spécifique que le niveau symbolique définissant la condition identitaire de l</w:t>
      </w:r>
      <w:r w:rsidR="00E84B0E">
        <w:t>’</w:t>
      </w:r>
      <w:r>
        <w:t>objet représenté. Cela dépend du type d</w:t>
      </w:r>
      <w:r w:rsidR="00E84B0E">
        <w:t>’</w:t>
      </w:r>
      <w:r>
        <w:t>objet symbolique représenté. Par exemple, si un nom a pour type « séquence de caractères en grec moderne », il peut être représenté par une transcription en alphabet latin sans perte de sens, signifiant la séquence de lettres grecques.</w:t>
      </w:r>
    </w:p>
    <w:p w14:paraId="7F5F6418" w14:textId="5BE5CBE4" w:rsidR="00065317" w:rsidRDefault="005C7BF7">
      <w:pPr>
        <w:pStyle w:val="Corpsdetexte"/>
      </w:pPr>
      <w:r>
        <w:t>Selon un autre exemple, si l</w:t>
      </w:r>
      <w:r w:rsidR="00E84B0E">
        <w:t>’</w:t>
      </w:r>
      <w:r>
        <w:t>objet représenté a pour type « séquence de mots anglais », les variantes orthographiques d</w:t>
      </w:r>
      <w:r w:rsidR="00E84B0E">
        <w:t>’</w:t>
      </w:r>
      <w:r>
        <w:t>anglais américain ou d</w:t>
      </w:r>
      <w:r w:rsidR="00E84B0E">
        <w:t>’</w:t>
      </w:r>
      <w:r>
        <w:t>anglais britannique peuvent être choisies pour représenter le mot anglais « colour », sans devoir recourir à un objet symbolique différent. Si un nom a pour type « nom traditionnel européen », aucune chaîne de caractères particulière ne peut définir son contenu.</w:t>
      </w:r>
    </w:p>
    <w:p w14:paraId="098FE85B" w14:textId="77777777" w:rsidR="00065317" w:rsidRDefault="005C7BF7">
      <w:pPr>
        <w:pStyle w:val="Corpsdetexte"/>
      </w:pPr>
      <w:r>
        <w:rPr>
          <w:b/>
          <w:bCs/>
        </w:rPr>
        <w:t>Exemples</w:t>
      </w:r>
    </w:p>
    <w:p w14:paraId="70D19371" w14:textId="3991439F" w:rsidR="00065317" w:rsidRDefault="005C7BF7">
      <w:pPr>
        <w:numPr>
          <w:ilvl w:val="0"/>
          <w:numId w:val="298"/>
        </w:numPr>
      </w:pPr>
      <w:r>
        <w:t>La description des matériaux de l</w:t>
      </w:r>
      <w:r w:rsidR="00E84B0E">
        <w:t>’</w:t>
      </w:r>
      <w:r>
        <w:t>œuvre peinte (</w:t>
      </w:r>
      <w:r>
        <w:rPr>
          <w:rStyle w:val="VerbatimChar"/>
        </w:rPr>
        <w:t>E33_Objet_linguistique</w:t>
      </w:r>
      <w:r>
        <w:t>) a pour contenu symbolique (</w:t>
      </w:r>
      <w:r>
        <w:rPr>
          <w:rStyle w:val="VerbatimChar"/>
        </w:rPr>
        <w:t>P190_a_pour_contenu_symbolique</w:t>
      </w:r>
      <w:r>
        <w:t>) « Huile, aquarelle française sur papier, graphite et encre sur toile, avec cadre en chêne » (</w:t>
      </w:r>
      <w:r>
        <w:rPr>
          <w:rStyle w:val="VerbatimChar"/>
        </w:rPr>
        <w:t>E62_Chaîne_de_caractères</w:t>
      </w:r>
      <w:r>
        <w:t>)</w:t>
      </w:r>
    </w:p>
    <w:p w14:paraId="33125295" w14:textId="55E32E0D" w:rsidR="00065317" w:rsidRDefault="005C7BF7">
      <w:pPr>
        <w:numPr>
          <w:ilvl w:val="0"/>
          <w:numId w:val="298"/>
        </w:numPr>
      </w:pPr>
      <w:r>
        <w:t>Le titre du texte d</w:t>
      </w:r>
      <w:r w:rsidR="00E84B0E">
        <w:t>’</w:t>
      </w:r>
      <w:r>
        <w:t>Einstein rédigé en 1915 (</w:t>
      </w:r>
      <w:r>
        <w:rPr>
          <w:rStyle w:val="VerbatimChar"/>
        </w:rPr>
        <w:t>E35_Titre</w:t>
      </w:r>
      <w:r>
        <w:t>) a pour contenu symbolique (</w:t>
      </w:r>
      <w:r>
        <w:rPr>
          <w:rStyle w:val="VerbatimChar"/>
        </w:rPr>
        <w:t>P190_a_pour_contenu_symbolique</w:t>
      </w:r>
      <w:r>
        <w:t>) « La Relativité » (</w:t>
      </w:r>
      <w:r>
        <w:rPr>
          <w:rStyle w:val="VerbatimChar"/>
        </w:rPr>
        <w:t>E62_Chaîne_de_caractères</w:t>
      </w:r>
      <w:r>
        <w:t>) (Einstein, 2001)</w:t>
      </w:r>
    </w:p>
    <w:p w14:paraId="60F6F3C5" w14:textId="1BE62293" w:rsidR="00065317" w:rsidRDefault="005C7BF7">
      <w:pPr>
        <w:numPr>
          <w:ilvl w:val="0"/>
          <w:numId w:val="298"/>
        </w:numPr>
      </w:pPr>
      <w:r>
        <w:t>L</w:t>
      </w:r>
      <w:r w:rsidR="00E84B0E">
        <w:t>’</w:t>
      </w:r>
      <w:r>
        <w:t>histoire du Petit chaperon rouge (</w:t>
      </w:r>
      <w:r>
        <w:rPr>
          <w:rStyle w:val="VerbatimChar"/>
        </w:rPr>
        <w:t>E33_Objet_linguistique</w:t>
      </w:r>
      <w:r>
        <w:t>) a pour contenu symbolique (</w:t>
      </w:r>
      <w:r>
        <w:rPr>
          <w:rStyle w:val="VerbatimChar"/>
        </w:rPr>
        <w:t>P190_a_pour_contenu_symbolique</w:t>
      </w:r>
      <w:r>
        <w:t>) « Il était une fois une petite fille de village » (</w:t>
      </w:r>
      <w:r>
        <w:rPr>
          <w:rStyle w:val="VerbatimChar"/>
        </w:rPr>
        <w:t>E62_Chaîne_de_caractères</w:t>
      </w:r>
      <w:r>
        <w:t>) (Lang, 1965)</w:t>
      </w:r>
    </w:p>
    <w:p w14:paraId="7CF2BE01" w14:textId="2A2277CB" w:rsidR="00065317" w:rsidRDefault="005C7BF7">
      <w:pPr>
        <w:numPr>
          <w:ilvl w:val="0"/>
          <w:numId w:val="298"/>
        </w:numPr>
      </w:pPr>
      <w:r>
        <w:t>L</w:t>
      </w:r>
      <w:r w:rsidR="00E84B0E">
        <w:t>’</w:t>
      </w:r>
      <w:r>
        <w:t>inscription sur l</w:t>
      </w:r>
      <w:r w:rsidR="00E84B0E">
        <w:t>’</w:t>
      </w:r>
      <w:r>
        <w:t>objet SK-A-1601 du Rijksmuseum (</w:t>
      </w:r>
      <w:r>
        <w:rPr>
          <w:rStyle w:val="VerbatimChar"/>
        </w:rPr>
        <w:t>E34_Inscription</w:t>
      </w:r>
      <w:r>
        <w:t>) a pour contenu symbolique (</w:t>
      </w:r>
      <w:r>
        <w:rPr>
          <w:rStyle w:val="VerbatimChar"/>
        </w:rPr>
        <w:t>P190_a_pour_contenu_symbolique</w:t>
      </w:r>
      <w:r>
        <w:t>) « B » (</w:t>
      </w:r>
      <w:r>
        <w:rPr>
          <w:rStyle w:val="VerbatimChar"/>
        </w:rPr>
        <w:t>E62_Chaîne_de_caractères</w:t>
      </w:r>
      <w:r>
        <w:t>) [référence</w:t>
      </w:r>
      <w:r w:rsidR="00A577E0">
        <w:t> </w:t>
      </w:r>
      <w:r>
        <w:t>: https://www.rijksmuseum.nl/en/collection/SK-A-1601/catalogue-entry (accédé le 7</w:t>
      </w:r>
      <w:r w:rsidR="00056DCD">
        <w:t> mars </w:t>
      </w:r>
      <w:r>
        <w:t>2022)]</w:t>
      </w:r>
    </w:p>
    <w:p w14:paraId="07702CB8" w14:textId="77777777" w:rsidR="00065317" w:rsidRDefault="005C7BF7">
      <w:pPr>
        <w:pStyle w:val="FirstParagraph"/>
      </w:pPr>
      <w:r>
        <w:rPr>
          <w:b/>
          <w:bCs/>
        </w:rPr>
        <w:lastRenderedPageBreak/>
        <w:t>Logique</w:t>
      </w:r>
    </w:p>
    <w:p w14:paraId="75704829" w14:textId="77777777" w:rsidR="00065317" w:rsidRDefault="005C7BF7">
      <w:pPr>
        <w:pStyle w:val="Corpsdetexte"/>
      </w:pPr>
      <w:r>
        <w:t>P190(x,y) ⇒ E90(x)</w:t>
      </w:r>
    </w:p>
    <w:p w14:paraId="6F8D4B5F" w14:textId="77777777" w:rsidR="00065317" w:rsidRDefault="005C7BF7">
      <w:pPr>
        <w:pStyle w:val="Corpsdetexte"/>
      </w:pPr>
      <w:r>
        <w:t>P190(x,y) ⇒ E62(y)</w:t>
      </w:r>
    </w:p>
    <w:p w14:paraId="1A916CBB" w14:textId="77777777" w:rsidR="00065317" w:rsidRDefault="005C7BF7">
      <w:pPr>
        <w:pStyle w:val="Corpsdetexte"/>
      </w:pPr>
      <w:r>
        <w:rPr>
          <w:b/>
          <w:bCs/>
        </w:rPr>
        <w:t>Propriétés</w:t>
      </w:r>
    </w:p>
    <w:p w14:paraId="58050717" w14:textId="77777777" w:rsidR="00065317" w:rsidRDefault="005C7BF7">
      <w:pPr>
        <w:pStyle w:val="Normalcentr"/>
      </w:pPr>
      <w:r>
        <w:rPr>
          <w:b/>
          <w:bCs/>
          <w:i/>
          <w:iCs/>
        </w:rPr>
        <w:t>Note de traduction</w:t>
      </w:r>
    </w:p>
    <w:p w14:paraId="53EDF04B" w14:textId="55A99B7B" w:rsidR="00065317" w:rsidRDefault="005C7BF7">
      <w:pPr>
        <w:pStyle w:val="Normalcentr"/>
      </w:pPr>
      <w:r>
        <w:t xml:space="preserve">Le titre </w:t>
      </w:r>
      <w:r>
        <w:rPr>
          <w:i/>
          <w:iCs/>
        </w:rPr>
        <w:t>La Relativité</w:t>
      </w:r>
      <w:r>
        <w:t xml:space="preserve"> a été retenu comme traduction de </w:t>
      </w:r>
      <w:r>
        <w:rPr>
          <w:i/>
          <w:iCs/>
        </w:rPr>
        <w:t>Relativity, the Special and the General Theory</w:t>
      </w:r>
      <w:r>
        <w:t>. Cette décision est basée sur le fait qu</w:t>
      </w:r>
      <w:r w:rsidR="00E84B0E">
        <w:t>’</w:t>
      </w:r>
      <w:r>
        <w:t>il s</w:t>
      </w:r>
      <w:r w:rsidR="00E84B0E">
        <w:t>’</w:t>
      </w:r>
      <w:r>
        <w:t>agit du titre de couverture en français retenu du côté de la Bibliothèque nationale de France ainsi que du côté de Wikipédia.</w:t>
      </w:r>
    </w:p>
    <w:p w14:paraId="6A285F82" w14:textId="77777777" w:rsidR="00065317" w:rsidRDefault="005C7BF7">
      <w:pPr>
        <w:pStyle w:val="Normalcentr"/>
      </w:pPr>
      <w:r>
        <w:rPr>
          <w:b/>
          <w:bCs/>
          <w:i/>
          <w:iCs/>
        </w:rPr>
        <w:t>Références</w:t>
      </w:r>
    </w:p>
    <w:p w14:paraId="29E4FE81" w14:textId="383807D2" w:rsidR="00065317" w:rsidRDefault="005C7BF7">
      <w:pPr>
        <w:pStyle w:val="Normalcentr"/>
      </w:pPr>
      <w:r>
        <w:t xml:space="preserve">Einstein, Albert. </w:t>
      </w:r>
      <w:r>
        <w:rPr>
          <w:i/>
          <w:iCs/>
        </w:rPr>
        <w:t>La relativité : théorie de la relativité restreinte et générale, la relativité et le problème de l</w:t>
      </w:r>
      <w:r w:rsidR="00E84B0E">
        <w:rPr>
          <w:i/>
          <w:iCs/>
        </w:rPr>
        <w:t>’</w:t>
      </w:r>
      <w:r>
        <w:rPr>
          <w:i/>
          <w:iCs/>
        </w:rPr>
        <w:t>espace</w:t>
      </w:r>
      <w:r>
        <w:t>. Traduit par Maurice Solovine. Petite bibliothèque Payot 25. Paris, FR-IDF</w:t>
      </w:r>
      <w:r w:rsidR="006C36BC">
        <w:t> </w:t>
      </w:r>
      <w:r>
        <w:t>: Payot &amp; Rivages, 2001.</w:t>
      </w:r>
    </w:p>
    <w:p w14:paraId="51047381" w14:textId="50E8B21C" w:rsidR="00065317" w:rsidRDefault="005C7BF7">
      <w:pPr>
        <w:pStyle w:val="Normalcentr"/>
      </w:pPr>
      <w:r>
        <w:t xml:space="preserve">Wikipédia. « La Relativité ». Dans </w:t>
      </w:r>
      <w:r>
        <w:rPr>
          <w:i/>
          <w:iCs/>
        </w:rPr>
        <w:t>Wikipédia</w:t>
      </w:r>
      <w:r>
        <w:t xml:space="preserve">. </w:t>
      </w:r>
      <w:r w:rsidRPr="00EC2D6E">
        <w:rPr>
          <w:lang w:val="en-CA"/>
        </w:rPr>
        <w:t>San Francisco, US-CA</w:t>
      </w:r>
      <w:r w:rsidR="006C36BC">
        <w:rPr>
          <w:lang w:val="en-CA"/>
        </w:rPr>
        <w:t> </w:t>
      </w:r>
      <w:r w:rsidRPr="00EC2D6E">
        <w:rPr>
          <w:lang w:val="en-CA"/>
        </w:rPr>
        <w:t>: Wikipédia, 14</w:t>
      </w:r>
      <w:r w:rsidR="00056DCD">
        <w:rPr>
          <w:lang w:val="en-CA"/>
        </w:rPr>
        <w:t> octobre </w:t>
      </w:r>
      <w:r w:rsidRPr="00EC2D6E">
        <w:rPr>
          <w:lang w:val="en-CA"/>
        </w:rPr>
        <w:t>2022.</w:t>
      </w:r>
      <w:hyperlink r:id="rId309">
        <w:r w:rsidRPr="00EC2D6E">
          <w:rPr>
            <w:rStyle w:val="Lienhypertexte"/>
            <w:lang w:val="en-CA"/>
          </w:rPr>
          <w:t xml:space="preserve"> </w:t>
        </w:r>
      </w:hyperlink>
      <w:hyperlink r:id="rId310">
        <w:r>
          <w:rPr>
            <w:rStyle w:val="Lienhypertexte"/>
          </w:rPr>
          <w:t>https://fr.wikipedia.org/w/index.php?title=La_Relativit%C3%A9&amp;oldid=197771496</w:t>
        </w:r>
      </w:hyperlink>
      <w:r>
        <w:t>.</w:t>
      </w:r>
    </w:p>
    <w:p w14:paraId="32CFF122" w14:textId="77777777" w:rsidR="00065317" w:rsidRDefault="005C7BF7" w:rsidP="00914F34">
      <w:pPr>
        <w:pStyle w:val="Titre3"/>
      </w:pPr>
      <w:bookmarkStart w:id="580" w:name="_Toc154048975"/>
      <w:bookmarkStart w:id="581" w:name="p191-a-eu-pour-duree-(etait-la-duree-de)"/>
      <w:bookmarkEnd w:id="579"/>
      <w:r>
        <w:t>P191 a eu pour durée (était la durée de)</w:t>
      </w:r>
      <w:bookmarkEnd w:id="580"/>
    </w:p>
    <w:p w14:paraId="6E6273F3" w14:textId="77777777" w:rsidR="00065317" w:rsidRDefault="005C7BF7">
      <w:pPr>
        <w:pStyle w:val="FirstParagraph"/>
      </w:pPr>
      <w:r>
        <w:rPr>
          <w:b/>
          <w:bCs/>
        </w:rPr>
        <w:t>Domaine</w:t>
      </w:r>
    </w:p>
    <w:p w14:paraId="52071FDF" w14:textId="77777777" w:rsidR="00065317" w:rsidRDefault="005C7BF7">
      <w:pPr>
        <w:pStyle w:val="Corpsdetexte"/>
      </w:pPr>
      <w:r>
        <w:rPr>
          <w:rStyle w:val="VerbatimChar"/>
        </w:rPr>
        <w:t>E52_Intervalle_temporel</w:t>
      </w:r>
    </w:p>
    <w:p w14:paraId="765E8BBE" w14:textId="77777777" w:rsidR="00065317" w:rsidRDefault="005C7BF7">
      <w:pPr>
        <w:pStyle w:val="Corpsdetexte"/>
      </w:pPr>
      <w:r>
        <w:rPr>
          <w:b/>
          <w:bCs/>
        </w:rPr>
        <w:t>Portée</w:t>
      </w:r>
    </w:p>
    <w:p w14:paraId="24240125" w14:textId="77777777" w:rsidR="00065317" w:rsidRDefault="005C7BF7">
      <w:pPr>
        <w:pStyle w:val="Corpsdetexte"/>
      </w:pPr>
      <w:r>
        <w:rPr>
          <w:rStyle w:val="VerbatimChar"/>
        </w:rPr>
        <w:t>E54_Dimension</w:t>
      </w:r>
    </w:p>
    <w:p w14:paraId="144CAB81" w14:textId="77777777" w:rsidR="00065317" w:rsidRDefault="005C7BF7">
      <w:pPr>
        <w:pStyle w:val="Corpsdetexte"/>
      </w:pPr>
      <w:r>
        <w:rPr>
          <w:b/>
          <w:bCs/>
        </w:rPr>
        <w:t>Sous-propriété de</w:t>
      </w:r>
    </w:p>
    <w:p w14:paraId="5C5C3D24" w14:textId="77777777" w:rsidR="00065317" w:rsidRDefault="005C7BF7">
      <w:pPr>
        <w:pStyle w:val="Corpsdetexte"/>
      </w:pPr>
      <w:r>
        <w:rPr>
          <w:b/>
          <w:bCs/>
        </w:rPr>
        <w:t>Super-propriété de</w:t>
      </w:r>
    </w:p>
    <w:p w14:paraId="59A280A4" w14:textId="77777777" w:rsidR="00065317" w:rsidRDefault="005C7BF7">
      <w:pPr>
        <w:pStyle w:val="Corpsdetexte"/>
      </w:pPr>
      <w:r>
        <w:rPr>
          <w:b/>
          <w:bCs/>
        </w:rPr>
        <w:t>Quantification</w:t>
      </w:r>
    </w:p>
    <w:p w14:paraId="4A2E095D" w14:textId="77777777" w:rsidR="00065317" w:rsidRDefault="005C7BF7">
      <w:pPr>
        <w:pStyle w:val="Corpsdetexte"/>
      </w:pPr>
      <w:r>
        <w:t>un à un (1,1:1,1)</w:t>
      </w:r>
    </w:p>
    <w:p w14:paraId="632A234D" w14:textId="44D13714" w:rsidR="00065317" w:rsidRDefault="005C7BF7">
      <w:pPr>
        <w:pStyle w:val="Corpsdetexte"/>
      </w:pPr>
      <w:r>
        <w:rPr>
          <w:b/>
          <w:bCs/>
        </w:rPr>
        <w:t>Note d</w:t>
      </w:r>
      <w:r w:rsidR="00E84B0E">
        <w:rPr>
          <w:b/>
          <w:bCs/>
        </w:rPr>
        <w:t>’</w:t>
      </w:r>
      <w:r>
        <w:rPr>
          <w:b/>
          <w:bCs/>
        </w:rPr>
        <w:t>application</w:t>
      </w:r>
    </w:p>
    <w:p w14:paraId="62993E1A" w14:textId="28452F3F" w:rsidR="00065317" w:rsidRDefault="005C7BF7">
      <w:pPr>
        <w:pStyle w:val="Corpsdetexte"/>
      </w:pPr>
      <w:r>
        <w:t xml:space="preserve">Cette propriété décrit la durée de temps couverte par une instance de </w:t>
      </w:r>
      <w:r>
        <w:rPr>
          <w:rStyle w:val="VerbatimChar"/>
        </w:rPr>
        <w:t>E52_Intervalle_temporel</w:t>
      </w:r>
      <w:r>
        <w:t>. Elle permet d</w:t>
      </w:r>
      <w:r w:rsidR="00E84B0E">
        <w:t>’</w:t>
      </w:r>
      <w:r>
        <w:t xml:space="preserve">associer une instance de </w:t>
      </w:r>
      <w:r>
        <w:rPr>
          <w:rStyle w:val="VerbatimChar"/>
        </w:rPr>
        <w:t>E52_Intervalle_temporel</w:t>
      </w:r>
      <w:r>
        <w:t xml:space="preserve"> à une instance de </w:t>
      </w:r>
      <w:r>
        <w:rPr>
          <w:rStyle w:val="VerbatimChar"/>
        </w:rPr>
        <w:t>E54_Dimension</w:t>
      </w:r>
      <w:r>
        <w:t xml:space="preserve"> représentant une durée de temps indépendante du début et de la fin réels. L</w:t>
      </w:r>
      <w:r w:rsidR="00E84B0E">
        <w:t>’</w:t>
      </w:r>
      <w:r>
        <w:t xml:space="preserve">indétermination de la valeur de la durée peut être exprimée en attribuant un intervalle numérique à la propriété </w:t>
      </w:r>
      <w:r>
        <w:rPr>
          <w:rStyle w:val="VerbatimChar"/>
        </w:rPr>
        <w:t>P90_a_pour_valeur</w:t>
      </w:r>
      <w:r>
        <w:t xml:space="preserve"> de </w:t>
      </w:r>
      <w:r>
        <w:rPr>
          <w:rStyle w:val="VerbatimChar"/>
        </w:rPr>
        <w:t>E54_Dimension</w:t>
      </w:r>
      <w:r>
        <w:t>.</w:t>
      </w:r>
    </w:p>
    <w:p w14:paraId="2BF05253" w14:textId="77777777" w:rsidR="00065317" w:rsidRDefault="005C7BF7">
      <w:pPr>
        <w:pStyle w:val="Corpsdetexte"/>
      </w:pPr>
      <w:r>
        <w:rPr>
          <w:b/>
          <w:bCs/>
        </w:rPr>
        <w:t>Exemples</w:t>
      </w:r>
    </w:p>
    <w:p w14:paraId="3D92FCB0" w14:textId="2EB4191C" w:rsidR="00065317" w:rsidRDefault="005C7BF7">
      <w:pPr>
        <w:numPr>
          <w:ilvl w:val="0"/>
          <w:numId w:val="299"/>
        </w:numPr>
      </w:pPr>
      <w:r>
        <w:t>L</w:t>
      </w:r>
      <w:r w:rsidR="00E84B0E">
        <w:t>’</w:t>
      </w:r>
      <w:r>
        <w:t>intervalle temporel de la bataille d</w:t>
      </w:r>
      <w:r w:rsidR="00E84B0E">
        <w:t>’</w:t>
      </w:r>
      <w:r>
        <w:t>Issos 333 AEC (</w:t>
      </w:r>
      <w:r>
        <w:rPr>
          <w:rStyle w:val="VerbatimChar"/>
        </w:rPr>
        <w:t>E52_Intervalle_temporel</w:t>
      </w:r>
      <w:r>
        <w:t>) a eu pour durée (</w:t>
      </w:r>
      <w:r>
        <w:rPr>
          <w:rStyle w:val="VerbatimChar"/>
        </w:rPr>
        <w:t>P191_a_eu_pour_durée</w:t>
      </w:r>
      <w:r>
        <w:t>) la durée de la bataille d</w:t>
      </w:r>
      <w:r w:rsidR="00E84B0E">
        <w:t>’</w:t>
      </w:r>
      <w:r>
        <w:t>Issos (</w:t>
      </w:r>
      <w:r>
        <w:rPr>
          <w:rStyle w:val="VerbatimChar"/>
        </w:rPr>
        <w:t>E54_Dimension</w:t>
      </w:r>
      <w:r>
        <w:t>) (Howard, 2012)</w:t>
      </w:r>
    </w:p>
    <w:p w14:paraId="4AF4D12A" w14:textId="77777777" w:rsidR="00065317" w:rsidRDefault="005C7BF7">
      <w:pPr>
        <w:pStyle w:val="FirstParagraph"/>
      </w:pPr>
      <w:r>
        <w:rPr>
          <w:b/>
          <w:bCs/>
        </w:rPr>
        <w:t>Logique</w:t>
      </w:r>
    </w:p>
    <w:p w14:paraId="2D09214F" w14:textId="77777777" w:rsidR="00065317" w:rsidRDefault="005C7BF7">
      <w:pPr>
        <w:pStyle w:val="Corpsdetexte"/>
      </w:pPr>
      <w:r>
        <w:t>P191(x,y) ⇒ E52(x)</w:t>
      </w:r>
    </w:p>
    <w:p w14:paraId="524FA080" w14:textId="77777777" w:rsidR="00065317" w:rsidRDefault="005C7BF7">
      <w:pPr>
        <w:pStyle w:val="Corpsdetexte"/>
      </w:pPr>
      <w:r>
        <w:t>P191(x,y) ⇒ E54(y)</w:t>
      </w:r>
    </w:p>
    <w:p w14:paraId="422CF362" w14:textId="77777777" w:rsidR="003E6361" w:rsidRDefault="003E6361">
      <w:pPr>
        <w:spacing w:after="0"/>
        <w:rPr>
          <w:b/>
          <w:bCs/>
        </w:rPr>
      </w:pPr>
      <w:r>
        <w:rPr>
          <w:b/>
          <w:bCs/>
        </w:rPr>
        <w:br w:type="page"/>
      </w:r>
    </w:p>
    <w:p w14:paraId="53CD2F4E" w14:textId="724452E4" w:rsidR="00065317" w:rsidRDefault="005C7BF7">
      <w:pPr>
        <w:pStyle w:val="Corpsdetexte"/>
      </w:pPr>
      <w:r>
        <w:rPr>
          <w:b/>
          <w:bCs/>
        </w:rPr>
        <w:lastRenderedPageBreak/>
        <w:t>Propriétés</w:t>
      </w:r>
    </w:p>
    <w:p w14:paraId="019CB741" w14:textId="77777777" w:rsidR="00065317" w:rsidRDefault="005C7BF7">
      <w:pPr>
        <w:pStyle w:val="Normalcentr"/>
      </w:pPr>
      <w:r>
        <w:rPr>
          <w:b/>
          <w:bCs/>
          <w:i/>
          <w:iCs/>
        </w:rPr>
        <w:t>Note de traduction</w:t>
      </w:r>
    </w:p>
    <w:p w14:paraId="47212028" w14:textId="246AC737" w:rsidR="00065317" w:rsidRDefault="005C7BF7" w:rsidP="006C36BC">
      <w:pPr>
        <w:pStyle w:val="Normalcentr"/>
      </w:pPr>
      <w:r>
        <w:rPr>
          <w:b/>
          <w:bCs/>
          <w:i/>
          <w:iCs/>
        </w:rPr>
        <w:t>Références</w:t>
      </w:r>
    </w:p>
    <w:p w14:paraId="5CDB87A7" w14:textId="77777777" w:rsidR="00065317" w:rsidRDefault="005C7BF7" w:rsidP="00914F34">
      <w:pPr>
        <w:pStyle w:val="Titre3"/>
      </w:pPr>
      <w:bookmarkStart w:id="582" w:name="_Toc154048976"/>
      <w:bookmarkStart w:id="583" w:name="X29be38c3cb2adc06f181b8813797b82a9fc182a"/>
      <w:bookmarkEnd w:id="581"/>
      <w:r>
        <w:t>P195 a été une présence de (a eu pour présence)</w:t>
      </w:r>
      <w:bookmarkEnd w:id="582"/>
    </w:p>
    <w:p w14:paraId="6CF00BCC" w14:textId="77777777" w:rsidR="00065317" w:rsidRDefault="005C7BF7">
      <w:pPr>
        <w:pStyle w:val="FirstParagraph"/>
      </w:pPr>
      <w:r>
        <w:rPr>
          <w:b/>
          <w:bCs/>
        </w:rPr>
        <w:t>Domaine</w:t>
      </w:r>
    </w:p>
    <w:p w14:paraId="50019429" w14:textId="77777777" w:rsidR="00065317" w:rsidRDefault="005C7BF7">
      <w:pPr>
        <w:pStyle w:val="Corpsdetexte"/>
      </w:pPr>
      <w:r>
        <w:rPr>
          <w:rStyle w:val="VerbatimChar"/>
        </w:rPr>
        <w:t>E93_Présence</w:t>
      </w:r>
    </w:p>
    <w:p w14:paraId="679DB6E5" w14:textId="77777777" w:rsidR="00065317" w:rsidRDefault="005C7BF7">
      <w:pPr>
        <w:pStyle w:val="Corpsdetexte"/>
      </w:pPr>
      <w:r>
        <w:rPr>
          <w:b/>
          <w:bCs/>
        </w:rPr>
        <w:t>Portée</w:t>
      </w:r>
    </w:p>
    <w:p w14:paraId="287E4C67" w14:textId="77777777" w:rsidR="00065317" w:rsidRDefault="005C7BF7">
      <w:pPr>
        <w:pStyle w:val="Corpsdetexte"/>
      </w:pPr>
      <w:r>
        <w:rPr>
          <w:rStyle w:val="VerbatimChar"/>
        </w:rPr>
        <w:t>E18_Chose_matérielle</w:t>
      </w:r>
    </w:p>
    <w:p w14:paraId="1045E3C3" w14:textId="77777777" w:rsidR="00065317" w:rsidRDefault="005C7BF7">
      <w:pPr>
        <w:pStyle w:val="Corpsdetexte"/>
      </w:pPr>
      <w:r>
        <w:rPr>
          <w:b/>
          <w:bCs/>
        </w:rPr>
        <w:t>Sous-propriété de</w:t>
      </w:r>
    </w:p>
    <w:p w14:paraId="643F693C" w14:textId="77777777" w:rsidR="00065317" w:rsidRDefault="005C7BF7">
      <w:pPr>
        <w:pStyle w:val="Corpsdetexte"/>
      </w:pPr>
      <w:r>
        <w:rPr>
          <w:b/>
          <w:bCs/>
        </w:rPr>
        <w:t>Super-propriété de</w:t>
      </w:r>
    </w:p>
    <w:p w14:paraId="6FB501E1" w14:textId="77777777" w:rsidR="00065317" w:rsidRDefault="005C7BF7">
      <w:pPr>
        <w:pStyle w:val="Corpsdetexte"/>
      </w:pPr>
      <w:r>
        <w:rPr>
          <w:b/>
          <w:bCs/>
        </w:rPr>
        <w:t>Quantification</w:t>
      </w:r>
    </w:p>
    <w:p w14:paraId="0E1601D6" w14:textId="77777777" w:rsidR="00065317" w:rsidRDefault="005C7BF7">
      <w:pPr>
        <w:pStyle w:val="Corpsdetexte"/>
      </w:pPr>
      <w:r>
        <w:t>plusieurs à un, nécessaire (1,1:0,n)</w:t>
      </w:r>
    </w:p>
    <w:p w14:paraId="7D513433" w14:textId="404AE89E" w:rsidR="00065317" w:rsidRDefault="005C7BF7">
      <w:pPr>
        <w:pStyle w:val="Corpsdetexte"/>
      </w:pPr>
      <w:r>
        <w:rPr>
          <w:b/>
          <w:bCs/>
        </w:rPr>
        <w:t>Note d</w:t>
      </w:r>
      <w:r w:rsidR="00E84B0E">
        <w:rPr>
          <w:b/>
          <w:bCs/>
        </w:rPr>
        <w:t>’</w:t>
      </w:r>
      <w:r>
        <w:rPr>
          <w:b/>
          <w:bCs/>
        </w:rPr>
        <w:t>application</w:t>
      </w:r>
    </w:p>
    <w:p w14:paraId="2F4C70FB" w14:textId="303E86BA" w:rsidR="00065317" w:rsidRDefault="005C7BF7">
      <w:pPr>
        <w:pStyle w:val="Corpsdetexte"/>
      </w:pPr>
      <w:r>
        <w:t xml:space="preserve">Cette propriété associe une instance de </w:t>
      </w:r>
      <w:r>
        <w:rPr>
          <w:rStyle w:val="VerbatimChar"/>
        </w:rPr>
        <w:t>E93_Présence</w:t>
      </w:r>
      <w:r>
        <w:t xml:space="preserve"> à l</w:t>
      </w:r>
      <w:r w:rsidR="00E84B0E">
        <w:t>’</w:t>
      </w:r>
      <w:r>
        <w:t xml:space="preserve">instance de </w:t>
      </w:r>
      <w:r>
        <w:rPr>
          <w:rStyle w:val="VerbatimChar"/>
        </w:rPr>
        <w:t>E18_Chose_matérielle</w:t>
      </w:r>
      <w:r>
        <w:t xml:space="preserve"> dont elle représente une restriction temporelle (c.-à-d. une tranche de temps) de la trajectoire spatio-temporelle de la chose. En d</w:t>
      </w:r>
      <w:r w:rsidR="00E84B0E">
        <w:t>’</w:t>
      </w:r>
      <w:r>
        <w:t>autres termes, elle décrit où l</w:t>
      </w:r>
      <w:r w:rsidR="00E84B0E">
        <w:t>’</w:t>
      </w:r>
      <w:r>
        <w:t xml:space="preserve">instance de </w:t>
      </w:r>
      <w:r>
        <w:rPr>
          <w:rStyle w:val="VerbatimChar"/>
        </w:rPr>
        <w:t>E18_Chose_matérielle</w:t>
      </w:r>
      <w:r>
        <w:t xml:space="preserve"> était ou s</w:t>
      </w:r>
      <w:r w:rsidR="00E84B0E">
        <w:t>’</w:t>
      </w:r>
      <w:r>
        <w:t>est déplacée dans un intervalle temporel donné. L</w:t>
      </w:r>
      <w:r w:rsidR="00E84B0E">
        <w:t>’</w:t>
      </w:r>
      <w:r>
        <w:t>instanciation de cette propriété constitue une partie nécessaire de l</w:t>
      </w:r>
      <w:r w:rsidR="00E84B0E">
        <w:t>’</w:t>
      </w:r>
      <w:r>
        <w:t>identité de l</w:t>
      </w:r>
      <w:r w:rsidR="00E84B0E">
        <w:t>’</w:t>
      </w:r>
      <w:r>
        <w:t xml:space="preserve">instance de </w:t>
      </w:r>
      <w:r>
        <w:rPr>
          <w:rStyle w:val="VerbatimChar"/>
        </w:rPr>
        <w:t>E93_Présence</w:t>
      </w:r>
      <w:r>
        <w:t>.</w:t>
      </w:r>
    </w:p>
    <w:p w14:paraId="229708C1" w14:textId="77777777" w:rsidR="00065317" w:rsidRDefault="005C7BF7">
      <w:pPr>
        <w:pStyle w:val="Corpsdetexte"/>
      </w:pPr>
      <w:r>
        <w:t xml:space="preserve">Cette propriété est un raccourci du chemin sémantique suivant : </w:t>
      </w:r>
      <w:r>
        <w:rPr>
          <w:rStyle w:val="VerbatimChar"/>
        </w:rPr>
        <w:t>E18_Chose_matérielle</w:t>
      </w:r>
      <w:r>
        <w:t xml:space="preserve">, </w:t>
      </w:r>
      <w:r>
        <w:rPr>
          <w:rStyle w:val="VerbatimChar"/>
        </w:rPr>
        <w:t>P196_définit (est_défini_par)</w:t>
      </w:r>
      <w:r>
        <w:t xml:space="preserve">, </w:t>
      </w:r>
      <w:r>
        <w:rPr>
          <w:rStyle w:val="VerbatimChar"/>
        </w:rPr>
        <w:t>E92_Volume_spatio-temporel</w:t>
      </w:r>
      <w:r>
        <w:t xml:space="preserve">, </w:t>
      </w:r>
      <w:r>
        <w:rPr>
          <w:rStyle w:val="VerbatimChar"/>
        </w:rPr>
        <w:t>P166_a_été_une_présence_de (a_eu_pour_présence)</w:t>
      </w:r>
      <w:r>
        <w:t xml:space="preserve"> et </w:t>
      </w:r>
      <w:r>
        <w:rPr>
          <w:rStyle w:val="VerbatimChar"/>
        </w:rPr>
        <w:t>E93_Présence</w:t>
      </w:r>
      <w:r>
        <w:t>.</w:t>
      </w:r>
    </w:p>
    <w:p w14:paraId="1737971A" w14:textId="77777777" w:rsidR="00065317" w:rsidRDefault="005C7BF7">
      <w:pPr>
        <w:pStyle w:val="Corpsdetexte"/>
      </w:pPr>
      <w:r>
        <w:rPr>
          <w:b/>
          <w:bCs/>
        </w:rPr>
        <w:t>Exemples</w:t>
      </w:r>
    </w:p>
    <w:p w14:paraId="4AAC82C2" w14:textId="1E62B26B" w:rsidR="00065317" w:rsidRDefault="005C7BF7">
      <w:pPr>
        <w:numPr>
          <w:ilvl w:val="0"/>
          <w:numId w:val="300"/>
        </w:numPr>
      </w:pPr>
      <w:r>
        <w:t>La localisation de Johann Joachim Winckelmann en</w:t>
      </w:r>
      <w:r w:rsidR="00056DCD">
        <w:t> décembre </w:t>
      </w:r>
      <w:r>
        <w:t>1755 (</w:t>
      </w:r>
      <w:r>
        <w:rPr>
          <w:rStyle w:val="VerbatimChar"/>
        </w:rPr>
        <w:t>E93_Présence</w:t>
      </w:r>
      <w:r>
        <w:t>) a été une présence de (</w:t>
      </w:r>
      <w:r>
        <w:rPr>
          <w:rStyle w:val="VerbatimChar"/>
        </w:rPr>
        <w:t>P195_a_été_une_présence_de)</w:t>
      </w:r>
      <w:r>
        <w:t xml:space="preserve"> Johann Joachim Winckelmann (</w:t>
      </w:r>
      <w:r>
        <w:rPr>
          <w:rStyle w:val="VerbatimChar"/>
        </w:rPr>
        <w:t>E21_Personne</w:t>
      </w:r>
      <w:r>
        <w:t>) (Wiencke, 1998)</w:t>
      </w:r>
    </w:p>
    <w:p w14:paraId="57211CCC" w14:textId="33633B21" w:rsidR="00065317" w:rsidRDefault="005C7BF7">
      <w:pPr>
        <w:numPr>
          <w:ilvl w:val="0"/>
          <w:numId w:val="300"/>
        </w:numPr>
      </w:pPr>
      <w:r>
        <w:t>La localisation de Johann Joachim Winckelmann du 19</w:t>
      </w:r>
      <w:r w:rsidR="00056DCD">
        <w:t> novembre </w:t>
      </w:r>
      <w:r>
        <w:t>1755 au 9</w:t>
      </w:r>
      <w:r w:rsidR="00056DCD">
        <w:t> avril </w:t>
      </w:r>
      <w:r>
        <w:t>1768 (</w:t>
      </w:r>
      <w:r>
        <w:rPr>
          <w:rStyle w:val="VerbatimChar"/>
        </w:rPr>
        <w:t>E93_Présence</w:t>
      </w:r>
      <w:r>
        <w:t>) a été une présence de (</w:t>
      </w:r>
      <w:r>
        <w:rPr>
          <w:rStyle w:val="VerbatimChar"/>
        </w:rPr>
        <w:t>P195_a_été_une_présence_de</w:t>
      </w:r>
      <w:r>
        <w:t>) Johann Joachim Winckelmann (</w:t>
      </w:r>
      <w:r>
        <w:rPr>
          <w:rStyle w:val="VerbatimChar"/>
        </w:rPr>
        <w:t>E21_Personne</w:t>
      </w:r>
      <w:r>
        <w:t>) (Wiencke, 2020)</w:t>
      </w:r>
    </w:p>
    <w:p w14:paraId="2C5AB386" w14:textId="77777777" w:rsidR="00065317" w:rsidRDefault="005C7BF7">
      <w:pPr>
        <w:pStyle w:val="FirstParagraph"/>
      </w:pPr>
      <w:r>
        <w:rPr>
          <w:b/>
          <w:bCs/>
        </w:rPr>
        <w:t>Logique</w:t>
      </w:r>
    </w:p>
    <w:p w14:paraId="2EA5E75C" w14:textId="77777777" w:rsidR="00065317" w:rsidRDefault="005C7BF7">
      <w:pPr>
        <w:pStyle w:val="Corpsdetexte"/>
      </w:pPr>
      <w:r>
        <w:t>P195(x,y) ⇒ E93(x)</w:t>
      </w:r>
    </w:p>
    <w:p w14:paraId="2DA9796F" w14:textId="77777777" w:rsidR="00065317" w:rsidRDefault="005C7BF7">
      <w:pPr>
        <w:pStyle w:val="Corpsdetexte"/>
      </w:pPr>
      <w:r>
        <w:t>P195(x,y) ⇒ E18(y)</w:t>
      </w:r>
    </w:p>
    <w:p w14:paraId="59A455F7" w14:textId="77777777" w:rsidR="00065317" w:rsidRDefault="005C7BF7">
      <w:pPr>
        <w:pStyle w:val="Corpsdetexte"/>
      </w:pPr>
      <w:r>
        <w:t>P195(x,y) ⇔ (∃z)[E92(z) ∧ P166(z,x) ∧ P196i(z,y)]</w:t>
      </w:r>
    </w:p>
    <w:p w14:paraId="1082B8E1" w14:textId="77777777" w:rsidR="00065317" w:rsidRDefault="005C7BF7">
      <w:pPr>
        <w:pStyle w:val="Corpsdetexte"/>
      </w:pPr>
      <w:r>
        <w:rPr>
          <w:b/>
          <w:bCs/>
        </w:rPr>
        <w:t>Propriétés</w:t>
      </w:r>
    </w:p>
    <w:p w14:paraId="01FB428B" w14:textId="77777777" w:rsidR="00065317" w:rsidRDefault="005C7BF7">
      <w:pPr>
        <w:pStyle w:val="Normalcentr"/>
      </w:pPr>
      <w:r>
        <w:rPr>
          <w:b/>
          <w:bCs/>
          <w:i/>
          <w:iCs/>
        </w:rPr>
        <w:t>Note de traduction</w:t>
      </w:r>
    </w:p>
    <w:p w14:paraId="3D4B350B" w14:textId="2F695A6E" w:rsidR="00065317" w:rsidRDefault="005C7BF7" w:rsidP="006C36BC">
      <w:pPr>
        <w:pStyle w:val="Normalcentr"/>
      </w:pPr>
      <w:r>
        <w:rPr>
          <w:b/>
          <w:bCs/>
          <w:i/>
          <w:iCs/>
        </w:rPr>
        <w:t>Références</w:t>
      </w:r>
    </w:p>
    <w:p w14:paraId="093EC8DB" w14:textId="77777777" w:rsidR="00065317" w:rsidRDefault="005C7BF7" w:rsidP="00914F34">
      <w:pPr>
        <w:pStyle w:val="Titre3"/>
      </w:pPr>
      <w:bookmarkStart w:id="584" w:name="_Toc154048977"/>
      <w:bookmarkStart w:id="585" w:name="p196-definit-(est-defini-par)"/>
      <w:bookmarkEnd w:id="583"/>
      <w:r>
        <w:lastRenderedPageBreak/>
        <w:t>P196 définit (est défini par)</w:t>
      </w:r>
      <w:bookmarkEnd w:id="584"/>
    </w:p>
    <w:p w14:paraId="48AC3593" w14:textId="77777777" w:rsidR="00065317" w:rsidRDefault="005C7BF7">
      <w:pPr>
        <w:pStyle w:val="FirstParagraph"/>
      </w:pPr>
      <w:r>
        <w:rPr>
          <w:b/>
          <w:bCs/>
        </w:rPr>
        <w:t>Domaine</w:t>
      </w:r>
    </w:p>
    <w:p w14:paraId="11903534" w14:textId="77777777" w:rsidR="00065317" w:rsidRDefault="005C7BF7">
      <w:pPr>
        <w:pStyle w:val="Corpsdetexte"/>
      </w:pPr>
      <w:r>
        <w:rPr>
          <w:rStyle w:val="VerbatimChar"/>
        </w:rPr>
        <w:t>E18_Chose_matérielle</w:t>
      </w:r>
    </w:p>
    <w:p w14:paraId="6455B579" w14:textId="77777777" w:rsidR="00065317" w:rsidRDefault="005C7BF7">
      <w:pPr>
        <w:pStyle w:val="Corpsdetexte"/>
      </w:pPr>
      <w:r>
        <w:rPr>
          <w:b/>
          <w:bCs/>
        </w:rPr>
        <w:t>Portée</w:t>
      </w:r>
    </w:p>
    <w:p w14:paraId="471FDBE4" w14:textId="77777777" w:rsidR="00065317" w:rsidRDefault="005C7BF7">
      <w:pPr>
        <w:pStyle w:val="Corpsdetexte"/>
      </w:pPr>
      <w:r>
        <w:rPr>
          <w:rStyle w:val="VerbatimChar"/>
        </w:rPr>
        <w:t>E92_Volume_spatio-temporel</w:t>
      </w:r>
    </w:p>
    <w:p w14:paraId="2C439A1D" w14:textId="77777777" w:rsidR="00065317" w:rsidRDefault="005C7BF7">
      <w:pPr>
        <w:pStyle w:val="Corpsdetexte"/>
      </w:pPr>
      <w:r>
        <w:rPr>
          <w:b/>
          <w:bCs/>
        </w:rPr>
        <w:t>Sous-propriété de</w:t>
      </w:r>
    </w:p>
    <w:p w14:paraId="387C0DAC" w14:textId="77777777" w:rsidR="00065317" w:rsidRDefault="005C7BF7">
      <w:pPr>
        <w:pStyle w:val="Corpsdetexte"/>
      </w:pPr>
      <w:r>
        <w:rPr>
          <w:b/>
          <w:bCs/>
        </w:rPr>
        <w:t>Super-propriété de</w:t>
      </w:r>
    </w:p>
    <w:p w14:paraId="0A254FBC" w14:textId="77777777" w:rsidR="00065317" w:rsidRDefault="005C7BF7">
      <w:pPr>
        <w:pStyle w:val="Corpsdetexte"/>
      </w:pPr>
      <w:r>
        <w:rPr>
          <w:b/>
          <w:bCs/>
        </w:rPr>
        <w:t>Quantification</w:t>
      </w:r>
    </w:p>
    <w:p w14:paraId="5470A761" w14:textId="77777777" w:rsidR="00065317" w:rsidRDefault="005C7BF7">
      <w:pPr>
        <w:pStyle w:val="Corpsdetexte"/>
      </w:pPr>
      <w:r>
        <w:t>un à un, nécessaire (1,1:0,1)</w:t>
      </w:r>
    </w:p>
    <w:p w14:paraId="00D2040B" w14:textId="080CBCB3" w:rsidR="00065317" w:rsidRDefault="005C7BF7">
      <w:pPr>
        <w:pStyle w:val="Corpsdetexte"/>
      </w:pPr>
      <w:r>
        <w:rPr>
          <w:b/>
          <w:bCs/>
        </w:rPr>
        <w:t>Note d</w:t>
      </w:r>
      <w:r w:rsidR="00E84B0E">
        <w:rPr>
          <w:b/>
          <w:bCs/>
        </w:rPr>
        <w:t>’</w:t>
      </w:r>
      <w:r>
        <w:rPr>
          <w:b/>
          <w:bCs/>
        </w:rPr>
        <w:t>application</w:t>
      </w:r>
    </w:p>
    <w:p w14:paraId="13F1B845" w14:textId="163BBA80" w:rsidR="00065317" w:rsidRDefault="005C7BF7">
      <w:pPr>
        <w:pStyle w:val="Corpsdetexte"/>
      </w:pPr>
      <w:r>
        <w:t xml:space="preserve">Cette propriété associe une instance de </w:t>
      </w:r>
      <w:r>
        <w:rPr>
          <w:rStyle w:val="VerbatimChar"/>
        </w:rPr>
        <w:t>E18_Chose_matérielle</w:t>
      </w:r>
      <w:r>
        <w:t xml:space="preserve"> à l</w:t>
      </w:r>
      <w:r w:rsidR="00E84B0E">
        <w:t>’</w:t>
      </w:r>
      <w:r>
        <w:t xml:space="preserve">instance de </w:t>
      </w:r>
      <w:r>
        <w:rPr>
          <w:rStyle w:val="VerbatimChar"/>
        </w:rPr>
        <w:t>E92_Volume_spatio-temporel</w:t>
      </w:r>
      <w:r>
        <w:t xml:space="preserve"> qui constitue la trajectoire complète de son étendue géométrique à travers l</w:t>
      </w:r>
      <w:r w:rsidR="00E84B0E">
        <w:t>’</w:t>
      </w:r>
      <w:r>
        <w:t>espace-temps pendant toute la durée de l</w:t>
      </w:r>
      <w:r w:rsidR="00E84B0E">
        <w:t>’</w:t>
      </w:r>
      <w:r>
        <w:t>existence de l</w:t>
      </w:r>
      <w:r w:rsidR="00E84B0E">
        <w:t>’</w:t>
      </w:r>
      <w:r>
        <w:t xml:space="preserve">instance de </w:t>
      </w:r>
      <w:r>
        <w:rPr>
          <w:rStyle w:val="VerbatimChar"/>
        </w:rPr>
        <w:t>E18_Chose_matérielle</w:t>
      </w:r>
      <w:r>
        <w:t>.</w:t>
      </w:r>
    </w:p>
    <w:p w14:paraId="3B36F13B" w14:textId="19AE6A15" w:rsidR="00065317" w:rsidRDefault="005C7BF7">
      <w:pPr>
        <w:pStyle w:val="Corpsdetexte"/>
      </w:pPr>
      <w:r>
        <w:t xml:space="preserve">Une instance de </w:t>
      </w:r>
      <w:r>
        <w:rPr>
          <w:rStyle w:val="VerbatimChar"/>
        </w:rPr>
        <w:t>E18_Chose_matérielle</w:t>
      </w:r>
      <w:r>
        <w:t xml:space="preserve"> n</w:t>
      </w:r>
      <w:r w:rsidR="00E84B0E">
        <w:t>’</w:t>
      </w:r>
      <w:r>
        <w:t>occupe pas seulement un espace géométrique particulier à chaque instant de son existence, mais elle suit également, au cours de son existence, une trajectoire à travers l</w:t>
      </w:r>
      <w:r w:rsidR="00E84B0E">
        <w:t>’</w:t>
      </w:r>
      <w:r>
        <w:t>espace-temps. Cette trajectoire occupe un volume réel (phénoménal) dans l</w:t>
      </w:r>
      <w:r w:rsidR="00E84B0E">
        <w:t>’</w:t>
      </w:r>
      <w:r>
        <w:t>espace-temps. Ce dernier est l</w:t>
      </w:r>
      <w:r w:rsidR="00E84B0E">
        <w:t>’</w:t>
      </w:r>
      <w:r>
        <w:t xml:space="preserve">instance de </w:t>
      </w:r>
      <w:r>
        <w:rPr>
          <w:rStyle w:val="VerbatimChar"/>
        </w:rPr>
        <w:t>E92_Volume_spatio-temporel</w:t>
      </w:r>
      <w:r>
        <w:t xml:space="preserve"> associée à cette propriété. Cette étendue spatio-temporelle réelle de l</w:t>
      </w:r>
      <w:r w:rsidR="00E84B0E">
        <w:t>’</w:t>
      </w:r>
      <w:r>
        <w:t xml:space="preserve">instance de </w:t>
      </w:r>
      <w:r>
        <w:rPr>
          <w:rStyle w:val="VerbatimChar"/>
        </w:rPr>
        <w:t>E18_Chose_matérielle</w:t>
      </w:r>
      <w:r>
        <w:t xml:space="preserve"> est considérée comme unique, dans tous ses détails et son flou. L</w:t>
      </w:r>
      <w:r w:rsidR="00E84B0E">
        <w:t>’</w:t>
      </w:r>
      <w:r>
        <w:t>identité et l</w:t>
      </w:r>
      <w:r w:rsidR="00E84B0E">
        <w:t>’</w:t>
      </w:r>
      <w:r>
        <w:t>existence de l</w:t>
      </w:r>
      <w:r w:rsidR="00E84B0E">
        <w:t>’</w:t>
      </w:r>
      <w:r>
        <w:t xml:space="preserve">instance de </w:t>
      </w:r>
      <w:r>
        <w:rPr>
          <w:rStyle w:val="VerbatimChar"/>
        </w:rPr>
        <w:t>E92_Volume_spatio-temporel</w:t>
      </w:r>
      <w:r>
        <w:t xml:space="preserve"> dépendent uniquement de l</w:t>
      </w:r>
      <w:r w:rsidR="00E84B0E">
        <w:t>’</w:t>
      </w:r>
      <w:r>
        <w:t>identité de l</w:t>
      </w:r>
      <w:r w:rsidR="00E84B0E">
        <w:t>’</w:t>
      </w:r>
      <w:r>
        <w:t xml:space="preserve">instance de </w:t>
      </w:r>
      <w:r>
        <w:rPr>
          <w:rStyle w:val="VerbatimChar"/>
        </w:rPr>
        <w:t>E18_Chose_matérielle</w:t>
      </w:r>
      <w:r>
        <w:t>, dont l</w:t>
      </w:r>
      <w:r w:rsidR="00E84B0E">
        <w:t>’</w:t>
      </w:r>
      <w:r>
        <w:t>existence les définit. Cette étendue spatio-temporelle réelle constitue un volume spatio-temporel phénoménal tel que défini dans CRMgeo (</w:t>
      </w:r>
      <w:r w:rsidR="003C7A4A">
        <w:t>Doerr</w:t>
      </w:r>
      <w:r>
        <w:t xml:space="preserve"> </w:t>
      </w:r>
      <w:r w:rsidR="00914F34">
        <w:t xml:space="preserve">&amp; </w:t>
      </w:r>
      <w:r>
        <w:t>Hiebel, 2013).</w:t>
      </w:r>
    </w:p>
    <w:p w14:paraId="45D13252" w14:textId="6D18893F" w:rsidR="00065317" w:rsidRDefault="005C7BF7">
      <w:pPr>
        <w:pStyle w:val="Corpsdetexte"/>
      </w:pPr>
      <w:r>
        <w:t>Les espaces remplis par la matière de la chose matérielle et tout espace interne qui peut exister, comme l</w:t>
      </w:r>
      <w:r w:rsidR="00E84B0E">
        <w:t>’</w:t>
      </w:r>
      <w:r>
        <w:t>intérieur d</w:t>
      </w:r>
      <w:r w:rsidR="00E84B0E">
        <w:t>’</w:t>
      </w:r>
      <w:r>
        <w:t>une boîte, sont inclus dans ce volume spatio-temporel. Les choses matérielles constituées d</w:t>
      </w:r>
      <w:r w:rsidR="00E84B0E">
        <w:t>’</w:t>
      </w:r>
      <w:r>
        <w:t>agrégations d</w:t>
      </w:r>
      <w:r w:rsidR="00E84B0E">
        <w:t>’</w:t>
      </w:r>
      <w:r>
        <w:t>objets physiquement non connectés, comme un jeu d</w:t>
      </w:r>
      <w:r w:rsidR="00E84B0E">
        <w:t>’</w:t>
      </w:r>
      <w:r>
        <w:t>échecs, occupent un nombre fini de sous-ensembles individuellement contigus de ce volume d</w:t>
      </w:r>
      <w:r w:rsidR="00E84B0E">
        <w:t>’</w:t>
      </w:r>
      <w:r>
        <w:t>espace-temps égal au nombre d</w:t>
      </w:r>
      <w:r w:rsidR="00E84B0E">
        <w:t>’</w:t>
      </w:r>
      <w:r>
        <w:t>objets qui constituent l</w:t>
      </w:r>
      <w:r w:rsidR="00E84B0E">
        <w:t>’</w:t>
      </w:r>
      <w:r>
        <w:t>ensemble et qui ne sont jamais connectés pendant son existence.</w:t>
      </w:r>
    </w:p>
    <w:p w14:paraId="058459B2" w14:textId="77777777" w:rsidR="00065317" w:rsidRDefault="005C7BF7">
      <w:pPr>
        <w:pStyle w:val="Corpsdetexte"/>
      </w:pPr>
      <w:r>
        <w:rPr>
          <w:b/>
          <w:bCs/>
        </w:rPr>
        <w:t>Exemples</w:t>
      </w:r>
    </w:p>
    <w:p w14:paraId="4171B657" w14:textId="3F669025" w:rsidR="00065317" w:rsidRDefault="005C7BF7">
      <w:pPr>
        <w:numPr>
          <w:ilvl w:val="0"/>
          <w:numId w:val="301"/>
        </w:numPr>
      </w:pPr>
      <w:r>
        <w:t>HMS Temeraire (</w:t>
      </w:r>
      <w:r>
        <w:rPr>
          <w:rStyle w:val="VerbatimChar"/>
        </w:rPr>
        <w:t>E22_Objet_élaboré_par_l</w:t>
      </w:r>
      <w:r w:rsidR="00E84B0E">
        <w:rPr>
          <w:rStyle w:val="VerbatimChar"/>
        </w:rPr>
        <w:t>’</w:t>
      </w:r>
      <w:r>
        <w:rPr>
          <w:rStyle w:val="VerbatimChar"/>
        </w:rPr>
        <w:t>humain</w:t>
      </w:r>
      <w:r>
        <w:t>) définit (</w:t>
      </w:r>
      <w:r>
        <w:rPr>
          <w:rStyle w:val="VerbatimChar"/>
        </w:rPr>
        <w:t>P196_définit</w:t>
      </w:r>
      <w:r>
        <w:t>) le volume spatio-temporel du HMS Temeraire (</w:t>
      </w:r>
      <w:r>
        <w:rPr>
          <w:rStyle w:val="VerbatimChar"/>
        </w:rPr>
        <w:t>E92_Volume_spatio-temporel</w:t>
      </w:r>
      <w:r>
        <w:t>) [il a été construit en 1798, à Chatham, et détruit en 1838, à Rotherhithe] (Willis, 2010)</w:t>
      </w:r>
    </w:p>
    <w:p w14:paraId="426CF5AE" w14:textId="77BEF271" w:rsidR="00065317" w:rsidRDefault="005C7BF7">
      <w:pPr>
        <w:numPr>
          <w:ilvl w:val="0"/>
          <w:numId w:val="301"/>
        </w:numPr>
      </w:pPr>
      <w:r>
        <w:t>Le reliquaire de saint Tite (</w:t>
      </w:r>
      <w:r>
        <w:rPr>
          <w:rStyle w:val="VerbatimChar"/>
        </w:rPr>
        <w:t>E22_Objet_élaboré_par_l</w:t>
      </w:r>
      <w:r w:rsidR="00E84B0E">
        <w:rPr>
          <w:rStyle w:val="VerbatimChar"/>
        </w:rPr>
        <w:t>’</w:t>
      </w:r>
      <w:r>
        <w:rPr>
          <w:rStyle w:val="VerbatimChar"/>
        </w:rPr>
        <w:t>humain</w:t>
      </w:r>
      <w:r>
        <w:t>) définit (</w:t>
      </w:r>
      <w:r>
        <w:rPr>
          <w:rStyle w:val="VerbatimChar"/>
        </w:rPr>
        <w:t>P196_définit</w:t>
      </w:r>
      <w:r>
        <w:t>) le volume spatio-temporel du reliquaire de saint Tite (</w:t>
      </w:r>
      <w:r>
        <w:rPr>
          <w:rStyle w:val="VerbatimChar"/>
        </w:rPr>
        <w:t>E92_Volume_spatio-temporel</w:t>
      </w:r>
      <w:r>
        <w:t>) [le reliquaire a été produit par l</w:t>
      </w:r>
      <w:r w:rsidR="00E84B0E">
        <w:t>’</w:t>
      </w:r>
      <w:r>
        <w:t>atelier des frères Vogiatzis situé à Monastiraki à Athènes en 1966 comme contenant pour le crâne de saint Tite. Le crâne a été placé à l</w:t>
      </w:r>
      <w:r w:rsidR="00E84B0E">
        <w:t>’</w:t>
      </w:r>
      <w:r>
        <w:t>intérieur au même moment et a continué d</w:t>
      </w:r>
      <w:r w:rsidR="00E84B0E">
        <w:t>’</w:t>
      </w:r>
      <w:r>
        <w:t>être dans le volume spatio-temporel du conteneur depuis ce jour. Le reliquaire contenant le crâne est conservé dans l</w:t>
      </w:r>
      <w:r w:rsidR="00E84B0E">
        <w:t>’</w:t>
      </w:r>
      <w:r>
        <w:t>église Saint-Titus d</w:t>
      </w:r>
      <w:r w:rsidR="00E84B0E">
        <w:t>’</w:t>
      </w:r>
      <w:r>
        <w:t xml:space="preserve">Héraklion en Crète depuis 1966] (Fisher </w:t>
      </w:r>
      <w:r w:rsidR="00914F34">
        <w:t xml:space="preserve">&amp; </w:t>
      </w:r>
      <w:r>
        <w:t>Garvey, 2010; Panotis, 2016)</w:t>
      </w:r>
    </w:p>
    <w:p w14:paraId="7AF59E6E" w14:textId="77777777" w:rsidR="003E6361" w:rsidRDefault="003E6361">
      <w:pPr>
        <w:spacing w:after="0"/>
        <w:rPr>
          <w:b/>
          <w:bCs/>
        </w:rPr>
      </w:pPr>
      <w:r>
        <w:rPr>
          <w:b/>
          <w:bCs/>
        </w:rPr>
        <w:br w:type="page"/>
      </w:r>
    </w:p>
    <w:p w14:paraId="6919F863" w14:textId="5181C87F" w:rsidR="00065317" w:rsidRDefault="005C7BF7">
      <w:pPr>
        <w:pStyle w:val="FirstParagraph"/>
      </w:pPr>
      <w:r>
        <w:rPr>
          <w:b/>
          <w:bCs/>
        </w:rPr>
        <w:lastRenderedPageBreak/>
        <w:t>Logique</w:t>
      </w:r>
    </w:p>
    <w:p w14:paraId="245AE88D" w14:textId="77777777" w:rsidR="00065317" w:rsidRDefault="005C7BF7">
      <w:pPr>
        <w:pStyle w:val="Corpsdetexte"/>
      </w:pPr>
      <w:r>
        <w:t>P196(x,y) ⇒ E18(x)</w:t>
      </w:r>
    </w:p>
    <w:p w14:paraId="4E9822FE" w14:textId="77777777" w:rsidR="00065317" w:rsidRDefault="005C7BF7">
      <w:pPr>
        <w:pStyle w:val="Corpsdetexte"/>
      </w:pPr>
      <w:r>
        <w:t>P196(x,y) ⇒ E92(y)</w:t>
      </w:r>
    </w:p>
    <w:p w14:paraId="3D8345D6" w14:textId="77777777" w:rsidR="00065317" w:rsidRDefault="005C7BF7">
      <w:pPr>
        <w:pStyle w:val="Corpsdetexte"/>
      </w:pPr>
      <w:r>
        <w:rPr>
          <w:b/>
          <w:bCs/>
        </w:rPr>
        <w:t>Propriétés</w:t>
      </w:r>
    </w:p>
    <w:p w14:paraId="701AFB3B" w14:textId="77777777" w:rsidR="00065317" w:rsidRDefault="005C7BF7">
      <w:pPr>
        <w:pStyle w:val="Normalcentr"/>
      </w:pPr>
      <w:r>
        <w:rPr>
          <w:b/>
          <w:bCs/>
          <w:i/>
          <w:iCs/>
        </w:rPr>
        <w:t>Note de traduction</w:t>
      </w:r>
    </w:p>
    <w:p w14:paraId="62B66CD4" w14:textId="7367DA00" w:rsidR="00065317" w:rsidRDefault="005C7BF7" w:rsidP="0002103D">
      <w:pPr>
        <w:pStyle w:val="Normalcentr"/>
      </w:pPr>
      <w:r>
        <w:rPr>
          <w:b/>
          <w:bCs/>
          <w:i/>
          <w:iCs/>
        </w:rPr>
        <w:t>Références</w:t>
      </w:r>
    </w:p>
    <w:p w14:paraId="0B79EEDD" w14:textId="77777777" w:rsidR="00065317" w:rsidRDefault="005C7BF7" w:rsidP="00914F34">
      <w:pPr>
        <w:pStyle w:val="Titre3"/>
      </w:pPr>
      <w:bookmarkStart w:id="586" w:name="_Toc154048978"/>
      <w:bookmarkStart w:id="587" w:name="Xb5a00c69bda07e7838e83d03af62d60c19a8631"/>
      <w:bookmarkEnd w:id="585"/>
      <w:r>
        <w:t>P197 a couvert des parties de (a été partiellement couvert par)</w:t>
      </w:r>
      <w:bookmarkEnd w:id="586"/>
    </w:p>
    <w:p w14:paraId="5FCD52B3" w14:textId="77777777" w:rsidR="00065317" w:rsidRDefault="005C7BF7">
      <w:pPr>
        <w:pStyle w:val="FirstParagraph"/>
      </w:pPr>
      <w:r>
        <w:rPr>
          <w:b/>
          <w:bCs/>
        </w:rPr>
        <w:t>Domaine</w:t>
      </w:r>
    </w:p>
    <w:p w14:paraId="374697FA" w14:textId="72232310" w:rsidR="00834C26" w:rsidRDefault="005C7BF7">
      <w:pPr>
        <w:pStyle w:val="Corpsdetexte"/>
        <w:rPr>
          <w:b/>
          <w:bCs/>
        </w:rPr>
      </w:pPr>
      <w:r>
        <w:rPr>
          <w:rStyle w:val="VerbatimChar"/>
        </w:rPr>
        <w:t>E93_Présence</w:t>
      </w:r>
    </w:p>
    <w:p w14:paraId="59A24004" w14:textId="6A075B4D" w:rsidR="00065317" w:rsidRDefault="005C7BF7">
      <w:pPr>
        <w:pStyle w:val="Corpsdetexte"/>
      </w:pPr>
      <w:r>
        <w:rPr>
          <w:b/>
          <w:bCs/>
        </w:rPr>
        <w:t>Portée</w:t>
      </w:r>
    </w:p>
    <w:p w14:paraId="407EB803" w14:textId="77777777" w:rsidR="00065317" w:rsidRDefault="005C7BF7">
      <w:pPr>
        <w:pStyle w:val="Corpsdetexte"/>
      </w:pPr>
      <w:r>
        <w:rPr>
          <w:rStyle w:val="VerbatimChar"/>
        </w:rPr>
        <w:t>E53_Lieu</w:t>
      </w:r>
    </w:p>
    <w:p w14:paraId="58662DC5" w14:textId="77777777" w:rsidR="00065317" w:rsidRDefault="005C7BF7">
      <w:pPr>
        <w:pStyle w:val="Corpsdetexte"/>
      </w:pPr>
      <w:r>
        <w:rPr>
          <w:b/>
          <w:bCs/>
        </w:rPr>
        <w:t>Sous-propriété de</w:t>
      </w:r>
    </w:p>
    <w:p w14:paraId="62F6C0DF" w14:textId="77777777" w:rsidR="00065317" w:rsidRDefault="005C7BF7">
      <w:pPr>
        <w:pStyle w:val="Corpsdetexte"/>
      </w:pPr>
      <w:r>
        <w:rPr>
          <w:b/>
          <w:bCs/>
        </w:rPr>
        <w:t>Super-propriété de</w:t>
      </w:r>
    </w:p>
    <w:p w14:paraId="2F5210D7" w14:textId="77777777" w:rsidR="00065317" w:rsidRDefault="005C7BF7">
      <w:pPr>
        <w:pStyle w:val="Corpsdetexte"/>
      </w:pPr>
      <w:r>
        <w:rPr>
          <w:b/>
          <w:bCs/>
        </w:rPr>
        <w:t>Quantification</w:t>
      </w:r>
    </w:p>
    <w:p w14:paraId="7A5CDC2C" w14:textId="77777777" w:rsidR="00065317" w:rsidRDefault="005C7BF7">
      <w:pPr>
        <w:pStyle w:val="Corpsdetexte"/>
      </w:pPr>
      <w:r>
        <w:t>plusieurs à plusieurs (0,n:0,n)</w:t>
      </w:r>
    </w:p>
    <w:p w14:paraId="57777C8B" w14:textId="421F47D6" w:rsidR="00065317" w:rsidRDefault="005C7BF7">
      <w:pPr>
        <w:pStyle w:val="Corpsdetexte"/>
      </w:pPr>
      <w:r>
        <w:rPr>
          <w:b/>
          <w:bCs/>
        </w:rPr>
        <w:t>Note d</w:t>
      </w:r>
      <w:r w:rsidR="00E84B0E">
        <w:rPr>
          <w:b/>
          <w:bCs/>
        </w:rPr>
        <w:t>’</w:t>
      </w:r>
      <w:r>
        <w:rPr>
          <w:b/>
          <w:bCs/>
        </w:rPr>
        <w:t>application</w:t>
      </w:r>
    </w:p>
    <w:p w14:paraId="1DF1C461" w14:textId="745D7F65" w:rsidR="00065317" w:rsidRDefault="005C7BF7">
      <w:pPr>
        <w:pStyle w:val="Corpsdetexte"/>
      </w:pPr>
      <w:r>
        <w:t xml:space="preserve">Cette propriété associe une instance de </w:t>
      </w:r>
      <w:r>
        <w:rPr>
          <w:rStyle w:val="VerbatimChar"/>
        </w:rPr>
        <w:t>E93_Présence</w:t>
      </w:r>
      <w:r>
        <w:t xml:space="preserve"> avec une instance de </w:t>
      </w:r>
      <w:r>
        <w:rPr>
          <w:rStyle w:val="VerbatimChar"/>
        </w:rPr>
        <w:t>E53_Lieu</w:t>
      </w:r>
      <w:r>
        <w:t xml:space="preserve"> qui recoupe géométriquement la projection spatiale de l</w:t>
      </w:r>
      <w:r w:rsidR="00E84B0E">
        <w:t>’</w:t>
      </w:r>
      <w:r>
        <w:t xml:space="preserve">instance de </w:t>
      </w:r>
      <w:r>
        <w:rPr>
          <w:rStyle w:val="VerbatimChar"/>
        </w:rPr>
        <w:t>E93_Présence</w:t>
      </w:r>
      <w:r>
        <w:t>. Un cas d</w:t>
      </w:r>
      <w:r w:rsidR="00E84B0E">
        <w:t>’</w:t>
      </w:r>
      <w:r>
        <w:t>utilisation de cette propriété serait d</w:t>
      </w:r>
      <w:r w:rsidR="00E84B0E">
        <w:t>’</w:t>
      </w:r>
      <w:r>
        <w:t xml:space="preserve">indiquer par quels endroits un objet ou une instance de </w:t>
      </w:r>
      <w:r>
        <w:rPr>
          <w:rStyle w:val="VerbatimChar"/>
        </w:rPr>
        <w:t>E21_Personne</w:t>
      </w:r>
      <w:r>
        <w:t xml:space="preserve"> a bougé ou a été bougé dans un intervalle temporel. Cette propriété peut aussi être utilisée pour décrire une extension partielle ou complète, temporaire ou fixe de l</w:t>
      </w:r>
      <w:r w:rsidR="00E84B0E">
        <w:t>’</w:t>
      </w:r>
      <w:r>
        <w:t>étendue spatiale d</w:t>
      </w:r>
      <w:r w:rsidR="00E84B0E">
        <w:t>’</w:t>
      </w:r>
      <w:r>
        <w:t>un domaine dans une région voisine pendant un intervalle temporel donné.</w:t>
      </w:r>
    </w:p>
    <w:p w14:paraId="5F077595" w14:textId="77777777" w:rsidR="00065317" w:rsidRDefault="005C7BF7">
      <w:pPr>
        <w:pStyle w:val="Corpsdetexte"/>
      </w:pPr>
      <w:r>
        <w:rPr>
          <w:rStyle w:val="VerbatimChar"/>
        </w:rPr>
        <w:t>P197_a_couvert_des_parties_de (a_été_partiellement_couvert_par)</w:t>
      </w:r>
      <w:r>
        <w:t xml:space="preserve"> est un raccourci du chemin sémantique suivant : </w:t>
      </w:r>
      <w:r>
        <w:rPr>
          <w:rStyle w:val="VerbatimChar"/>
        </w:rPr>
        <w:t>E93_Présence</w:t>
      </w:r>
      <w:r>
        <w:t xml:space="preserve">, </w:t>
      </w:r>
      <w:r>
        <w:rPr>
          <w:rStyle w:val="VerbatimChar"/>
        </w:rPr>
        <w:t>P161_a_pour_projection_spatiale (est_la_projection_spatiale_de)</w:t>
      </w:r>
      <w:r>
        <w:t xml:space="preserve">, </w:t>
      </w:r>
      <w:r>
        <w:rPr>
          <w:rStyle w:val="VerbatimChar"/>
        </w:rPr>
        <w:t>E53_Lieu</w:t>
      </w:r>
      <w:r>
        <w:t xml:space="preserve">, </w:t>
      </w:r>
      <w:r>
        <w:rPr>
          <w:rStyle w:val="VerbatimChar"/>
        </w:rPr>
        <w:t>P121_se_superpose_partiellement_à</w:t>
      </w:r>
      <w:r>
        <w:t xml:space="preserve">, </w:t>
      </w:r>
      <w:r>
        <w:rPr>
          <w:rStyle w:val="VerbatimChar"/>
        </w:rPr>
        <w:t>E53_Lieu</w:t>
      </w:r>
      <w:r>
        <w:t>.</w:t>
      </w:r>
    </w:p>
    <w:p w14:paraId="3C36C5BF" w14:textId="77777777" w:rsidR="00065317" w:rsidRDefault="005C7BF7">
      <w:pPr>
        <w:pStyle w:val="Corpsdetexte"/>
      </w:pPr>
      <w:r>
        <w:rPr>
          <w:b/>
          <w:bCs/>
        </w:rPr>
        <w:t>Exemples</w:t>
      </w:r>
    </w:p>
    <w:p w14:paraId="1C4D0A74" w14:textId="0C94AD41" w:rsidR="00065317" w:rsidRDefault="005C7BF7">
      <w:pPr>
        <w:numPr>
          <w:ilvl w:val="0"/>
          <w:numId w:val="302"/>
        </w:numPr>
      </w:pPr>
      <w:r>
        <w:t>La localisation de Johann Joachim Winckelmann du 19</w:t>
      </w:r>
      <w:r w:rsidR="00056DCD">
        <w:t> novembre </w:t>
      </w:r>
      <w:r>
        <w:t>1755 au 9</w:t>
      </w:r>
      <w:r w:rsidR="00056DCD">
        <w:t> avril </w:t>
      </w:r>
      <w:r>
        <w:t>1768 (</w:t>
      </w:r>
      <w:r>
        <w:rPr>
          <w:rStyle w:val="VerbatimChar"/>
        </w:rPr>
        <w:t>E93_Présence</w:t>
      </w:r>
      <w:r>
        <w:t>) a couvert des parties de (</w:t>
      </w:r>
      <w:r>
        <w:rPr>
          <w:rStyle w:val="VerbatimChar"/>
        </w:rPr>
        <w:t>P197_a_couvert_des_parties_de</w:t>
      </w:r>
      <w:r>
        <w:t>) P</w:t>
      </w:r>
      <w:r w:rsidR="00B40400">
        <w:t>ae</w:t>
      </w:r>
      <w:r>
        <w:t>stum, Italie (</w:t>
      </w:r>
      <w:r>
        <w:rPr>
          <w:rStyle w:val="VerbatimChar"/>
        </w:rPr>
        <w:t>E53_Lieu</w:t>
      </w:r>
      <w:r>
        <w:t>) (Wiencke, 1998)</w:t>
      </w:r>
    </w:p>
    <w:p w14:paraId="5296C45A" w14:textId="446BCD49" w:rsidR="00065317" w:rsidRDefault="005C7BF7">
      <w:pPr>
        <w:numPr>
          <w:ilvl w:val="0"/>
          <w:numId w:val="302"/>
        </w:numPr>
      </w:pPr>
      <w:r>
        <w:t>L</w:t>
      </w:r>
      <w:r w:rsidR="00E84B0E">
        <w:t>’</w:t>
      </w:r>
      <w:r>
        <w:t>Empire byzantin en 1013 EC (</w:t>
      </w:r>
      <w:r>
        <w:rPr>
          <w:rStyle w:val="VerbatimChar"/>
        </w:rPr>
        <w:t>E93_Présence</w:t>
      </w:r>
      <w:r>
        <w:t>) a couvert des parties de (</w:t>
      </w:r>
      <w:r>
        <w:rPr>
          <w:rStyle w:val="VerbatimChar"/>
        </w:rPr>
        <w:t>P197_a_couvert_des_parties_de</w:t>
      </w:r>
      <w:r>
        <w:t>) la péninsule italienne (</w:t>
      </w:r>
      <w:r>
        <w:rPr>
          <w:rStyle w:val="VerbatimChar"/>
        </w:rPr>
        <w:t>E53_Lieu</w:t>
      </w:r>
      <w:r>
        <w:t>) (Browning, 1980)</w:t>
      </w:r>
    </w:p>
    <w:p w14:paraId="7CF7A415" w14:textId="77777777" w:rsidR="00065317" w:rsidRDefault="005C7BF7">
      <w:pPr>
        <w:pStyle w:val="FirstParagraph"/>
      </w:pPr>
      <w:r>
        <w:rPr>
          <w:b/>
          <w:bCs/>
        </w:rPr>
        <w:t>Logique</w:t>
      </w:r>
    </w:p>
    <w:p w14:paraId="435EAF57" w14:textId="77777777" w:rsidR="00065317" w:rsidRDefault="005C7BF7">
      <w:pPr>
        <w:pStyle w:val="Corpsdetexte"/>
      </w:pPr>
      <w:r>
        <w:t>P197(x,y) ⇒ E93(x)</w:t>
      </w:r>
    </w:p>
    <w:p w14:paraId="2279843C" w14:textId="77777777" w:rsidR="00065317" w:rsidRDefault="005C7BF7">
      <w:pPr>
        <w:pStyle w:val="Corpsdetexte"/>
      </w:pPr>
      <w:r>
        <w:t>P197(x,y) ⇒ E53(y)</w:t>
      </w:r>
    </w:p>
    <w:p w14:paraId="14186064" w14:textId="77777777" w:rsidR="003E6361" w:rsidRDefault="003E6361">
      <w:pPr>
        <w:spacing w:after="0"/>
        <w:rPr>
          <w:b/>
          <w:bCs/>
        </w:rPr>
      </w:pPr>
      <w:r>
        <w:rPr>
          <w:b/>
          <w:bCs/>
        </w:rPr>
        <w:br w:type="page"/>
      </w:r>
    </w:p>
    <w:p w14:paraId="2AD2AD4B" w14:textId="3BCBCA30" w:rsidR="00065317" w:rsidRDefault="005C7BF7">
      <w:pPr>
        <w:pStyle w:val="Corpsdetexte"/>
      </w:pPr>
      <w:r>
        <w:rPr>
          <w:b/>
          <w:bCs/>
        </w:rPr>
        <w:lastRenderedPageBreak/>
        <w:t>Propriétés</w:t>
      </w:r>
    </w:p>
    <w:p w14:paraId="6F4ED243" w14:textId="77777777" w:rsidR="00065317" w:rsidRDefault="005C7BF7">
      <w:pPr>
        <w:pStyle w:val="Normalcentr"/>
      </w:pPr>
      <w:r>
        <w:rPr>
          <w:b/>
          <w:bCs/>
          <w:i/>
          <w:iCs/>
        </w:rPr>
        <w:t>Note de traduction</w:t>
      </w:r>
    </w:p>
    <w:p w14:paraId="1F00ABAA" w14:textId="490520C3" w:rsidR="00065317" w:rsidRDefault="005C7BF7" w:rsidP="0002103D">
      <w:pPr>
        <w:pStyle w:val="Normalcentr"/>
      </w:pPr>
      <w:r>
        <w:rPr>
          <w:b/>
          <w:bCs/>
          <w:i/>
          <w:iCs/>
        </w:rPr>
        <w:t>Références</w:t>
      </w:r>
    </w:p>
    <w:p w14:paraId="77C66B53" w14:textId="77777777" w:rsidR="00065317" w:rsidRDefault="005C7BF7" w:rsidP="00914F34">
      <w:pPr>
        <w:pStyle w:val="Titre3"/>
      </w:pPr>
      <w:bookmarkStart w:id="588" w:name="_Toc154048979"/>
      <w:bookmarkStart w:id="589" w:name="Xdda5283b0f3cfd261ff834b809ced2056de49ae"/>
      <w:bookmarkEnd w:id="587"/>
      <w:r>
        <w:t>P198 contient ou soutient (est contenu ou soutenu par)</w:t>
      </w:r>
      <w:bookmarkEnd w:id="588"/>
    </w:p>
    <w:p w14:paraId="121055CD" w14:textId="77777777" w:rsidR="00065317" w:rsidRDefault="005C7BF7">
      <w:pPr>
        <w:pStyle w:val="FirstParagraph"/>
      </w:pPr>
      <w:r>
        <w:rPr>
          <w:b/>
          <w:bCs/>
        </w:rPr>
        <w:t>Domaine</w:t>
      </w:r>
    </w:p>
    <w:p w14:paraId="17B85CB0" w14:textId="77777777" w:rsidR="00065317" w:rsidRDefault="005C7BF7">
      <w:pPr>
        <w:pStyle w:val="Corpsdetexte"/>
      </w:pPr>
      <w:r>
        <w:rPr>
          <w:rStyle w:val="VerbatimChar"/>
        </w:rPr>
        <w:t>E18_Chose_matérielle</w:t>
      </w:r>
    </w:p>
    <w:p w14:paraId="16C87CCB" w14:textId="77777777" w:rsidR="00065317" w:rsidRDefault="005C7BF7">
      <w:pPr>
        <w:pStyle w:val="Corpsdetexte"/>
      </w:pPr>
      <w:r>
        <w:rPr>
          <w:b/>
          <w:bCs/>
        </w:rPr>
        <w:t>Portée</w:t>
      </w:r>
    </w:p>
    <w:p w14:paraId="24683BB5" w14:textId="77777777" w:rsidR="00065317" w:rsidRDefault="005C7BF7">
      <w:pPr>
        <w:pStyle w:val="Corpsdetexte"/>
      </w:pPr>
      <w:r>
        <w:rPr>
          <w:rStyle w:val="VerbatimChar"/>
        </w:rPr>
        <w:t>E18_Chose_matérielle</w:t>
      </w:r>
    </w:p>
    <w:p w14:paraId="4DC75EED" w14:textId="77777777" w:rsidR="00065317" w:rsidRDefault="005C7BF7">
      <w:pPr>
        <w:pStyle w:val="Corpsdetexte"/>
      </w:pPr>
      <w:r>
        <w:rPr>
          <w:b/>
          <w:bCs/>
        </w:rPr>
        <w:t>Sous-propriété de</w:t>
      </w:r>
    </w:p>
    <w:p w14:paraId="74919192" w14:textId="77777777" w:rsidR="00065317" w:rsidRDefault="005C7BF7">
      <w:pPr>
        <w:pStyle w:val="Corpsdetexte"/>
      </w:pPr>
      <w:r>
        <w:rPr>
          <w:b/>
          <w:bCs/>
        </w:rPr>
        <w:t>Super-propriété de</w:t>
      </w:r>
    </w:p>
    <w:p w14:paraId="0F8A8853" w14:textId="77777777" w:rsidR="00065317" w:rsidRDefault="005C7BF7">
      <w:pPr>
        <w:pStyle w:val="Corpsdetexte"/>
      </w:pPr>
      <w:r>
        <w:rPr>
          <w:b/>
          <w:bCs/>
        </w:rPr>
        <w:t>Quantification</w:t>
      </w:r>
    </w:p>
    <w:p w14:paraId="509C9C69" w14:textId="77777777" w:rsidR="00065317" w:rsidRDefault="005C7BF7">
      <w:pPr>
        <w:pStyle w:val="Corpsdetexte"/>
      </w:pPr>
      <w:r>
        <w:t>un à plusieurs (0,n:0,n)</w:t>
      </w:r>
    </w:p>
    <w:p w14:paraId="23295431" w14:textId="3E028339" w:rsidR="00065317" w:rsidRDefault="005C7BF7">
      <w:pPr>
        <w:pStyle w:val="Corpsdetexte"/>
      </w:pPr>
      <w:r>
        <w:rPr>
          <w:b/>
          <w:bCs/>
        </w:rPr>
        <w:t>Note d</w:t>
      </w:r>
      <w:r w:rsidR="00E84B0E">
        <w:rPr>
          <w:b/>
          <w:bCs/>
        </w:rPr>
        <w:t>’</w:t>
      </w:r>
      <w:r>
        <w:rPr>
          <w:b/>
          <w:bCs/>
        </w:rPr>
        <w:t>application</w:t>
      </w:r>
    </w:p>
    <w:p w14:paraId="038FB2CC" w14:textId="749217A5" w:rsidR="00065317" w:rsidRDefault="005C7BF7">
      <w:pPr>
        <w:pStyle w:val="Corpsdetexte"/>
      </w:pPr>
      <w:r>
        <w:t xml:space="preserve">Cette propriété relie une instance de </w:t>
      </w:r>
      <w:r>
        <w:rPr>
          <w:rStyle w:val="VerbatimChar"/>
        </w:rPr>
        <w:t>E18_Chose_matérielle</w:t>
      </w:r>
      <w:r>
        <w:t xml:space="preserve"> qui sert de contenant ou de support à une instance de </w:t>
      </w:r>
      <w:r>
        <w:rPr>
          <w:rStyle w:val="VerbatimChar"/>
        </w:rPr>
        <w:t>E18_Chose_matérielle</w:t>
      </w:r>
      <w:r>
        <w:t xml:space="preserve"> qui est supportée ou contenue. Des exemples typiques d</w:t>
      </w:r>
      <w:r w:rsidR="00E84B0E">
        <w:t>’</w:t>
      </w:r>
      <w:r>
        <w:t xml:space="preserve">instances de </w:t>
      </w:r>
      <w:r>
        <w:rPr>
          <w:rStyle w:val="VerbatimChar"/>
        </w:rPr>
        <w:t>E18_Chose_matérielle</w:t>
      </w:r>
      <w:r>
        <w:t xml:space="preserve"> qui ont pour fonction d</w:t>
      </w:r>
      <w:r w:rsidR="00E84B0E">
        <w:t>’</w:t>
      </w:r>
      <w:r>
        <w:t>être un contenant ou un support comprennent des étagères, des dossiers ou des boîtes. Ces contenants ou supports fournissent une surface stable qui est destinée à recevoir sur elle d</w:t>
      </w:r>
      <w:r w:rsidR="00E84B0E">
        <w:t>’</w:t>
      </w:r>
      <w:r>
        <w:t>autres objets physiques pour entreposage, affichage, transport ou d</w:t>
      </w:r>
      <w:r w:rsidR="00E84B0E">
        <w:t>’</w:t>
      </w:r>
      <w:r>
        <w:t>autres fonctions similaires.</w:t>
      </w:r>
    </w:p>
    <w:p w14:paraId="3ACAEB2A" w14:textId="36E77F57" w:rsidR="00065317" w:rsidRDefault="005C7BF7">
      <w:pPr>
        <w:pStyle w:val="Corpsdetexte"/>
      </w:pPr>
      <w:r>
        <w:t xml:space="preserve">Cette propriété est un raccourci du chemin sémantique suivant : </w:t>
      </w:r>
      <w:r>
        <w:rPr>
          <w:rStyle w:val="VerbatimChar"/>
        </w:rPr>
        <w:t>E18_Chose_matérielle</w:t>
      </w:r>
      <w:r>
        <w:t xml:space="preserve">, </w:t>
      </w:r>
      <w:r>
        <w:rPr>
          <w:rStyle w:val="VerbatimChar"/>
        </w:rPr>
        <w:t>P59_a_pour_section</w:t>
      </w:r>
      <w:r>
        <w:t xml:space="preserve">, </w:t>
      </w:r>
      <w:r>
        <w:rPr>
          <w:rStyle w:val="VerbatimChar"/>
        </w:rPr>
        <w:t>E53_Lieu</w:t>
      </w:r>
      <w:r>
        <w:t xml:space="preserve">, </w:t>
      </w:r>
      <w:r>
        <w:rPr>
          <w:rStyle w:val="VerbatimChar"/>
        </w:rPr>
        <w:t>P53i_est_la_localisation_actuelle_ou_antérieure_de</w:t>
      </w:r>
      <w:r>
        <w:t xml:space="preserve">, </w:t>
      </w:r>
      <w:r>
        <w:rPr>
          <w:rStyle w:val="VerbatimChar"/>
        </w:rPr>
        <w:t>E18_Chose_matérielle</w:t>
      </w:r>
      <w:r>
        <w:t>. Il ne s</w:t>
      </w:r>
      <w:r w:rsidR="00E84B0E">
        <w:t>’</w:t>
      </w:r>
      <w:r>
        <w:t>agit pas d</w:t>
      </w:r>
      <w:r w:rsidR="00E84B0E">
        <w:t>’</w:t>
      </w:r>
      <w:r>
        <w:t xml:space="preserve">une sous-propriété de </w:t>
      </w:r>
      <w:r>
        <w:rPr>
          <w:rStyle w:val="VerbatimChar"/>
        </w:rPr>
        <w:t>P46_est_composé_de (fait_partie_de)</w:t>
      </w:r>
      <w:r>
        <w:t>, car l</w:t>
      </w:r>
      <w:r w:rsidR="00E84B0E">
        <w:t>’</w:t>
      </w:r>
      <w:r>
        <w:t>objet contenu ou supporté n</w:t>
      </w:r>
      <w:r w:rsidR="00E84B0E">
        <w:t>’</w:t>
      </w:r>
      <w:r>
        <w:t>est pas un composant du contenant ou du support.</w:t>
      </w:r>
    </w:p>
    <w:p w14:paraId="15AC86CC" w14:textId="1A80495E" w:rsidR="00065317" w:rsidRDefault="005C7BF7">
      <w:pPr>
        <w:pStyle w:val="Corpsdetexte"/>
      </w:pPr>
      <w:r>
        <w:t>Cette propriété peut être utilisée pour éviter l</w:t>
      </w:r>
      <w:r w:rsidR="00E84B0E">
        <w:t>’</w:t>
      </w:r>
      <w:r>
        <w:t xml:space="preserve">instanciation explicite de la classe </w:t>
      </w:r>
      <w:r>
        <w:rPr>
          <w:rStyle w:val="VerbatimChar"/>
        </w:rPr>
        <w:t>E53_Lieu</w:t>
      </w:r>
      <w:r>
        <w:t xml:space="preserve"> qui est définie par une instance de </w:t>
      </w:r>
      <w:r>
        <w:rPr>
          <w:rStyle w:val="VerbatimChar"/>
        </w:rPr>
        <w:t>E18_Chose_matérielle</w:t>
      </w:r>
      <w:r>
        <w:t>, en particulier lorsque la seule utilisation prévue de cette dernière est d</w:t>
      </w:r>
      <w:r w:rsidR="00E84B0E">
        <w:t>’</w:t>
      </w:r>
      <w:r>
        <w:t>être un contenant ou une surface pour l</w:t>
      </w:r>
      <w:r w:rsidR="00E84B0E">
        <w:t>’</w:t>
      </w:r>
      <w:r>
        <w:t>entreposage d</w:t>
      </w:r>
      <w:r w:rsidR="00E84B0E">
        <w:t>’</w:t>
      </w:r>
      <w:r>
        <w:t xml:space="preserve">autres instances de </w:t>
      </w:r>
      <w:r>
        <w:rPr>
          <w:rStyle w:val="VerbatimChar"/>
        </w:rPr>
        <w:t>E18_Chose_matérielle</w:t>
      </w:r>
      <w:r>
        <w:t>. L</w:t>
      </w:r>
      <w:r w:rsidR="00E84B0E">
        <w:t>’</w:t>
      </w:r>
      <w:r>
        <w:t>existence du lieu est définie par l</w:t>
      </w:r>
      <w:r w:rsidR="00E84B0E">
        <w:t>’</w:t>
      </w:r>
      <w:r>
        <w:t>existence du contenant ou de la surface et disparaîtra en même temps que l</w:t>
      </w:r>
      <w:r w:rsidR="00E84B0E">
        <w:t>’</w:t>
      </w:r>
      <w:r>
        <w:t xml:space="preserve">instance de </w:t>
      </w:r>
      <w:r>
        <w:rPr>
          <w:rStyle w:val="VerbatimChar"/>
        </w:rPr>
        <w:t>E6_Destruction</w:t>
      </w:r>
      <w:r>
        <w:t xml:space="preserve"> du contenant ou de la surface.</w:t>
      </w:r>
    </w:p>
    <w:p w14:paraId="16BC001A" w14:textId="77777777" w:rsidR="00065317" w:rsidRDefault="005C7BF7">
      <w:pPr>
        <w:pStyle w:val="Corpsdetexte"/>
      </w:pPr>
      <w:r>
        <w:t>Cette propriété est transitive et asymétrique.</w:t>
      </w:r>
    </w:p>
    <w:p w14:paraId="455C9D91" w14:textId="77777777" w:rsidR="00065317" w:rsidRDefault="005C7BF7">
      <w:pPr>
        <w:pStyle w:val="Corpsdetexte"/>
      </w:pPr>
      <w:r>
        <w:rPr>
          <w:b/>
          <w:bCs/>
        </w:rPr>
        <w:t>Exemples</w:t>
      </w:r>
    </w:p>
    <w:p w14:paraId="0D159F64" w14:textId="285347AA" w:rsidR="00065317" w:rsidRDefault="005C7BF7">
      <w:pPr>
        <w:numPr>
          <w:ilvl w:val="0"/>
          <w:numId w:val="303"/>
        </w:numPr>
      </w:pPr>
      <w:r>
        <w:t>Le dossier d</w:t>
      </w:r>
      <w:r w:rsidR="00E84B0E">
        <w:t>’</w:t>
      </w:r>
      <w:r>
        <w:t>archives « 6 » (</w:t>
      </w:r>
      <w:r>
        <w:rPr>
          <w:rStyle w:val="VerbatimChar"/>
        </w:rPr>
        <w:t>E22_Objet_élaboré_par_l</w:t>
      </w:r>
      <w:r w:rsidR="00E84B0E">
        <w:rPr>
          <w:rStyle w:val="VerbatimChar"/>
        </w:rPr>
        <w:t>’</w:t>
      </w:r>
      <w:r>
        <w:rPr>
          <w:rStyle w:val="VerbatimChar"/>
        </w:rPr>
        <w:t>humain</w:t>
      </w:r>
      <w:r>
        <w:t>) contient ou soutient (</w:t>
      </w:r>
      <w:r>
        <w:rPr>
          <w:rStyle w:val="VerbatimChar"/>
        </w:rPr>
        <w:t>P198_contient_ou_soutient</w:t>
      </w:r>
      <w:r>
        <w:t>) le morceau de papier portant le texte d</w:t>
      </w:r>
      <w:r w:rsidR="00E84B0E">
        <w:t>’</w:t>
      </w:r>
      <w:r>
        <w:t>une lettre de Lawrence Alloway à Sylvia Sleigh (</w:t>
      </w:r>
      <w:r>
        <w:rPr>
          <w:rStyle w:val="VerbatimChar"/>
        </w:rPr>
        <w:t>E22_Objet_élaboré_par_l</w:t>
      </w:r>
      <w:r w:rsidR="00E84B0E">
        <w:rPr>
          <w:rStyle w:val="VerbatimChar"/>
        </w:rPr>
        <w:t>’</w:t>
      </w:r>
      <w:r>
        <w:rPr>
          <w:rStyle w:val="VerbatimChar"/>
        </w:rPr>
        <w:t>humain</w:t>
      </w:r>
      <w:r>
        <w:t>) [</w:t>
      </w:r>
      <w:hyperlink r:id="rId311">
        <w:r>
          <w:rPr>
            <w:rStyle w:val="Lienhypertexte"/>
          </w:rPr>
          <w:t>http://archives2.getty.edu:8082/xtf/view?docId=ead/2003.M.46/2003.M.46.xml;chunk.id</w:t>
        </w:r>
      </w:hyperlink>
      <w:r>
        <w:t>]</w:t>
      </w:r>
    </w:p>
    <w:p w14:paraId="11907F65" w14:textId="05A013FA" w:rsidR="00065317" w:rsidRDefault="005C7BF7">
      <w:pPr>
        <w:numPr>
          <w:ilvl w:val="0"/>
          <w:numId w:val="303"/>
        </w:numPr>
      </w:pPr>
      <w:r>
        <w:t>Le dossier d</w:t>
      </w:r>
      <w:r w:rsidR="00E84B0E">
        <w:t>’</w:t>
      </w:r>
      <w:r>
        <w:t>archives « 17 » (</w:t>
      </w:r>
      <w:r>
        <w:rPr>
          <w:rStyle w:val="VerbatimChar"/>
        </w:rPr>
        <w:t>E22_Objet_élaboré_par_l</w:t>
      </w:r>
      <w:r w:rsidR="00E84B0E">
        <w:rPr>
          <w:rStyle w:val="VerbatimChar"/>
        </w:rPr>
        <w:t>’</w:t>
      </w:r>
      <w:r>
        <w:rPr>
          <w:rStyle w:val="VerbatimChar"/>
        </w:rPr>
        <w:t>humain</w:t>
      </w:r>
      <w:r>
        <w:t>) contient ou soutient (</w:t>
      </w:r>
      <w:r>
        <w:rPr>
          <w:rStyle w:val="VerbatimChar"/>
        </w:rPr>
        <w:t>P198_contient_ou_soutient</w:t>
      </w:r>
      <w:r>
        <w:t>) le daguerréotype qui représente l</w:t>
      </w:r>
      <w:r w:rsidR="00E84B0E">
        <w:t>’</w:t>
      </w:r>
      <w:r>
        <w:t>image de Henry Ward Beecher lorsqu</w:t>
      </w:r>
      <w:r w:rsidR="00E84B0E">
        <w:t>’</w:t>
      </w:r>
      <w:r>
        <w:t>il était un jeune garçon (</w:t>
      </w:r>
      <w:r>
        <w:rPr>
          <w:rStyle w:val="VerbatimChar"/>
        </w:rPr>
        <w:t>E22_Objet_élaboré_par_l</w:t>
      </w:r>
      <w:r w:rsidR="00E84B0E">
        <w:rPr>
          <w:rStyle w:val="VerbatimChar"/>
        </w:rPr>
        <w:t>’</w:t>
      </w:r>
      <w:r>
        <w:rPr>
          <w:rStyle w:val="VerbatimChar"/>
        </w:rPr>
        <w:t>humain</w:t>
      </w:r>
      <w:r>
        <w:t>) [</w:t>
      </w:r>
      <w:hyperlink r:id="rId312">
        <w:r>
          <w:rPr>
            <w:rStyle w:val="Lienhypertexte"/>
          </w:rPr>
          <w:t>https://archives.yale.edu/repositories/12/archival_objects/1402266</w:t>
        </w:r>
      </w:hyperlink>
      <w:r>
        <w:t>]</w:t>
      </w:r>
    </w:p>
    <w:p w14:paraId="6F7404C7" w14:textId="53C7E11B" w:rsidR="00065317" w:rsidRDefault="005C7BF7">
      <w:pPr>
        <w:numPr>
          <w:ilvl w:val="0"/>
          <w:numId w:val="303"/>
        </w:numPr>
      </w:pPr>
      <w:r>
        <w:lastRenderedPageBreak/>
        <w:t>La boîte « 88 » (</w:t>
      </w:r>
      <w:r>
        <w:rPr>
          <w:rStyle w:val="VerbatimChar"/>
        </w:rPr>
        <w:t>E22_Objet_élaboré_par_l</w:t>
      </w:r>
      <w:r w:rsidR="00E84B0E">
        <w:rPr>
          <w:rStyle w:val="VerbatimChar"/>
        </w:rPr>
        <w:t>’</w:t>
      </w:r>
      <w:r>
        <w:rPr>
          <w:rStyle w:val="VerbatimChar"/>
        </w:rPr>
        <w:t>humain</w:t>
      </w:r>
      <w:r>
        <w:t>) contient ou soutient (</w:t>
      </w:r>
      <w:r>
        <w:rPr>
          <w:rStyle w:val="VerbatimChar"/>
        </w:rPr>
        <w:t>P198_contient_ou_soutient</w:t>
      </w:r>
      <w:r>
        <w:t>) le dossier « 17 » (</w:t>
      </w:r>
      <w:r>
        <w:rPr>
          <w:rStyle w:val="VerbatimChar"/>
        </w:rPr>
        <w:t>E22_Objet_élaboré_par_l</w:t>
      </w:r>
      <w:r w:rsidR="00E84B0E">
        <w:rPr>
          <w:rStyle w:val="VerbatimChar"/>
        </w:rPr>
        <w:t>’</w:t>
      </w:r>
      <w:r>
        <w:rPr>
          <w:rStyle w:val="VerbatimChar"/>
        </w:rPr>
        <w:t>humain</w:t>
      </w:r>
      <w:r>
        <w:t>) [</w:t>
      </w:r>
      <w:hyperlink r:id="rId313">
        <w:r>
          <w:rPr>
            <w:rStyle w:val="Lienhypertexte"/>
          </w:rPr>
          <w:t>https://archives.yale.edu/repositories/12/archival_objects/1402266</w:t>
        </w:r>
      </w:hyperlink>
      <w:r>
        <w:t>]</w:t>
      </w:r>
    </w:p>
    <w:p w14:paraId="50E8443F" w14:textId="24ADA25F" w:rsidR="00065317" w:rsidRDefault="005C7BF7">
      <w:pPr>
        <w:numPr>
          <w:ilvl w:val="0"/>
          <w:numId w:val="303"/>
        </w:numPr>
      </w:pPr>
      <w:r>
        <w:t>L</w:t>
      </w:r>
      <w:r w:rsidR="00E84B0E">
        <w:t>’</w:t>
      </w:r>
      <w:r>
        <w:t>étagère à livres « GRI-708.1 » (</w:t>
      </w:r>
      <w:r>
        <w:rPr>
          <w:rStyle w:val="VerbatimChar"/>
        </w:rPr>
        <w:t>E22_Objet_élaboré_par_l</w:t>
      </w:r>
      <w:r w:rsidR="00E84B0E">
        <w:rPr>
          <w:rStyle w:val="VerbatimChar"/>
        </w:rPr>
        <w:t>’</w:t>
      </w:r>
      <w:r>
        <w:rPr>
          <w:rStyle w:val="VerbatimChar"/>
        </w:rPr>
        <w:t>humain</w:t>
      </w:r>
      <w:r>
        <w:t>) contient ou soutient (</w:t>
      </w:r>
      <w:r>
        <w:rPr>
          <w:rStyle w:val="VerbatimChar"/>
        </w:rPr>
        <w:t>P198_contient_ou_soutient</w:t>
      </w:r>
      <w:r>
        <w:t xml:space="preserve">) le livre intitulé </w:t>
      </w:r>
      <w:r>
        <w:rPr>
          <w:i/>
          <w:iCs/>
        </w:rPr>
        <w:t>Catalog of Paintings in the J. Paul Getty Museum</w:t>
      </w:r>
      <w:r>
        <w:t xml:space="preserve"> (</w:t>
      </w:r>
      <w:r>
        <w:rPr>
          <w:rStyle w:val="VerbatimChar"/>
        </w:rPr>
        <w:t>E22_Objet_élaboré_par_l</w:t>
      </w:r>
      <w:r w:rsidR="00E84B0E">
        <w:rPr>
          <w:rStyle w:val="VerbatimChar"/>
        </w:rPr>
        <w:t>’</w:t>
      </w:r>
      <w:r>
        <w:rPr>
          <w:rStyle w:val="VerbatimChar"/>
        </w:rPr>
        <w:t>humain</w:t>
      </w:r>
      <w:r>
        <w:t>) (Potts, 2015)</w:t>
      </w:r>
    </w:p>
    <w:p w14:paraId="798F0BC3" w14:textId="77777777" w:rsidR="00065317" w:rsidRDefault="005C7BF7">
      <w:pPr>
        <w:pStyle w:val="FirstParagraph"/>
      </w:pPr>
      <w:r>
        <w:rPr>
          <w:b/>
          <w:bCs/>
        </w:rPr>
        <w:t>Logique</w:t>
      </w:r>
    </w:p>
    <w:p w14:paraId="7FC320BC" w14:textId="77777777" w:rsidR="00065317" w:rsidRDefault="005C7BF7">
      <w:pPr>
        <w:pStyle w:val="Corpsdetexte"/>
      </w:pPr>
      <w:r>
        <w:t>P198(x,y) ⇒ E18(x)</w:t>
      </w:r>
    </w:p>
    <w:p w14:paraId="7BCBD7E3" w14:textId="77777777" w:rsidR="00065317" w:rsidRDefault="005C7BF7">
      <w:pPr>
        <w:pStyle w:val="Corpsdetexte"/>
      </w:pPr>
      <w:r>
        <w:t>P198(x,y) ⇒ E18(y)</w:t>
      </w:r>
    </w:p>
    <w:p w14:paraId="56260897" w14:textId="77777777" w:rsidR="00065317" w:rsidRDefault="005C7BF7">
      <w:pPr>
        <w:pStyle w:val="Corpsdetexte"/>
      </w:pPr>
      <w:r>
        <w:t>[P198(x,y) ∧ P198(y,z)] ⇒ P198(x,z)</w:t>
      </w:r>
    </w:p>
    <w:p w14:paraId="0C245CB4" w14:textId="77777777" w:rsidR="00065317" w:rsidRDefault="005C7BF7">
      <w:pPr>
        <w:pStyle w:val="Corpsdetexte"/>
      </w:pPr>
      <w:r>
        <w:t>[P198(x,y) ∧ P198(z,y)] ⇒ [P198(x,z) ˅ P198(z,x)]</w:t>
      </w:r>
    </w:p>
    <w:p w14:paraId="6A0522AE" w14:textId="77777777" w:rsidR="00065317" w:rsidRDefault="005C7BF7">
      <w:pPr>
        <w:pStyle w:val="Corpsdetexte"/>
      </w:pPr>
      <w:r>
        <w:t>P198(x,y) ⇐ (∃z) [E53(z) ˄ P59(x,z) ˄ P53i(z,y)]</w:t>
      </w:r>
    </w:p>
    <w:p w14:paraId="62105D60" w14:textId="64C6ADBB" w:rsidR="00065317" w:rsidRDefault="005C7BF7">
      <w:pPr>
        <w:pStyle w:val="Corpsdetexte"/>
      </w:pPr>
      <w:r>
        <w:t>P198(x,y) ⇒ P198(y,x)</w:t>
      </w:r>
    </w:p>
    <w:p w14:paraId="28DB28DB" w14:textId="77777777" w:rsidR="00065317" w:rsidRDefault="005C7BF7">
      <w:pPr>
        <w:pStyle w:val="Corpsdetexte"/>
      </w:pPr>
      <w:r>
        <w:rPr>
          <w:b/>
          <w:bCs/>
        </w:rPr>
        <w:t>Propriétés</w:t>
      </w:r>
    </w:p>
    <w:p w14:paraId="7ABB327F" w14:textId="77777777" w:rsidR="00065317" w:rsidRDefault="005C7BF7">
      <w:pPr>
        <w:pStyle w:val="Normalcentr"/>
      </w:pPr>
      <w:r>
        <w:rPr>
          <w:b/>
          <w:bCs/>
          <w:i/>
          <w:iCs/>
        </w:rPr>
        <w:t>Note de traduction</w:t>
      </w:r>
    </w:p>
    <w:p w14:paraId="138F3F6D" w14:textId="3503D76B" w:rsidR="00065317" w:rsidRDefault="005C7BF7" w:rsidP="0002103D">
      <w:pPr>
        <w:pStyle w:val="Normalcentr"/>
      </w:pPr>
      <w:r>
        <w:rPr>
          <w:b/>
          <w:bCs/>
          <w:i/>
          <w:iCs/>
        </w:rPr>
        <w:t>Références</w:t>
      </w:r>
    </w:p>
    <w:p w14:paraId="69ADE96C" w14:textId="77777777" w:rsidR="00FA2C22" w:rsidRDefault="00FA2C22">
      <w:pPr>
        <w:spacing w:after="0"/>
        <w:rPr>
          <w:rFonts w:eastAsiaTheme="majorEastAsia" w:cstheme="majorBidi"/>
          <w:b/>
          <w:bCs/>
          <w:color w:val="000000"/>
          <w:sz w:val="36"/>
          <w:szCs w:val="36"/>
        </w:rPr>
      </w:pPr>
      <w:bookmarkStart w:id="590" w:name="bibliographie-du-cidoc-crm"/>
      <w:bookmarkEnd w:id="268"/>
      <w:bookmarkEnd w:id="589"/>
      <w:r>
        <w:br w:type="page"/>
      </w:r>
    </w:p>
    <w:p w14:paraId="7980E9F9" w14:textId="2D75736C" w:rsidR="00065317" w:rsidRDefault="005C7BF7" w:rsidP="008A0320">
      <w:pPr>
        <w:pStyle w:val="Titre2"/>
      </w:pPr>
      <w:bookmarkStart w:id="591" w:name="_Toc154048980"/>
      <w:r>
        <w:lastRenderedPageBreak/>
        <w:t xml:space="preserve">Bibliographie du </w:t>
      </w:r>
      <w:r w:rsidR="00C8288F">
        <w:t>CIDOC CRM</w:t>
      </w:r>
      <w:bookmarkEnd w:id="591"/>
    </w:p>
    <w:p w14:paraId="619CEA32" w14:textId="77777777" w:rsidR="00065317" w:rsidRPr="00EC2D6E" w:rsidRDefault="005C7BF7" w:rsidP="00652D41">
      <w:pPr>
        <w:pStyle w:val="FirstParagraph"/>
        <w:ind w:left="567" w:hanging="567"/>
        <w:rPr>
          <w:lang w:val="en-CA"/>
        </w:rPr>
      </w:pPr>
      <w:r w:rsidRPr="005D00A8">
        <w:rPr>
          <w:lang w:val="en-CA"/>
        </w:rPr>
        <w:t xml:space="preserve">Aczel, Amir D. 2007. </w:t>
      </w:r>
      <w:r w:rsidRPr="00EC2D6E">
        <w:rPr>
          <w:i/>
          <w:iCs/>
          <w:lang w:val="en-CA"/>
        </w:rPr>
        <w:t>The artist and the mathematician: the story of Nicolas Bourbaki, the genius mathematician who never existed</w:t>
      </w:r>
      <w:r w:rsidRPr="00EC2D6E">
        <w:rPr>
          <w:lang w:val="en-CA"/>
        </w:rPr>
        <w:t>. Londres, GB-LND : High Stakes.</w:t>
      </w:r>
    </w:p>
    <w:p w14:paraId="5BD15A00" w14:textId="52BC2E88" w:rsidR="00065317" w:rsidRPr="00EC2D6E" w:rsidRDefault="005C7BF7" w:rsidP="00652D41">
      <w:pPr>
        <w:pStyle w:val="Corpsdetexte"/>
        <w:ind w:left="567" w:hanging="567"/>
        <w:rPr>
          <w:lang w:val="en-CA"/>
        </w:rPr>
      </w:pPr>
      <w:r w:rsidRPr="00EC2D6E">
        <w:rPr>
          <w:lang w:val="en-CA"/>
        </w:rPr>
        <w:t xml:space="preserve">Adkin, Mark. 2005. </w:t>
      </w:r>
      <w:r w:rsidRPr="00EC2D6E">
        <w:rPr>
          <w:i/>
          <w:iCs/>
          <w:lang w:val="en-CA"/>
        </w:rPr>
        <w:t>The Trafalgar companion: a guide to history</w:t>
      </w:r>
      <w:r w:rsidR="00E84B0E">
        <w:rPr>
          <w:i/>
          <w:iCs/>
          <w:lang w:val="en-CA"/>
        </w:rPr>
        <w:t>’</w:t>
      </w:r>
      <w:r w:rsidRPr="00EC2D6E">
        <w:rPr>
          <w:i/>
          <w:iCs/>
          <w:lang w:val="en-CA"/>
        </w:rPr>
        <w:t>s most famous sea battle and the life of Admiral Lord Nelson</w:t>
      </w:r>
      <w:r w:rsidRPr="00EC2D6E">
        <w:rPr>
          <w:lang w:val="en-CA"/>
        </w:rPr>
        <w:t>. Londres, GB-LND : Aurum Press Ltd.</w:t>
      </w:r>
    </w:p>
    <w:p w14:paraId="0976AA0A" w14:textId="77777777" w:rsidR="00065317" w:rsidRPr="00EC2D6E" w:rsidRDefault="005C7BF7" w:rsidP="00652D41">
      <w:pPr>
        <w:pStyle w:val="Corpsdetexte"/>
        <w:ind w:left="567" w:hanging="567"/>
        <w:rPr>
          <w:lang w:val="en-CA"/>
        </w:rPr>
      </w:pPr>
      <w:r w:rsidRPr="00EC2D6E">
        <w:rPr>
          <w:lang w:val="en-CA"/>
        </w:rPr>
        <w:t xml:space="preserve">Aldridge, Rebecca. 2008. </w:t>
      </w:r>
      <w:r w:rsidRPr="00EC2D6E">
        <w:rPr>
          <w:i/>
          <w:iCs/>
          <w:lang w:val="en-CA"/>
        </w:rPr>
        <w:t>The Sinking of the Titanic.</w:t>
      </w:r>
      <w:r w:rsidRPr="00EC2D6E">
        <w:rPr>
          <w:lang w:val="en-CA"/>
        </w:rPr>
        <w:t xml:space="preserve"> New York, US-NY : Infobase Pub.</w:t>
      </w:r>
    </w:p>
    <w:p w14:paraId="2865F4A9" w14:textId="77777777" w:rsidR="00065317" w:rsidRPr="00EC2D6E" w:rsidRDefault="005C7BF7" w:rsidP="00652D41">
      <w:pPr>
        <w:pStyle w:val="Corpsdetexte"/>
        <w:ind w:left="567" w:hanging="567"/>
        <w:rPr>
          <w:lang w:val="en-CA"/>
        </w:rPr>
      </w:pPr>
      <w:r w:rsidRPr="00EC2D6E">
        <w:rPr>
          <w:lang w:val="en-CA"/>
        </w:rPr>
        <w:t xml:space="preserve">Alighieri, D. 1956. </w:t>
      </w:r>
      <w:r w:rsidRPr="00EC2D6E">
        <w:rPr>
          <w:i/>
          <w:iCs/>
          <w:lang w:val="en-CA"/>
        </w:rPr>
        <w:t>La Divina Commedia: Inferno</w:t>
      </w:r>
      <w:r w:rsidRPr="00EC2D6E">
        <w:rPr>
          <w:lang w:val="en-CA"/>
        </w:rPr>
        <w:t>. New York, US-NY : Folways Records.</w:t>
      </w:r>
    </w:p>
    <w:p w14:paraId="6A67C59E" w14:textId="77777777" w:rsidR="00065317" w:rsidRPr="00EC2D6E" w:rsidRDefault="005C7BF7" w:rsidP="00652D41">
      <w:pPr>
        <w:pStyle w:val="Corpsdetexte"/>
        <w:ind w:left="567" w:hanging="567"/>
        <w:rPr>
          <w:lang w:val="en-CA"/>
        </w:rPr>
      </w:pPr>
      <w:r w:rsidRPr="00EC2D6E">
        <w:rPr>
          <w:lang w:val="en-CA"/>
        </w:rPr>
        <w:t xml:space="preserve">Allen, James F. 1983. « Maintaining knowledge about temporal intervals ». </w:t>
      </w:r>
      <w:r w:rsidRPr="00EC2D6E">
        <w:rPr>
          <w:i/>
          <w:iCs/>
          <w:lang w:val="en-CA"/>
        </w:rPr>
        <w:t>Communications of the ACM</w:t>
      </w:r>
      <w:r w:rsidRPr="00EC2D6E">
        <w:rPr>
          <w:lang w:val="en-CA"/>
        </w:rPr>
        <w:t xml:space="preserve"> 26 (11) : 832‑43. </w:t>
      </w:r>
      <w:hyperlink r:id="rId314">
        <w:r w:rsidRPr="00EC2D6E">
          <w:rPr>
            <w:rStyle w:val="Lienhypertexte"/>
            <w:lang w:val="en-CA"/>
          </w:rPr>
          <w:t>https://doi.org/10.1145/182.358434</w:t>
        </w:r>
      </w:hyperlink>
      <w:r w:rsidRPr="00EC2D6E">
        <w:rPr>
          <w:lang w:val="en-CA"/>
        </w:rPr>
        <w:t>.</w:t>
      </w:r>
    </w:p>
    <w:p w14:paraId="2A153084" w14:textId="77777777" w:rsidR="00065317" w:rsidRPr="00EC2D6E" w:rsidRDefault="005C7BF7" w:rsidP="00652D41">
      <w:pPr>
        <w:pStyle w:val="Corpsdetexte"/>
        <w:ind w:left="567" w:hanging="567"/>
        <w:rPr>
          <w:lang w:val="en-CA"/>
        </w:rPr>
      </w:pPr>
      <w:r w:rsidRPr="00EC2D6E">
        <w:rPr>
          <w:lang w:val="en-CA"/>
        </w:rPr>
        <w:t xml:space="preserve">Andrews, Ian, et Peter Kesteven. 1977. </w:t>
      </w:r>
      <w:r w:rsidRPr="00EC2D6E">
        <w:rPr>
          <w:i/>
          <w:iCs/>
          <w:lang w:val="en-CA"/>
        </w:rPr>
        <w:t>Defeat in the forest</w:t>
      </w:r>
      <w:r w:rsidRPr="00EC2D6E">
        <w:rPr>
          <w:lang w:val="en-CA"/>
        </w:rPr>
        <w:t>. Londres, GB-LND : Cambridge Press.</w:t>
      </w:r>
    </w:p>
    <w:p w14:paraId="09F303EF" w14:textId="2E4809ED" w:rsidR="00065317" w:rsidRPr="003C7A4A" w:rsidRDefault="005C7BF7" w:rsidP="00652D41">
      <w:pPr>
        <w:pStyle w:val="Corpsdetexte"/>
        <w:ind w:left="567" w:hanging="567"/>
        <w:rPr>
          <w:lang w:val="en-US"/>
        </w:rPr>
      </w:pPr>
      <w:r w:rsidRPr="00EC2D6E">
        <w:rPr>
          <w:lang w:val="en-CA"/>
        </w:rPr>
        <w:t>Atlas, Riva D. 2001. « ENRON</w:t>
      </w:r>
      <w:r w:rsidR="00E84B0E">
        <w:rPr>
          <w:lang w:val="en-CA"/>
        </w:rPr>
        <w:t>’</w:t>
      </w:r>
      <w:r w:rsidRPr="00EC2D6E">
        <w:rPr>
          <w:lang w:val="en-CA"/>
        </w:rPr>
        <w:t xml:space="preserve">S COLLAPSE: THE OPTIONS; A Trend Toward Liquidation, Not Company Reorganization ». </w:t>
      </w:r>
      <w:r w:rsidRPr="00EC2D6E">
        <w:rPr>
          <w:i/>
          <w:iCs/>
          <w:lang w:val="en-CA"/>
        </w:rPr>
        <w:t>The New York Times</w:t>
      </w:r>
      <w:r w:rsidRPr="00EC2D6E">
        <w:rPr>
          <w:lang w:val="en-CA"/>
        </w:rPr>
        <w:t>, 30</w:t>
      </w:r>
      <w:r w:rsidR="00056DCD">
        <w:rPr>
          <w:lang w:val="en-CA"/>
        </w:rPr>
        <w:t> novembre </w:t>
      </w:r>
      <w:r w:rsidRPr="00EC2D6E">
        <w:rPr>
          <w:lang w:val="en-CA"/>
        </w:rPr>
        <w:t xml:space="preserve">2001, sect. Business. </w:t>
      </w:r>
      <w:hyperlink r:id="rId315">
        <w:r w:rsidRPr="003C7A4A">
          <w:rPr>
            <w:rStyle w:val="Lienhypertexte"/>
            <w:lang w:val="en-US"/>
          </w:rPr>
          <w:t>https://www.nytimes.com/2001/11/30/business/enron-s-collapse-options-trend-toward-liquidation-not-company-reorganization.html</w:t>
        </w:r>
      </w:hyperlink>
      <w:r w:rsidRPr="003C7A4A">
        <w:rPr>
          <w:lang w:val="en-US"/>
        </w:rPr>
        <w:t>.</w:t>
      </w:r>
    </w:p>
    <w:p w14:paraId="4AEAA258" w14:textId="5DABE505" w:rsidR="00065317" w:rsidRPr="00EC2D6E" w:rsidRDefault="005C7BF7" w:rsidP="00652D41">
      <w:pPr>
        <w:pStyle w:val="Corpsdetexte"/>
        <w:ind w:left="567" w:hanging="567"/>
        <w:rPr>
          <w:lang w:val="en-CA"/>
        </w:rPr>
      </w:pPr>
      <w:r w:rsidRPr="00EC2D6E">
        <w:rPr>
          <w:lang w:val="en-CA"/>
        </w:rPr>
        <w:t xml:space="preserve">Ball, David W. 1962. </w:t>
      </w:r>
      <w:r w:rsidRPr="00EC2D6E">
        <w:rPr>
          <w:i/>
          <w:iCs/>
          <w:lang w:val="en-CA"/>
        </w:rPr>
        <w:t>Maxwell</w:t>
      </w:r>
      <w:r w:rsidR="00E84B0E">
        <w:rPr>
          <w:i/>
          <w:iCs/>
          <w:lang w:val="en-CA"/>
        </w:rPr>
        <w:t>’</w:t>
      </w:r>
      <w:r w:rsidRPr="00EC2D6E">
        <w:rPr>
          <w:i/>
          <w:iCs/>
          <w:lang w:val="en-CA"/>
        </w:rPr>
        <w:t>s equations of electrodynamics: an explanation</w:t>
      </w:r>
      <w:r w:rsidRPr="00EC2D6E">
        <w:rPr>
          <w:lang w:val="en-CA"/>
        </w:rPr>
        <w:t>. US-WA : Spie Press.</w:t>
      </w:r>
    </w:p>
    <w:p w14:paraId="2662DE7D" w14:textId="77777777" w:rsidR="00065317" w:rsidRPr="00EC2D6E" w:rsidRDefault="005C7BF7" w:rsidP="00652D41">
      <w:pPr>
        <w:pStyle w:val="Corpsdetexte"/>
        <w:ind w:left="567" w:hanging="567"/>
        <w:rPr>
          <w:lang w:val="en-CA"/>
        </w:rPr>
      </w:pPr>
      <w:r w:rsidRPr="00EC2D6E">
        <w:rPr>
          <w:lang w:val="en-CA"/>
        </w:rPr>
        <w:t xml:space="preserve">Barber, Nicola. 1994. </w:t>
      </w:r>
      <w:r w:rsidRPr="00EC2D6E">
        <w:rPr>
          <w:i/>
          <w:iCs/>
          <w:lang w:val="en-CA"/>
        </w:rPr>
        <w:t>World War II.</w:t>
      </w:r>
      <w:r w:rsidRPr="00EC2D6E">
        <w:rPr>
          <w:lang w:val="en-CA"/>
        </w:rPr>
        <w:t xml:space="preserve"> Londres, GB-LND : Evans.</w:t>
      </w:r>
    </w:p>
    <w:p w14:paraId="39FE370E" w14:textId="77777777" w:rsidR="00065317" w:rsidRPr="00EC2D6E" w:rsidRDefault="005C7BF7" w:rsidP="00652D41">
      <w:pPr>
        <w:pStyle w:val="Corpsdetexte"/>
        <w:ind w:left="567" w:hanging="567"/>
        <w:rPr>
          <w:lang w:val="en-CA"/>
        </w:rPr>
      </w:pPr>
      <w:r w:rsidRPr="00EC2D6E">
        <w:rPr>
          <w:lang w:val="en-CA"/>
        </w:rPr>
        <w:t xml:space="preserve">Barber, R. L. N. 1999. </w:t>
      </w:r>
      <w:r w:rsidRPr="00EC2D6E">
        <w:rPr>
          <w:i/>
          <w:iCs/>
          <w:lang w:val="en-CA"/>
        </w:rPr>
        <w:t>Athens.</w:t>
      </w:r>
      <w:r w:rsidRPr="00EC2D6E">
        <w:rPr>
          <w:lang w:val="en-CA"/>
        </w:rPr>
        <w:t xml:space="preserve"> Londres, GB-LND : A. &amp; C. Black.</w:t>
      </w:r>
    </w:p>
    <w:p w14:paraId="6892DF29" w14:textId="3F616159" w:rsidR="00065317" w:rsidRPr="00EC2D6E" w:rsidRDefault="005C7BF7" w:rsidP="00652D41">
      <w:pPr>
        <w:pStyle w:val="Corpsdetexte"/>
        <w:ind w:left="567" w:hanging="567"/>
        <w:rPr>
          <w:lang w:val="en-CA"/>
        </w:rPr>
      </w:pPr>
      <w:r w:rsidRPr="00EC2D6E">
        <w:rPr>
          <w:lang w:val="en-CA"/>
        </w:rPr>
        <w:t xml:space="preserve">Barnard, H., S. H. Ambrose, D. E. Beehr, M. D. Forster, R. E. Lanehart, M. E. Malainey, R. E. Parr, M. Rider, C. Solazzo, et R. M. Yohe. 2007. « Mixed results of seven methods for organic residue analysis applied to one vessel with the residue of a known foodstuff ». </w:t>
      </w:r>
      <w:r w:rsidRPr="00EC2D6E">
        <w:rPr>
          <w:i/>
          <w:iCs/>
          <w:lang w:val="en-CA"/>
        </w:rPr>
        <w:t>Journal of Arch</w:t>
      </w:r>
      <w:r w:rsidR="00B40400">
        <w:rPr>
          <w:i/>
          <w:iCs/>
          <w:lang w:val="en-CA"/>
        </w:rPr>
        <w:t>ae</w:t>
      </w:r>
      <w:r w:rsidRPr="00EC2D6E">
        <w:rPr>
          <w:i/>
          <w:iCs/>
          <w:lang w:val="en-CA"/>
        </w:rPr>
        <w:t>ological Science</w:t>
      </w:r>
      <w:r w:rsidRPr="00EC2D6E">
        <w:rPr>
          <w:lang w:val="en-CA"/>
        </w:rPr>
        <w:t xml:space="preserve"> 34 (1) : 28‑37. </w:t>
      </w:r>
      <w:hyperlink r:id="rId316">
        <w:r w:rsidRPr="00EC2D6E">
          <w:rPr>
            <w:rStyle w:val="Lienhypertexte"/>
            <w:lang w:val="en-CA"/>
          </w:rPr>
          <w:t>https://doi.org/10.1016/j.jas.2006.03.010</w:t>
        </w:r>
      </w:hyperlink>
      <w:r w:rsidRPr="00EC2D6E">
        <w:rPr>
          <w:lang w:val="en-CA"/>
        </w:rPr>
        <w:t>.</w:t>
      </w:r>
    </w:p>
    <w:p w14:paraId="6588283F" w14:textId="77777777" w:rsidR="00065317" w:rsidRPr="00EC2D6E" w:rsidRDefault="005C7BF7" w:rsidP="00652D41">
      <w:pPr>
        <w:pStyle w:val="Corpsdetexte"/>
        <w:ind w:left="567" w:hanging="567"/>
        <w:rPr>
          <w:lang w:val="en-CA"/>
        </w:rPr>
      </w:pPr>
      <w:r w:rsidRPr="00EC2D6E">
        <w:rPr>
          <w:lang w:val="en-CA"/>
        </w:rPr>
        <w:t xml:space="preserve">Barton, Stephen Jonathan. 1992. </w:t>
      </w:r>
      <w:r w:rsidRPr="00EC2D6E">
        <w:rPr>
          <w:i/>
          <w:iCs/>
          <w:lang w:val="en-CA"/>
        </w:rPr>
        <w:t>The study of an electrically insulating resin for humid environments.</w:t>
      </w:r>
      <w:r w:rsidRPr="00EC2D6E">
        <w:rPr>
          <w:lang w:val="en-CA"/>
        </w:rPr>
        <w:t xml:space="preserve"> Kingston University Press.</w:t>
      </w:r>
    </w:p>
    <w:p w14:paraId="337CD87F" w14:textId="77777777" w:rsidR="00065317" w:rsidRPr="00EC2D6E" w:rsidRDefault="005C7BF7" w:rsidP="00652D41">
      <w:pPr>
        <w:pStyle w:val="Corpsdetexte"/>
        <w:ind w:left="567" w:hanging="567"/>
        <w:rPr>
          <w:lang w:val="en-CA"/>
        </w:rPr>
      </w:pPr>
      <w:r w:rsidRPr="00EC2D6E">
        <w:rPr>
          <w:lang w:val="en-CA"/>
        </w:rPr>
        <w:t xml:space="preserve">Beckman, O. 1998. « Celsius, Linne and the Celsius Temperature Scale ». </w:t>
      </w:r>
      <w:r w:rsidRPr="00EC2D6E">
        <w:rPr>
          <w:i/>
          <w:iCs/>
          <w:lang w:val="en-CA"/>
        </w:rPr>
        <w:t>Bulletin of the Scientific Instrument Society</w:t>
      </w:r>
      <w:r w:rsidRPr="00EC2D6E">
        <w:rPr>
          <w:lang w:val="en-CA"/>
        </w:rPr>
        <w:t xml:space="preserve"> 56 : 17‑23.</w:t>
      </w:r>
    </w:p>
    <w:p w14:paraId="578A5148" w14:textId="2DD4179B" w:rsidR="00065317" w:rsidRDefault="005C7BF7" w:rsidP="00652D41">
      <w:pPr>
        <w:pStyle w:val="Corpsdetexte"/>
        <w:ind w:left="567" w:hanging="567"/>
      </w:pPr>
      <w:r w:rsidRPr="00523021">
        <w:rPr>
          <w:lang w:val="en-CA"/>
        </w:rPr>
        <w:t xml:space="preserve">Bekiari, Chryssoula, Martin </w:t>
      </w:r>
      <w:r w:rsidR="003C7A4A" w:rsidRPr="00523021">
        <w:rPr>
          <w:lang w:val="en-CA"/>
        </w:rPr>
        <w:t>Doerr</w:t>
      </w:r>
      <w:r w:rsidRPr="00523021">
        <w:rPr>
          <w:lang w:val="en-CA"/>
        </w:rPr>
        <w:t>, Patrick Le B</w:t>
      </w:r>
      <w:r w:rsidR="00F52177" w:rsidRPr="00523021">
        <w:rPr>
          <w:lang w:val="en-CA"/>
        </w:rPr>
        <w:t>oe</w:t>
      </w:r>
      <w:r w:rsidRPr="00523021">
        <w:rPr>
          <w:lang w:val="en-CA"/>
        </w:rPr>
        <w:t xml:space="preserve">uf, et Pat Riva, dir. 2015. </w:t>
      </w:r>
      <w:r w:rsidRPr="00EC2D6E">
        <w:rPr>
          <w:i/>
          <w:iCs/>
          <w:lang w:val="en-CA"/>
        </w:rPr>
        <w:t>FRBR, object-oriented definition and mapping from FRBRER, FRAD and FRSAD</w:t>
      </w:r>
      <w:r w:rsidRPr="00EC2D6E">
        <w:rPr>
          <w:lang w:val="en-CA"/>
        </w:rPr>
        <w:t xml:space="preserve">. </w:t>
      </w:r>
      <w:hyperlink r:id="rId317">
        <w:r>
          <w:rPr>
            <w:rStyle w:val="Lienhypertexte"/>
          </w:rPr>
          <w:t>http://www.cidoc-crm.org/frbroo/sites/default/files/FRBRoo_V2.4.pdf</w:t>
        </w:r>
      </w:hyperlink>
      <w:r>
        <w:t>.</w:t>
      </w:r>
    </w:p>
    <w:p w14:paraId="705D2C7E" w14:textId="77777777" w:rsidR="00065317" w:rsidRPr="003C7A4A" w:rsidRDefault="005C7BF7" w:rsidP="00652D41">
      <w:pPr>
        <w:pStyle w:val="Corpsdetexte"/>
        <w:ind w:left="567" w:hanging="567"/>
        <w:rPr>
          <w:lang w:val="en-CA"/>
        </w:rPr>
      </w:pPr>
      <w:r w:rsidRPr="00EC2D6E">
        <w:rPr>
          <w:lang w:val="en-CA"/>
        </w:rPr>
        <w:t xml:space="preserve">Benaki Museum. 2016. « Childhood, Toys and Games - Benaki Museum ». 2016. </w:t>
      </w:r>
      <w:hyperlink r:id="rId318">
        <w:r w:rsidRPr="003C7A4A">
          <w:rPr>
            <w:rStyle w:val="Lienhypertexte"/>
            <w:lang w:val="en-CA"/>
          </w:rPr>
          <w:t>https://www.benaki.org//index.php?option=com_collections&amp;view=collection&amp;id=45&amp;Itemid=540&amp;lang=en</w:t>
        </w:r>
      </w:hyperlink>
      <w:r w:rsidRPr="003C7A4A">
        <w:rPr>
          <w:lang w:val="en-CA"/>
        </w:rPr>
        <w:t>.</w:t>
      </w:r>
    </w:p>
    <w:p w14:paraId="4180C8D9" w14:textId="77777777" w:rsidR="00065317" w:rsidRPr="00EC2D6E" w:rsidRDefault="005C7BF7" w:rsidP="00652D41">
      <w:pPr>
        <w:pStyle w:val="Corpsdetexte"/>
        <w:ind w:left="567" w:hanging="567"/>
        <w:rPr>
          <w:lang w:val="en-CA"/>
        </w:rPr>
      </w:pPr>
      <w:r w:rsidRPr="00EC2D6E">
        <w:rPr>
          <w:lang w:val="en-CA"/>
        </w:rPr>
        <w:t xml:space="preserve">Berkoff, Steven. 2013. </w:t>
      </w:r>
      <w:r w:rsidRPr="00EC2D6E">
        <w:rPr>
          <w:i/>
          <w:iCs/>
          <w:lang w:val="en-CA"/>
        </w:rPr>
        <w:t>Sturm und Drang</w:t>
      </w:r>
      <w:r w:rsidRPr="00EC2D6E">
        <w:rPr>
          <w:lang w:val="en-CA"/>
        </w:rPr>
        <w:t xml:space="preserve">. Londres, GB-LND : Bloomsbury. </w:t>
      </w:r>
      <w:hyperlink r:id="rId319">
        <w:r w:rsidRPr="00EC2D6E">
          <w:rPr>
            <w:rStyle w:val="Lienhypertexte"/>
            <w:lang w:val="en-CA"/>
          </w:rPr>
          <w:t>http://dx.doi.org/10.5040/9780571291168.00000104</w:t>
        </w:r>
      </w:hyperlink>
      <w:r w:rsidRPr="00EC2D6E">
        <w:rPr>
          <w:lang w:val="en-CA"/>
        </w:rPr>
        <w:t>.</w:t>
      </w:r>
    </w:p>
    <w:p w14:paraId="04A5F60A" w14:textId="02A69217" w:rsidR="00065317" w:rsidRDefault="005C7BF7" w:rsidP="00652D41">
      <w:pPr>
        <w:pStyle w:val="Corpsdetexte"/>
        <w:ind w:left="567" w:hanging="567"/>
      </w:pPr>
      <w:r w:rsidRPr="00EC2D6E">
        <w:rPr>
          <w:lang w:val="en-CA"/>
        </w:rPr>
        <w:t xml:space="preserve">« Berlin Wall built ». s. d. HISTORY. </w:t>
      </w:r>
      <w:r>
        <w:t>Consulté le 6</w:t>
      </w:r>
      <w:r w:rsidR="00056DCD">
        <w:t> février </w:t>
      </w:r>
      <w:r>
        <w:t xml:space="preserve">2021. </w:t>
      </w:r>
      <w:hyperlink r:id="rId320">
        <w:r>
          <w:rPr>
            <w:rStyle w:val="Lienhypertexte"/>
          </w:rPr>
          <w:t>https://www.history.com/this-day-in-history/berlin-wall-built</w:t>
        </w:r>
      </w:hyperlink>
      <w:r>
        <w:t>.</w:t>
      </w:r>
    </w:p>
    <w:p w14:paraId="6DDCA2DD" w14:textId="0D753FF1" w:rsidR="00065317" w:rsidRPr="003C7A4A" w:rsidRDefault="005C7BF7" w:rsidP="00652D41">
      <w:pPr>
        <w:pStyle w:val="Corpsdetexte"/>
        <w:ind w:left="567" w:hanging="567"/>
        <w:rPr>
          <w:lang w:val="en-US"/>
        </w:rPr>
      </w:pPr>
      <w:r>
        <w:t xml:space="preserve">Bertaud, Jean-Paul. 2004. </w:t>
      </w:r>
      <w:r>
        <w:rPr>
          <w:i/>
          <w:iCs/>
        </w:rPr>
        <w:t>La révolution française</w:t>
      </w:r>
      <w:r>
        <w:t xml:space="preserve">. </w:t>
      </w:r>
      <w:r w:rsidRPr="003C7A4A">
        <w:rPr>
          <w:lang w:val="en-US"/>
        </w:rPr>
        <w:t>Paris, FR-75 : Perrin.</w:t>
      </w:r>
    </w:p>
    <w:p w14:paraId="4460F232" w14:textId="77777777" w:rsidR="00065317" w:rsidRPr="00EC2D6E" w:rsidRDefault="005C7BF7" w:rsidP="00652D41">
      <w:pPr>
        <w:pStyle w:val="Corpsdetexte"/>
        <w:ind w:left="567" w:hanging="567"/>
        <w:rPr>
          <w:lang w:val="en-CA"/>
        </w:rPr>
      </w:pPr>
      <w:r w:rsidRPr="003C7A4A">
        <w:rPr>
          <w:lang w:val="en-US"/>
        </w:rPr>
        <w:t xml:space="preserve">Bieber, Margarete. 1961. </w:t>
      </w:r>
      <w:r w:rsidRPr="00EC2D6E">
        <w:rPr>
          <w:i/>
          <w:iCs/>
          <w:lang w:val="en-CA"/>
        </w:rPr>
        <w:t>The Sculpture of the Hellenistic Age - Revised Edition</w:t>
      </w:r>
      <w:r w:rsidRPr="00EC2D6E">
        <w:rPr>
          <w:lang w:val="en-CA"/>
        </w:rPr>
        <w:t>. New York, US-NY : Columbia University Press.</w:t>
      </w:r>
    </w:p>
    <w:p w14:paraId="56383005" w14:textId="77777777" w:rsidR="00065317" w:rsidRPr="00EC2D6E" w:rsidRDefault="005C7BF7" w:rsidP="00652D41">
      <w:pPr>
        <w:pStyle w:val="Corpsdetexte"/>
        <w:ind w:left="567" w:hanging="567"/>
        <w:rPr>
          <w:lang w:val="en-CA"/>
        </w:rPr>
      </w:pPr>
      <w:r w:rsidRPr="00EC2D6E">
        <w:rPr>
          <w:lang w:val="en-CA"/>
        </w:rPr>
        <w:lastRenderedPageBreak/>
        <w:t xml:space="preserve">Black, Jeremy. 2010. </w:t>
      </w:r>
      <w:r w:rsidRPr="00EC2D6E">
        <w:rPr>
          <w:i/>
          <w:iCs/>
          <w:lang w:val="en-CA"/>
        </w:rPr>
        <w:t>The Battle of Waterloo</w:t>
      </w:r>
      <w:r w:rsidRPr="00EC2D6E">
        <w:rPr>
          <w:lang w:val="en-CA"/>
        </w:rPr>
        <w:t>. New York, US-NY : Random House.</w:t>
      </w:r>
    </w:p>
    <w:p w14:paraId="44971113" w14:textId="77777777" w:rsidR="00065317" w:rsidRPr="00EC2D6E" w:rsidRDefault="005C7BF7" w:rsidP="00652D41">
      <w:pPr>
        <w:pStyle w:val="Corpsdetexte"/>
        <w:ind w:left="567" w:hanging="567"/>
        <w:rPr>
          <w:lang w:val="en-CA"/>
        </w:rPr>
      </w:pPr>
      <w:r w:rsidRPr="00EC2D6E">
        <w:rPr>
          <w:lang w:val="en-CA"/>
        </w:rPr>
        <w:t xml:space="preserve">Blake, S. F. 1918. « Notes on the Clayton Herbarium ». </w:t>
      </w:r>
      <w:r w:rsidRPr="00EC2D6E">
        <w:rPr>
          <w:i/>
          <w:iCs/>
          <w:lang w:val="en-CA"/>
        </w:rPr>
        <w:t>Rhodora</w:t>
      </w:r>
      <w:r w:rsidRPr="00EC2D6E">
        <w:rPr>
          <w:lang w:val="en-CA"/>
        </w:rPr>
        <w:t xml:space="preserve"> 20 (230) : 21‑28, 48‑54, 65‑73.</w:t>
      </w:r>
    </w:p>
    <w:p w14:paraId="7276D6E6" w14:textId="77777777" w:rsidR="00065317" w:rsidRPr="00EC2D6E" w:rsidRDefault="005C7BF7" w:rsidP="00652D41">
      <w:pPr>
        <w:pStyle w:val="Corpsdetexte"/>
        <w:ind w:left="567" w:hanging="567"/>
        <w:rPr>
          <w:lang w:val="en-CA"/>
        </w:rPr>
      </w:pPr>
      <w:r w:rsidRPr="00EC2D6E">
        <w:rPr>
          <w:lang w:val="en-CA"/>
        </w:rPr>
        <w:t xml:space="preserve">Bleicken, Jochen, et Anthea Bell. 2015. </w:t>
      </w:r>
      <w:r w:rsidRPr="00EC2D6E">
        <w:rPr>
          <w:i/>
          <w:iCs/>
          <w:lang w:val="en-CA"/>
        </w:rPr>
        <w:t>Augustus: the biography</w:t>
      </w:r>
      <w:r w:rsidRPr="00EC2D6E">
        <w:rPr>
          <w:lang w:val="en-CA"/>
        </w:rPr>
        <w:t>. Londres, GB-LND : Allen Lane.</w:t>
      </w:r>
    </w:p>
    <w:p w14:paraId="541F1CF4" w14:textId="434A3B67" w:rsidR="00065317" w:rsidRPr="00EC2D6E" w:rsidRDefault="005C7BF7" w:rsidP="00652D41">
      <w:pPr>
        <w:pStyle w:val="Corpsdetexte"/>
        <w:ind w:left="567" w:hanging="567"/>
        <w:rPr>
          <w:lang w:val="en-CA"/>
        </w:rPr>
      </w:pPr>
      <w:r w:rsidRPr="00EC2D6E">
        <w:rPr>
          <w:lang w:val="en-CA"/>
        </w:rPr>
        <w:t xml:space="preserve">Bonney, Richard. 2014. </w:t>
      </w:r>
      <w:r w:rsidRPr="00EC2D6E">
        <w:rPr>
          <w:i/>
          <w:iCs/>
          <w:lang w:val="en-CA"/>
        </w:rPr>
        <w:t>The Thirty years</w:t>
      </w:r>
      <w:r w:rsidR="00E84B0E">
        <w:rPr>
          <w:i/>
          <w:iCs/>
          <w:lang w:val="en-CA"/>
        </w:rPr>
        <w:t>’</w:t>
      </w:r>
      <w:r w:rsidRPr="00EC2D6E">
        <w:rPr>
          <w:i/>
          <w:iCs/>
          <w:lang w:val="en-CA"/>
        </w:rPr>
        <w:t xml:space="preserve"> war: 1618-1648</w:t>
      </w:r>
      <w:r w:rsidRPr="00EC2D6E">
        <w:rPr>
          <w:lang w:val="en-CA"/>
        </w:rPr>
        <w:t>. Oxford, GB-OXF : Osprey.</w:t>
      </w:r>
    </w:p>
    <w:p w14:paraId="48A6AFF4" w14:textId="77777777" w:rsidR="00065317" w:rsidRPr="00EC2D6E" w:rsidRDefault="005C7BF7" w:rsidP="00652D41">
      <w:pPr>
        <w:pStyle w:val="Corpsdetexte"/>
        <w:ind w:left="567" w:hanging="567"/>
        <w:rPr>
          <w:lang w:val="en-CA"/>
        </w:rPr>
      </w:pPr>
      <w:r w:rsidRPr="00EC2D6E">
        <w:rPr>
          <w:lang w:val="en-CA"/>
        </w:rPr>
        <w:t xml:space="preserve">Borchert, Till-Holger. 2008. </w:t>
      </w:r>
      <w:r w:rsidRPr="00EC2D6E">
        <w:rPr>
          <w:i/>
          <w:iCs/>
          <w:lang w:val="en-CA"/>
        </w:rPr>
        <w:t>Jan van Eyck</w:t>
      </w:r>
      <w:r w:rsidRPr="00EC2D6E">
        <w:rPr>
          <w:lang w:val="en-CA"/>
        </w:rPr>
        <w:t>. Londres, GB-LND : Taschen.</w:t>
      </w:r>
    </w:p>
    <w:p w14:paraId="3DB91263" w14:textId="58E24B28" w:rsidR="00065317" w:rsidRPr="003C7A4A" w:rsidRDefault="005C7BF7" w:rsidP="00652D41">
      <w:pPr>
        <w:pStyle w:val="Corpsdetexte"/>
        <w:ind w:left="567" w:hanging="567"/>
        <w:rPr>
          <w:lang w:val="en-US"/>
        </w:rPr>
      </w:pPr>
      <w:r w:rsidRPr="003C7A4A">
        <w:rPr>
          <w:lang w:val="fr-CA"/>
        </w:rPr>
        <w:t xml:space="preserve">Bortolatto, Luigina Rossi. </w:t>
      </w:r>
      <w:r>
        <w:t xml:space="preserve">1981. </w:t>
      </w:r>
      <w:r>
        <w:rPr>
          <w:i/>
          <w:iCs/>
        </w:rPr>
        <w:t>Tout l</w:t>
      </w:r>
      <w:r w:rsidR="00E84B0E">
        <w:rPr>
          <w:i/>
          <w:iCs/>
        </w:rPr>
        <w:t>’</w:t>
      </w:r>
      <w:r>
        <w:rPr>
          <w:i/>
          <w:iCs/>
        </w:rPr>
        <w:t>œuvre peint de Monet: 1870-1889</w:t>
      </w:r>
      <w:r>
        <w:t xml:space="preserve">. </w:t>
      </w:r>
      <w:r w:rsidRPr="003C7A4A">
        <w:rPr>
          <w:lang w:val="en-US"/>
        </w:rPr>
        <w:t>Paris, FR-75 : Flammarion Groupe.</w:t>
      </w:r>
    </w:p>
    <w:p w14:paraId="00032547" w14:textId="077CC6C6" w:rsidR="00065317" w:rsidRPr="00EC2D6E" w:rsidRDefault="005C7BF7" w:rsidP="00652D41">
      <w:pPr>
        <w:pStyle w:val="Corpsdetexte"/>
        <w:ind w:left="567" w:hanging="567"/>
        <w:rPr>
          <w:lang w:val="en-CA"/>
        </w:rPr>
      </w:pPr>
      <w:r w:rsidRPr="003C7A4A">
        <w:rPr>
          <w:lang w:val="en-US"/>
        </w:rPr>
        <w:t xml:space="preserve">Bosman, Lex. 2004. </w:t>
      </w:r>
      <w:r w:rsidRPr="00EC2D6E">
        <w:rPr>
          <w:i/>
          <w:iCs/>
          <w:lang w:val="en-CA"/>
        </w:rPr>
        <w:t>The power of tradition: spolia in the architecture of St. Peter</w:t>
      </w:r>
      <w:r w:rsidR="00E84B0E">
        <w:rPr>
          <w:i/>
          <w:iCs/>
          <w:lang w:val="en-CA"/>
        </w:rPr>
        <w:t>’</w:t>
      </w:r>
      <w:r w:rsidRPr="00EC2D6E">
        <w:rPr>
          <w:i/>
          <w:iCs/>
          <w:lang w:val="en-CA"/>
        </w:rPr>
        <w:t>s in the Vatican / Lex Bosman.</w:t>
      </w:r>
      <w:r w:rsidRPr="00EC2D6E">
        <w:rPr>
          <w:lang w:val="en-CA"/>
        </w:rPr>
        <w:t xml:space="preserve"> Hilversum : Uitgeverij Verloren.</w:t>
      </w:r>
    </w:p>
    <w:p w14:paraId="13B9C8F2" w14:textId="77777777" w:rsidR="00065317" w:rsidRPr="00EC2D6E" w:rsidRDefault="005C7BF7" w:rsidP="00652D41">
      <w:pPr>
        <w:pStyle w:val="Corpsdetexte"/>
        <w:ind w:left="567" w:hanging="567"/>
        <w:rPr>
          <w:lang w:val="en-CA"/>
        </w:rPr>
      </w:pPr>
      <w:r w:rsidRPr="00EC2D6E">
        <w:rPr>
          <w:lang w:val="en-CA"/>
        </w:rPr>
        <w:t xml:space="preserve">Boyer, Martha. 1959. </w:t>
      </w:r>
      <w:r w:rsidRPr="00EC2D6E">
        <w:rPr>
          <w:i/>
          <w:iCs/>
          <w:lang w:val="en-CA"/>
        </w:rPr>
        <w:t>Japanese export lacquers from the seventeenth century in the National Museum of Denmark</w:t>
      </w:r>
      <w:r w:rsidRPr="00EC2D6E">
        <w:rPr>
          <w:lang w:val="en-CA"/>
        </w:rPr>
        <w:t>. Copenhague, DK-84 : National Museum.</w:t>
      </w:r>
    </w:p>
    <w:p w14:paraId="595EAF93" w14:textId="77777777" w:rsidR="00065317" w:rsidRPr="00EC2D6E" w:rsidRDefault="005C7BF7" w:rsidP="00652D41">
      <w:pPr>
        <w:pStyle w:val="Corpsdetexte"/>
        <w:ind w:left="567" w:hanging="567"/>
        <w:rPr>
          <w:lang w:val="en-CA"/>
        </w:rPr>
      </w:pPr>
      <w:r w:rsidRPr="00EC2D6E">
        <w:rPr>
          <w:lang w:val="en-CA"/>
        </w:rPr>
        <w:t xml:space="preserve">Braithwaite, A. 1977. </w:t>
      </w:r>
      <w:r w:rsidRPr="00EC2D6E">
        <w:rPr>
          <w:i/>
          <w:iCs/>
          <w:lang w:val="en-CA"/>
        </w:rPr>
        <w:t>Bath from Roman time.</w:t>
      </w:r>
      <w:r w:rsidRPr="00EC2D6E">
        <w:rPr>
          <w:lang w:val="en-CA"/>
        </w:rPr>
        <w:t xml:space="preserve"> Cambridge, GB-CAM : Dinosaur Publications for Bath City Council.</w:t>
      </w:r>
    </w:p>
    <w:p w14:paraId="208282E4" w14:textId="77777777" w:rsidR="00065317" w:rsidRPr="003C7A4A" w:rsidRDefault="005C7BF7" w:rsidP="00652D41">
      <w:pPr>
        <w:pStyle w:val="Corpsdetexte"/>
        <w:ind w:left="567" w:hanging="567"/>
        <w:rPr>
          <w:lang w:val="fr-CA"/>
        </w:rPr>
      </w:pPr>
      <w:r w:rsidRPr="00EC2D6E">
        <w:rPr>
          <w:lang w:val="en-CA"/>
        </w:rPr>
        <w:t xml:space="preserve">Brandreth, G. 2004. </w:t>
      </w:r>
      <w:r w:rsidRPr="00EC2D6E">
        <w:rPr>
          <w:i/>
          <w:iCs/>
          <w:lang w:val="en-CA"/>
        </w:rPr>
        <w:t>Philip &amp; Elizabeth: Portait of a marriage</w:t>
      </w:r>
      <w:r w:rsidRPr="00EC2D6E">
        <w:rPr>
          <w:lang w:val="en-CA"/>
        </w:rPr>
        <w:t xml:space="preserve">. </w:t>
      </w:r>
      <w:r w:rsidRPr="003C7A4A">
        <w:rPr>
          <w:lang w:val="fr-CA"/>
        </w:rPr>
        <w:t>Londres, GB-LND : Arrow.</w:t>
      </w:r>
    </w:p>
    <w:p w14:paraId="49E436F3" w14:textId="77777777" w:rsidR="00065317" w:rsidRPr="009741EE" w:rsidRDefault="005C7BF7" w:rsidP="00652D41">
      <w:pPr>
        <w:pStyle w:val="Corpsdetexte"/>
        <w:ind w:left="567" w:hanging="567"/>
        <w:rPr>
          <w:lang w:val="en-US"/>
        </w:rPr>
      </w:pPr>
      <w:r w:rsidRPr="003C7A4A">
        <w:rPr>
          <w:lang w:val="fr-CA"/>
        </w:rPr>
        <w:t xml:space="preserve">Brandstetter, Gabriele, et Gabriele Klein. 2015. </w:t>
      </w:r>
      <w:r w:rsidRPr="003C7A4A">
        <w:rPr>
          <w:i/>
          <w:iCs/>
          <w:lang w:val="fr-CA"/>
        </w:rPr>
        <w:t>Methoden der Tanzwissenschaft: Modellanalysen zu Pina Bauschs « Le Sacre du Printemps/Das Frühlingsopfer »</w:t>
      </w:r>
      <w:r w:rsidRPr="003C7A4A">
        <w:rPr>
          <w:lang w:val="fr-CA"/>
        </w:rPr>
        <w:t xml:space="preserve">. </w:t>
      </w:r>
      <w:r w:rsidRPr="009741EE">
        <w:rPr>
          <w:lang w:val="en-US"/>
        </w:rPr>
        <w:t>Bielefeld, DE-NI : Transcript.</w:t>
      </w:r>
    </w:p>
    <w:p w14:paraId="531CE51D" w14:textId="77777777" w:rsidR="00065317" w:rsidRPr="00EC2D6E" w:rsidRDefault="005C7BF7" w:rsidP="00652D41">
      <w:pPr>
        <w:pStyle w:val="Corpsdetexte"/>
        <w:ind w:left="567" w:hanging="567"/>
        <w:rPr>
          <w:lang w:val="en-CA"/>
        </w:rPr>
      </w:pPr>
      <w:r w:rsidRPr="009741EE">
        <w:rPr>
          <w:lang w:val="en-US"/>
        </w:rPr>
        <w:t xml:space="preserve">Breasted, James Henry. 1906. </w:t>
      </w:r>
      <w:r w:rsidRPr="00EC2D6E">
        <w:rPr>
          <w:i/>
          <w:iCs/>
          <w:lang w:val="en-CA"/>
        </w:rPr>
        <w:t>Ancient records</w:t>
      </w:r>
      <w:r w:rsidRPr="00EC2D6E">
        <w:rPr>
          <w:lang w:val="en-CA"/>
        </w:rPr>
        <w:t>. Chicago, US-IL : University of Chicago Press.</w:t>
      </w:r>
    </w:p>
    <w:p w14:paraId="168E6566" w14:textId="77777777" w:rsidR="00065317" w:rsidRPr="00EC2D6E" w:rsidRDefault="005C7BF7" w:rsidP="00652D41">
      <w:pPr>
        <w:pStyle w:val="Corpsdetexte"/>
        <w:ind w:left="567" w:hanging="567"/>
        <w:rPr>
          <w:lang w:val="en-CA"/>
        </w:rPr>
      </w:pPr>
      <w:r w:rsidRPr="00EC2D6E">
        <w:rPr>
          <w:lang w:val="en-CA"/>
        </w:rPr>
        <w:t xml:space="preserve">Brickhill, Paul. 2001. </w:t>
      </w:r>
      <w:r w:rsidRPr="00EC2D6E">
        <w:rPr>
          <w:i/>
          <w:iCs/>
          <w:lang w:val="en-CA"/>
        </w:rPr>
        <w:t>Reach for the sky: the story of Douglas Bader, legless ace of the Battle of Britain</w:t>
      </w:r>
      <w:r w:rsidRPr="00EC2D6E">
        <w:rPr>
          <w:lang w:val="en-CA"/>
        </w:rPr>
        <w:t>. Annapolis, US-MD : Naval Institute Press.</w:t>
      </w:r>
    </w:p>
    <w:p w14:paraId="6FD4C80D" w14:textId="77777777" w:rsidR="00065317" w:rsidRPr="00EC2D6E" w:rsidRDefault="005C7BF7" w:rsidP="00652D41">
      <w:pPr>
        <w:pStyle w:val="Corpsdetexte"/>
        <w:ind w:left="567" w:hanging="567"/>
        <w:rPr>
          <w:lang w:val="en-CA"/>
        </w:rPr>
      </w:pPr>
      <w:r w:rsidRPr="00EC2D6E">
        <w:rPr>
          <w:lang w:val="en-CA"/>
        </w:rPr>
        <w:t xml:space="preserve">Brilliant, Richard. 2000. </w:t>
      </w:r>
      <w:r w:rsidRPr="00EC2D6E">
        <w:rPr>
          <w:i/>
          <w:iCs/>
          <w:lang w:val="en-CA"/>
        </w:rPr>
        <w:t>My Laocoön: alternative claims in the interpretation of artworks</w:t>
      </w:r>
      <w:r w:rsidRPr="00EC2D6E">
        <w:rPr>
          <w:lang w:val="en-CA"/>
        </w:rPr>
        <w:t>. Berkeley, US-CA : Univ. of California Press.</w:t>
      </w:r>
    </w:p>
    <w:p w14:paraId="510B9E4C" w14:textId="154E570A" w:rsidR="00065317" w:rsidRPr="003C7A4A" w:rsidRDefault="005C7BF7" w:rsidP="00652D41">
      <w:pPr>
        <w:pStyle w:val="Corpsdetexte"/>
        <w:ind w:left="567" w:hanging="567"/>
        <w:rPr>
          <w:lang w:val="en-US"/>
        </w:rPr>
      </w:pPr>
      <w:r w:rsidRPr="00EC2D6E">
        <w:rPr>
          <w:lang w:val="en-CA"/>
        </w:rPr>
        <w:t xml:space="preserve">Briquet, Charles-Moïse. </w:t>
      </w:r>
      <w:r>
        <w:t xml:space="preserve">1985. </w:t>
      </w:r>
      <w:r>
        <w:rPr>
          <w:i/>
          <w:iCs/>
        </w:rPr>
        <w:t>Les filigranes: dictionnaire historique des marques du papier : dès leur apparition vers 1282 jusqu</w:t>
      </w:r>
      <w:r w:rsidR="00E84B0E">
        <w:rPr>
          <w:i/>
          <w:iCs/>
        </w:rPr>
        <w:t>’</w:t>
      </w:r>
      <w:r>
        <w:rPr>
          <w:i/>
          <w:iCs/>
        </w:rPr>
        <w:t>en 1600</w:t>
      </w:r>
      <w:r>
        <w:t xml:space="preserve">. </w:t>
      </w:r>
      <w:r w:rsidRPr="003C7A4A">
        <w:rPr>
          <w:lang w:val="en-US"/>
        </w:rPr>
        <w:t>New York, US-NY : Hacker art Books.</w:t>
      </w:r>
    </w:p>
    <w:p w14:paraId="45C4A1F3" w14:textId="77777777" w:rsidR="00065317" w:rsidRPr="00EC2D6E" w:rsidRDefault="005C7BF7" w:rsidP="00652D41">
      <w:pPr>
        <w:pStyle w:val="Corpsdetexte"/>
        <w:ind w:left="567" w:hanging="567"/>
        <w:rPr>
          <w:lang w:val="en-CA"/>
        </w:rPr>
      </w:pPr>
      <w:r w:rsidRPr="003C7A4A">
        <w:rPr>
          <w:lang w:val="en-US"/>
        </w:rPr>
        <w:t xml:space="preserve">British Museum. 1972. </w:t>
      </w:r>
      <w:r w:rsidRPr="00EC2D6E">
        <w:rPr>
          <w:i/>
          <w:iCs/>
          <w:lang w:val="en-CA"/>
        </w:rPr>
        <w:t>Treasures of Tutankhamun.</w:t>
      </w:r>
      <w:r w:rsidRPr="00EC2D6E">
        <w:rPr>
          <w:lang w:val="en-CA"/>
        </w:rPr>
        <w:t xml:space="preserve"> Londres, GB-LND : British Museum.</w:t>
      </w:r>
    </w:p>
    <w:p w14:paraId="2385C70A" w14:textId="2893967E" w:rsidR="00065317" w:rsidRPr="00EC2D6E" w:rsidRDefault="005C7BF7" w:rsidP="00652D41">
      <w:pPr>
        <w:pStyle w:val="Corpsdetexte"/>
        <w:ind w:left="567" w:hanging="567"/>
        <w:rPr>
          <w:lang w:val="en-CA"/>
        </w:rPr>
      </w:pPr>
      <w:r w:rsidRPr="00EC2D6E">
        <w:rPr>
          <w:lang w:val="en-CA"/>
        </w:rPr>
        <w:t xml:space="preserve">British Museum, et George Francis Hill. 1922. </w:t>
      </w:r>
      <w:r w:rsidRPr="00EC2D6E">
        <w:rPr>
          <w:i/>
          <w:iCs/>
          <w:lang w:val="en-CA"/>
        </w:rPr>
        <w:t>Catalogue of the Greek coins of Arabia, Mesopotamia and Persia (Nabat</w:t>
      </w:r>
      <w:r w:rsidR="00B40400">
        <w:rPr>
          <w:i/>
          <w:iCs/>
          <w:lang w:val="en-CA"/>
        </w:rPr>
        <w:t>ae</w:t>
      </w:r>
      <w:r w:rsidRPr="00EC2D6E">
        <w:rPr>
          <w:i/>
          <w:iCs/>
          <w:lang w:val="en-CA"/>
        </w:rPr>
        <w:t>a, Arabia Provincia, S. Arabia, Mesopotamia, Babylonia, Assyria, Persia, Alexandrine empire of the East, Persis, Elymais, Characene</w:t>
      </w:r>
      <w:r w:rsidRPr="00EC2D6E">
        <w:rPr>
          <w:lang w:val="en-CA"/>
        </w:rPr>
        <w:t>. Londres, GB-LND : British Museum.</w:t>
      </w:r>
    </w:p>
    <w:p w14:paraId="5E31835A" w14:textId="77777777" w:rsidR="00065317" w:rsidRPr="00EC2D6E" w:rsidRDefault="005C7BF7" w:rsidP="00652D41">
      <w:pPr>
        <w:pStyle w:val="Corpsdetexte"/>
        <w:ind w:left="567" w:hanging="567"/>
        <w:rPr>
          <w:lang w:val="en-CA"/>
        </w:rPr>
      </w:pPr>
      <w:r w:rsidRPr="00EC2D6E">
        <w:rPr>
          <w:lang w:val="en-CA"/>
        </w:rPr>
        <w:t xml:space="preserve">Britton, Andrew. 2012. </w:t>
      </w:r>
      <w:r w:rsidRPr="00EC2D6E">
        <w:rPr>
          <w:i/>
          <w:iCs/>
          <w:lang w:val="en-CA"/>
        </w:rPr>
        <w:t>RMS Queen Mary</w:t>
      </w:r>
      <w:r w:rsidRPr="00EC2D6E">
        <w:rPr>
          <w:lang w:val="en-CA"/>
        </w:rPr>
        <w:t>. Stroud, GB-GLS : The History Press Ltd.</w:t>
      </w:r>
    </w:p>
    <w:p w14:paraId="2C8900CB" w14:textId="77777777" w:rsidR="00065317" w:rsidRPr="00EC2D6E" w:rsidRDefault="005C7BF7" w:rsidP="00652D41">
      <w:pPr>
        <w:pStyle w:val="Corpsdetexte"/>
        <w:ind w:left="567" w:hanging="567"/>
        <w:rPr>
          <w:lang w:val="en-CA"/>
        </w:rPr>
      </w:pPr>
      <w:r w:rsidRPr="00EC2D6E">
        <w:rPr>
          <w:lang w:val="en-CA"/>
        </w:rPr>
        <w:t xml:space="preserve">Brooks, John A. 1973. </w:t>
      </w:r>
      <w:r w:rsidRPr="00EC2D6E">
        <w:rPr>
          <w:i/>
          <w:iCs/>
          <w:lang w:val="en-CA"/>
        </w:rPr>
        <w:t>Glass</w:t>
      </w:r>
      <w:r w:rsidRPr="00EC2D6E">
        <w:rPr>
          <w:lang w:val="en-CA"/>
        </w:rPr>
        <w:t>. New York, US-NY : Golden Press.</w:t>
      </w:r>
    </w:p>
    <w:p w14:paraId="1EF03135" w14:textId="77777777" w:rsidR="00065317" w:rsidRPr="00EC2D6E" w:rsidRDefault="005C7BF7" w:rsidP="00652D41">
      <w:pPr>
        <w:pStyle w:val="Corpsdetexte"/>
        <w:ind w:left="567" w:hanging="567"/>
        <w:rPr>
          <w:lang w:val="en-CA"/>
        </w:rPr>
      </w:pPr>
      <w:r w:rsidRPr="00EC2D6E">
        <w:rPr>
          <w:lang w:val="en-CA"/>
        </w:rPr>
        <w:t xml:space="preserve">Brown, Laaren, et Lenny Hort. 2006. </w:t>
      </w:r>
      <w:r w:rsidRPr="00EC2D6E">
        <w:rPr>
          <w:i/>
          <w:iCs/>
          <w:lang w:val="en-CA"/>
        </w:rPr>
        <w:t>Nelson Mandela</w:t>
      </w:r>
      <w:r w:rsidRPr="00EC2D6E">
        <w:rPr>
          <w:lang w:val="en-CA"/>
        </w:rPr>
        <w:t>. New York, US-NY : DK Publ.</w:t>
      </w:r>
    </w:p>
    <w:p w14:paraId="7F9C8056" w14:textId="77777777" w:rsidR="00065317" w:rsidRPr="00EC2D6E" w:rsidRDefault="005C7BF7" w:rsidP="00652D41">
      <w:pPr>
        <w:pStyle w:val="Corpsdetexte"/>
        <w:ind w:left="567" w:hanging="567"/>
        <w:rPr>
          <w:lang w:val="en-CA"/>
        </w:rPr>
      </w:pPr>
      <w:r w:rsidRPr="00EC2D6E">
        <w:rPr>
          <w:lang w:val="en-CA"/>
        </w:rPr>
        <w:t xml:space="preserve">Browning, Robert. 1980. </w:t>
      </w:r>
      <w:r w:rsidRPr="00EC2D6E">
        <w:rPr>
          <w:i/>
          <w:iCs/>
          <w:lang w:val="en-CA"/>
        </w:rPr>
        <w:t>The Byzantine Empire</w:t>
      </w:r>
      <w:r w:rsidRPr="00EC2D6E">
        <w:rPr>
          <w:lang w:val="en-CA"/>
        </w:rPr>
        <w:t>. Londres, GB-LND : Weidenfeld and Nicolson.</w:t>
      </w:r>
    </w:p>
    <w:p w14:paraId="31F46B63" w14:textId="77777777" w:rsidR="00065317" w:rsidRPr="00EC2D6E" w:rsidRDefault="005C7BF7" w:rsidP="00652D41">
      <w:pPr>
        <w:pStyle w:val="Corpsdetexte"/>
        <w:ind w:left="567" w:hanging="567"/>
        <w:rPr>
          <w:lang w:val="en-CA"/>
        </w:rPr>
      </w:pPr>
      <w:r w:rsidRPr="00EC2D6E">
        <w:rPr>
          <w:lang w:val="en-CA"/>
        </w:rPr>
        <w:t xml:space="preserve">Brueggemann, Walter. 1982. </w:t>
      </w:r>
      <w:r w:rsidRPr="00EC2D6E">
        <w:rPr>
          <w:i/>
          <w:iCs/>
          <w:lang w:val="en-CA"/>
        </w:rPr>
        <w:t>Genesis: a Bible commentary for teaching and preaching</w:t>
      </w:r>
      <w:r w:rsidRPr="00EC2D6E">
        <w:rPr>
          <w:lang w:val="en-CA"/>
        </w:rPr>
        <w:t>. Atlanta, US-GA : John Knox Press.</w:t>
      </w:r>
    </w:p>
    <w:p w14:paraId="08C89075" w14:textId="77777777" w:rsidR="00065317" w:rsidRPr="00EC2D6E" w:rsidRDefault="005C7BF7" w:rsidP="00652D41">
      <w:pPr>
        <w:pStyle w:val="Corpsdetexte"/>
        <w:ind w:left="567" w:hanging="567"/>
        <w:rPr>
          <w:lang w:val="en-CA"/>
        </w:rPr>
      </w:pPr>
      <w:r w:rsidRPr="00EC2D6E">
        <w:rPr>
          <w:lang w:val="en-CA"/>
        </w:rPr>
        <w:t xml:space="preserve">Bryant, Julius. 1990. </w:t>
      </w:r>
      <w:r w:rsidRPr="00EC2D6E">
        <w:rPr>
          <w:i/>
          <w:iCs/>
          <w:lang w:val="en-CA"/>
        </w:rPr>
        <w:t>The Iveagh Bequest, Kenwood</w:t>
      </w:r>
      <w:r w:rsidRPr="00EC2D6E">
        <w:rPr>
          <w:lang w:val="en-CA"/>
        </w:rPr>
        <w:t>. Londres, GB-LND : English Heritage Guidebooks.</w:t>
      </w:r>
    </w:p>
    <w:p w14:paraId="115A83AA" w14:textId="77777777" w:rsidR="00065317" w:rsidRPr="00EC2D6E" w:rsidRDefault="005C7BF7" w:rsidP="00652D41">
      <w:pPr>
        <w:pStyle w:val="Corpsdetexte"/>
        <w:ind w:left="567" w:hanging="567"/>
        <w:rPr>
          <w:lang w:val="en-CA"/>
        </w:rPr>
      </w:pPr>
      <w:r>
        <w:lastRenderedPageBreak/>
        <w:t xml:space="preserve">Bürger, O. 1892. « Zur Systematik der Nemertinenfauna des Golfs von Neapel ». </w:t>
      </w:r>
      <w:r w:rsidRPr="00EC2D6E">
        <w:rPr>
          <w:i/>
          <w:iCs/>
          <w:lang w:val="en-CA"/>
        </w:rPr>
        <w:t>Nachrichten von der königlichen Gesellschaft der Wissenschaften und der Georg-Augusts-Universität zu Göttingen</w:t>
      </w:r>
      <w:r w:rsidRPr="00EC2D6E">
        <w:rPr>
          <w:lang w:val="en-CA"/>
        </w:rPr>
        <w:t xml:space="preserve"> 5 : 137‑78.</w:t>
      </w:r>
    </w:p>
    <w:p w14:paraId="5879DC36" w14:textId="77777777" w:rsidR="00065317" w:rsidRPr="00EC2D6E" w:rsidRDefault="005C7BF7" w:rsidP="00652D41">
      <w:pPr>
        <w:pStyle w:val="Corpsdetexte"/>
        <w:ind w:left="567" w:hanging="567"/>
        <w:rPr>
          <w:lang w:val="en-CA"/>
        </w:rPr>
      </w:pPr>
      <w:r w:rsidRPr="00EC2D6E">
        <w:rPr>
          <w:lang w:val="en-CA"/>
        </w:rPr>
        <w:t xml:space="preserve">Butson, Thomas G. 1986. </w:t>
      </w:r>
      <w:r w:rsidRPr="00EC2D6E">
        <w:rPr>
          <w:i/>
          <w:iCs/>
          <w:lang w:val="en-CA"/>
        </w:rPr>
        <w:t>Mikhail Gorbachev</w:t>
      </w:r>
      <w:r w:rsidRPr="00EC2D6E">
        <w:rPr>
          <w:lang w:val="en-CA"/>
        </w:rPr>
        <w:t>. New York, US-NY : Chelsea House.</w:t>
      </w:r>
    </w:p>
    <w:p w14:paraId="5601DA15" w14:textId="0349DF35" w:rsidR="00065317" w:rsidRPr="00EC2D6E" w:rsidRDefault="005C7BF7" w:rsidP="00652D41">
      <w:pPr>
        <w:pStyle w:val="Corpsdetexte"/>
        <w:ind w:left="567" w:hanging="567"/>
        <w:rPr>
          <w:lang w:val="en-CA"/>
        </w:rPr>
      </w:pPr>
      <w:r w:rsidRPr="00EC2D6E">
        <w:rPr>
          <w:lang w:val="en-CA"/>
        </w:rPr>
        <w:t xml:space="preserve">Cali, Joseph, John Dougill, et Geoff Ciotti. 2012. </w:t>
      </w:r>
      <w:r w:rsidRPr="00EC2D6E">
        <w:rPr>
          <w:i/>
          <w:iCs/>
          <w:lang w:val="en-CA"/>
        </w:rPr>
        <w:t>Shinto shrines: a guide to the sacred sites of Japan</w:t>
      </w:r>
      <w:r w:rsidR="00E84B0E">
        <w:rPr>
          <w:i/>
          <w:iCs/>
          <w:lang w:val="en-CA"/>
        </w:rPr>
        <w:t>’</w:t>
      </w:r>
      <w:r w:rsidRPr="00EC2D6E">
        <w:rPr>
          <w:i/>
          <w:iCs/>
          <w:lang w:val="en-CA"/>
        </w:rPr>
        <w:t>s ancient religion</w:t>
      </w:r>
      <w:r w:rsidRPr="00EC2D6E">
        <w:rPr>
          <w:lang w:val="en-CA"/>
        </w:rPr>
        <w:t>. Honolulu, US-HI : University of Hawaiʻi Press.</w:t>
      </w:r>
    </w:p>
    <w:p w14:paraId="201848FF" w14:textId="2FB83366" w:rsidR="00065317" w:rsidRPr="00EC2D6E" w:rsidRDefault="005C7BF7" w:rsidP="00652D41">
      <w:pPr>
        <w:pStyle w:val="Corpsdetexte"/>
        <w:ind w:left="567" w:hanging="567"/>
        <w:rPr>
          <w:lang w:val="en-CA"/>
        </w:rPr>
      </w:pPr>
      <w:r w:rsidRPr="00EC2D6E">
        <w:rPr>
          <w:lang w:val="en-CA"/>
        </w:rPr>
        <w:t>Camardo, Domenico. 2013. « Herculaneum from the ad 79 eruption to the medieval period: analysis of the documentary, iconographic and arch</w:t>
      </w:r>
      <w:r w:rsidR="00B40400">
        <w:rPr>
          <w:lang w:val="en-CA"/>
        </w:rPr>
        <w:t>ae</w:t>
      </w:r>
      <w:r w:rsidRPr="00EC2D6E">
        <w:rPr>
          <w:lang w:val="en-CA"/>
        </w:rPr>
        <w:t xml:space="preserve">ological sources, with new data on the beginning of exploration at the ancient town1 ». </w:t>
      </w:r>
      <w:r w:rsidRPr="00EC2D6E">
        <w:rPr>
          <w:i/>
          <w:iCs/>
          <w:lang w:val="en-CA"/>
        </w:rPr>
        <w:t>Papers of the British School at Rome</w:t>
      </w:r>
      <w:r w:rsidRPr="00EC2D6E">
        <w:rPr>
          <w:lang w:val="en-CA"/>
        </w:rPr>
        <w:t xml:space="preserve"> 81 (octobre) : 303‑40. </w:t>
      </w:r>
      <w:hyperlink r:id="rId321">
        <w:r w:rsidRPr="00EC2D6E">
          <w:rPr>
            <w:rStyle w:val="Lienhypertexte"/>
            <w:lang w:val="en-CA"/>
          </w:rPr>
          <w:t>https://doi.org/10.1017/S0068246213000123</w:t>
        </w:r>
      </w:hyperlink>
      <w:r w:rsidRPr="00EC2D6E">
        <w:rPr>
          <w:lang w:val="en-CA"/>
        </w:rPr>
        <w:t>.</w:t>
      </w:r>
    </w:p>
    <w:p w14:paraId="5EB531A8" w14:textId="77777777" w:rsidR="00065317" w:rsidRPr="00EC2D6E" w:rsidRDefault="005C7BF7" w:rsidP="00652D41">
      <w:pPr>
        <w:pStyle w:val="Corpsdetexte"/>
        <w:ind w:left="567" w:hanging="567"/>
        <w:rPr>
          <w:lang w:val="en-CA"/>
        </w:rPr>
      </w:pPr>
      <w:r w:rsidRPr="00EC2D6E">
        <w:rPr>
          <w:lang w:val="en-CA"/>
        </w:rPr>
        <w:t xml:space="preserve">Carrington, Norman T. 1954. </w:t>
      </w:r>
      <w:r w:rsidRPr="00EC2D6E">
        <w:rPr>
          <w:i/>
          <w:iCs/>
          <w:lang w:val="en-CA"/>
        </w:rPr>
        <w:t>Shakespeare: Cymbeline.</w:t>
      </w:r>
      <w:r w:rsidRPr="00EC2D6E">
        <w:rPr>
          <w:lang w:val="en-CA"/>
        </w:rPr>
        <w:t xml:space="preserve"> Londres, GB-LND : J. Brodie.</w:t>
      </w:r>
    </w:p>
    <w:p w14:paraId="683EDDC2" w14:textId="7FCC17D0" w:rsidR="00065317" w:rsidRPr="00EC2D6E" w:rsidRDefault="005C7BF7" w:rsidP="00652D41">
      <w:pPr>
        <w:pStyle w:val="Corpsdetexte"/>
        <w:ind w:left="567" w:hanging="567"/>
        <w:rPr>
          <w:lang w:val="en-CA"/>
        </w:rPr>
      </w:pPr>
      <w:r w:rsidRPr="00EC2D6E">
        <w:rPr>
          <w:lang w:val="en-CA"/>
        </w:rPr>
        <w:t xml:space="preserve">Carroll, Lewis. 1981. </w:t>
      </w:r>
      <w:r w:rsidRPr="00EC2D6E">
        <w:rPr>
          <w:i/>
          <w:iCs/>
          <w:lang w:val="en-CA"/>
        </w:rPr>
        <w:t>Jabberwocky: and other poems</w:t>
      </w:r>
      <w:r w:rsidRPr="00EC2D6E">
        <w:rPr>
          <w:lang w:val="en-CA"/>
        </w:rPr>
        <w:t>. Londres, GB-LND : Macmillan Children</w:t>
      </w:r>
      <w:r w:rsidR="00E84B0E">
        <w:rPr>
          <w:lang w:val="en-CA"/>
        </w:rPr>
        <w:t>’</w:t>
      </w:r>
      <w:r w:rsidRPr="00EC2D6E">
        <w:rPr>
          <w:lang w:val="en-CA"/>
        </w:rPr>
        <w:t>s Books.</w:t>
      </w:r>
    </w:p>
    <w:p w14:paraId="4ECE529D" w14:textId="77777777" w:rsidR="00065317" w:rsidRPr="00EC2D6E" w:rsidRDefault="005C7BF7" w:rsidP="00652D41">
      <w:pPr>
        <w:pStyle w:val="Corpsdetexte"/>
        <w:ind w:left="567" w:hanging="567"/>
        <w:rPr>
          <w:lang w:val="en-CA"/>
        </w:rPr>
      </w:pPr>
      <w:r w:rsidRPr="00EC2D6E">
        <w:rPr>
          <w:lang w:val="en-CA"/>
        </w:rPr>
        <w:t xml:space="preserve">Carter, Howard. 2014. </w:t>
      </w:r>
      <w:r w:rsidRPr="00EC2D6E">
        <w:rPr>
          <w:i/>
          <w:iCs/>
          <w:lang w:val="en-CA"/>
        </w:rPr>
        <w:t>The tomb of Tutankhamun</w:t>
      </w:r>
      <w:r w:rsidRPr="00EC2D6E">
        <w:rPr>
          <w:lang w:val="en-CA"/>
        </w:rPr>
        <w:t>. Londres, GB-LND : Bloomsbury Academic.</w:t>
      </w:r>
    </w:p>
    <w:p w14:paraId="5C442388" w14:textId="77777777" w:rsidR="00065317" w:rsidRPr="00EC2D6E" w:rsidRDefault="005C7BF7" w:rsidP="00652D41">
      <w:pPr>
        <w:pStyle w:val="Corpsdetexte"/>
        <w:ind w:left="567" w:hanging="567"/>
        <w:rPr>
          <w:lang w:val="en-CA"/>
        </w:rPr>
      </w:pPr>
      <w:r>
        <w:t xml:space="preserve">Carter, Howard, et A. C Mace. 1977. </w:t>
      </w:r>
      <w:r w:rsidRPr="00EC2D6E">
        <w:rPr>
          <w:i/>
          <w:iCs/>
          <w:lang w:val="en-CA"/>
        </w:rPr>
        <w:t>The discovery of the tomb of Tutankhamen</w:t>
      </w:r>
      <w:r w:rsidRPr="00EC2D6E">
        <w:rPr>
          <w:lang w:val="en-CA"/>
        </w:rPr>
        <w:t>. New York, US-NY : Dover Publications.</w:t>
      </w:r>
    </w:p>
    <w:p w14:paraId="3D13F1B9" w14:textId="77777777" w:rsidR="00065317" w:rsidRPr="00EC2D6E" w:rsidRDefault="005C7BF7" w:rsidP="00652D41">
      <w:pPr>
        <w:pStyle w:val="Corpsdetexte"/>
        <w:ind w:left="567" w:hanging="567"/>
        <w:rPr>
          <w:lang w:val="en-CA"/>
        </w:rPr>
      </w:pPr>
      <w:r w:rsidRPr="00EC2D6E">
        <w:rPr>
          <w:lang w:val="en-CA"/>
        </w:rPr>
        <w:t xml:space="preserve">Cartwright, M. 2020. « Battle of Agincourt ». </w:t>
      </w:r>
      <w:r>
        <w:t xml:space="preserve">Dans </w:t>
      </w:r>
      <w:r>
        <w:rPr>
          <w:i/>
          <w:iCs/>
        </w:rPr>
        <w:t>Ancient History Encyclopedia</w:t>
      </w:r>
      <w:r>
        <w:t xml:space="preserve">. Consulté le 2020. </w:t>
      </w:r>
      <w:hyperlink r:id="rId322">
        <w:r w:rsidRPr="00EC2D6E">
          <w:rPr>
            <w:rStyle w:val="Lienhypertexte"/>
            <w:lang w:val="en-CA"/>
          </w:rPr>
          <w:t>https://www.ancient.eu/Battle_of_Agincourt/Casson</w:t>
        </w:r>
      </w:hyperlink>
      <w:r w:rsidRPr="00EC2D6E">
        <w:rPr>
          <w:lang w:val="en-CA"/>
        </w:rPr>
        <w:t>.</w:t>
      </w:r>
    </w:p>
    <w:p w14:paraId="412D0D77" w14:textId="77777777" w:rsidR="00065317" w:rsidRPr="00EC2D6E" w:rsidRDefault="005C7BF7" w:rsidP="00652D41">
      <w:pPr>
        <w:pStyle w:val="Corpsdetexte"/>
        <w:ind w:left="567" w:hanging="567"/>
        <w:rPr>
          <w:lang w:val="en-CA"/>
        </w:rPr>
      </w:pPr>
      <w:r w:rsidRPr="00EC2D6E">
        <w:rPr>
          <w:lang w:val="en-CA"/>
        </w:rPr>
        <w:t xml:space="preserve">Chan, Hoklam. 2011. </w:t>
      </w:r>
      <w:r w:rsidRPr="00EC2D6E">
        <w:rPr>
          <w:i/>
          <w:iCs/>
          <w:lang w:val="en-CA"/>
        </w:rPr>
        <w:t>Ming Taizu (r.1368-98) and the foundation of the Ming Dynasty in China</w:t>
      </w:r>
      <w:r w:rsidRPr="00EC2D6E">
        <w:rPr>
          <w:lang w:val="en-CA"/>
        </w:rPr>
        <w:t>. Farnham, GB-SRY : Ashgate.</w:t>
      </w:r>
    </w:p>
    <w:p w14:paraId="786A5E1A" w14:textId="77777777" w:rsidR="00065317" w:rsidRPr="00EC2D6E" w:rsidRDefault="005C7BF7" w:rsidP="00652D41">
      <w:pPr>
        <w:pStyle w:val="Corpsdetexte"/>
        <w:ind w:left="567" w:hanging="567"/>
        <w:rPr>
          <w:lang w:val="en-CA"/>
        </w:rPr>
      </w:pPr>
      <w:r w:rsidRPr="00EC2D6E">
        <w:rPr>
          <w:lang w:val="en-CA"/>
        </w:rPr>
        <w:t xml:space="preserve">Chester, David K. 2001. « The 1755 Lisbon earthquake ». </w:t>
      </w:r>
      <w:r w:rsidRPr="00EC2D6E">
        <w:rPr>
          <w:i/>
          <w:iCs/>
          <w:lang w:val="en-CA"/>
        </w:rPr>
        <w:t>Progress in Physical Geography: Earth and Environment</w:t>
      </w:r>
      <w:r w:rsidRPr="00EC2D6E">
        <w:rPr>
          <w:lang w:val="en-CA"/>
        </w:rPr>
        <w:t xml:space="preserve"> 25 (3) : 363‑83. </w:t>
      </w:r>
      <w:hyperlink r:id="rId323">
        <w:r w:rsidRPr="00EC2D6E">
          <w:rPr>
            <w:rStyle w:val="Lienhypertexte"/>
            <w:lang w:val="en-CA"/>
          </w:rPr>
          <w:t>https://doi.org/10.1177/030913330102500304</w:t>
        </w:r>
      </w:hyperlink>
      <w:r w:rsidRPr="00EC2D6E">
        <w:rPr>
          <w:lang w:val="en-CA"/>
        </w:rPr>
        <w:t>.</w:t>
      </w:r>
    </w:p>
    <w:p w14:paraId="23A8FD6A" w14:textId="77777777" w:rsidR="00065317" w:rsidRPr="00EC2D6E" w:rsidRDefault="005C7BF7" w:rsidP="00652D41">
      <w:pPr>
        <w:pStyle w:val="Corpsdetexte"/>
        <w:ind w:left="567" w:hanging="567"/>
        <w:rPr>
          <w:lang w:val="en-CA"/>
        </w:rPr>
      </w:pPr>
      <w:r w:rsidRPr="00EC2D6E">
        <w:rPr>
          <w:lang w:val="en-CA"/>
        </w:rPr>
        <w:t xml:space="preserve">Childe, Vere Gordon. 1963. </w:t>
      </w:r>
      <w:r w:rsidRPr="00EC2D6E">
        <w:rPr>
          <w:i/>
          <w:iCs/>
          <w:lang w:val="en-CA"/>
        </w:rPr>
        <w:t>The bronze age</w:t>
      </w:r>
      <w:r w:rsidRPr="00EC2D6E">
        <w:rPr>
          <w:lang w:val="en-CA"/>
        </w:rPr>
        <w:t>. New York, US-NY : Biblo and Tannen.</w:t>
      </w:r>
    </w:p>
    <w:p w14:paraId="250E89A0" w14:textId="36FEB14C" w:rsidR="00065317" w:rsidRPr="00EC2D6E" w:rsidRDefault="005C7BF7" w:rsidP="00652D41">
      <w:pPr>
        <w:pStyle w:val="Corpsdetexte"/>
        <w:ind w:left="567" w:hanging="567"/>
        <w:rPr>
          <w:lang w:val="en-CA"/>
        </w:rPr>
      </w:pPr>
      <w:r w:rsidRPr="00EC2D6E">
        <w:rPr>
          <w:lang w:val="en-CA"/>
        </w:rPr>
        <w:t xml:space="preserve">Chipp, Herschel Browning. 1988. </w:t>
      </w:r>
      <w:r w:rsidRPr="00EC2D6E">
        <w:rPr>
          <w:i/>
          <w:iCs/>
          <w:lang w:val="en-CA"/>
        </w:rPr>
        <w:t>Picasso</w:t>
      </w:r>
      <w:r w:rsidR="00E84B0E">
        <w:rPr>
          <w:i/>
          <w:iCs/>
          <w:lang w:val="en-CA"/>
        </w:rPr>
        <w:t>’</w:t>
      </w:r>
      <w:r w:rsidRPr="00EC2D6E">
        <w:rPr>
          <w:i/>
          <w:iCs/>
          <w:lang w:val="en-CA"/>
        </w:rPr>
        <w:t>s Guernica: history, transformations, meanings.</w:t>
      </w:r>
      <w:r w:rsidRPr="00EC2D6E">
        <w:rPr>
          <w:lang w:val="en-CA"/>
        </w:rPr>
        <w:t xml:space="preserve"> Berkeley, US-CA : University of California Press.</w:t>
      </w:r>
    </w:p>
    <w:p w14:paraId="39C288DB" w14:textId="701BC3F0" w:rsidR="00065317" w:rsidRDefault="005C7BF7" w:rsidP="00652D41">
      <w:pPr>
        <w:pStyle w:val="Corpsdetexte"/>
        <w:ind w:left="567" w:hanging="567"/>
      </w:pPr>
      <w:r w:rsidRPr="00EC2D6E">
        <w:rPr>
          <w:lang w:val="en-CA"/>
        </w:rPr>
        <w:t>Clare, John D, et Mich</w:t>
      </w:r>
      <w:r w:rsidR="00B40400">
        <w:rPr>
          <w:lang w:val="en-CA"/>
        </w:rPr>
        <w:t>ae</w:t>
      </w:r>
      <w:r w:rsidRPr="00EC2D6E">
        <w:rPr>
          <w:lang w:val="en-CA"/>
        </w:rPr>
        <w:t xml:space="preserve">l Edwards. 1992. </w:t>
      </w:r>
      <w:r w:rsidRPr="00EC2D6E">
        <w:rPr>
          <w:i/>
          <w:iCs/>
          <w:lang w:val="en-CA"/>
        </w:rPr>
        <w:t>I was there: Roman Empire.</w:t>
      </w:r>
      <w:r w:rsidRPr="00EC2D6E">
        <w:rPr>
          <w:lang w:val="en-CA"/>
        </w:rPr>
        <w:t xml:space="preserve"> </w:t>
      </w:r>
      <w:r>
        <w:t>Londres, GB-LND : The Bodley Head.</w:t>
      </w:r>
    </w:p>
    <w:p w14:paraId="77090934" w14:textId="7C6A2454" w:rsidR="00065317" w:rsidRDefault="005C7BF7" w:rsidP="00652D41">
      <w:pPr>
        <w:pStyle w:val="Corpsdetexte"/>
        <w:ind w:left="567" w:hanging="567"/>
      </w:pPr>
      <w:r>
        <w:t>Collectif &amp; Musée d</w:t>
      </w:r>
      <w:r w:rsidR="00E84B0E">
        <w:t>’</w:t>
      </w:r>
      <w:r>
        <w:t>art et d</w:t>
      </w:r>
      <w:r w:rsidR="00E84B0E">
        <w:t>’</w:t>
      </w:r>
      <w:r>
        <w:t xml:space="preserve">histoire Louis-Senlecq. 1900. </w:t>
      </w:r>
      <w:r>
        <w:rPr>
          <w:i/>
          <w:iCs/>
        </w:rPr>
        <w:t>Les trésors des princes de Bourbon Conti</w:t>
      </w:r>
      <w:r>
        <w:t>. Paris, FR-75 : Somogy éditions d</w:t>
      </w:r>
      <w:r w:rsidR="00E84B0E">
        <w:t>’</w:t>
      </w:r>
      <w:r>
        <w:t>art.</w:t>
      </w:r>
    </w:p>
    <w:p w14:paraId="30B31351" w14:textId="0EC59A87" w:rsidR="00065317" w:rsidRPr="003C7A4A" w:rsidRDefault="005C7BF7" w:rsidP="00652D41">
      <w:pPr>
        <w:pStyle w:val="Corpsdetexte"/>
        <w:ind w:left="567" w:hanging="567"/>
        <w:rPr>
          <w:lang w:val="en-US"/>
        </w:rPr>
      </w:pPr>
      <w:r>
        <w:t xml:space="preserve">« Collection specimens - Specimens - 1842.12.14.24-27 - Data Portal ». </w:t>
      </w:r>
      <w:r w:rsidRPr="00EC2D6E">
        <w:rPr>
          <w:lang w:val="en-CA"/>
        </w:rPr>
        <w:t xml:space="preserve">2010. Natural History Museum Data Portal. </w:t>
      </w:r>
      <w:r w:rsidRPr="003C7A4A">
        <w:rPr>
          <w:lang w:val="en-US"/>
        </w:rPr>
        <w:t>7</w:t>
      </w:r>
      <w:r w:rsidR="00056DCD" w:rsidRPr="003C7A4A">
        <w:rPr>
          <w:lang w:val="en-US"/>
        </w:rPr>
        <w:t> avril </w:t>
      </w:r>
      <w:r w:rsidRPr="003C7A4A">
        <w:rPr>
          <w:lang w:val="en-US"/>
        </w:rPr>
        <w:t xml:space="preserve">2010. </w:t>
      </w:r>
      <w:hyperlink r:id="rId324">
        <w:r w:rsidRPr="003C7A4A">
          <w:rPr>
            <w:rStyle w:val="Lienhypertexte"/>
            <w:lang w:val="en-US"/>
          </w:rPr>
          <w:t>https://data.nhm.ac.uk/object/e1bfb1ab-e94e-4e0a-a13c-bc54e03f22e5</w:t>
        </w:r>
      </w:hyperlink>
      <w:r w:rsidRPr="003C7A4A">
        <w:rPr>
          <w:lang w:val="en-US"/>
        </w:rPr>
        <w:t>.</w:t>
      </w:r>
    </w:p>
    <w:p w14:paraId="60F8D4FA" w14:textId="77777777" w:rsidR="00065317" w:rsidRPr="00EC2D6E" w:rsidRDefault="005C7BF7" w:rsidP="00652D41">
      <w:pPr>
        <w:pStyle w:val="Corpsdetexte"/>
        <w:ind w:left="567" w:hanging="567"/>
        <w:rPr>
          <w:lang w:val="en-CA"/>
        </w:rPr>
      </w:pPr>
      <w:r w:rsidRPr="00EC2D6E">
        <w:rPr>
          <w:lang w:val="en-CA"/>
        </w:rPr>
        <w:t xml:space="preserve">Cooper, B.L. 2008. « Audio Reviews, Blue Suede Shoes: A Rockabilly Session by Carl Perkins and friends. » </w:t>
      </w:r>
      <w:r w:rsidRPr="00EC2D6E">
        <w:rPr>
          <w:i/>
          <w:iCs/>
          <w:lang w:val="en-CA"/>
        </w:rPr>
        <w:t>Popular Music and Society</w:t>
      </w:r>
      <w:r w:rsidRPr="00EC2D6E">
        <w:rPr>
          <w:lang w:val="en-CA"/>
        </w:rPr>
        <w:t xml:space="preserve"> 31 (3) : 395‑401. </w:t>
      </w:r>
      <w:hyperlink r:id="rId325">
        <w:r w:rsidRPr="00EC2D6E">
          <w:rPr>
            <w:rStyle w:val="Lienhypertexte"/>
            <w:lang w:val="en-CA"/>
          </w:rPr>
          <w:t>https://doi.org/10.1080/03007760802021093</w:t>
        </w:r>
      </w:hyperlink>
      <w:r w:rsidRPr="00EC2D6E">
        <w:rPr>
          <w:lang w:val="en-CA"/>
        </w:rPr>
        <w:t>.</w:t>
      </w:r>
    </w:p>
    <w:p w14:paraId="450F70C2" w14:textId="77777777" w:rsidR="00065317" w:rsidRPr="00EC2D6E" w:rsidRDefault="005C7BF7" w:rsidP="00652D41">
      <w:pPr>
        <w:pStyle w:val="Corpsdetexte"/>
        <w:ind w:left="567" w:hanging="567"/>
        <w:rPr>
          <w:lang w:val="en-CA"/>
        </w:rPr>
      </w:pPr>
      <w:r w:rsidRPr="00EC2D6E">
        <w:rPr>
          <w:lang w:val="en-CA"/>
        </w:rPr>
        <w:t xml:space="preserve">Correll, J. Lee. 1972. </w:t>
      </w:r>
      <w:r w:rsidRPr="00EC2D6E">
        <w:rPr>
          <w:i/>
          <w:iCs/>
          <w:lang w:val="en-CA"/>
        </w:rPr>
        <w:t>Welcome to the land of the Navajo: a book of information about the Navajo Indians</w:t>
      </w:r>
      <w:r w:rsidRPr="00EC2D6E">
        <w:rPr>
          <w:lang w:val="en-CA"/>
        </w:rPr>
        <w:t>. 3rd éd. US-AZ : Window Rock.</w:t>
      </w:r>
    </w:p>
    <w:p w14:paraId="7C659891" w14:textId="77777777" w:rsidR="00065317" w:rsidRPr="00EC2D6E" w:rsidRDefault="005C7BF7" w:rsidP="00652D41">
      <w:pPr>
        <w:pStyle w:val="Corpsdetexte"/>
        <w:ind w:left="567" w:hanging="567"/>
        <w:rPr>
          <w:lang w:val="en-CA"/>
        </w:rPr>
      </w:pPr>
      <w:r w:rsidRPr="00EC2D6E">
        <w:rPr>
          <w:lang w:val="en-CA"/>
        </w:rPr>
        <w:t xml:space="preserve">Cox, Neil. 2000. </w:t>
      </w:r>
      <w:r w:rsidRPr="00EC2D6E">
        <w:rPr>
          <w:i/>
          <w:iCs/>
          <w:lang w:val="en-CA"/>
        </w:rPr>
        <w:t>Cubism</w:t>
      </w:r>
      <w:r w:rsidRPr="00EC2D6E">
        <w:rPr>
          <w:lang w:val="en-CA"/>
        </w:rPr>
        <w:t>. Londres, GB-LND : Phaidon.</w:t>
      </w:r>
    </w:p>
    <w:p w14:paraId="609AE790" w14:textId="77777777" w:rsidR="00065317" w:rsidRPr="00EC2D6E" w:rsidRDefault="005C7BF7" w:rsidP="00652D41">
      <w:pPr>
        <w:pStyle w:val="Corpsdetexte"/>
        <w:ind w:left="567" w:hanging="567"/>
        <w:rPr>
          <w:lang w:val="en-CA"/>
        </w:rPr>
      </w:pPr>
      <w:r w:rsidRPr="00EC2D6E">
        <w:rPr>
          <w:lang w:val="en-CA"/>
        </w:rPr>
        <w:t xml:space="preserve">Craig, Norman C., et Eric A. Gislason. 2002. « First Law of Thermodynamics; Irreversible and Reversible Processes ». </w:t>
      </w:r>
      <w:r w:rsidRPr="00EC2D6E">
        <w:rPr>
          <w:i/>
          <w:iCs/>
          <w:lang w:val="en-CA"/>
        </w:rPr>
        <w:t>Journal of Chemical Education</w:t>
      </w:r>
      <w:r w:rsidRPr="00EC2D6E">
        <w:rPr>
          <w:lang w:val="en-CA"/>
        </w:rPr>
        <w:t xml:space="preserve"> 79 (2) : 193. </w:t>
      </w:r>
      <w:hyperlink r:id="rId326">
        <w:r w:rsidRPr="00EC2D6E">
          <w:rPr>
            <w:rStyle w:val="Lienhypertexte"/>
            <w:lang w:val="en-CA"/>
          </w:rPr>
          <w:t>https://doi.org/10.1021/ed079p193</w:t>
        </w:r>
      </w:hyperlink>
      <w:r w:rsidRPr="00EC2D6E">
        <w:rPr>
          <w:lang w:val="en-CA"/>
        </w:rPr>
        <w:t>.</w:t>
      </w:r>
    </w:p>
    <w:p w14:paraId="31B266F1" w14:textId="77777777" w:rsidR="00065317" w:rsidRPr="00EC2D6E" w:rsidRDefault="005C7BF7" w:rsidP="00652D41">
      <w:pPr>
        <w:pStyle w:val="Corpsdetexte"/>
        <w:ind w:left="567" w:hanging="567"/>
        <w:rPr>
          <w:lang w:val="en-CA"/>
        </w:rPr>
      </w:pPr>
      <w:r w:rsidRPr="00EC2D6E">
        <w:rPr>
          <w:lang w:val="en-CA"/>
        </w:rPr>
        <w:t xml:space="preserve">Crocker, Betty. 2012. </w:t>
      </w:r>
      <w:r w:rsidRPr="00EC2D6E">
        <w:rPr>
          <w:i/>
          <w:iCs/>
          <w:lang w:val="en-CA"/>
        </w:rPr>
        <w:t>Betty Crocker vegetarian cooking.</w:t>
      </w:r>
      <w:r w:rsidRPr="00EC2D6E">
        <w:rPr>
          <w:lang w:val="en-CA"/>
        </w:rPr>
        <w:t xml:space="preserve"> Hoboken, US-NJ : Wiley.</w:t>
      </w:r>
    </w:p>
    <w:p w14:paraId="2423E70C" w14:textId="77777777" w:rsidR="00065317" w:rsidRPr="00EC2D6E" w:rsidRDefault="005C7BF7" w:rsidP="00652D41">
      <w:pPr>
        <w:pStyle w:val="Corpsdetexte"/>
        <w:ind w:left="567" w:hanging="567"/>
        <w:rPr>
          <w:lang w:val="en-CA"/>
        </w:rPr>
      </w:pPr>
      <w:r w:rsidRPr="00EC2D6E">
        <w:rPr>
          <w:lang w:val="en-CA"/>
        </w:rPr>
        <w:lastRenderedPageBreak/>
        <w:t xml:space="preserve">Crofton, Ian. 2015. </w:t>
      </w:r>
      <w:r w:rsidRPr="00EC2D6E">
        <w:rPr>
          <w:i/>
          <w:iCs/>
          <w:lang w:val="en-CA"/>
        </w:rPr>
        <w:t>Walking the border: a journey between Scotland and England</w:t>
      </w:r>
      <w:r w:rsidRPr="00EC2D6E">
        <w:rPr>
          <w:lang w:val="en-CA"/>
        </w:rPr>
        <w:t>. Édimbourg, GB-EDH : Birlinn.</w:t>
      </w:r>
    </w:p>
    <w:p w14:paraId="10637361" w14:textId="77777777" w:rsidR="00065317" w:rsidRPr="00EC2D6E" w:rsidRDefault="005C7BF7" w:rsidP="00652D41">
      <w:pPr>
        <w:pStyle w:val="Corpsdetexte"/>
        <w:ind w:left="567" w:hanging="567"/>
        <w:rPr>
          <w:lang w:val="en-CA"/>
        </w:rPr>
      </w:pPr>
      <w:r w:rsidRPr="00EC2D6E">
        <w:rPr>
          <w:lang w:val="en-CA"/>
        </w:rPr>
        <w:t xml:space="preserve">Curry, Anne. 2015. </w:t>
      </w:r>
      <w:r w:rsidRPr="00EC2D6E">
        <w:rPr>
          <w:i/>
          <w:iCs/>
          <w:lang w:val="en-CA"/>
        </w:rPr>
        <w:t>The battle of Agincourt: sources and interpretations</w:t>
      </w:r>
      <w:r w:rsidRPr="00EC2D6E">
        <w:rPr>
          <w:lang w:val="en-CA"/>
        </w:rPr>
        <w:t>. Woodbridge, GB-SFK : The Boydell Press.</w:t>
      </w:r>
    </w:p>
    <w:p w14:paraId="524E16AC" w14:textId="63563414" w:rsidR="00065317" w:rsidRPr="00EC2D6E" w:rsidRDefault="005C7BF7" w:rsidP="00652D41">
      <w:pPr>
        <w:pStyle w:val="Corpsdetexte"/>
        <w:ind w:left="567" w:hanging="567"/>
        <w:rPr>
          <w:lang w:val="en-CA"/>
        </w:rPr>
      </w:pPr>
      <w:r w:rsidRPr="00EC2D6E">
        <w:rPr>
          <w:lang w:val="en-CA"/>
        </w:rPr>
        <w:t xml:space="preserve">Dalrymple, William, et Anita Anand. 2017. </w:t>
      </w:r>
      <w:r w:rsidRPr="00EC2D6E">
        <w:rPr>
          <w:i/>
          <w:iCs/>
          <w:lang w:val="en-CA"/>
        </w:rPr>
        <w:t>Koh-I-Noor: the history of the world</w:t>
      </w:r>
      <w:r w:rsidR="00E84B0E">
        <w:rPr>
          <w:i/>
          <w:iCs/>
          <w:lang w:val="en-CA"/>
        </w:rPr>
        <w:t>’</w:t>
      </w:r>
      <w:r w:rsidRPr="00EC2D6E">
        <w:rPr>
          <w:i/>
          <w:iCs/>
          <w:lang w:val="en-CA"/>
        </w:rPr>
        <w:t>s most infamous diamond</w:t>
      </w:r>
      <w:r w:rsidRPr="00EC2D6E">
        <w:rPr>
          <w:lang w:val="en-CA"/>
        </w:rPr>
        <w:t>. Londres, GB-LND : Bloomsbury.</w:t>
      </w:r>
    </w:p>
    <w:p w14:paraId="18C89470" w14:textId="77777777" w:rsidR="00065317" w:rsidRPr="00EC2D6E" w:rsidRDefault="005C7BF7" w:rsidP="00652D41">
      <w:pPr>
        <w:pStyle w:val="Corpsdetexte"/>
        <w:ind w:left="567" w:hanging="567"/>
        <w:rPr>
          <w:lang w:val="en-CA"/>
        </w:rPr>
      </w:pPr>
      <w:r w:rsidRPr="00EC2D6E">
        <w:rPr>
          <w:lang w:val="en-CA"/>
        </w:rPr>
        <w:t xml:space="preserve">Daly, Audrey. 1981. </w:t>
      </w:r>
      <w:r w:rsidRPr="00EC2D6E">
        <w:rPr>
          <w:i/>
          <w:iCs/>
          <w:lang w:val="en-CA"/>
        </w:rPr>
        <w:t>Royal wedding</w:t>
      </w:r>
      <w:r w:rsidRPr="00EC2D6E">
        <w:rPr>
          <w:lang w:val="en-CA"/>
        </w:rPr>
        <w:t>. Loughborough, GB-LCE : Ladybird Books.</w:t>
      </w:r>
    </w:p>
    <w:p w14:paraId="61F338E5" w14:textId="77777777" w:rsidR="00065317" w:rsidRPr="00EC2D6E" w:rsidRDefault="005C7BF7" w:rsidP="00652D41">
      <w:pPr>
        <w:pStyle w:val="Corpsdetexte"/>
        <w:ind w:left="567" w:hanging="567"/>
        <w:rPr>
          <w:lang w:val="en-CA"/>
        </w:rPr>
      </w:pPr>
      <w:r w:rsidRPr="00EC2D6E">
        <w:rPr>
          <w:lang w:val="en-CA"/>
        </w:rPr>
        <w:t xml:space="preserve">Daniel, Betty C. 2014. « A graceful return of the drachma ». </w:t>
      </w:r>
      <w:r w:rsidRPr="00EC2D6E">
        <w:rPr>
          <w:i/>
          <w:iCs/>
          <w:lang w:val="en-CA"/>
        </w:rPr>
        <w:t>European Economic Review</w:t>
      </w:r>
      <w:r w:rsidRPr="00EC2D6E">
        <w:rPr>
          <w:lang w:val="en-CA"/>
        </w:rPr>
        <w:t xml:space="preserve"> 71 (octobre) : 228‑43. </w:t>
      </w:r>
      <w:hyperlink r:id="rId327">
        <w:r w:rsidRPr="00EC2D6E">
          <w:rPr>
            <w:rStyle w:val="Lienhypertexte"/>
            <w:lang w:val="en-CA"/>
          </w:rPr>
          <w:t>https://doi.org/10.1016/j.euroecorev.2014.08.004</w:t>
        </w:r>
      </w:hyperlink>
      <w:r w:rsidRPr="00EC2D6E">
        <w:rPr>
          <w:lang w:val="en-CA"/>
        </w:rPr>
        <w:t>.</w:t>
      </w:r>
    </w:p>
    <w:p w14:paraId="4ADA8979" w14:textId="77777777" w:rsidR="00065317" w:rsidRDefault="005C7BF7" w:rsidP="00652D41">
      <w:pPr>
        <w:pStyle w:val="Corpsdetexte"/>
        <w:ind w:left="567" w:hanging="567"/>
      </w:pPr>
      <w:r w:rsidRPr="00EC2D6E">
        <w:rPr>
          <w:lang w:val="en-CA"/>
        </w:rPr>
        <w:t xml:space="preserve">Dawson, Paul L. 2018. </w:t>
      </w:r>
      <w:r w:rsidRPr="00EC2D6E">
        <w:rPr>
          <w:i/>
          <w:iCs/>
          <w:lang w:val="en-CA"/>
        </w:rPr>
        <w:t>Waterloo: the truth at last: why Napoleon lost the great battle</w:t>
      </w:r>
      <w:r w:rsidRPr="00EC2D6E">
        <w:rPr>
          <w:lang w:val="en-CA"/>
        </w:rPr>
        <w:t xml:space="preserve">. </w:t>
      </w:r>
      <w:r>
        <w:t>Barnsley, GB-BNS : Frontline Books.</w:t>
      </w:r>
    </w:p>
    <w:p w14:paraId="3CD8D075" w14:textId="396EE2BB" w:rsidR="00065317" w:rsidRPr="003C7A4A" w:rsidRDefault="005C7BF7" w:rsidP="00652D41">
      <w:pPr>
        <w:pStyle w:val="Corpsdetexte"/>
        <w:ind w:left="567" w:hanging="567"/>
        <w:rPr>
          <w:lang w:val="en-US"/>
        </w:rPr>
      </w:pPr>
      <w:r>
        <w:t xml:space="preserve">Delacroix, E., et Helene Toussaint. 1982. </w:t>
      </w:r>
      <w:r>
        <w:rPr>
          <w:i/>
          <w:iCs/>
        </w:rPr>
        <w:t>La Liberte guidant le peuple de Delacroix: [catalogue d</w:t>
      </w:r>
      <w:r w:rsidR="00E84B0E">
        <w:rPr>
          <w:i/>
          <w:iCs/>
        </w:rPr>
        <w:t>’</w:t>
      </w:r>
      <w:r>
        <w:rPr>
          <w:i/>
          <w:iCs/>
        </w:rPr>
        <w:t>une exposition presentee au Musee du Louvre, 5 nov. 1982 au 7 fev. 1983</w:t>
      </w:r>
      <w:r>
        <w:t xml:space="preserve">. </w:t>
      </w:r>
      <w:r w:rsidRPr="003C7A4A">
        <w:rPr>
          <w:lang w:val="en-US"/>
        </w:rPr>
        <w:t>Paris, FR-75 : Reunion des Musees Nationaux.</w:t>
      </w:r>
    </w:p>
    <w:p w14:paraId="64C1E8C0" w14:textId="77777777" w:rsidR="00065317" w:rsidRPr="00EC2D6E" w:rsidRDefault="005C7BF7" w:rsidP="00652D41">
      <w:pPr>
        <w:pStyle w:val="Corpsdetexte"/>
        <w:ind w:left="567" w:hanging="567"/>
        <w:rPr>
          <w:lang w:val="en-CA"/>
        </w:rPr>
      </w:pPr>
      <w:r w:rsidRPr="003C7A4A">
        <w:rPr>
          <w:lang w:val="en-US"/>
        </w:rPr>
        <w:t xml:space="preserve">Deutsch, Otto Erich. 1965. </w:t>
      </w:r>
      <w:r w:rsidRPr="00EC2D6E">
        <w:rPr>
          <w:i/>
          <w:iCs/>
          <w:lang w:val="en-CA"/>
        </w:rPr>
        <w:t>Mozart, a documentary biography</w:t>
      </w:r>
      <w:r w:rsidRPr="00EC2D6E">
        <w:rPr>
          <w:lang w:val="en-CA"/>
        </w:rPr>
        <w:t>. Standford, US-CA : Stanford University Press.</w:t>
      </w:r>
    </w:p>
    <w:p w14:paraId="7E0AFC31" w14:textId="77777777" w:rsidR="00065317" w:rsidRPr="00EC2D6E" w:rsidRDefault="005C7BF7" w:rsidP="00652D41">
      <w:pPr>
        <w:pStyle w:val="Corpsdetexte"/>
        <w:ind w:left="567" w:hanging="567"/>
        <w:rPr>
          <w:lang w:val="en-CA"/>
        </w:rPr>
      </w:pPr>
      <w:r w:rsidRPr="00EC2D6E">
        <w:rPr>
          <w:lang w:val="en-CA"/>
        </w:rPr>
        <w:t xml:space="preserve">Dewey, D. 2003. « The Little Mermaid ». </w:t>
      </w:r>
      <w:r w:rsidRPr="00EC2D6E">
        <w:rPr>
          <w:i/>
          <w:iCs/>
          <w:lang w:val="en-CA"/>
        </w:rPr>
        <w:t>Scandinavian Review</w:t>
      </w:r>
      <w:r w:rsidRPr="00EC2D6E">
        <w:rPr>
          <w:lang w:val="en-CA"/>
        </w:rPr>
        <w:t xml:space="preserve"> 91 (1) : 34.</w:t>
      </w:r>
    </w:p>
    <w:p w14:paraId="0679D9F7" w14:textId="77777777" w:rsidR="00065317" w:rsidRPr="00EC2D6E" w:rsidRDefault="005C7BF7" w:rsidP="00652D41">
      <w:pPr>
        <w:pStyle w:val="Corpsdetexte"/>
        <w:ind w:left="567" w:hanging="567"/>
        <w:rPr>
          <w:lang w:val="en-CA"/>
        </w:rPr>
      </w:pPr>
      <w:r w:rsidRPr="00EC2D6E">
        <w:rPr>
          <w:lang w:val="en-CA"/>
        </w:rPr>
        <w:t xml:space="preserve">Dodge, B. O. 1933. « The Perithecium and Ascus of Penicillium ». </w:t>
      </w:r>
      <w:r w:rsidRPr="00EC2D6E">
        <w:rPr>
          <w:i/>
          <w:iCs/>
          <w:lang w:val="en-CA"/>
        </w:rPr>
        <w:t>Mycologia</w:t>
      </w:r>
      <w:r w:rsidRPr="00EC2D6E">
        <w:rPr>
          <w:lang w:val="en-CA"/>
        </w:rPr>
        <w:t xml:space="preserve"> 25 (2) : 90‑104. </w:t>
      </w:r>
      <w:hyperlink r:id="rId328">
        <w:r w:rsidRPr="00EC2D6E">
          <w:rPr>
            <w:rStyle w:val="Lienhypertexte"/>
            <w:lang w:val="en-CA"/>
          </w:rPr>
          <w:t>https://doi.org/10.1080/00275514.1933.12020653</w:t>
        </w:r>
      </w:hyperlink>
      <w:r w:rsidRPr="00EC2D6E">
        <w:rPr>
          <w:lang w:val="en-CA"/>
        </w:rPr>
        <w:t>.</w:t>
      </w:r>
    </w:p>
    <w:p w14:paraId="0BAB9D71" w14:textId="77777777" w:rsidR="00065317" w:rsidRPr="00EC2D6E" w:rsidRDefault="005C7BF7" w:rsidP="00652D41">
      <w:pPr>
        <w:pStyle w:val="Corpsdetexte"/>
        <w:ind w:left="567" w:hanging="567"/>
        <w:rPr>
          <w:lang w:val="en-CA"/>
        </w:rPr>
      </w:pPr>
      <w:r w:rsidRPr="00EC2D6E">
        <w:rPr>
          <w:lang w:val="en-CA"/>
        </w:rPr>
        <w:t xml:space="preserve">Doerr, Martin. 2003. « The CIDOC Conceptual Reference Module: An Ontological Approach to Semantic Interoperability of Metadata ». </w:t>
      </w:r>
      <w:r w:rsidRPr="00EC2D6E">
        <w:rPr>
          <w:i/>
          <w:iCs/>
          <w:lang w:val="en-CA"/>
        </w:rPr>
        <w:t>AI Magazine</w:t>
      </w:r>
      <w:r w:rsidRPr="00EC2D6E">
        <w:rPr>
          <w:lang w:val="en-CA"/>
        </w:rPr>
        <w:t xml:space="preserve"> 24 (3) : 75‑92. </w:t>
      </w:r>
      <w:hyperlink r:id="rId329">
        <w:r w:rsidRPr="00EC2D6E">
          <w:rPr>
            <w:rStyle w:val="Lienhypertexte"/>
            <w:lang w:val="en-CA"/>
          </w:rPr>
          <w:t>https://doi.org/10.1609/aimag.v24i3.1720</w:t>
        </w:r>
      </w:hyperlink>
      <w:r w:rsidRPr="00EC2D6E">
        <w:rPr>
          <w:lang w:val="en-CA"/>
        </w:rPr>
        <w:t>.</w:t>
      </w:r>
    </w:p>
    <w:p w14:paraId="51C3C12E" w14:textId="747E3215" w:rsidR="00065317" w:rsidRPr="00EC2D6E" w:rsidRDefault="005C7BF7" w:rsidP="00652D41">
      <w:pPr>
        <w:pStyle w:val="Corpsdetexte"/>
        <w:ind w:left="567" w:hanging="567"/>
        <w:rPr>
          <w:lang w:val="en-CA"/>
        </w:rPr>
      </w:pPr>
      <w:r w:rsidRPr="00EC2D6E">
        <w:rPr>
          <w:lang w:val="en-CA"/>
        </w:rPr>
        <w:t xml:space="preserve">Doerr, Martin, et Gerald Hiebel. 2013. « CRMgeo: Linking the </w:t>
      </w:r>
      <w:r w:rsidR="00C8288F">
        <w:rPr>
          <w:lang w:val="en-CA"/>
        </w:rPr>
        <w:t>CIDOC CRM</w:t>
      </w:r>
      <w:r w:rsidRPr="00EC2D6E">
        <w:rPr>
          <w:lang w:val="en-CA"/>
        </w:rPr>
        <w:t xml:space="preserve"> to GeoSPARQL through a Spatiotemporal Refinement ». Technical Report ICS-FORTH/TR-435. Heraklion, Crete, GR or Grèce : Institute of Computer Science, Foundation for Research and Technology Hellas.</w:t>
      </w:r>
    </w:p>
    <w:p w14:paraId="5DD6E657" w14:textId="77777777" w:rsidR="00065317" w:rsidRPr="00EC2D6E" w:rsidRDefault="005C7BF7" w:rsidP="00652D41">
      <w:pPr>
        <w:pStyle w:val="Corpsdetexte"/>
        <w:ind w:left="567" w:hanging="567"/>
        <w:rPr>
          <w:lang w:val="en-CA"/>
        </w:rPr>
      </w:pPr>
      <w:r w:rsidRPr="00EC2D6E">
        <w:rPr>
          <w:lang w:val="en-CA"/>
        </w:rPr>
        <w:t xml:space="preserve">Dolan, John W. 2005. « The Bermuda Triangle ». </w:t>
      </w:r>
      <w:r w:rsidRPr="00EC2D6E">
        <w:rPr>
          <w:i/>
          <w:iCs/>
          <w:lang w:val="en-CA"/>
        </w:rPr>
        <w:t>LC GC North America</w:t>
      </w:r>
      <w:r w:rsidRPr="00EC2D6E">
        <w:rPr>
          <w:lang w:val="en-CA"/>
        </w:rPr>
        <w:t xml:space="preserve"> 23 (4) : 370‑75.</w:t>
      </w:r>
    </w:p>
    <w:p w14:paraId="184F6F46" w14:textId="77777777" w:rsidR="00065317" w:rsidRPr="00EC2D6E" w:rsidRDefault="005C7BF7" w:rsidP="00652D41">
      <w:pPr>
        <w:pStyle w:val="Corpsdetexte"/>
        <w:ind w:left="567" w:hanging="567"/>
        <w:rPr>
          <w:lang w:val="en-CA"/>
        </w:rPr>
      </w:pPr>
      <w:r w:rsidRPr="00EC2D6E">
        <w:rPr>
          <w:lang w:val="en-CA"/>
        </w:rPr>
        <w:t xml:space="preserve">Dorman Long (Firm). 1932. </w:t>
      </w:r>
      <w:r w:rsidRPr="00EC2D6E">
        <w:rPr>
          <w:i/>
          <w:iCs/>
          <w:lang w:val="en-CA"/>
        </w:rPr>
        <w:t>Sydney Harbour Bridge.</w:t>
      </w:r>
      <w:r w:rsidRPr="00EC2D6E">
        <w:rPr>
          <w:lang w:val="en-CA"/>
        </w:rPr>
        <w:t xml:space="preserve"> Middlesbrough, GB-NYK : Dorman Long and Company Limited.</w:t>
      </w:r>
    </w:p>
    <w:p w14:paraId="3A6C97D6" w14:textId="77777777" w:rsidR="00065317" w:rsidRDefault="005C7BF7" w:rsidP="00652D41">
      <w:pPr>
        <w:pStyle w:val="Corpsdetexte"/>
        <w:ind w:left="567" w:hanging="567"/>
      </w:pPr>
      <w:r>
        <w:t xml:space="preserve">Droste, Magdalena, et P Gössel. 2006. </w:t>
      </w:r>
      <w:r>
        <w:rPr>
          <w:i/>
          <w:iCs/>
        </w:rPr>
        <w:t>Bauhaus 1919-1933: reform and Avant-Garde</w:t>
      </w:r>
      <w:r>
        <w:t>. Cologne, DE-NW : Taschen.</w:t>
      </w:r>
    </w:p>
    <w:p w14:paraId="7309CA8D" w14:textId="77777777" w:rsidR="00065317" w:rsidRPr="00EC2D6E" w:rsidRDefault="005C7BF7" w:rsidP="00652D41">
      <w:pPr>
        <w:pStyle w:val="Corpsdetexte"/>
        <w:ind w:left="567" w:hanging="567"/>
        <w:rPr>
          <w:lang w:val="en-CA"/>
        </w:rPr>
      </w:pPr>
      <w:r w:rsidRPr="003C7A4A">
        <w:rPr>
          <w:lang w:val="en-US"/>
        </w:rPr>
        <w:t xml:space="preserve">Edwards, I. E. S, et Lee Boltin. </w:t>
      </w:r>
      <w:r w:rsidRPr="00EC2D6E">
        <w:rPr>
          <w:lang w:val="en-CA"/>
        </w:rPr>
        <w:t xml:space="preserve">1979. </w:t>
      </w:r>
      <w:r w:rsidRPr="00EC2D6E">
        <w:rPr>
          <w:i/>
          <w:iCs/>
          <w:lang w:val="en-CA"/>
        </w:rPr>
        <w:t>Tutankhamun: his tomb and its treasures</w:t>
      </w:r>
      <w:r w:rsidRPr="00EC2D6E">
        <w:rPr>
          <w:lang w:val="en-CA"/>
        </w:rPr>
        <w:t>. Londres, GB-LND : Gollancz.</w:t>
      </w:r>
    </w:p>
    <w:p w14:paraId="59AC6CF2" w14:textId="77777777" w:rsidR="00065317" w:rsidRPr="00EC2D6E" w:rsidRDefault="005C7BF7" w:rsidP="00652D41">
      <w:pPr>
        <w:pStyle w:val="Corpsdetexte"/>
        <w:ind w:left="567" w:hanging="567"/>
        <w:rPr>
          <w:lang w:val="en-CA"/>
        </w:rPr>
      </w:pPr>
      <w:r w:rsidRPr="00EC2D6E">
        <w:rPr>
          <w:lang w:val="en-CA"/>
        </w:rPr>
        <w:t xml:space="preserve">Einstein, Albert. 2001. </w:t>
      </w:r>
      <w:r w:rsidRPr="00EC2D6E">
        <w:rPr>
          <w:i/>
          <w:iCs/>
          <w:lang w:val="en-CA"/>
        </w:rPr>
        <w:t>Relativity: the special and the general theory</w:t>
      </w:r>
      <w:r w:rsidRPr="00EC2D6E">
        <w:rPr>
          <w:lang w:val="en-CA"/>
        </w:rPr>
        <w:t>. Londres, GB-LND : Routledge.</w:t>
      </w:r>
    </w:p>
    <w:p w14:paraId="46DC6524" w14:textId="77777777" w:rsidR="00065317" w:rsidRPr="00EC2D6E" w:rsidRDefault="005C7BF7" w:rsidP="00652D41">
      <w:pPr>
        <w:pStyle w:val="Corpsdetexte"/>
        <w:ind w:left="567" w:hanging="567"/>
        <w:rPr>
          <w:lang w:val="en-CA"/>
        </w:rPr>
      </w:pPr>
      <w:r w:rsidRPr="00EC2D6E">
        <w:rPr>
          <w:lang w:val="en-CA"/>
        </w:rPr>
        <w:t xml:space="preserve">Evans, Arthur. 1921. </w:t>
      </w:r>
      <w:r w:rsidRPr="00EC2D6E">
        <w:rPr>
          <w:i/>
          <w:iCs/>
          <w:lang w:val="en-CA"/>
        </w:rPr>
        <w:t>The palace of Minos: a comparative account of the successive stages of the early Cretan civilization as illustrated by the discoveries at Knossos.</w:t>
      </w:r>
      <w:r w:rsidRPr="00EC2D6E">
        <w:rPr>
          <w:lang w:val="en-CA"/>
        </w:rPr>
        <w:t xml:space="preserve"> Londres, GB-LND : Macmillan &amp; Co.</w:t>
      </w:r>
    </w:p>
    <w:p w14:paraId="1020FF21" w14:textId="77777777" w:rsidR="00065317" w:rsidRPr="00EC2D6E" w:rsidRDefault="005C7BF7" w:rsidP="00652D41">
      <w:pPr>
        <w:pStyle w:val="Corpsdetexte"/>
        <w:ind w:left="567" w:hanging="567"/>
        <w:rPr>
          <w:lang w:val="en-CA"/>
        </w:rPr>
      </w:pPr>
      <w:r w:rsidRPr="00EC2D6E">
        <w:rPr>
          <w:lang w:val="en-CA"/>
        </w:rPr>
        <w:t xml:space="preserve">Farnie, D. A. 1980. </w:t>
      </w:r>
      <w:r w:rsidRPr="00EC2D6E">
        <w:rPr>
          <w:i/>
          <w:iCs/>
          <w:lang w:val="en-CA"/>
        </w:rPr>
        <w:t>The Manchester Ship Canal and the rise of the Port of Manchester, 1894-1975.</w:t>
      </w:r>
      <w:r w:rsidRPr="00EC2D6E">
        <w:rPr>
          <w:lang w:val="en-CA"/>
        </w:rPr>
        <w:t xml:space="preserve"> Manchester, GB-MAN : Manchester University Press.</w:t>
      </w:r>
    </w:p>
    <w:p w14:paraId="5CE861CA" w14:textId="77777777" w:rsidR="00065317" w:rsidRPr="00EC2D6E" w:rsidRDefault="005C7BF7" w:rsidP="00652D41">
      <w:pPr>
        <w:pStyle w:val="Corpsdetexte"/>
        <w:ind w:left="567" w:hanging="567"/>
        <w:rPr>
          <w:lang w:val="en-CA"/>
        </w:rPr>
      </w:pPr>
      <w:r w:rsidRPr="00EC2D6E">
        <w:rPr>
          <w:lang w:val="en-CA"/>
        </w:rPr>
        <w:t xml:space="preserve">Farrand, Max. 1913. </w:t>
      </w:r>
      <w:r w:rsidRPr="00EC2D6E">
        <w:rPr>
          <w:i/>
          <w:iCs/>
          <w:lang w:val="en-CA"/>
        </w:rPr>
        <w:t>Framing of Constitution of United States.</w:t>
      </w:r>
      <w:r w:rsidRPr="00EC2D6E">
        <w:rPr>
          <w:lang w:val="en-CA"/>
        </w:rPr>
        <w:t xml:space="preserve"> US : Yale University Press.</w:t>
      </w:r>
    </w:p>
    <w:p w14:paraId="59FC6330" w14:textId="77777777" w:rsidR="00065317" w:rsidRPr="00EC2D6E" w:rsidRDefault="005C7BF7" w:rsidP="00652D41">
      <w:pPr>
        <w:pStyle w:val="Corpsdetexte"/>
        <w:ind w:left="567" w:hanging="567"/>
        <w:rPr>
          <w:lang w:val="en-CA"/>
        </w:rPr>
      </w:pPr>
      <w:r w:rsidRPr="00EC2D6E">
        <w:rPr>
          <w:lang w:val="en-CA"/>
        </w:rPr>
        <w:t xml:space="preserve">Fisher, John, et Geoff Garvey. 2010. </w:t>
      </w:r>
      <w:r w:rsidRPr="00EC2D6E">
        <w:rPr>
          <w:i/>
          <w:iCs/>
          <w:lang w:val="en-CA"/>
        </w:rPr>
        <w:t>The rough guide to Crete</w:t>
      </w:r>
      <w:r w:rsidRPr="00EC2D6E">
        <w:rPr>
          <w:lang w:val="en-CA"/>
        </w:rPr>
        <w:t>. GB : Rough Guides Limited.</w:t>
      </w:r>
    </w:p>
    <w:p w14:paraId="42761C5A" w14:textId="77777777" w:rsidR="00065317" w:rsidRPr="00EC2D6E" w:rsidRDefault="005C7BF7" w:rsidP="00652D41">
      <w:pPr>
        <w:pStyle w:val="Corpsdetexte"/>
        <w:ind w:left="567" w:hanging="567"/>
        <w:rPr>
          <w:lang w:val="en-CA"/>
        </w:rPr>
      </w:pPr>
      <w:r w:rsidRPr="00EC2D6E">
        <w:rPr>
          <w:lang w:val="en-CA"/>
        </w:rPr>
        <w:lastRenderedPageBreak/>
        <w:t xml:space="preserve">Foster, Norman. 2000. </w:t>
      </w:r>
      <w:r w:rsidRPr="00EC2D6E">
        <w:rPr>
          <w:i/>
          <w:iCs/>
          <w:lang w:val="en-CA"/>
        </w:rPr>
        <w:t>Rebuilding the Reichstag</w:t>
      </w:r>
      <w:r w:rsidRPr="00EC2D6E">
        <w:rPr>
          <w:lang w:val="en-CA"/>
        </w:rPr>
        <w:t>. Woodstock, US-NY : Overlook Press.</w:t>
      </w:r>
    </w:p>
    <w:p w14:paraId="482A8276" w14:textId="77777777" w:rsidR="00065317" w:rsidRPr="00EC2D6E" w:rsidRDefault="005C7BF7" w:rsidP="00652D41">
      <w:pPr>
        <w:pStyle w:val="Corpsdetexte"/>
        <w:ind w:left="567" w:hanging="567"/>
        <w:rPr>
          <w:lang w:val="en-CA"/>
        </w:rPr>
      </w:pPr>
      <w:r w:rsidRPr="00EC2D6E">
        <w:rPr>
          <w:lang w:val="en-CA"/>
        </w:rPr>
        <w:t xml:space="preserve">Galeotti, Mark. 1997. </w:t>
      </w:r>
      <w:r w:rsidRPr="00EC2D6E">
        <w:rPr>
          <w:i/>
          <w:iCs/>
          <w:lang w:val="en-CA"/>
        </w:rPr>
        <w:t>Gorbachev and His Revolution</w:t>
      </w:r>
      <w:r w:rsidRPr="00EC2D6E">
        <w:rPr>
          <w:lang w:val="en-CA"/>
        </w:rPr>
        <w:t>. Londres, GB-LND : Macmillan Education, Limited.</w:t>
      </w:r>
    </w:p>
    <w:p w14:paraId="21DBB393" w14:textId="77777777" w:rsidR="00065317" w:rsidRPr="00EC2D6E" w:rsidRDefault="005C7BF7" w:rsidP="00652D41">
      <w:pPr>
        <w:pStyle w:val="Corpsdetexte"/>
        <w:ind w:left="567" w:hanging="567"/>
        <w:rPr>
          <w:lang w:val="en-CA"/>
        </w:rPr>
      </w:pPr>
      <w:r w:rsidRPr="00EC2D6E">
        <w:rPr>
          <w:lang w:val="en-CA"/>
        </w:rPr>
        <w:t xml:space="preserve">Gangemi, Aldo, Nicola Guarino, Claudio Masolo, Alessandro Oltramari, et Luc Schneider. 2002. « Sweetening Ontologies with DOLCE ». Dans </w:t>
      </w:r>
      <w:r w:rsidRPr="00EC2D6E">
        <w:rPr>
          <w:i/>
          <w:iCs/>
          <w:lang w:val="en-CA"/>
        </w:rPr>
        <w:t>Knowledge Engineering and Knowledge Management: Ontologies and the Semantic Web</w:t>
      </w:r>
      <w:r w:rsidRPr="00EC2D6E">
        <w:rPr>
          <w:lang w:val="en-CA"/>
        </w:rPr>
        <w:t xml:space="preserve">. </w:t>
      </w:r>
      <w:r>
        <w:t xml:space="preserve">Sous la direction de Asunción Gómez-Pérez et V. Richard Benjamins, 166‑81. </w:t>
      </w:r>
      <w:r w:rsidRPr="00EC2D6E">
        <w:rPr>
          <w:lang w:val="en-CA"/>
        </w:rPr>
        <w:t xml:space="preserve">Lecture Notes in Computer Science. Berlin, DE-BE; Heidelberg, DE-BW : Springer. </w:t>
      </w:r>
      <w:hyperlink r:id="rId330">
        <w:r w:rsidRPr="00EC2D6E">
          <w:rPr>
            <w:rStyle w:val="Lienhypertexte"/>
            <w:lang w:val="en-CA"/>
          </w:rPr>
          <w:t>https://doi.org/10.1007/3-540-45810-7_18</w:t>
        </w:r>
      </w:hyperlink>
      <w:r w:rsidRPr="00EC2D6E">
        <w:rPr>
          <w:lang w:val="en-CA"/>
        </w:rPr>
        <w:t>.</w:t>
      </w:r>
    </w:p>
    <w:p w14:paraId="0484C58E" w14:textId="77777777" w:rsidR="00065317" w:rsidRPr="00EC2D6E" w:rsidRDefault="005C7BF7" w:rsidP="00652D41">
      <w:pPr>
        <w:pStyle w:val="Corpsdetexte"/>
        <w:ind w:left="567" w:hanging="567"/>
        <w:rPr>
          <w:lang w:val="en-CA"/>
        </w:rPr>
      </w:pPr>
      <w:r w:rsidRPr="00EC2D6E">
        <w:rPr>
          <w:lang w:val="en-CA"/>
        </w:rPr>
        <w:t xml:space="preserve">Gannett, Henry et Geological Survey (U.S.). 1904. </w:t>
      </w:r>
      <w:r w:rsidRPr="00EC2D6E">
        <w:rPr>
          <w:i/>
          <w:iCs/>
          <w:lang w:val="en-CA"/>
        </w:rPr>
        <w:t>Boundaries of the United States and of the several states and territories: with an outline of the history of all important changes of territory</w:t>
      </w:r>
      <w:r w:rsidRPr="00EC2D6E">
        <w:rPr>
          <w:lang w:val="en-CA"/>
        </w:rPr>
        <w:t>. US-DC : Department of the Interior, United States Geological Survey.</w:t>
      </w:r>
    </w:p>
    <w:p w14:paraId="749B8012" w14:textId="1C4EFAE2" w:rsidR="00065317" w:rsidRPr="00EC2D6E" w:rsidRDefault="005C7BF7" w:rsidP="00652D41">
      <w:pPr>
        <w:pStyle w:val="Corpsdetexte"/>
        <w:ind w:left="567" w:hanging="567"/>
        <w:rPr>
          <w:lang w:val="en-CA"/>
        </w:rPr>
      </w:pPr>
      <w:r w:rsidRPr="00EC2D6E">
        <w:rPr>
          <w:lang w:val="en-CA"/>
        </w:rPr>
        <w:t>George, A. R. 2000. « Review of The Final Sack of Nineveh. The Discovery, Documentation, and Destruction of King Sennacherib</w:t>
      </w:r>
      <w:r w:rsidR="00E84B0E">
        <w:rPr>
          <w:lang w:val="en-CA"/>
        </w:rPr>
        <w:t>’</w:t>
      </w:r>
      <w:r w:rsidRPr="00EC2D6E">
        <w:rPr>
          <w:lang w:val="en-CA"/>
        </w:rPr>
        <w:t xml:space="preserve">s Throne Room at Nineveh, Iraq ». </w:t>
      </w:r>
      <w:r w:rsidRPr="00EC2D6E">
        <w:rPr>
          <w:i/>
          <w:iCs/>
          <w:lang w:val="en-CA"/>
        </w:rPr>
        <w:t>Journal of the Royal Asiatic Society</w:t>
      </w:r>
      <w:r w:rsidRPr="00EC2D6E">
        <w:rPr>
          <w:lang w:val="en-CA"/>
        </w:rPr>
        <w:t xml:space="preserve"> 10 (1) : 84‑85.</w:t>
      </w:r>
    </w:p>
    <w:p w14:paraId="0C8D282E" w14:textId="77777777" w:rsidR="00065317" w:rsidRPr="00EC2D6E" w:rsidRDefault="005C7BF7" w:rsidP="00652D41">
      <w:pPr>
        <w:pStyle w:val="Corpsdetexte"/>
        <w:ind w:left="567" w:hanging="567"/>
        <w:rPr>
          <w:lang w:val="en-CA"/>
        </w:rPr>
      </w:pPr>
      <w:r w:rsidRPr="00EC2D6E">
        <w:rPr>
          <w:lang w:val="en-CA"/>
        </w:rPr>
        <w:t xml:space="preserve">Georgoula, Elektra. 2005. </w:t>
      </w:r>
      <w:r w:rsidRPr="00EC2D6E">
        <w:rPr>
          <w:i/>
          <w:iCs/>
          <w:lang w:val="en-CA"/>
        </w:rPr>
        <w:t>Greek treasures from the Benaki Museum in Athens</w:t>
      </w:r>
      <w:r w:rsidRPr="00EC2D6E">
        <w:rPr>
          <w:lang w:val="en-CA"/>
        </w:rPr>
        <w:t>. Sydney, AU-NSW : Powerhouse Publishing in association with Benaki Museum.</w:t>
      </w:r>
    </w:p>
    <w:p w14:paraId="1E4B2715" w14:textId="77777777" w:rsidR="00065317" w:rsidRPr="00EC2D6E" w:rsidRDefault="005C7BF7" w:rsidP="00652D41">
      <w:pPr>
        <w:pStyle w:val="Corpsdetexte"/>
        <w:ind w:left="567" w:hanging="567"/>
        <w:rPr>
          <w:lang w:val="en-CA"/>
        </w:rPr>
      </w:pPr>
      <w:r>
        <w:t xml:space="preserve">Gergatsoulis, Manolis, Lina Bountouri, Panorea Gaitanou, et Christos Papatheodorou. </w:t>
      </w:r>
      <w:r w:rsidRPr="00EC2D6E">
        <w:rPr>
          <w:lang w:val="en-CA"/>
        </w:rPr>
        <w:t xml:space="preserve">2010. « Mapping Cultural Metadata Schemas to CIDOC Conceptual Reference Model ». Dans </w:t>
      </w:r>
      <w:r w:rsidRPr="00EC2D6E">
        <w:rPr>
          <w:i/>
          <w:iCs/>
          <w:lang w:val="en-CA"/>
        </w:rPr>
        <w:t>Artificial Intelligence: Theories, Models and Applications</w:t>
      </w:r>
      <w:r w:rsidRPr="00EC2D6E">
        <w:rPr>
          <w:lang w:val="en-CA"/>
        </w:rPr>
        <w:t xml:space="preserve">. , 321‑26. Springer, Berlin, Heidelberg. </w:t>
      </w:r>
      <w:hyperlink r:id="rId331">
        <w:r w:rsidRPr="00EC2D6E">
          <w:rPr>
            <w:rStyle w:val="Lienhypertexte"/>
            <w:lang w:val="en-CA"/>
          </w:rPr>
          <w:t>https://doi.org/10.1007/978-3-642-12842-4_37</w:t>
        </w:r>
      </w:hyperlink>
      <w:r w:rsidRPr="00EC2D6E">
        <w:rPr>
          <w:lang w:val="en-CA"/>
        </w:rPr>
        <w:t>.</w:t>
      </w:r>
    </w:p>
    <w:p w14:paraId="44271736" w14:textId="77777777" w:rsidR="00065317" w:rsidRPr="00EC2D6E" w:rsidRDefault="005C7BF7" w:rsidP="00652D41">
      <w:pPr>
        <w:pStyle w:val="Corpsdetexte"/>
        <w:ind w:left="567" w:hanging="567"/>
        <w:rPr>
          <w:lang w:val="en-CA"/>
        </w:rPr>
      </w:pPr>
      <w:r w:rsidRPr="00EC2D6E">
        <w:rPr>
          <w:lang w:val="en-CA"/>
        </w:rPr>
        <w:t xml:space="preserve">Gibbon, Edward. 2013. </w:t>
      </w:r>
      <w:r w:rsidRPr="00EC2D6E">
        <w:rPr>
          <w:i/>
          <w:iCs/>
          <w:lang w:val="en-CA"/>
        </w:rPr>
        <w:t>The History of the Decline and Fall of the Roman Empire: Edited in Seven Volumes with Introduction, Notes, Appendices, and Index</w:t>
      </w:r>
      <w:r w:rsidRPr="00EC2D6E">
        <w:rPr>
          <w:lang w:val="en-CA"/>
        </w:rPr>
        <w:t xml:space="preserve">. </w:t>
      </w:r>
      <w:r>
        <w:t xml:space="preserve">Sous la direction de J. B. Bury. Vol. 5. Cambridge Library Collection - Classics. </w:t>
      </w:r>
      <w:r w:rsidRPr="00EC2D6E">
        <w:rPr>
          <w:lang w:val="en-CA"/>
        </w:rPr>
        <w:t xml:space="preserve">Cambridge, GB-CAM : Cambridge University Press. </w:t>
      </w:r>
      <w:hyperlink r:id="rId332">
        <w:r w:rsidRPr="00EC2D6E">
          <w:rPr>
            <w:rStyle w:val="Lienhypertexte"/>
            <w:lang w:val="en-CA"/>
          </w:rPr>
          <w:t>https://doi.org/10.1017/CBO9781139333580</w:t>
        </w:r>
      </w:hyperlink>
      <w:r w:rsidRPr="00EC2D6E">
        <w:rPr>
          <w:lang w:val="en-CA"/>
        </w:rPr>
        <w:t>.</w:t>
      </w:r>
    </w:p>
    <w:p w14:paraId="2AB25081" w14:textId="77777777" w:rsidR="00065317" w:rsidRPr="00EC2D6E" w:rsidRDefault="005C7BF7" w:rsidP="00652D41">
      <w:pPr>
        <w:pStyle w:val="Corpsdetexte"/>
        <w:ind w:left="567" w:hanging="567"/>
        <w:rPr>
          <w:lang w:val="en-CA"/>
        </w:rPr>
      </w:pPr>
      <w:r w:rsidRPr="00EC2D6E">
        <w:rPr>
          <w:lang w:val="en-CA"/>
        </w:rPr>
        <w:t xml:space="preserve">Gibson, Joy Leslie. 1990. </w:t>
      </w:r>
      <w:r w:rsidRPr="00EC2D6E">
        <w:rPr>
          <w:i/>
          <w:iCs/>
          <w:lang w:val="en-CA"/>
        </w:rPr>
        <w:t>Ian McKellen</w:t>
      </w:r>
      <w:r w:rsidRPr="00EC2D6E">
        <w:rPr>
          <w:lang w:val="en-CA"/>
        </w:rPr>
        <w:t>. Londres, GB-LND : Weidenfeld and Nicolson.</w:t>
      </w:r>
    </w:p>
    <w:p w14:paraId="15C72F32" w14:textId="77777777" w:rsidR="00065317" w:rsidRPr="00EC2D6E" w:rsidRDefault="005C7BF7" w:rsidP="00652D41">
      <w:pPr>
        <w:pStyle w:val="Corpsdetexte"/>
        <w:ind w:left="567" w:hanging="567"/>
        <w:rPr>
          <w:lang w:val="en-CA"/>
        </w:rPr>
      </w:pPr>
      <w:r w:rsidRPr="00EC2D6E">
        <w:rPr>
          <w:lang w:val="en-CA"/>
        </w:rPr>
        <w:t xml:space="preserve">Gimbutas, Marija Alseikaité. 1965. </w:t>
      </w:r>
      <w:r w:rsidRPr="00EC2D6E">
        <w:rPr>
          <w:i/>
          <w:iCs/>
          <w:lang w:val="en-CA"/>
        </w:rPr>
        <w:t>Bronze age cultures in central and eastern Europe</w:t>
      </w:r>
      <w:r w:rsidRPr="00EC2D6E">
        <w:rPr>
          <w:lang w:val="en-CA"/>
        </w:rPr>
        <w:t>. Paris, FR-75 : Mouton &amp; Co.</w:t>
      </w:r>
    </w:p>
    <w:p w14:paraId="156A4BD6" w14:textId="77777777" w:rsidR="00065317" w:rsidRPr="00EC2D6E" w:rsidRDefault="005C7BF7" w:rsidP="00652D41">
      <w:pPr>
        <w:pStyle w:val="Corpsdetexte"/>
        <w:ind w:left="567" w:hanging="567"/>
        <w:rPr>
          <w:lang w:val="en-CA"/>
        </w:rPr>
      </w:pPr>
      <w:r w:rsidRPr="00EC2D6E">
        <w:rPr>
          <w:lang w:val="en-CA"/>
        </w:rPr>
        <w:t xml:space="preserve">Gleick, James. 2003. </w:t>
      </w:r>
      <w:r w:rsidRPr="00EC2D6E">
        <w:rPr>
          <w:i/>
          <w:iCs/>
          <w:lang w:val="en-CA"/>
        </w:rPr>
        <w:t>Isaac Newton</w:t>
      </w:r>
      <w:r w:rsidRPr="00EC2D6E">
        <w:rPr>
          <w:lang w:val="en-CA"/>
        </w:rPr>
        <w:t>. London; New York, US-NY : Fourth Estate.</w:t>
      </w:r>
    </w:p>
    <w:p w14:paraId="29EC0CD6" w14:textId="77777777" w:rsidR="00065317" w:rsidRPr="00EC2D6E" w:rsidRDefault="005C7BF7" w:rsidP="00652D41">
      <w:pPr>
        <w:pStyle w:val="Corpsdetexte"/>
        <w:ind w:left="567" w:hanging="567"/>
        <w:rPr>
          <w:lang w:val="en-CA"/>
        </w:rPr>
      </w:pPr>
      <w:r w:rsidRPr="00EC2D6E">
        <w:rPr>
          <w:lang w:val="en-CA"/>
        </w:rPr>
        <w:t xml:space="preserve">Goldner, Orville, et George E Turner. 1976. </w:t>
      </w:r>
      <w:r w:rsidRPr="00EC2D6E">
        <w:rPr>
          <w:i/>
          <w:iCs/>
          <w:lang w:val="en-CA"/>
        </w:rPr>
        <w:t>The making of King Kong: the story behind a film classic</w:t>
      </w:r>
      <w:r w:rsidRPr="00EC2D6E">
        <w:rPr>
          <w:lang w:val="en-CA"/>
        </w:rPr>
        <w:t>. New York, US-NY : Ballantine Books.</w:t>
      </w:r>
    </w:p>
    <w:p w14:paraId="5FB53B24" w14:textId="77777777" w:rsidR="00065317" w:rsidRPr="00EC2D6E" w:rsidRDefault="005C7BF7" w:rsidP="00652D41">
      <w:pPr>
        <w:pStyle w:val="Corpsdetexte"/>
        <w:ind w:left="567" w:hanging="567"/>
        <w:rPr>
          <w:lang w:val="en-CA"/>
        </w:rPr>
      </w:pPr>
      <w:r w:rsidRPr="00EC2D6E">
        <w:rPr>
          <w:lang w:val="en-CA"/>
        </w:rPr>
        <w:t xml:space="preserve">Goldscheider, Ludwig. 1953. </w:t>
      </w:r>
      <w:r w:rsidRPr="00EC2D6E">
        <w:rPr>
          <w:i/>
          <w:iCs/>
          <w:lang w:val="en-CA"/>
        </w:rPr>
        <w:t>Michelangelo: paintings, sculpture, architecture</w:t>
      </w:r>
      <w:r w:rsidRPr="00EC2D6E">
        <w:rPr>
          <w:lang w:val="en-CA"/>
        </w:rPr>
        <w:t>. Londres, GB-LND : Phaidon Press.</w:t>
      </w:r>
    </w:p>
    <w:p w14:paraId="46AAC645" w14:textId="77777777" w:rsidR="00065317" w:rsidRPr="00EC2D6E" w:rsidRDefault="005C7BF7" w:rsidP="00652D41">
      <w:pPr>
        <w:pStyle w:val="Corpsdetexte"/>
        <w:ind w:left="567" w:hanging="567"/>
        <w:rPr>
          <w:lang w:val="en-CA"/>
        </w:rPr>
      </w:pPr>
      <w:r w:rsidRPr="00EC2D6E">
        <w:rPr>
          <w:lang w:val="en-CA"/>
        </w:rPr>
        <w:t xml:space="preserve">Goodwin, Peter. 2015. </w:t>
      </w:r>
      <w:r w:rsidRPr="00EC2D6E">
        <w:rPr>
          <w:i/>
          <w:iCs/>
          <w:lang w:val="en-CA"/>
        </w:rPr>
        <w:t>HMS Victory: 1765-1812 (first rate ship of the line)</w:t>
      </w:r>
      <w:r w:rsidRPr="00EC2D6E">
        <w:rPr>
          <w:lang w:val="en-CA"/>
        </w:rPr>
        <w:t>.</w:t>
      </w:r>
    </w:p>
    <w:p w14:paraId="20851804" w14:textId="77777777" w:rsidR="00065317" w:rsidRPr="00EC2D6E" w:rsidRDefault="005C7BF7" w:rsidP="00652D41">
      <w:pPr>
        <w:pStyle w:val="Corpsdetexte"/>
        <w:ind w:left="567" w:hanging="567"/>
        <w:rPr>
          <w:lang w:val="en-CA"/>
        </w:rPr>
      </w:pPr>
      <w:r w:rsidRPr="00EC2D6E">
        <w:rPr>
          <w:lang w:val="en-CA"/>
        </w:rPr>
        <w:t xml:space="preserve">Gregor, Hugh. 1971. </w:t>
      </w:r>
      <w:r w:rsidRPr="00EC2D6E">
        <w:rPr>
          <w:i/>
          <w:iCs/>
          <w:lang w:val="en-CA"/>
        </w:rPr>
        <w:t>The S.S. Great Britain</w:t>
      </w:r>
      <w:r w:rsidRPr="00EC2D6E">
        <w:rPr>
          <w:lang w:val="en-CA"/>
        </w:rPr>
        <w:t>. Londres, GB-LND : Published for the S.S. Great Britain Project by Macmillan.</w:t>
      </w:r>
    </w:p>
    <w:p w14:paraId="2CF707DA" w14:textId="77777777" w:rsidR="00065317" w:rsidRPr="00EC2D6E" w:rsidRDefault="005C7BF7" w:rsidP="00652D41">
      <w:pPr>
        <w:pStyle w:val="Corpsdetexte"/>
        <w:ind w:left="567" w:hanging="567"/>
        <w:rPr>
          <w:lang w:val="en-CA"/>
        </w:rPr>
      </w:pPr>
      <w:r w:rsidRPr="00EC2D6E">
        <w:rPr>
          <w:lang w:val="en-CA"/>
        </w:rPr>
        <w:t xml:space="preserve">Guarino, N. 1998. </w:t>
      </w:r>
      <w:r w:rsidRPr="00EC2D6E">
        <w:rPr>
          <w:i/>
          <w:iCs/>
          <w:lang w:val="en-CA"/>
        </w:rPr>
        <w:t>Formal Ontology in Information Systems: Proceedings of the 1st International Conference June 6-8, 1998, Trento, Italy</w:t>
      </w:r>
      <w:r w:rsidRPr="00EC2D6E">
        <w:rPr>
          <w:lang w:val="en-CA"/>
        </w:rPr>
        <w:t>. 1st éd. Amsterdam, NL : IOS Press.</w:t>
      </w:r>
    </w:p>
    <w:p w14:paraId="1BF50B17" w14:textId="38C0F68F" w:rsidR="00065317" w:rsidRPr="00EC2D6E" w:rsidRDefault="005C7BF7" w:rsidP="00652D41">
      <w:pPr>
        <w:pStyle w:val="Corpsdetexte"/>
        <w:ind w:left="567" w:hanging="567"/>
        <w:rPr>
          <w:lang w:val="en-CA"/>
        </w:rPr>
      </w:pPr>
      <w:r w:rsidRPr="00EC2D6E">
        <w:rPr>
          <w:lang w:val="en-CA"/>
        </w:rPr>
        <w:t xml:space="preserve">Gurcke, Karl. 1987. </w:t>
      </w:r>
      <w:r w:rsidRPr="00EC2D6E">
        <w:rPr>
          <w:i/>
          <w:iCs/>
          <w:lang w:val="en-CA"/>
        </w:rPr>
        <w:t>Bricks and brickmaking: a handbook for historical arch</w:t>
      </w:r>
      <w:r w:rsidR="00B40400">
        <w:rPr>
          <w:i/>
          <w:iCs/>
          <w:lang w:val="en-CA"/>
        </w:rPr>
        <w:t>ae</w:t>
      </w:r>
      <w:r w:rsidRPr="00EC2D6E">
        <w:rPr>
          <w:i/>
          <w:iCs/>
          <w:lang w:val="en-CA"/>
        </w:rPr>
        <w:t>ology</w:t>
      </w:r>
      <w:r w:rsidRPr="00EC2D6E">
        <w:rPr>
          <w:lang w:val="en-CA"/>
        </w:rPr>
        <w:t>. Moscow, US-ID : University of Idaho Press.</w:t>
      </w:r>
    </w:p>
    <w:p w14:paraId="22B7437B" w14:textId="77777777" w:rsidR="00065317" w:rsidRPr="00EC2D6E" w:rsidRDefault="005C7BF7" w:rsidP="00652D41">
      <w:pPr>
        <w:pStyle w:val="Corpsdetexte"/>
        <w:ind w:left="567" w:hanging="567"/>
        <w:rPr>
          <w:lang w:val="en-CA"/>
        </w:rPr>
      </w:pPr>
      <w:r w:rsidRPr="00EC2D6E">
        <w:rPr>
          <w:lang w:val="en-CA"/>
        </w:rPr>
        <w:lastRenderedPageBreak/>
        <w:t>Håfors, Birgitta. 2010. « Conservation of the wood of the Swedish warship Vasa of a.d. 1628: evaluation of polyethylene glycol conversation programmes ». Göteborg, SE-O : Acta Universitatis Gothoburgensis.</w:t>
      </w:r>
    </w:p>
    <w:p w14:paraId="6BA47C27" w14:textId="77777777" w:rsidR="00065317" w:rsidRPr="00EC2D6E" w:rsidRDefault="005C7BF7" w:rsidP="00652D41">
      <w:pPr>
        <w:pStyle w:val="Corpsdetexte"/>
        <w:ind w:left="567" w:hanging="567"/>
        <w:rPr>
          <w:lang w:val="en-CA"/>
        </w:rPr>
      </w:pPr>
      <w:r w:rsidRPr="00EC2D6E">
        <w:rPr>
          <w:lang w:val="en-CA"/>
        </w:rPr>
        <w:t xml:space="preserve">Hallam, A. 1975. </w:t>
      </w:r>
      <w:r w:rsidRPr="00EC2D6E">
        <w:rPr>
          <w:i/>
          <w:iCs/>
          <w:lang w:val="en-CA"/>
        </w:rPr>
        <w:t>Jurassic environment.</w:t>
      </w:r>
      <w:r w:rsidRPr="00EC2D6E">
        <w:rPr>
          <w:lang w:val="en-CA"/>
        </w:rPr>
        <w:t xml:space="preserve"> Cambridge, GB-CAM : Cambridge University Press.</w:t>
      </w:r>
    </w:p>
    <w:p w14:paraId="203BE665" w14:textId="77777777" w:rsidR="00065317" w:rsidRPr="00EC2D6E" w:rsidRDefault="005C7BF7" w:rsidP="00652D41">
      <w:pPr>
        <w:pStyle w:val="Corpsdetexte"/>
        <w:ind w:left="567" w:hanging="567"/>
        <w:rPr>
          <w:lang w:val="en-CA"/>
        </w:rPr>
      </w:pPr>
      <w:r w:rsidRPr="00EC2D6E">
        <w:rPr>
          <w:lang w:val="en-CA"/>
        </w:rPr>
        <w:t xml:space="preserve">Harbutt, Fraser J. 2010. </w:t>
      </w:r>
      <w:r w:rsidRPr="00EC2D6E">
        <w:rPr>
          <w:i/>
          <w:iCs/>
          <w:lang w:val="en-CA"/>
        </w:rPr>
        <w:t>Yalta 1945: Europe and America at the crossroads</w:t>
      </w:r>
      <w:r w:rsidRPr="00EC2D6E">
        <w:rPr>
          <w:lang w:val="en-CA"/>
        </w:rPr>
        <w:t>. Cambridge, GB-CAM : Cambridge University Press.</w:t>
      </w:r>
    </w:p>
    <w:p w14:paraId="35027ED8" w14:textId="77777777" w:rsidR="00065317" w:rsidRPr="00EC2D6E" w:rsidRDefault="005C7BF7" w:rsidP="00652D41">
      <w:pPr>
        <w:pStyle w:val="Corpsdetexte"/>
        <w:ind w:left="567" w:hanging="567"/>
        <w:rPr>
          <w:lang w:val="en-CA"/>
        </w:rPr>
      </w:pPr>
      <w:r w:rsidRPr="00EC2D6E">
        <w:rPr>
          <w:lang w:val="en-CA"/>
        </w:rPr>
        <w:t xml:space="preserve">Harrison, Richard John. 2004. </w:t>
      </w:r>
      <w:r w:rsidRPr="00EC2D6E">
        <w:rPr>
          <w:i/>
          <w:iCs/>
          <w:lang w:val="en-CA"/>
        </w:rPr>
        <w:t>Symbols and warriors: images of the European Bronze Age</w:t>
      </w:r>
      <w:r w:rsidRPr="00EC2D6E">
        <w:rPr>
          <w:lang w:val="en-CA"/>
        </w:rPr>
        <w:t>. Bristol, GB-BST : Western Academic &amp; Specialist Press.</w:t>
      </w:r>
    </w:p>
    <w:p w14:paraId="3BC8E941" w14:textId="72647F3B" w:rsidR="00065317" w:rsidRPr="00EC2D6E" w:rsidRDefault="005C7BF7" w:rsidP="00652D41">
      <w:pPr>
        <w:pStyle w:val="Corpsdetexte"/>
        <w:ind w:left="567" w:hanging="567"/>
        <w:rPr>
          <w:lang w:val="en-CA"/>
        </w:rPr>
      </w:pPr>
      <w:r w:rsidRPr="00EC2D6E">
        <w:rPr>
          <w:lang w:val="en-CA"/>
        </w:rPr>
        <w:t xml:space="preserve">Hartle, James B. 2003. </w:t>
      </w:r>
      <w:r w:rsidRPr="00EC2D6E">
        <w:rPr>
          <w:i/>
          <w:iCs/>
          <w:lang w:val="en-CA"/>
        </w:rPr>
        <w:t>Gravity an introduction to Einstein</w:t>
      </w:r>
      <w:r w:rsidR="00E84B0E">
        <w:rPr>
          <w:i/>
          <w:iCs/>
          <w:lang w:val="en-CA"/>
        </w:rPr>
        <w:t>’</w:t>
      </w:r>
      <w:r w:rsidRPr="00EC2D6E">
        <w:rPr>
          <w:i/>
          <w:iCs/>
          <w:lang w:val="en-CA"/>
        </w:rPr>
        <w:t>s general relativity</w:t>
      </w:r>
      <w:r w:rsidRPr="00EC2D6E">
        <w:rPr>
          <w:lang w:val="en-CA"/>
        </w:rPr>
        <w:t>. San Francisco, US-CA : Addison-Wesley.</w:t>
      </w:r>
    </w:p>
    <w:p w14:paraId="25A932B7" w14:textId="77777777" w:rsidR="00065317" w:rsidRPr="00EC2D6E" w:rsidRDefault="005C7BF7" w:rsidP="00652D41">
      <w:pPr>
        <w:pStyle w:val="Corpsdetexte"/>
        <w:ind w:left="567" w:hanging="567"/>
        <w:rPr>
          <w:lang w:val="en-CA"/>
        </w:rPr>
      </w:pPr>
      <w:r w:rsidRPr="00EC2D6E">
        <w:rPr>
          <w:lang w:val="en-CA"/>
        </w:rPr>
        <w:t xml:space="preserve">Hau, L. V, S. E Harris, Z Dutton, et C. H Behroozi. 1999. « Light speed reduction to 17 metres per second in an ultracold atomic gas ». </w:t>
      </w:r>
      <w:r w:rsidRPr="00EC2D6E">
        <w:rPr>
          <w:i/>
          <w:iCs/>
          <w:lang w:val="en-CA"/>
        </w:rPr>
        <w:t>Nature</w:t>
      </w:r>
      <w:r w:rsidRPr="00EC2D6E">
        <w:rPr>
          <w:lang w:val="en-CA"/>
        </w:rPr>
        <w:t>, n</w:t>
      </w:r>
      <w:r w:rsidRPr="00EC2D6E">
        <w:rPr>
          <w:vertAlign w:val="superscript"/>
          <w:lang w:val="en-CA"/>
        </w:rPr>
        <w:t>o</w:t>
      </w:r>
      <w:r w:rsidRPr="00EC2D6E">
        <w:rPr>
          <w:lang w:val="en-CA"/>
        </w:rPr>
        <w:t xml:space="preserve"> 6720 : 594‑97.</w:t>
      </w:r>
    </w:p>
    <w:p w14:paraId="670B509F" w14:textId="77777777" w:rsidR="00065317" w:rsidRPr="00EC2D6E" w:rsidRDefault="005C7BF7" w:rsidP="00652D41">
      <w:pPr>
        <w:pStyle w:val="Corpsdetexte"/>
        <w:ind w:left="567" w:hanging="567"/>
        <w:rPr>
          <w:lang w:val="en-CA"/>
        </w:rPr>
      </w:pPr>
      <w:r w:rsidRPr="00EC2D6E">
        <w:rPr>
          <w:lang w:val="en-CA"/>
        </w:rPr>
        <w:t xml:space="preserve">Hawass, Z. 2000. </w:t>
      </w:r>
      <w:r w:rsidRPr="00EC2D6E">
        <w:rPr>
          <w:i/>
          <w:iCs/>
          <w:lang w:val="en-CA"/>
        </w:rPr>
        <w:t>The Mysteries of Abu Simbel: Ramesses II and the Temples of the Rising Sun</w:t>
      </w:r>
      <w:r w:rsidRPr="00EC2D6E">
        <w:rPr>
          <w:lang w:val="en-CA"/>
        </w:rPr>
        <w:t>. Le Caire, EG-C : American University in Cairo.</w:t>
      </w:r>
    </w:p>
    <w:p w14:paraId="3820E22B" w14:textId="77777777" w:rsidR="00065317" w:rsidRPr="00EC2D6E" w:rsidRDefault="005C7BF7" w:rsidP="00652D41">
      <w:pPr>
        <w:pStyle w:val="Corpsdetexte"/>
        <w:ind w:left="567" w:hanging="567"/>
        <w:rPr>
          <w:lang w:val="en-CA"/>
        </w:rPr>
      </w:pPr>
      <w:r w:rsidRPr="00EC2D6E">
        <w:rPr>
          <w:lang w:val="en-CA"/>
        </w:rPr>
        <w:t xml:space="preserve">Hegen, Edmund Eduard. 1966. </w:t>
      </w:r>
      <w:r w:rsidRPr="00EC2D6E">
        <w:rPr>
          <w:i/>
          <w:iCs/>
          <w:lang w:val="en-CA"/>
        </w:rPr>
        <w:t>Highways into the Upper Amazon Basin: pioneer lands in southern Colombia, Ecuador, and northern Peru</w:t>
      </w:r>
      <w:r w:rsidRPr="00EC2D6E">
        <w:rPr>
          <w:lang w:val="en-CA"/>
        </w:rPr>
        <w:t>. Gainesville, US-FL : University of Florida Press.</w:t>
      </w:r>
    </w:p>
    <w:p w14:paraId="60914F81" w14:textId="77777777" w:rsidR="00065317" w:rsidRPr="00EC2D6E" w:rsidRDefault="005C7BF7" w:rsidP="00652D41">
      <w:pPr>
        <w:pStyle w:val="Corpsdetexte"/>
        <w:ind w:left="567" w:hanging="567"/>
        <w:rPr>
          <w:lang w:val="en-CA"/>
        </w:rPr>
      </w:pPr>
      <w:r w:rsidRPr="00EC2D6E">
        <w:rPr>
          <w:lang w:val="en-CA"/>
        </w:rPr>
        <w:t xml:space="preserve">Hershberger A.J, Robacker C, et Jenkins T.M. 2015. « Molecular genetic variability of spigelia marilandica and S. Gentianoides ». </w:t>
      </w:r>
      <w:r w:rsidRPr="00EC2D6E">
        <w:rPr>
          <w:i/>
          <w:iCs/>
          <w:lang w:val="en-CA"/>
        </w:rPr>
        <w:t>J. Am. Soc. Hortic. Sci. Journal of the American Society for Horticultural Science</w:t>
      </w:r>
      <w:r w:rsidRPr="00EC2D6E">
        <w:rPr>
          <w:lang w:val="en-CA"/>
        </w:rPr>
        <w:t xml:space="preserve"> 140 (2) : 120‑28.</w:t>
      </w:r>
    </w:p>
    <w:p w14:paraId="41A3F76F" w14:textId="45A9EE93" w:rsidR="00065317" w:rsidRPr="00EC2D6E" w:rsidRDefault="005C7BF7" w:rsidP="00652D41">
      <w:pPr>
        <w:pStyle w:val="Corpsdetexte"/>
        <w:ind w:left="567" w:hanging="567"/>
        <w:rPr>
          <w:lang w:val="en-CA"/>
        </w:rPr>
      </w:pPr>
      <w:r w:rsidRPr="00EC2D6E">
        <w:rPr>
          <w:lang w:val="en-CA"/>
        </w:rPr>
        <w:t xml:space="preserve">Hiebel, Gerald, et Martin Doerr. 2013. « An ontological spatio-temporal refinement for the </w:t>
      </w:r>
      <w:r w:rsidR="00C8288F">
        <w:rPr>
          <w:lang w:val="en-CA"/>
        </w:rPr>
        <w:t>CIDOC CRM</w:t>
      </w:r>
      <w:r w:rsidRPr="00EC2D6E">
        <w:rPr>
          <w:lang w:val="en-CA"/>
        </w:rPr>
        <w:t xml:space="preserve"> and GIS standards ». Pilsen, Czech Republic.</w:t>
      </w:r>
    </w:p>
    <w:p w14:paraId="4A58228F" w14:textId="0F00B2D0" w:rsidR="00065317" w:rsidRPr="00EC2D6E" w:rsidRDefault="005C7BF7" w:rsidP="00652D41">
      <w:pPr>
        <w:pStyle w:val="Corpsdetexte"/>
        <w:ind w:left="567" w:hanging="567"/>
        <w:rPr>
          <w:lang w:val="en-CA"/>
        </w:rPr>
      </w:pPr>
      <w:r w:rsidRPr="00EC2D6E">
        <w:rPr>
          <w:lang w:val="en-CA"/>
        </w:rPr>
        <w:t xml:space="preserve">Hilmo, Maidie. 2019. </w:t>
      </w:r>
      <w:r w:rsidRPr="00EC2D6E">
        <w:rPr>
          <w:i/>
          <w:iCs/>
          <w:lang w:val="en-CA"/>
        </w:rPr>
        <w:t>Medieval Images, Icons, and Illustrated English Literary Texts: From the Ruthwell Cross to the Ellesmere Chaucer</w:t>
      </w:r>
      <w:r w:rsidRPr="00EC2D6E">
        <w:rPr>
          <w:lang w:val="en-CA"/>
        </w:rPr>
        <w:t xml:space="preserve">. Aldershot, GB-HAM : Ashgate Publishing, Ltd. </w:t>
      </w:r>
      <w:hyperlink r:id="rId333">
        <w:r w:rsidRPr="00EC2D6E">
          <w:rPr>
            <w:rStyle w:val="Lienhypertexte"/>
            <w:lang w:val="en-CA"/>
          </w:rPr>
          <w:t>https://doi.org/10.4324/9781315249278</w:t>
        </w:r>
      </w:hyperlink>
      <w:r w:rsidRPr="00EC2D6E">
        <w:rPr>
          <w:lang w:val="en-CA"/>
        </w:rPr>
        <w:t>.</w:t>
      </w:r>
    </w:p>
    <w:p w14:paraId="32329B7F" w14:textId="6F987FC6" w:rsidR="00065317" w:rsidRPr="00EC2D6E" w:rsidRDefault="005C7BF7" w:rsidP="00652D41">
      <w:pPr>
        <w:pStyle w:val="Corpsdetexte"/>
        <w:ind w:left="567" w:hanging="567"/>
        <w:rPr>
          <w:lang w:val="en-CA"/>
        </w:rPr>
      </w:pPr>
      <w:r w:rsidRPr="00EC2D6E">
        <w:rPr>
          <w:lang w:val="en-CA"/>
        </w:rPr>
        <w:t xml:space="preserve">Hind, Arthur M. 1923. </w:t>
      </w:r>
      <w:r w:rsidRPr="00EC2D6E">
        <w:rPr>
          <w:i/>
          <w:iCs/>
          <w:lang w:val="en-CA"/>
        </w:rPr>
        <w:t>A catalogue of Rembrandt</w:t>
      </w:r>
      <w:r w:rsidR="00E84B0E">
        <w:rPr>
          <w:i/>
          <w:iCs/>
          <w:lang w:val="en-CA"/>
        </w:rPr>
        <w:t>’</w:t>
      </w:r>
      <w:r w:rsidRPr="00EC2D6E">
        <w:rPr>
          <w:i/>
          <w:iCs/>
          <w:lang w:val="en-CA"/>
        </w:rPr>
        <w:t>s etchings: chronologically arranged and completely illustrated</w:t>
      </w:r>
      <w:r w:rsidRPr="00EC2D6E">
        <w:rPr>
          <w:lang w:val="en-CA"/>
        </w:rPr>
        <w:t>. Londres, GB-LND : Methuen.</w:t>
      </w:r>
    </w:p>
    <w:p w14:paraId="5A841EEB" w14:textId="77777777" w:rsidR="00065317" w:rsidRPr="00EC2D6E" w:rsidRDefault="005C7BF7" w:rsidP="00652D41">
      <w:pPr>
        <w:pStyle w:val="Corpsdetexte"/>
        <w:ind w:left="567" w:hanging="567"/>
        <w:rPr>
          <w:lang w:val="en-CA"/>
        </w:rPr>
      </w:pPr>
      <w:r w:rsidRPr="00EC2D6E">
        <w:rPr>
          <w:lang w:val="en-CA"/>
        </w:rPr>
        <w:t xml:space="preserve">Holliday, Ian, Gérard Marcou, et Roger William Vickerman. 1991. </w:t>
      </w:r>
      <w:r w:rsidRPr="00EC2D6E">
        <w:rPr>
          <w:i/>
          <w:iCs/>
          <w:lang w:val="en-CA"/>
        </w:rPr>
        <w:t>The Channel tunnel: public policy, regional development and European integration</w:t>
      </w:r>
      <w:r w:rsidRPr="00EC2D6E">
        <w:rPr>
          <w:lang w:val="en-CA"/>
        </w:rPr>
        <w:t>. London; New York, US-NY : Belhaven Press.</w:t>
      </w:r>
    </w:p>
    <w:p w14:paraId="19A2F7AA" w14:textId="77777777" w:rsidR="00065317" w:rsidRPr="00EC2D6E" w:rsidRDefault="005C7BF7" w:rsidP="00652D41">
      <w:pPr>
        <w:pStyle w:val="Corpsdetexte"/>
        <w:ind w:left="567" w:hanging="567"/>
        <w:rPr>
          <w:lang w:val="en-CA"/>
        </w:rPr>
      </w:pPr>
      <w:r w:rsidRPr="00EC2D6E">
        <w:rPr>
          <w:lang w:val="en-CA"/>
        </w:rPr>
        <w:t xml:space="preserve">Honey, Andrew, et Nicholas Pickwoad. 2010. « Learning from the Past: Using Original Techniques to Conserve a Twelfth-Century Illuminated Manuscript and Its Sixteenthcentury Greek-Style Binding at the Monastery of St Catherine, Sinai ». </w:t>
      </w:r>
      <w:r w:rsidRPr="00EC2D6E">
        <w:rPr>
          <w:i/>
          <w:iCs/>
          <w:lang w:val="en-CA"/>
        </w:rPr>
        <w:t>Studies in Conservation</w:t>
      </w:r>
      <w:r w:rsidRPr="00EC2D6E">
        <w:rPr>
          <w:lang w:val="en-CA"/>
        </w:rPr>
        <w:t xml:space="preserve"> 55 (sup2) : 56‑61. </w:t>
      </w:r>
      <w:hyperlink r:id="rId334">
        <w:r w:rsidRPr="00EC2D6E">
          <w:rPr>
            <w:rStyle w:val="Lienhypertexte"/>
            <w:lang w:val="en-CA"/>
          </w:rPr>
          <w:t>https://doi.org/10.1179/sic.2010.55.Supplement-2.56</w:t>
        </w:r>
      </w:hyperlink>
      <w:r w:rsidRPr="00EC2D6E">
        <w:rPr>
          <w:lang w:val="en-CA"/>
        </w:rPr>
        <w:t>.</w:t>
      </w:r>
    </w:p>
    <w:p w14:paraId="1C03E384" w14:textId="77777777" w:rsidR="00065317" w:rsidRPr="00EC2D6E" w:rsidRDefault="005C7BF7" w:rsidP="00652D41">
      <w:pPr>
        <w:pStyle w:val="Corpsdetexte"/>
        <w:ind w:left="567" w:hanging="567"/>
        <w:rPr>
          <w:lang w:val="en-CA"/>
        </w:rPr>
      </w:pPr>
      <w:r w:rsidRPr="00EC2D6E">
        <w:rPr>
          <w:lang w:val="en-CA"/>
        </w:rPr>
        <w:t xml:space="preserve">Hood, Sinclair. 1971. </w:t>
      </w:r>
      <w:r w:rsidRPr="00EC2D6E">
        <w:rPr>
          <w:i/>
          <w:iCs/>
          <w:lang w:val="en-CA"/>
        </w:rPr>
        <w:t>The Minoans: Crete in the Bronze Age</w:t>
      </w:r>
      <w:r w:rsidRPr="00EC2D6E">
        <w:rPr>
          <w:lang w:val="en-CA"/>
        </w:rPr>
        <w:t>. Ancient Peoples and Places 75. Londres, GB-LND : Thames and Hudson.</w:t>
      </w:r>
    </w:p>
    <w:p w14:paraId="5C3BFF9D" w14:textId="77777777" w:rsidR="00065317" w:rsidRPr="00EC2D6E" w:rsidRDefault="005C7BF7" w:rsidP="00652D41">
      <w:pPr>
        <w:pStyle w:val="Corpsdetexte"/>
        <w:ind w:left="567" w:hanging="567"/>
        <w:rPr>
          <w:lang w:val="en-CA"/>
        </w:rPr>
      </w:pPr>
      <w:r w:rsidRPr="00EC2D6E">
        <w:rPr>
          <w:lang w:val="en-CA"/>
        </w:rPr>
        <w:t xml:space="preserve">Hopkins, Keith, et Mary Beard. 2011. </w:t>
      </w:r>
      <w:r w:rsidRPr="00EC2D6E">
        <w:rPr>
          <w:i/>
          <w:iCs/>
          <w:lang w:val="en-CA"/>
        </w:rPr>
        <w:t>The Colosseum</w:t>
      </w:r>
      <w:r w:rsidRPr="00EC2D6E">
        <w:rPr>
          <w:lang w:val="en-CA"/>
        </w:rPr>
        <w:t>. Cambridge, US-MA : Harvard University Press.</w:t>
      </w:r>
    </w:p>
    <w:p w14:paraId="04CA20E0" w14:textId="77777777" w:rsidR="00065317" w:rsidRPr="00EC2D6E" w:rsidRDefault="005C7BF7" w:rsidP="00652D41">
      <w:pPr>
        <w:pStyle w:val="Corpsdetexte"/>
        <w:ind w:left="567" w:hanging="567"/>
        <w:rPr>
          <w:lang w:val="en-CA"/>
        </w:rPr>
      </w:pPr>
      <w:r w:rsidRPr="00EC2D6E">
        <w:rPr>
          <w:lang w:val="en-CA"/>
        </w:rPr>
        <w:t xml:space="preserve">Howard, Martin. 2012. </w:t>
      </w:r>
      <w:r w:rsidRPr="00EC2D6E">
        <w:rPr>
          <w:i/>
          <w:iCs/>
          <w:lang w:val="en-CA"/>
        </w:rPr>
        <w:t>Alexander the Great: the Story of the Invincible Macedonian King.</w:t>
      </w:r>
      <w:r w:rsidRPr="00EC2D6E">
        <w:rPr>
          <w:lang w:val="en-CA"/>
        </w:rPr>
        <w:t xml:space="preserve"> Londres, GB-LND : Bloomsbury Publishing Plc.</w:t>
      </w:r>
    </w:p>
    <w:p w14:paraId="595BE7FF" w14:textId="77777777" w:rsidR="00065317" w:rsidRPr="00EC2D6E" w:rsidRDefault="005C7BF7" w:rsidP="00652D41">
      <w:pPr>
        <w:pStyle w:val="Corpsdetexte"/>
        <w:ind w:left="567" w:hanging="567"/>
        <w:rPr>
          <w:lang w:val="en-CA"/>
        </w:rPr>
      </w:pPr>
      <w:r w:rsidRPr="00EC2D6E">
        <w:rPr>
          <w:lang w:val="en-CA"/>
        </w:rPr>
        <w:t xml:space="preserve">Hoyt, Edwin Palmer. 1993. </w:t>
      </w:r>
      <w:r w:rsidRPr="00EC2D6E">
        <w:rPr>
          <w:i/>
          <w:iCs/>
          <w:lang w:val="en-CA"/>
        </w:rPr>
        <w:t>199 days: the battle of Stalingrad</w:t>
      </w:r>
      <w:r w:rsidRPr="00EC2D6E">
        <w:rPr>
          <w:lang w:val="en-CA"/>
        </w:rPr>
        <w:t>. New York, US-NY : Tor.</w:t>
      </w:r>
    </w:p>
    <w:p w14:paraId="35E00B70" w14:textId="77777777" w:rsidR="00065317" w:rsidRPr="00EC2D6E" w:rsidRDefault="005C7BF7" w:rsidP="00652D41">
      <w:pPr>
        <w:pStyle w:val="Corpsdetexte"/>
        <w:ind w:left="567" w:hanging="567"/>
        <w:rPr>
          <w:lang w:val="en-CA"/>
        </w:rPr>
      </w:pPr>
      <w:r>
        <w:lastRenderedPageBreak/>
        <w:t xml:space="preserve">Hufford, D. J, et P Horwitz. </w:t>
      </w:r>
      <w:r w:rsidRPr="00EC2D6E">
        <w:rPr>
          <w:lang w:val="en-CA"/>
        </w:rPr>
        <w:t xml:space="preserve">2005. « Fixing the Hole in the Ozone Layer: A Success in the Making ». </w:t>
      </w:r>
      <w:r w:rsidRPr="00EC2D6E">
        <w:rPr>
          <w:i/>
          <w:iCs/>
          <w:lang w:val="en-CA"/>
        </w:rPr>
        <w:t>Natural Resources and the Environment - Chicago</w:t>
      </w:r>
      <w:r w:rsidRPr="00EC2D6E">
        <w:rPr>
          <w:lang w:val="en-CA"/>
        </w:rPr>
        <w:t xml:space="preserve"> 19 (4) : 8‑14.</w:t>
      </w:r>
    </w:p>
    <w:p w14:paraId="6F238D71" w14:textId="77777777" w:rsidR="00065317" w:rsidRDefault="005C7BF7" w:rsidP="00652D41">
      <w:pPr>
        <w:pStyle w:val="Corpsdetexte"/>
        <w:ind w:left="567" w:hanging="567"/>
      </w:pPr>
      <w:r w:rsidRPr="001C1490">
        <w:rPr>
          <w:lang w:val="en-US"/>
        </w:rPr>
        <w:t xml:space="preserve">Humboldt, Alexander von. 1859. </w:t>
      </w:r>
      <w:r w:rsidRPr="001C1490">
        <w:rPr>
          <w:i/>
          <w:iCs/>
          <w:lang w:val="en-US"/>
        </w:rPr>
        <w:t>Reise in die Aequinoctial Gegenden des neuen Continents</w:t>
      </w:r>
      <w:r w:rsidRPr="001C1490">
        <w:rPr>
          <w:lang w:val="en-US"/>
        </w:rPr>
        <w:t xml:space="preserve">. </w:t>
      </w:r>
      <w:r>
        <w:t>Traduit par H. Hauff. Stuttgart, DE-BW : J. G. Cotta.</w:t>
      </w:r>
    </w:p>
    <w:p w14:paraId="41F62C60" w14:textId="44EC7946" w:rsidR="00065317" w:rsidRPr="00EC2D6E" w:rsidRDefault="005C7BF7" w:rsidP="00652D41">
      <w:pPr>
        <w:pStyle w:val="Corpsdetexte"/>
        <w:ind w:left="567" w:hanging="567"/>
        <w:rPr>
          <w:lang w:val="en-CA"/>
        </w:rPr>
      </w:pPr>
      <w:r w:rsidRPr="00EC2D6E">
        <w:rPr>
          <w:lang w:val="en-CA"/>
        </w:rPr>
        <w:t xml:space="preserve">Huray, Paul G. 2010. </w:t>
      </w:r>
      <w:r w:rsidRPr="00EC2D6E">
        <w:rPr>
          <w:i/>
          <w:iCs/>
          <w:lang w:val="en-CA"/>
        </w:rPr>
        <w:t>Maxwell</w:t>
      </w:r>
      <w:r w:rsidR="00E84B0E">
        <w:rPr>
          <w:i/>
          <w:iCs/>
          <w:lang w:val="en-CA"/>
        </w:rPr>
        <w:t>’</w:t>
      </w:r>
      <w:r w:rsidRPr="00EC2D6E">
        <w:rPr>
          <w:i/>
          <w:iCs/>
          <w:lang w:val="en-CA"/>
        </w:rPr>
        <w:t>s Equations</w:t>
      </w:r>
      <w:r w:rsidRPr="00EC2D6E">
        <w:rPr>
          <w:lang w:val="en-CA"/>
        </w:rPr>
        <w:t>. Hoboken, US-NJ : John Wiley &amp; Sons, Inc.</w:t>
      </w:r>
    </w:p>
    <w:p w14:paraId="1C113053" w14:textId="77777777" w:rsidR="00065317" w:rsidRPr="00EC2D6E" w:rsidRDefault="005C7BF7" w:rsidP="00652D41">
      <w:pPr>
        <w:pStyle w:val="Corpsdetexte"/>
        <w:ind w:left="567" w:hanging="567"/>
        <w:rPr>
          <w:lang w:val="en-CA"/>
        </w:rPr>
      </w:pPr>
      <w:r w:rsidRPr="00EC2D6E">
        <w:rPr>
          <w:lang w:val="en-CA"/>
        </w:rPr>
        <w:t xml:space="preserve">Iliffe, Robert. 2013. « Newton: The Making of a Politician ». The Newton Project. 2013. </w:t>
      </w:r>
      <w:hyperlink r:id="rId335">
        <w:r w:rsidRPr="00EC2D6E">
          <w:rPr>
            <w:rStyle w:val="Lienhypertexte"/>
            <w:lang w:val="en-CA"/>
          </w:rPr>
          <w:t>http://www.newtonproject.ox.ac.uk/view/contexts/CNTX00002</w:t>
        </w:r>
      </w:hyperlink>
      <w:r w:rsidRPr="00EC2D6E">
        <w:rPr>
          <w:lang w:val="en-CA"/>
        </w:rPr>
        <w:t>.</w:t>
      </w:r>
    </w:p>
    <w:p w14:paraId="5A77A4A3" w14:textId="77777777" w:rsidR="00065317" w:rsidRPr="00EC2D6E" w:rsidRDefault="005C7BF7" w:rsidP="00652D41">
      <w:pPr>
        <w:pStyle w:val="Corpsdetexte"/>
        <w:ind w:left="567" w:hanging="567"/>
        <w:rPr>
          <w:lang w:val="en-CA"/>
        </w:rPr>
      </w:pPr>
      <w:r w:rsidRPr="00EC2D6E">
        <w:rPr>
          <w:lang w:val="en-CA"/>
        </w:rPr>
        <w:t xml:space="preserve">Ingamells, John. 1990. </w:t>
      </w:r>
      <w:r w:rsidRPr="00EC2D6E">
        <w:rPr>
          <w:i/>
          <w:iCs/>
          <w:lang w:val="en-CA"/>
        </w:rPr>
        <w:t>The Wallace collection</w:t>
      </w:r>
      <w:r w:rsidRPr="00EC2D6E">
        <w:rPr>
          <w:lang w:val="en-CA"/>
        </w:rPr>
        <w:t>. Londres, GB-LND : Scala Books.</w:t>
      </w:r>
    </w:p>
    <w:p w14:paraId="3AF3DBCE" w14:textId="77777777" w:rsidR="00065317" w:rsidRPr="00EC2D6E" w:rsidRDefault="005C7BF7" w:rsidP="00652D41">
      <w:pPr>
        <w:pStyle w:val="Corpsdetexte"/>
        <w:ind w:left="567" w:hanging="567"/>
        <w:rPr>
          <w:lang w:val="en-CA"/>
        </w:rPr>
      </w:pPr>
      <w:r w:rsidRPr="00EC2D6E">
        <w:rPr>
          <w:lang w:val="en-CA"/>
        </w:rPr>
        <w:t xml:space="preserve">International Organization for Standardization. 1988. </w:t>
      </w:r>
      <w:r w:rsidRPr="00EC2D6E">
        <w:rPr>
          <w:i/>
          <w:iCs/>
          <w:lang w:val="en-CA"/>
        </w:rPr>
        <w:t>ISO 639. Code for the Representation of Names of Languages</w:t>
      </w:r>
      <w:r w:rsidRPr="00EC2D6E">
        <w:rPr>
          <w:lang w:val="en-CA"/>
        </w:rPr>
        <w:t>. Genève, CH-GE : International Organization for Standardization.</w:t>
      </w:r>
    </w:p>
    <w:p w14:paraId="38443877" w14:textId="77777777" w:rsidR="00065317" w:rsidRPr="00EC2D6E" w:rsidRDefault="005C7BF7" w:rsidP="00652D41">
      <w:pPr>
        <w:pStyle w:val="Corpsdetexte"/>
        <w:ind w:left="567" w:hanging="567"/>
        <w:rPr>
          <w:lang w:val="en-CA"/>
        </w:rPr>
      </w:pPr>
      <w:r w:rsidRPr="00EC2D6E">
        <w:rPr>
          <w:lang w:val="en-CA"/>
        </w:rPr>
        <w:t xml:space="preserve">———. 1992. </w:t>
      </w:r>
      <w:r w:rsidRPr="00EC2D6E">
        <w:rPr>
          <w:i/>
          <w:iCs/>
          <w:lang w:val="en-CA"/>
        </w:rPr>
        <w:t>ISO 1000. SI units and recommendations for the use of their multiples and of certain other units.</w:t>
      </w:r>
      <w:r w:rsidRPr="00EC2D6E">
        <w:rPr>
          <w:lang w:val="en-CA"/>
        </w:rPr>
        <w:t xml:space="preserve"> Genève, CH-GE : International Organization for Standardization.</w:t>
      </w:r>
    </w:p>
    <w:p w14:paraId="2C3703C6" w14:textId="77777777" w:rsidR="00065317" w:rsidRPr="00EC2D6E" w:rsidRDefault="005C7BF7" w:rsidP="00652D41">
      <w:pPr>
        <w:pStyle w:val="Corpsdetexte"/>
        <w:ind w:left="567" w:hanging="567"/>
        <w:rPr>
          <w:lang w:val="en-CA"/>
        </w:rPr>
      </w:pPr>
      <w:r w:rsidRPr="00EC2D6E">
        <w:rPr>
          <w:lang w:val="en-CA"/>
        </w:rPr>
        <w:t xml:space="preserve">———. 2013. </w:t>
      </w:r>
      <w:r w:rsidRPr="00EC2D6E">
        <w:rPr>
          <w:i/>
          <w:iCs/>
          <w:lang w:val="en-CA"/>
        </w:rPr>
        <w:t>ISO 25964-2:2013. Information and documentation — Thesauri and interoperability with other vocabularies — Part 2: Interoperability with other vocabularies</w:t>
      </w:r>
      <w:r w:rsidRPr="00EC2D6E">
        <w:rPr>
          <w:lang w:val="en-CA"/>
        </w:rPr>
        <w:t>. 1</w:t>
      </w:r>
      <w:r w:rsidRPr="00EC2D6E">
        <w:rPr>
          <w:vertAlign w:val="superscript"/>
          <w:lang w:val="en-CA"/>
        </w:rPr>
        <w:t>re</w:t>
      </w:r>
      <w:r w:rsidRPr="00EC2D6E">
        <w:rPr>
          <w:lang w:val="en-CA"/>
        </w:rPr>
        <w:t xml:space="preserve"> éd. Genève, CH-GE : International Organization for Standardization.</w:t>
      </w:r>
    </w:p>
    <w:p w14:paraId="559894E6" w14:textId="77777777" w:rsidR="00065317" w:rsidRPr="00EC2D6E" w:rsidRDefault="005C7BF7" w:rsidP="00652D41">
      <w:pPr>
        <w:pStyle w:val="Corpsdetexte"/>
        <w:ind w:left="567" w:hanging="567"/>
        <w:rPr>
          <w:lang w:val="en-CA"/>
        </w:rPr>
      </w:pPr>
      <w:r w:rsidRPr="00EC2D6E">
        <w:rPr>
          <w:lang w:val="en-CA"/>
        </w:rPr>
        <w:t xml:space="preserve">———. 2014. </w:t>
      </w:r>
      <w:r w:rsidRPr="00EC2D6E">
        <w:rPr>
          <w:i/>
          <w:iCs/>
          <w:lang w:val="en-CA"/>
        </w:rPr>
        <w:t>ISO 21127:2014 Information and documentation — A reference ontology for the interchange of cultural heritage information</w:t>
      </w:r>
      <w:r w:rsidRPr="00EC2D6E">
        <w:rPr>
          <w:lang w:val="en-CA"/>
        </w:rPr>
        <w:t>. 1</w:t>
      </w:r>
      <w:r w:rsidRPr="00EC2D6E">
        <w:rPr>
          <w:vertAlign w:val="superscript"/>
          <w:lang w:val="en-CA"/>
        </w:rPr>
        <w:t>re</w:t>
      </w:r>
      <w:r w:rsidRPr="00EC2D6E">
        <w:rPr>
          <w:lang w:val="en-CA"/>
        </w:rPr>
        <w:t xml:space="preserve"> éd. Genève, CH-GE : International Organization for Standardization.</w:t>
      </w:r>
    </w:p>
    <w:p w14:paraId="599530D1" w14:textId="5B563415" w:rsidR="00065317" w:rsidRPr="00EC2D6E" w:rsidRDefault="005C7BF7" w:rsidP="00652D41">
      <w:pPr>
        <w:pStyle w:val="Corpsdetexte"/>
        <w:ind w:left="567" w:hanging="567"/>
        <w:rPr>
          <w:lang w:val="en-CA"/>
        </w:rPr>
      </w:pPr>
      <w:r w:rsidRPr="00EC2D6E">
        <w:rPr>
          <w:lang w:val="en-CA"/>
        </w:rPr>
        <w:t xml:space="preserve">Irwin, Wallace Admoh. 1935. </w:t>
      </w:r>
      <w:r w:rsidRPr="00EC2D6E">
        <w:rPr>
          <w:i/>
          <w:iCs/>
          <w:lang w:val="en-CA"/>
        </w:rPr>
        <w:t>The Julius C</w:t>
      </w:r>
      <w:r w:rsidR="00B40400">
        <w:rPr>
          <w:i/>
          <w:iCs/>
          <w:lang w:val="en-CA"/>
        </w:rPr>
        <w:t>ae</w:t>
      </w:r>
      <w:r w:rsidRPr="00EC2D6E">
        <w:rPr>
          <w:i/>
          <w:iCs/>
          <w:lang w:val="en-CA"/>
        </w:rPr>
        <w:t>sar Murder Case.</w:t>
      </w:r>
      <w:r w:rsidRPr="00EC2D6E">
        <w:rPr>
          <w:lang w:val="en-CA"/>
        </w:rPr>
        <w:t xml:space="preserve"> New York, Londres, GB-LND : D. Appleton-Century Co.</w:t>
      </w:r>
    </w:p>
    <w:p w14:paraId="4B7EA608" w14:textId="77777777" w:rsidR="00065317" w:rsidRPr="00EC2D6E" w:rsidRDefault="005C7BF7" w:rsidP="00652D41">
      <w:pPr>
        <w:pStyle w:val="Corpsdetexte"/>
        <w:ind w:left="567" w:hanging="567"/>
        <w:rPr>
          <w:lang w:val="en-CA"/>
        </w:rPr>
      </w:pPr>
      <w:r w:rsidRPr="00EC2D6E">
        <w:rPr>
          <w:lang w:val="en-CA"/>
        </w:rPr>
        <w:t xml:space="preserve">Isaacson, Walter. 2011. </w:t>
      </w:r>
      <w:r w:rsidRPr="00EC2D6E">
        <w:rPr>
          <w:i/>
          <w:iCs/>
          <w:lang w:val="en-CA"/>
        </w:rPr>
        <w:t>Steve Jobs.</w:t>
      </w:r>
      <w:r w:rsidRPr="00EC2D6E">
        <w:rPr>
          <w:lang w:val="en-CA"/>
        </w:rPr>
        <w:t xml:space="preserve"> US : Little, Brown.</w:t>
      </w:r>
    </w:p>
    <w:p w14:paraId="54B44E28" w14:textId="77777777" w:rsidR="00065317" w:rsidRPr="00EC2D6E" w:rsidRDefault="005C7BF7" w:rsidP="00652D41">
      <w:pPr>
        <w:pStyle w:val="Corpsdetexte"/>
        <w:ind w:left="567" w:hanging="567"/>
        <w:rPr>
          <w:lang w:val="en-CA"/>
        </w:rPr>
      </w:pPr>
      <w:r w:rsidRPr="00EC2D6E">
        <w:rPr>
          <w:i/>
          <w:iCs/>
          <w:lang w:val="en-CA"/>
        </w:rPr>
        <w:t>Iveagh Bequest, Catalogue of paintings</w:t>
      </w:r>
      <w:r w:rsidRPr="00EC2D6E">
        <w:rPr>
          <w:lang w:val="en-CA"/>
        </w:rPr>
        <w:t>. 1975. Londres, GB-LND : Greater London Council.</w:t>
      </w:r>
    </w:p>
    <w:p w14:paraId="242738CA" w14:textId="5165B833" w:rsidR="00065317" w:rsidRPr="00EC2D6E" w:rsidRDefault="005C7BF7" w:rsidP="00652D41">
      <w:pPr>
        <w:pStyle w:val="Corpsdetexte"/>
        <w:ind w:left="567" w:hanging="567"/>
        <w:rPr>
          <w:lang w:val="en-CA"/>
        </w:rPr>
      </w:pPr>
      <w:r w:rsidRPr="00EC2D6E">
        <w:rPr>
          <w:lang w:val="en-CA"/>
        </w:rPr>
        <w:t>Jarvis, Charlie. 2021. « Data Portal Query on Clayton Herbarium, 904 records ». Natural History Museum Data Portal. 3</w:t>
      </w:r>
      <w:r w:rsidR="00056DCD">
        <w:rPr>
          <w:lang w:val="en-CA"/>
        </w:rPr>
        <w:t> février </w:t>
      </w:r>
      <w:r w:rsidRPr="00EC2D6E">
        <w:rPr>
          <w:lang w:val="en-CA"/>
        </w:rPr>
        <w:t xml:space="preserve">2021. </w:t>
      </w:r>
      <w:hyperlink r:id="rId336">
        <w:r w:rsidRPr="00EC2D6E">
          <w:rPr>
            <w:rStyle w:val="Lienhypertexte"/>
            <w:lang w:val="en-CA"/>
          </w:rPr>
          <w:t>https://data.nhm.ac.uk/doi/10.5519/qd.thnwfxy8</w:t>
        </w:r>
      </w:hyperlink>
      <w:r w:rsidRPr="00EC2D6E">
        <w:rPr>
          <w:lang w:val="en-CA"/>
        </w:rPr>
        <w:t>.</w:t>
      </w:r>
    </w:p>
    <w:p w14:paraId="0FBA5236" w14:textId="77777777" w:rsidR="00065317" w:rsidRDefault="005C7BF7" w:rsidP="00652D41">
      <w:pPr>
        <w:pStyle w:val="Corpsdetexte"/>
        <w:ind w:left="567" w:hanging="567"/>
      </w:pPr>
      <w:r w:rsidRPr="00EC2D6E">
        <w:rPr>
          <w:lang w:val="en-CA"/>
        </w:rPr>
        <w:t xml:space="preserve">Jones, Robert F. 1979. </w:t>
      </w:r>
      <w:r w:rsidRPr="00EC2D6E">
        <w:rPr>
          <w:i/>
          <w:iCs/>
          <w:lang w:val="en-CA"/>
        </w:rPr>
        <w:t>George Washington.</w:t>
      </w:r>
      <w:r w:rsidRPr="00EC2D6E">
        <w:rPr>
          <w:lang w:val="en-CA"/>
        </w:rPr>
        <w:t xml:space="preserve"> </w:t>
      </w:r>
      <w:r>
        <w:t>Boston, US-MA : Twayne.</w:t>
      </w:r>
    </w:p>
    <w:p w14:paraId="79F09743" w14:textId="09A6291B" w:rsidR="00065317" w:rsidRPr="003C7A4A" w:rsidRDefault="005C7BF7" w:rsidP="00652D41">
      <w:pPr>
        <w:pStyle w:val="Corpsdetexte"/>
        <w:ind w:left="567" w:hanging="567"/>
      </w:pPr>
      <w:r>
        <w:t xml:space="preserve">Karetsou, Alexandra, Maria Andreadaki-Vlazaki, et Nikos Papadakis. 2000. </w:t>
      </w:r>
      <w:r>
        <w:rPr>
          <w:i/>
          <w:iCs/>
        </w:rPr>
        <w:t>Κρήτη-Αίγυπτος: πολιτισμικοί δεσμοί τριών χιλιετιών, κατάλογος.</w:t>
      </w:r>
      <w:r>
        <w:t xml:space="preserve"> </w:t>
      </w:r>
      <w:r w:rsidRPr="003C7A4A">
        <w:t>Athens : Heraklion Arch</w:t>
      </w:r>
      <w:r w:rsidR="00B40400">
        <w:t>ae</w:t>
      </w:r>
      <w:r w:rsidRPr="003C7A4A">
        <w:t>ological Museum.</w:t>
      </w:r>
    </w:p>
    <w:p w14:paraId="1DE7E7A4" w14:textId="77777777" w:rsidR="00065317" w:rsidRPr="00EC2D6E" w:rsidRDefault="005C7BF7" w:rsidP="00652D41">
      <w:pPr>
        <w:pStyle w:val="Corpsdetexte"/>
        <w:ind w:left="567" w:hanging="567"/>
        <w:rPr>
          <w:lang w:val="en-CA"/>
        </w:rPr>
      </w:pPr>
      <w:r w:rsidRPr="003C7A4A">
        <w:rPr>
          <w:lang w:val="fr-CA"/>
        </w:rPr>
        <w:t xml:space="preserve">Karyanos, Phōtēs, Constantinos Lagos, et John Carr. 2020. </w:t>
      </w:r>
      <w:r w:rsidRPr="00EC2D6E">
        <w:rPr>
          <w:i/>
          <w:iCs/>
          <w:lang w:val="en-CA"/>
        </w:rPr>
        <w:t>Who really won the Battle of Marathon?</w:t>
      </w:r>
      <w:r w:rsidRPr="00EC2D6E">
        <w:rPr>
          <w:lang w:val="en-CA"/>
        </w:rPr>
        <w:t xml:space="preserve"> GB : Barnsley Pen et Sword Military.</w:t>
      </w:r>
    </w:p>
    <w:p w14:paraId="64AE539F" w14:textId="77777777" w:rsidR="00065317" w:rsidRPr="00EC2D6E" w:rsidRDefault="005C7BF7" w:rsidP="00652D41">
      <w:pPr>
        <w:pStyle w:val="Corpsdetexte"/>
        <w:ind w:left="567" w:hanging="567"/>
        <w:rPr>
          <w:lang w:val="en-CA"/>
        </w:rPr>
      </w:pPr>
      <w:r w:rsidRPr="00EC2D6E">
        <w:rPr>
          <w:lang w:val="en-CA"/>
        </w:rPr>
        <w:t xml:space="preserve">Kelly, Douglas. 2014. </w:t>
      </w:r>
      <w:r w:rsidRPr="00EC2D6E">
        <w:rPr>
          <w:i/>
          <w:iCs/>
          <w:lang w:val="en-CA"/>
        </w:rPr>
        <w:t>Machaut and the medieval apprenticeship tradition: truth, fiction and poetic craft</w:t>
      </w:r>
      <w:r w:rsidRPr="00EC2D6E">
        <w:rPr>
          <w:lang w:val="en-CA"/>
        </w:rPr>
        <w:t>. New York, US-NY : Brewer.</w:t>
      </w:r>
    </w:p>
    <w:p w14:paraId="0ECADAD3" w14:textId="7AFB4306" w:rsidR="00065317" w:rsidRPr="00EC2D6E" w:rsidRDefault="005C7BF7" w:rsidP="00652D41">
      <w:pPr>
        <w:pStyle w:val="Corpsdetexte"/>
        <w:ind w:left="567" w:hanging="567"/>
        <w:rPr>
          <w:lang w:val="en-CA"/>
        </w:rPr>
      </w:pPr>
      <w:r w:rsidRPr="00EC2D6E">
        <w:rPr>
          <w:lang w:val="en-CA"/>
        </w:rPr>
        <w:t xml:space="preserve">Kogan, Herman. 1958. </w:t>
      </w:r>
      <w:r w:rsidRPr="00EC2D6E">
        <w:rPr>
          <w:i/>
          <w:iCs/>
          <w:lang w:val="en-CA"/>
        </w:rPr>
        <w:t>The great EB: the story of the Encyclop</w:t>
      </w:r>
      <w:r w:rsidR="00B40400">
        <w:rPr>
          <w:i/>
          <w:iCs/>
          <w:lang w:val="en-CA"/>
        </w:rPr>
        <w:t>ae</w:t>
      </w:r>
      <w:r w:rsidRPr="00EC2D6E">
        <w:rPr>
          <w:i/>
          <w:iCs/>
          <w:lang w:val="en-CA"/>
        </w:rPr>
        <w:t>dia Britannica</w:t>
      </w:r>
      <w:r w:rsidRPr="00EC2D6E">
        <w:rPr>
          <w:lang w:val="en-CA"/>
        </w:rPr>
        <w:t>. Chicago, US-IL : University of Chicago Press.</w:t>
      </w:r>
    </w:p>
    <w:p w14:paraId="17397EE3" w14:textId="77777777" w:rsidR="00065317" w:rsidRPr="00EC2D6E" w:rsidRDefault="005C7BF7" w:rsidP="00652D41">
      <w:pPr>
        <w:pStyle w:val="Corpsdetexte"/>
        <w:ind w:left="567" w:hanging="567"/>
        <w:rPr>
          <w:lang w:val="en-CA"/>
        </w:rPr>
      </w:pPr>
      <w:r w:rsidRPr="00EC2D6E">
        <w:rPr>
          <w:lang w:val="en-CA"/>
        </w:rPr>
        <w:t xml:space="preserve">Kousser, R. 2005. « Creating the Past: The Venus de Milo and the Hellenistic Reception of Classical GR or Grèce ». </w:t>
      </w:r>
      <w:r w:rsidRPr="00EC2D6E">
        <w:rPr>
          <w:i/>
          <w:iCs/>
          <w:lang w:val="en-CA"/>
        </w:rPr>
        <w:t>American Journal of Archeaology</w:t>
      </w:r>
      <w:r w:rsidRPr="00EC2D6E">
        <w:rPr>
          <w:lang w:val="en-CA"/>
        </w:rPr>
        <w:t xml:space="preserve"> 109 (2) : 227‑50.</w:t>
      </w:r>
    </w:p>
    <w:p w14:paraId="13C580B7" w14:textId="628568CD" w:rsidR="00065317" w:rsidRPr="00EC2D6E" w:rsidRDefault="005C7BF7" w:rsidP="00652D41">
      <w:pPr>
        <w:pStyle w:val="Corpsdetexte"/>
        <w:ind w:left="567" w:hanging="567"/>
        <w:rPr>
          <w:lang w:val="en-CA"/>
        </w:rPr>
      </w:pPr>
      <w:r w:rsidRPr="00EC2D6E">
        <w:rPr>
          <w:lang w:val="en-CA"/>
        </w:rPr>
        <w:t>Kouwenhoven, Arlette</w:t>
      </w:r>
      <w:r w:rsidR="00C8288F">
        <w:rPr>
          <w:lang w:val="en-CA"/>
        </w:rPr>
        <w:t> </w:t>
      </w:r>
      <w:r w:rsidR="00925267">
        <w:rPr>
          <w:lang w:val="en-CA"/>
        </w:rPr>
        <w:t>P</w:t>
      </w:r>
      <w:r w:rsidR="00C8288F">
        <w:rPr>
          <w:lang w:val="en-CA"/>
        </w:rPr>
        <w:t>. </w:t>
      </w:r>
      <w:r w:rsidRPr="00EC2D6E">
        <w:rPr>
          <w:lang w:val="en-CA"/>
        </w:rPr>
        <w:t>1997. « Newsbriefs: World</w:t>
      </w:r>
      <w:r w:rsidR="00E84B0E">
        <w:rPr>
          <w:lang w:val="en-CA"/>
        </w:rPr>
        <w:t>’</w:t>
      </w:r>
      <w:r w:rsidRPr="00EC2D6E">
        <w:rPr>
          <w:lang w:val="en-CA"/>
        </w:rPr>
        <w:t xml:space="preserve">s Oldest Spears ». </w:t>
      </w:r>
      <w:r w:rsidRPr="00EC2D6E">
        <w:rPr>
          <w:i/>
          <w:iCs/>
          <w:lang w:val="en-CA"/>
        </w:rPr>
        <w:t>Arch</w:t>
      </w:r>
      <w:r w:rsidR="00B40400">
        <w:rPr>
          <w:i/>
          <w:iCs/>
          <w:lang w:val="en-CA"/>
        </w:rPr>
        <w:t>ae</w:t>
      </w:r>
      <w:r w:rsidRPr="00EC2D6E">
        <w:rPr>
          <w:i/>
          <w:iCs/>
          <w:lang w:val="en-CA"/>
        </w:rPr>
        <w:t>ology</w:t>
      </w:r>
      <w:r w:rsidRPr="00EC2D6E">
        <w:rPr>
          <w:lang w:val="en-CA"/>
        </w:rPr>
        <w:t xml:space="preserve"> 50 (3). </w:t>
      </w:r>
      <w:hyperlink r:id="rId337">
        <w:r w:rsidRPr="00EC2D6E">
          <w:rPr>
            <w:rStyle w:val="Lienhypertexte"/>
            <w:lang w:val="en-CA"/>
          </w:rPr>
          <w:t>https://archive.archaeology.org/9705/newsbriefs/spears.html</w:t>
        </w:r>
      </w:hyperlink>
      <w:r w:rsidRPr="00EC2D6E">
        <w:rPr>
          <w:lang w:val="en-CA"/>
        </w:rPr>
        <w:t>.</w:t>
      </w:r>
    </w:p>
    <w:p w14:paraId="1AE7B371" w14:textId="77777777" w:rsidR="00065317" w:rsidRPr="00EC2D6E" w:rsidRDefault="005C7BF7" w:rsidP="00652D41">
      <w:pPr>
        <w:pStyle w:val="Corpsdetexte"/>
        <w:ind w:left="567" w:hanging="567"/>
        <w:rPr>
          <w:lang w:val="en-CA"/>
        </w:rPr>
      </w:pPr>
      <w:r w:rsidRPr="00EC2D6E">
        <w:rPr>
          <w:lang w:val="en-CA"/>
        </w:rPr>
        <w:t xml:space="preserve">Kozak, Marion. 1998. </w:t>
      </w:r>
      <w:r w:rsidRPr="00EC2D6E">
        <w:rPr>
          <w:i/>
          <w:iCs/>
          <w:lang w:val="en-CA"/>
        </w:rPr>
        <w:t>Greenpeace</w:t>
      </w:r>
      <w:r w:rsidRPr="00EC2D6E">
        <w:rPr>
          <w:lang w:val="en-CA"/>
        </w:rPr>
        <w:t>. Oxford, GB-OXF : Heinemann Library.</w:t>
      </w:r>
    </w:p>
    <w:p w14:paraId="45DBAA0D" w14:textId="77777777" w:rsidR="00065317" w:rsidRPr="00EC2D6E" w:rsidRDefault="005C7BF7" w:rsidP="00652D41">
      <w:pPr>
        <w:pStyle w:val="Corpsdetexte"/>
        <w:ind w:left="567" w:hanging="567"/>
        <w:rPr>
          <w:lang w:val="en-CA"/>
        </w:rPr>
      </w:pPr>
      <w:r w:rsidRPr="00EC2D6E">
        <w:rPr>
          <w:lang w:val="en-CA"/>
        </w:rPr>
        <w:lastRenderedPageBreak/>
        <w:t xml:space="preserve">Krentz, Peter. 2010. </w:t>
      </w:r>
      <w:r w:rsidRPr="00EC2D6E">
        <w:rPr>
          <w:i/>
          <w:iCs/>
          <w:lang w:val="en-CA"/>
        </w:rPr>
        <w:t>The Battle of Marathon</w:t>
      </w:r>
      <w:r w:rsidRPr="00EC2D6E">
        <w:rPr>
          <w:lang w:val="en-CA"/>
        </w:rPr>
        <w:t>. New Haven; Londres, GB-LND : Yale University Press.</w:t>
      </w:r>
    </w:p>
    <w:p w14:paraId="171790D0" w14:textId="77777777" w:rsidR="00065317" w:rsidRPr="006E6C31" w:rsidRDefault="005C7BF7" w:rsidP="00652D41">
      <w:pPr>
        <w:pStyle w:val="Corpsdetexte"/>
        <w:ind w:left="567" w:hanging="567"/>
        <w:rPr>
          <w:lang w:val="en-CA"/>
        </w:rPr>
      </w:pPr>
      <w:r w:rsidRPr="00EC2D6E">
        <w:rPr>
          <w:lang w:val="en-CA"/>
        </w:rPr>
        <w:t xml:space="preserve">Kutschera, W. 2002. « Radiocarbon dating of the Iceman Ötzi with accelerator mass spectrometry ». 2002. </w:t>
      </w:r>
      <w:hyperlink r:id="rId338">
        <w:r w:rsidRPr="006E6C31">
          <w:rPr>
            <w:rStyle w:val="Lienhypertexte"/>
            <w:lang w:val="en-CA"/>
          </w:rPr>
          <w:t>https://www.semanticscholar.org/paper/Radiocarbon-dating-of-the-Iceman-%C3%96tzi-with-mass-Kutschera/20d9b3be6466e3a6d51ddb213f9c982fdf949024</w:t>
        </w:r>
      </w:hyperlink>
      <w:r w:rsidRPr="006E6C31">
        <w:rPr>
          <w:lang w:val="en-CA"/>
        </w:rPr>
        <w:t>.</w:t>
      </w:r>
    </w:p>
    <w:p w14:paraId="7E1B381A" w14:textId="77777777" w:rsidR="00065317" w:rsidRPr="00EC2D6E" w:rsidRDefault="005C7BF7" w:rsidP="00652D41">
      <w:pPr>
        <w:pStyle w:val="Corpsdetexte"/>
        <w:ind w:left="567" w:hanging="567"/>
        <w:rPr>
          <w:lang w:val="en-CA"/>
        </w:rPr>
      </w:pPr>
      <w:r w:rsidRPr="00EC2D6E">
        <w:rPr>
          <w:lang w:val="en-CA"/>
        </w:rPr>
        <w:t xml:space="preserve">Lamb, R. 2005. « Alexander the Great and Bucephalus ». </w:t>
      </w:r>
      <w:r w:rsidRPr="00EC2D6E">
        <w:rPr>
          <w:i/>
          <w:iCs/>
          <w:lang w:val="en-CA"/>
        </w:rPr>
        <w:t>Horse &amp; Rider</w:t>
      </w:r>
      <w:r w:rsidRPr="00EC2D6E">
        <w:rPr>
          <w:lang w:val="en-CA"/>
        </w:rPr>
        <w:t xml:space="preserve"> 44 (6) : 19.</w:t>
      </w:r>
    </w:p>
    <w:p w14:paraId="754434A7" w14:textId="77777777" w:rsidR="00065317" w:rsidRPr="00EC2D6E" w:rsidRDefault="005C7BF7" w:rsidP="00652D41">
      <w:pPr>
        <w:pStyle w:val="Corpsdetexte"/>
        <w:ind w:left="567" w:hanging="567"/>
        <w:rPr>
          <w:lang w:val="en-CA"/>
        </w:rPr>
      </w:pPr>
      <w:r w:rsidRPr="00EC2D6E">
        <w:rPr>
          <w:lang w:val="en-CA"/>
        </w:rPr>
        <w:t xml:space="preserve">Lane Fox, Robin. 2004. </w:t>
      </w:r>
      <w:r w:rsidRPr="00EC2D6E">
        <w:rPr>
          <w:i/>
          <w:iCs/>
          <w:lang w:val="en-CA"/>
        </w:rPr>
        <w:t>Alexander the Great</w:t>
      </w:r>
      <w:r w:rsidRPr="00EC2D6E">
        <w:rPr>
          <w:lang w:val="en-CA"/>
        </w:rPr>
        <w:t>. New York, US-NY : Penguin.</w:t>
      </w:r>
    </w:p>
    <w:p w14:paraId="54A4EA92" w14:textId="77777777" w:rsidR="00065317" w:rsidRPr="00EC2D6E" w:rsidRDefault="005C7BF7" w:rsidP="00652D41">
      <w:pPr>
        <w:pStyle w:val="Corpsdetexte"/>
        <w:ind w:left="567" w:hanging="567"/>
        <w:rPr>
          <w:lang w:val="en-CA"/>
        </w:rPr>
      </w:pPr>
      <w:r w:rsidRPr="00EC2D6E">
        <w:rPr>
          <w:lang w:val="en-CA"/>
        </w:rPr>
        <w:t xml:space="preserve">Lang, A, dir. 1965. </w:t>
      </w:r>
      <w:r w:rsidRPr="00EC2D6E">
        <w:rPr>
          <w:i/>
          <w:iCs/>
          <w:lang w:val="en-CA"/>
        </w:rPr>
        <w:t>The blue fairy book.</w:t>
      </w:r>
      <w:r w:rsidRPr="00EC2D6E">
        <w:rPr>
          <w:lang w:val="en-CA"/>
        </w:rPr>
        <w:t xml:space="preserve"> Dover Pubs.</w:t>
      </w:r>
    </w:p>
    <w:p w14:paraId="55C7BF46" w14:textId="77777777" w:rsidR="00065317" w:rsidRPr="00EC2D6E" w:rsidRDefault="005C7BF7" w:rsidP="00652D41">
      <w:pPr>
        <w:pStyle w:val="Corpsdetexte"/>
        <w:ind w:left="567" w:hanging="567"/>
        <w:rPr>
          <w:lang w:val="en-CA"/>
        </w:rPr>
      </w:pPr>
      <w:r w:rsidRPr="00EC2D6E">
        <w:rPr>
          <w:lang w:val="en-CA"/>
        </w:rPr>
        <w:t xml:space="preserve">Leach, Andrew. 2017. </w:t>
      </w:r>
      <w:r w:rsidRPr="00EC2D6E">
        <w:rPr>
          <w:i/>
          <w:iCs/>
          <w:lang w:val="en-CA"/>
        </w:rPr>
        <w:t>Rome</w:t>
      </w:r>
      <w:r w:rsidRPr="00EC2D6E">
        <w:rPr>
          <w:lang w:val="en-CA"/>
        </w:rPr>
        <w:t>. Cambridge, GB-CAM : Polity Press.</w:t>
      </w:r>
    </w:p>
    <w:p w14:paraId="6B01D145" w14:textId="77777777" w:rsidR="00065317" w:rsidRPr="00EC2D6E" w:rsidRDefault="005C7BF7" w:rsidP="00652D41">
      <w:pPr>
        <w:pStyle w:val="Corpsdetexte"/>
        <w:ind w:left="567" w:hanging="567"/>
        <w:rPr>
          <w:lang w:val="en-CA"/>
        </w:rPr>
      </w:pPr>
      <w:r w:rsidRPr="00EC2D6E">
        <w:rPr>
          <w:lang w:val="en-CA"/>
        </w:rPr>
        <w:t xml:space="preserve">Lee, Stephen John. 1991. </w:t>
      </w:r>
      <w:r w:rsidRPr="00EC2D6E">
        <w:rPr>
          <w:i/>
          <w:iCs/>
          <w:lang w:val="en-CA"/>
        </w:rPr>
        <w:t>The Thirty years war</w:t>
      </w:r>
      <w:r w:rsidRPr="00EC2D6E">
        <w:rPr>
          <w:lang w:val="en-CA"/>
        </w:rPr>
        <w:t>. London; New York, US-NY : Routledge.</w:t>
      </w:r>
    </w:p>
    <w:p w14:paraId="3FC63309" w14:textId="77777777" w:rsidR="00065317" w:rsidRPr="00EC2D6E" w:rsidRDefault="005C7BF7" w:rsidP="00652D41">
      <w:pPr>
        <w:pStyle w:val="Corpsdetexte"/>
        <w:ind w:left="567" w:hanging="567"/>
        <w:rPr>
          <w:lang w:val="en-CA"/>
        </w:rPr>
      </w:pPr>
      <w:r>
        <w:t xml:space="preserve">Lehner, Mark, et Zahi A Hawass. </w:t>
      </w:r>
      <w:r w:rsidRPr="00EC2D6E">
        <w:rPr>
          <w:lang w:val="en-CA"/>
        </w:rPr>
        <w:t xml:space="preserve">2017. </w:t>
      </w:r>
      <w:r w:rsidRPr="00EC2D6E">
        <w:rPr>
          <w:i/>
          <w:iCs/>
          <w:lang w:val="en-CA"/>
        </w:rPr>
        <w:t>Giza and the pyramids: the definitive history</w:t>
      </w:r>
      <w:r w:rsidRPr="00EC2D6E">
        <w:rPr>
          <w:lang w:val="en-CA"/>
        </w:rPr>
        <w:t>. Chicago, US-IL : University of Chicago Press.</w:t>
      </w:r>
    </w:p>
    <w:p w14:paraId="31A0BA8F" w14:textId="77777777" w:rsidR="00065317" w:rsidRPr="00EC2D6E" w:rsidRDefault="005C7BF7" w:rsidP="00652D41">
      <w:pPr>
        <w:pStyle w:val="Corpsdetexte"/>
        <w:ind w:left="567" w:hanging="567"/>
        <w:rPr>
          <w:lang w:val="en-CA"/>
        </w:rPr>
      </w:pPr>
      <w:r w:rsidRPr="00EC2D6E">
        <w:rPr>
          <w:lang w:val="en-CA"/>
        </w:rPr>
        <w:t xml:space="preserve">Lennon, John. 1967. </w:t>
      </w:r>
      <w:r w:rsidRPr="00EC2D6E">
        <w:rPr>
          <w:i/>
          <w:iCs/>
          <w:lang w:val="en-CA"/>
        </w:rPr>
        <w:t>Lucy in the Sky with Diamonds</w:t>
      </w:r>
      <w:r w:rsidRPr="00EC2D6E">
        <w:rPr>
          <w:lang w:val="en-CA"/>
        </w:rPr>
        <w:t>. Londres, GB-LND : Northern Songs.</w:t>
      </w:r>
    </w:p>
    <w:p w14:paraId="7E21D510" w14:textId="77777777" w:rsidR="00065317" w:rsidRPr="00EC2D6E" w:rsidRDefault="005C7BF7" w:rsidP="00652D41">
      <w:pPr>
        <w:pStyle w:val="Corpsdetexte"/>
        <w:ind w:left="567" w:hanging="567"/>
        <w:rPr>
          <w:lang w:val="en-CA"/>
        </w:rPr>
      </w:pPr>
      <w:r w:rsidRPr="00EC2D6E">
        <w:rPr>
          <w:lang w:val="en-CA"/>
        </w:rPr>
        <w:t xml:space="preserve">Leppmann, Wolfgang. 1970. </w:t>
      </w:r>
      <w:r w:rsidRPr="00EC2D6E">
        <w:rPr>
          <w:i/>
          <w:iCs/>
          <w:lang w:val="en-CA"/>
        </w:rPr>
        <w:t>Winckelmann</w:t>
      </w:r>
      <w:r w:rsidRPr="00EC2D6E">
        <w:rPr>
          <w:lang w:val="en-CA"/>
        </w:rPr>
        <w:t>. New York, US-NY : Knopf.</w:t>
      </w:r>
    </w:p>
    <w:p w14:paraId="72F7D433" w14:textId="77777777" w:rsidR="00065317" w:rsidRPr="00DA2F1F" w:rsidRDefault="005C7BF7" w:rsidP="00652D41">
      <w:pPr>
        <w:pStyle w:val="Corpsdetexte"/>
        <w:ind w:left="567" w:hanging="567"/>
      </w:pPr>
      <w:r w:rsidRPr="00EC2D6E">
        <w:rPr>
          <w:lang w:val="en-CA"/>
        </w:rPr>
        <w:t xml:space="preserve">Li, Xiuzhen Janice. 2012. « Standardisation, labour organisation and the bronze weapons of the Qin terracotta warriors / Xiuzhen Janice Li. » Ph.D., University College London. </w:t>
      </w:r>
      <w:hyperlink r:id="rId339">
        <w:r w:rsidRPr="00DA2F1F">
          <w:rPr>
            <w:rStyle w:val="Lienhypertexte"/>
          </w:rPr>
          <w:t>http://discovery.ucl.ac.uk/1350109/</w:t>
        </w:r>
      </w:hyperlink>
      <w:r w:rsidRPr="00DA2F1F">
        <w:t>.</w:t>
      </w:r>
    </w:p>
    <w:p w14:paraId="28949F71" w14:textId="77777777" w:rsidR="00065317" w:rsidRPr="00DA2F1F" w:rsidRDefault="005C7BF7" w:rsidP="00652D41">
      <w:pPr>
        <w:pStyle w:val="Corpsdetexte"/>
        <w:ind w:left="567" w:hanging="567"/>
      </w:pPr>
      <w:r w:rsidRPr="00DA2F1F">
        <w:t xml:space="preserve">Liess, R. 1985. « Der Riss A1 der Straßburger Münsterfassade im Kontinuum der Entwürfe Magister Erwins. » </w:t>
      </w:r>
      <w:r w:rsidRPr="00DA2F1F">
        <w:rPr>
          <w:i/>
          <w:iCs/>
        </w:rPr>
        <w:t>Kunsthistorisches Jahrbuch Graz</w:t>
      </w:r>
      <w:r w:rsidRPr="00DA2F1F">
        <w:t xml:space="preserve"> 21 : 47‑121.</w:t>
      </w:r>
    </w:p>
    <w:p w14:paraId="68B56FB7" w14:textId="35F03C01" w:rsidR="00065317" w:rsidRPr="00EC2D6E" w:rsidRDefault="005C7BF7" w:rsidP="00652D41">
      <w:pPr>
        <w:pStyle w:val="Corpsdetexte"/>
        <w:ind w:left="567" w:hanging="567"/>
        <w:rPr>
          <w:lang w:val="en-CA"/>
        </w:rPr>
      </w:pPr>
      <w:r w:rsidRPr="00EC2D6E">
        <w:rPr>
          <w:lang w:val="en-CA"/>
        </w:rPr>
        <w:t xml:space="preserve">Linnean Society of London, Carl von Linné, Spencer Savage, et Benjamin Daydon Jackson. 1945. </w:t>
      </w:r>
      <w:r w:rsidRPr="00EC2D6E">
        <w:rPr>
          <w:i/>
          <w:iCs/>
          <w:lang w:val="en-CA"/>
        </w:rPr>
        <w:t>A catalogue of the Linn</w:t>
      </w:r>
      <w:r w:rsidR="00E6427C">
        <w:rPr>
          <w:i/>
          <w:iCs/>
          <w:lang w:val="en-CA"/>
        </w:rPr>
        <w:t>æ</w:t>
      </w:r>
      <w:r w:rsidRPr="00EC2D6E">
        <w:rPr>
          <w:i/>
          <w:iCs/>
          <w:lang w:val="en-CA"/>
        </w:rPr>
        <w:t>an herbarium</w:t>
      </w:r>
      <w:r w:rsidRPr="00EC2D6E">
        <w:rPr>
          <w:lang w:val="en-CA"/>
        </w:rPr>
        <w:t>. Londres, GB-LND : Printed for the Linnean Society of London by Taylor &amp; Francis, Ltd.</w:t>
      </w:r>
    </w:p>
    <w:p w14:paraId="138BAC21" w14:textId="770C43C4" w:rsidR="00065317" w:rsidRPr="00EC2D6E" w:rsidRDefault="005C7BF7" w:rsidP="00652D41">
      <w:pPr>
        <w:pStyle w:val="Corpsdetexte"/>
        <w:ind w:left="567" w:hanging="567"/>
        <w:rPr>
          <w:lang w:val="en-CA"/>
        </w:rPr>
      </w:pPr>
      <w:r w:rsidRPr="00EC2D6E">
        <w:rPr>
          <w:lang w:val="en-CA"/>
        </w:rPr>
        <w:t xml:space="preserve">Lockwood, Lewis. 2015. </w:t>
      </w:r>
      <w:r w:rsidRPr="00EC2D6E">
        <w:rPr>
          <w:i/>
          <w:iCs/>
          <w:lang w:val="en-CA"/>
        </w:rPr>
        <w:t>Beethoven</w:t>
      </w:r>
      <w:r w:rsidR="00E84B0E">
        <w:rPr>
          <w:i/>
          <w:iCs/>
          <w:lang w:val="en-CA"/>
        </w:rPr>
        <w:t>’</w:t>
      </w:r>
      <w:r w:rsidRPr="00EC2D6E">
        <w:rPr>
          <w:i/>
          <w:iCs/>
          <w:lang w:val="en-CA"/>
        </w:rPr>
        <w:t>s symphonies: an artistic vision</w:t>
      </w:r>
      <w:r w:rsidRPr="00EC2D6E">
        <w:rPr>
          <w:lang w:val="en-CA"/>
        </w:rPr>
        <w:t>. New York, US-NY : W. W. Norton &amp; Company.</w:t>
      </w:r>
    </w:p>
    <w:p w14:paraId="70572FFF" w14:textId="639215B2" w:rsidR="00065317" w:rsidRPr="00EC2D6E" w:rsidRDefault="005C7BF7" w:rsidP="00652D41">
      <w:pPr>
        <w:pStyle w:val="Corpsdetexte"/>
        <w:ind w:left="567" w:hanging="567"/>
        <w:rPr>
          <w:lang w:val="en-CA"/>
        </w:rPr>
      </w:pPr>
      <w:r w:rsidRPr="00EC2D6E">
        <w:rPr>
          <w:lang w:val="en-CA"/>
        </w:rPr>
        <w:t>Loubiere, C.</w:t>
      </w:r>
      <w:r w:rsidR="00C8288F">
        <w:rPr>
          <w:lang w:val="en-CA"/>
        </w:rPr>
        <w:t> </w:t>
      </w:r>
      <w:r w:rsidR="00925267">
        <w:rPr>
          <w:lang w:val="en-CA"/>
        </w:rPr>
        <w:t>P</w:t>
      </w:r>
      <w:r w:rsidR="00C8288F">
        <w:rPr>
          <w:lang w:val="en-CA"/>
        </w:rPr>
        <w:t>. </w:t>
      </w:r>
      <w:r w:rsidRPr="00EC2D6E">
        <w:rPr>
          <w:lang w:val="en-CA"/>
        </w:rPr>
        <w:t xml:space="preserve">1995. </w:t>
      </w:r>
      <w:r>
        <w:rPr>
          <w:i/>
          <w:iCs/>
        </w:rPr>
        <w:t>L</w:t>
      </w:r>
      <w:r w:rsidR="00E84B0E">
        <w:rPr>
          <w:i/>
          <w:iCs/>
        </w:rPr>
        <w:t>’</w:t>
      </w:r>
      <w:r>
        <w:rPr>
          <w:i/>
          <w:iCs/>
        </w:rPr>
        <w:t>aventure d</w:t>
      </w:r>
      <w:r w:rsidR="00E84B0E">
        <w:rPr>
          <w:i/>
          <w:iCs/>
        </w:rPr>
        <w:t>’</w:t>
      </w:r>
      <w:r>
        <w:rPr>
          <w:i/>
          <w:iCs/>
        </w:rPr>
        <w:t>Abou Simbel Texte imprimé le regard d</w:t>
      </w:r>
      <w:r w:rsidR="00E84B0E">
        <w:rPr>
          <w:i/>
          <w:iCs/>
        </w:rPr>
        <w:t>’</w:t>
      </w:r>
      <w:r>
        <w:rPr>
          <w:i/>
          <w:iCs/>
        </w:rPr>
        <w:t>un Roi-Dieu</w:t>
      </w:r>
      <w:r>
        <w:t xml:space="preserve">. </w:t>
      </w:r>
      <w:r w:rsidRPr="00EC2D6E">
        <w:rPr>
          <w:lang w:val="en-CA"/>
        </w:rPr>
        <w:t>Paris, FR-75 : Publisud.</w:t>
      </w:r>
    </w:p>
    <w:p w14:paraId="5BD94AD0" w14:textId="77777777" w:rsidR="00065317" w:rsidRPr="00EC2D6E" w:rsidRDefault="005C7BF7" w:rsidP="00652D41">
      <w:pPr>
        <w:pStyle w:val="Corpsdetexte"/>
        <w:ind w:left="567" w:hanging="567"/>
        <w:rPr>
          <w:lang w:val="en-CA"/>
        </w:rPr>
      </w:pPr>
      <w:r w:rsidRPr="00EC2D6E">
        <w:rPr>
          <w:lang w:val="en-CA"/>
        </w:rPr>
        <w:t xml:space="preserve">Lovell, Jim, et Jeffrey Kluger. 1994. </w:t>
      </w:r>
      <w:r w:rsidRPr="00EC2D6E">
        <w:rPr>
          <w:i/>
          <w:iCs/>
          <w:lang w:val="en-CA"/>
        </w:rPr>
        <w:t>Lost moon: the perilous voyage of Apollo 13</w:t>
      </w:r>
      <w:r w:rsidRPr="00EC2D6E">
        <w:rPr>
          <w:lang w:val="en-CA"/>
        </w:rPr>
        <w:t>. Boston, US-MA : Houghton Mifflin.</w:t>
      </w:r>
    </w:p>
    <w:p w14:paraId="3A17ED19" w14:textId="459EE2B3" w:rsidR="00065317" w:rsidRPr="00EC2D6E" w:rsidRDefault="005C7BF7" w:rsidP="00652D41">
      <w:pPr>
        <w:pStyle w:val="Corpsdetexte"/>
        <w:ind w:left="567" w:hanging="567"/>
        <w:rPr>
          <w:lang w:val="en-CA"/>
        </w:rPr>
      </w:pPr>
      <w:r w:rsidRPr="00EC2D6E">
        <w:rPr>
          <w:lang w:val="en-CA"/>
        </w:rPr>
        <w:t xml:space="preserve">Lowe Fri, Maria. 2011. </w:t>
      </w:r>
      <w:r w:rsidRPr="00EC2D6E">
        <w:rPr>
          <w:i/>
          <w:iCs/>
          <w:lang w:val="en-CA"/>
        </w:rPr>
        <w:t>The double axe in Minoan Crete: an experimental study of production and use</w:t>
      </w:r>
      <w:r w:rsidRPr="00EC2D6E">
        <w:rPr>
          <w:lang w:val="en-CA"/>
        </w:rPr>
        <w:t>. Oxford, GB-OXF : Arch</w:t>
      </w:r>
      <w:r w:rsidR="00B40400">
        <w:rPr>
          <w:lang w:val="en-CA"/>
        </w:rPr>
        <w:t>ae</w:t>
      </w:r>
      <w:r w:rsidRPr="00EC2D6E">
        <w:rPr>
          <w:lang w:val="en-CA"/>
        </w:rPr>
        <w:t>opress.</w:t>
      </w:r>
    </w:p>
    <w:p w14:paraId="42EFA243" w14:textId="64019336" w:rsidR="00065317" w:rsidRPr="00EC2D6E" w:rsidRDefault="005C7BF7" w:rsidP="00652D41">
      <w:pPr>
        <w:pStyle w:val="Corpsdetexte"/>
        <w:ind w:left="567" w:hanging="567"/>
        <w:rPr>
          <w:lang w:val="en-CA"/>
        </w:rPr>
      </w:pPr>
      <w:r w:rsidRPr="00EC2D6E">
        <w:rPr>
          <w:lang w:val="en-CA"/>
        </w:rPr>
        <w:t xml:space="preserve">Macdonald, Fiona. 1992. </w:t>
      </w:r>
      <w:r w:rsidRPr="00EC2D6E">
        <w:rPr>
          <w:i/>
          <w:iCs/>
          <w:lang w:val="en-CA"/>
        </w:rPr>
        <w:t>The Italian Renaissance: Teacher</w:t>
      </w:r>
      <w:r w:rsidR="00E84B0E">
        <w:rPr>
          <w:i/>
          <w:iCs/>
          <w:lang w:val="en-CA"/>
        </w:rPr>
        <w:t>’</w:t>
      </w:r>
      <w:r w:rsidRPr="00EC2D6E">
        <w:rPr>
          <w:i/>
          <w:iCs/>
          <w:lang w:val="en-CA"/>
        </w:rPr>
        <w:t>s Notes (Collins living history)</w:t>
      </w:r>
      <w:r w:rsidRPr="00EC2D6E">
        <w:rPr>
          <w:lang w:val="en-CA"/>
        </w:rPr>
        <w:t>. Londres, GB-LND : Collins Educational.</w:t>
      </w:r>
    </w:p>
    <w:p w14:paraId="7E30B76F" w14:textId="6BAA767F" w:rsidR="00065317" w:rsidRPr="00EC2D6E" w:rsidRDefault="005C7BF7" w:rsidP="00652D41">
      <w:pPr>
        <w:pStyle w:val="Corpsdetexte"/>
        <w:ind w:left="567" w:hanging="567"/>
        <w:rPr>
          <w:lang w:val="en-CA"/>
        </w:rPr>
      </w:pPr>
      <w:r w:rsidRPr="00EC2D6E">
        <w:rPr>
          <w:lang w:val="en-CA"/>
        </w:rPr>
        <w:t xml:space="preserve">Maddox, Steven. 2015. </w:t>
      </w:r>
      <w:r w:rsidRPr="00EC2D6E">
        <w:rPr>
          <w:i/>
          <w:iCs/>
          <w:lang w:val="en-CA"/>
        </w:rPr>
        <w:t>Saving Stalin</w:t>
      </w:r>
      <w:r w:rsidR="00E84B0E">
        <w:rPr>
          <w:i/>
          <w:iCs/>
          <w:lang w:val="en-CA"/>
        </w:rPr>
        <w:t>’</w:t>
      </w:r>
      <w:r w:rsidRPr="00EC2D6E">
        <w:rPr>
          <w:i/>
          <w:iCs/>
          <w:lang w:val="en-CA"/>
        </w:rPr>
        <w:t>s imperial city historic preservation in Leningrad, 1930-1950</w:t>
      </w:r>
      <w:r w:rsidRPr="00EC2D6E">
        <w:rPr>
          <w:lang w:val="en-CA"/>
        </w:rPr>
        <w:t>. Bloomington, US-IN : Indiana University Press.</w:t>
      </w:r>
    </w:p>
    <w:p w14:paraId="2DFA0806" w14:textId="77777777" w:rsidR="00065317" w:rsidRDefault="005C7BF7" w:rsidP="00652D41">
      <w:pPr>
        <w:pStyle w:val="Corpsdetexte"/>
        <w:ind w:left="567" w:hanging="567"/>
      </w:pPr>
      <w:r w:rsidRPr="00EC2D6E">
        <w:rPr>
          <w:lang w:val="en-CA"/>
        </w:rPr>
        <w:t xml:space="preserve">Mangini, Elizabeth. 2010. </w:t>
      </w:r>
      <w:r w:rsidRPr="00523021">
        <w:rPr>
          <w:lang w:val="en-CA"/>
        </w:rPr>
        <w:t xml:space="preserve">« 1000 Words: Giuseppe Penone ». </w:t>
      </w:r>
      <w:r>
        <w:rPr>
          <w:i/>
          <w:iCs/>
        </w:rPr>
        <w:t>ARTFORUM INTERNATIONAL</w:t>
      </w:r>
      <w:r>
        <w:t xml:space="preserve"> 49 (2) : 226‑28.</w:t>
      </w:r>
    </w:p>
    <w:p w14:paraId="6C129AD4" w14:textId="3F5A2546" w:rsidR="00065317" w:rsidRPr="006E6C31" w:rsidRDefault="005C7BF7" w:rsidP="00652D41">
      <w:pPr>
        <w:pStyle w:val="Corpsdetexte"/>
        <w:ind w:left="567" w:hanging="567"/>
        <w:rPr>
          <w:lang w:val="en-CA"/>
        </w:rPr>
      </w:pPr>
      <w:r>
        <w:t xml:space="preserve">Marion, Stéphane. 2004. </w:t>
      </w:r>
      <w:r>
        <w:rPr>
          <w:i/>
          <w:iCs/>
        </w:rPr>
        <w:t>Recherches sur l</w:t>
      </w:r>
      <w:r w:rsidR="00E84B0E">
        <w:rPr>
          <w:i/>
          <w:iCs/>
        </w:rPr>
        <w:t>’</w:t>
      </w:r>
      <w:r>
        <w:rPr>
          <w:i/>
          <w:iCs/>
        </w:rPr>
        <w:t>âge du Fer en Ile-de-</w:t>
      </w:r>
      <w:r w:rsidR="002E3458">
        <w:rPr>
          <w:i/>
          <w:iCs/>
        </w:rPr>
        <w:t xml:space="preserve">France </w:t>
      </w:r>
      <w:r>
        <w:rPr>
          <w:i/>
          <w:iCs/>
        </w:rPr>
        <w:t>: entre Hallstatt final et La Teǹe finale; analyse des sites fouillés; chronologie et société.</w:t>
      </w:r>
      <w:r>
        <w:t xml:space="preserve"> </w:t>
      </w:r>
      <w:r w:rsidRPr="006E6C31">
        <w:rPr>
          <w:lang w:val="en-CA"/>
        </w:rPr>
        <w:t>Oxford, GB-OXF: John and Erica Hedges Ltd.</w:t>
      </w:r>
    </w:p>
    <w:p w14:paraId="20CAB040" w14:textId="77777777" w:rsidR="00065317" w:rsidRPr="00EC2D6E" w:rsidRDefault="005C7BF7" w:rsidP="00652D41">
      <w:pPr>
        <w:pStyle w:val="Corpsdetexte"/>
        <w:ind w:left="567" w:hanging="567"/>
        <w:rPr>
          <w:lang w:val="en-CA"/>
        </w:rPr>
      </w:pPr>
      <w:r w:rsidRPr="00EC2D6E">
        <w:rPr>
          <w:lang w:val="en-CA"/>
        </w:rPr>
        <w:lastRenderedPageBreak/>
        <w:t xml:space="preserve">Maunder, E. Walter. 1900. </w:t>
      </w:r>
      <w:r w:rsidRPr="00EC2D6E">
        <w:rPr>
          <w:i/>
          <w:iCs/>
          <w:lang w:val="en-CA"/>
        </w:rPr>
        <w:t>The Royal observatory, Greenwich. A glance at its history and work</w:t>
      </w:r>
      <w:r w:rsidRPr="00EC2D6E">
        <w:rPr>
          <w:lang w:val="en-CA"/>
        </w:rPr>
        <w:t>. London, The Religious tract society.</w:t>
      </w:r>
    </w:p>
    <w:p w14:paraId="1AD85D32" w14:textId="77777777" w:rsidR="00065317" w:rsidRPr="00EC2D6E" w:rsidRDefault="005C7BF7" w:rsidP="00652D41">
      <w:pPr>
        <w:pStyle w:val="Corpsdetexte"/>
        <w:ind w:left="567" w:hanging="567"/>
        <w:rPr>
          <w:lang w:val="en-CA"/>
        </w:rPr>
      </w:pPr>
      <w:r w:rsidRPr="00EC2D6E">
        <w:rPr>
          <w:lang w:val="en-CA"/>
        </w:rPr>
        <w:t xml:space="preserve">McCullough, C. 2005. </w:t>
      </w:r>
      <w:r w:rsidRPr="00EC2D6E">
        <w:rPr>
          <w:i/>
          <w:iCs/>
          <w:lang w:val="en-CA"/>
        </w:rPr>
        <w:t>The Merchant of Venice</w:t>
      </w:r>
      <w:r w:rsidRPr="00EC2D6E">
        <w:rPr>
          <w:lang w:val="en-CA"/>
        </w:rPr>
        <w:t>. Basingstoke, GB-HAM : Palgrave Macmillan.</w:t>
      </w:r>
    </w:p>
    <w:p w14:paraId="797C07C0" w14:textId="77777777" w:rsidR="00065317" w:rsidRPr="001C1490" w:rsidRDefault="005C7BF7" w:rsidP="00652D41">
      <w:pPr>
        <w:pStyle w:val="Corpsdetexte"/>
        <w:ind w:left="567" w:hanging="567"/>
        <w:rPr>
          <w:lang w:val="en-US"/>
        </w:rPr>
      </w:pPr>
      <w:r>
        <w:t xml:space="preserve">Meghini, Carlo, et Martin Doerr. </w:t>
      </w:r>
      <w:r w:rsidRPr="00EC2D6E">
        <w:rPr>
          <w:lang w:val="en-CA"/>
        </w:rPr>
        <w:t xml:space="preserve">2018. « A first-order logic expression of the CIDOC conceptual reference model ». </w:t>
      </w:r>
      <w:r w:rsidRPr="00EC2D6E">
        <w:rPr>
          <w:i/>
          <w:iCs/>
          <w:lang w:val="en-CA"/>
        </w:rPr>
        <w:t>International Journal of Metadata, Semantics and Ontologies</w:t>
      </w:r>
      <w:r w:rsidRPr="00EC2D6E">
        <w:rPr>
          <w:lang w:val="en-CA"/>
        </w:rPr>
        <w:t xml:space="preserve"> 13 (2) : 131‑49. </w:t>
      </w:r>
      <w:hyperlink r:id="rId340">
        <w:r w:rsidRPr="001C1490">
          <w:rPr>
            <w:rStyle w:val="Lienhypertexte"/>
            <w:lang w:val="en-US"/>
          </w:rPr>
          <w:t>https://doi.org/10.1504/IJMSO.2018.098393</w:t>
        </w:r>
      </w:hyperlink>
      <w:r w:rsidRPr="001C1490">
        <w:rPr>
          <w:lang w:val="en-US"/>
        </w:rPr>
        <w:t>.</w:t>
      </w:r>
    </w:p>
    <w:p w14:paraId="2642409F" w14:textId="77777777" w:rsidR="00065317" w:rsidRDefault="005C7BF7" w:rsidP="00652D41">
      <w:pPr>
        <w:pStyle w:val="Corpsdetexte"/>
        <w:ind w:left="567" w:hanging="567"/>
      </w:pPr>
      <w:r>
        <w:t xml:space="preserve">Mellen, Joan. 2002. </w:t>
      </w:r>
      <w:r>
        <w:rPr>
          <w:i/>
          <w:iCs/>
        </w:rPr>
        <w:t>Seven samurai</w:t>
      </w:r>
      <w:r>
        <w:t>. Londres, GB-LND : BFI Pub.</w:t>
      </w:r>
    </w:p>
    <w:p w14:paraId="56B5CE94" w14:textId="77777777" w:rsidR="00065317" w:rsidRPr="00EC2D6E" w:rsidRDefault="005C7BF7" w:rsidP="00652D41">
      <w:pPr>
        <w:pStyle w:val="Corpsdetexte"/>
        <w:ind w:left="567" w:hanging="567"/>
        <w:rPr>
          <w:lang w:val="en-CA"/>
        </w:rPr>
      </w:pPr>
      <w:r w:rsidRPr="00EC2D6E">
        <w:rPr>
          <w:lang w:val="en-CA"/>
        </w:rPr>
        <w:t xml:space="preserve">Mhaske, S.T. s. d. « Polycarbonate: Medical applications ». </w:t>
      </w:r>
      <w:r w:rsidRPr="00EC2D6E">
        <w:rPr>
          <w:i/>
          <w:iCs/>
          <w:lang w:val="en-CA"/>
        </w:rPr>
        <w:t>Chemical Weekly</w:t>
      </w:r>
      <w:r w:rsidRPr="00EC2D6E">
        <w:rPr>
          <w:lang w:val="en-CA"/>
        </w:rPr>
        <w:t xml:space="preserve"> 56 (30) : 201‑4.</w:t>
      </w:r>
    </w:p>
    <w:p w14:paraId="17C2F429" w14:textId="77777777" w:rsidR="00065317" w:rsidRPr="00EC2D6E" w:rsidRDefault="005C7BF7" w:rsidP="00652D41">
      <w:pPr>
        <w:pStyle w:val="Corpsdetexte"/>
        <w:ind w:left="567" w:hanging="567"/>
        <w:rPr>
          <w:lang w:val="en-CA"/>
        </w:rPr>
      </w:pPr>
      <w:r w:rsidRPr="00EC2D6E">
        <w:rPr>
          <w:lang w:val="en-CA"/>
        </w:rPr>
        <w:t xml:space="preserve">Milne, A. A. 2012. </w:t>
      </w:r>
      <w:r w:rsidRPr="00EC2D6E">
        <w:rPr>
          <w:i/>
          <w:iCs/>
          <w:lang w:val="en-CA"/>
        </w:rPr>
        <w:t>The Sunny Side</w:t>
      </w:r>
      <w:r w:rsidRPr="00EC2D6E">
        <w:rPr>
          <w:lang w:val="en-CA"/>
        </w:rPr>
        <w:t>. The Floating Press.</w:t>
      </w:r>
    </w:p>
    <w:p w14:paraId="2D1D8E0E" w14:textId="77777777" w:rsidR="00065317" w:rsidRPr="00EC2D6E" w:rsidRDefault="005C7BF7" w:rsidP="00652D41">
      <w:pPr>
        <w:pStyle w:val="Corpsdetexte"/>
        <w:ind w:left="567" w:hanging="567"/>
        <w:rPr>
          <w:lang w:val="en-CA"/>
        </w:rPr>
      </w:pPr>
      <w:r>
        <w:t xml:space="preserve">Mohen, Jean-Pierre, Michel Menu, et Bruno Mottin. </w:t>
      </w:r>
      <w:r w:rsidRPr="00EC2D6E">
        <w:rPr>
          <w:lang w:val="en-CA"/>
        </w:rPr>
        <w:t xml:space="preserve">2006. </w:t>
      </w:r>
      <w:r w:rsidRPr="00EC2D6E">
        <w:rPr>
          <w:i/>
          <w:iCs/>
          <w:lang w:val="en-CA"/>
        </w:rPr>
        <w:t>Mona Lisa: Inside the Painting</w:t>
      </w:r>
      <w:r w:rsidRPr="00EC2D6E">
        <w:rPr>
          <w:lang w:val="en-CA"/>
        </w:rPr>
        <w:t>. Harry N. Abrams.</w:t>
      </w:r>
    </w:p>
    <w:p w14:paraId="61DF7BA9" w14:textId="77777777" w:rsidR="00065317" w:rsidRPr="00EC2D6E" w:rsidRDefault="005C7BF7" w:rsidP="00652D41">
      <w:pPr>
        <w:pStyle w:val="Corpsdetexte"/>
        <w:ind w:left="567" w:hanging="567"/>
        <w:rPr>
          <w:lang w:val="en-CA"/>
        </w:rPr>
      </w:pPr>
      <w:r w:rsidRPr="00EC2D6E">
        <w:rPr>
          <w:lang w:val="en-CA"/>
        </w:rPr>
        <w:t xml:space="preserve">Moholy-Nagy, László. 2012. </w:t>
      </w:r>
      <w:r w:rsidRPr="00EC2D6E">
        <w:rPr>
          <w:i/>
          <w:iCs/>
          <w:lang w:val="en-CA"/>
        </w:rPr>
        <w:t>The New Vision: Fundamentals of Bauhaus Design, Painting, Sculpture, and Architecture</w:t>
      </w:r>
      <w:r w:rsidRPr="00EC2D6E">
        <w:rPr>
          <w:lang w:val="en-CA"/>
        </w:rPr>
        <w:t>. Courier Corporation.</w:t>
      </w:r>
    </w:p>
    <w:p w14:paraId="5597F4A9" w14:textId="77777777" w:rsidR="00065317" w:rsidRPr="00EC2D6E" w:rsidRDefault="005C7BF7" w:rsidP="00652D41">
      <w:pPr>
        <w:pStyle w:val="Corpsdetexte"/>
        <w:ind w:left="567" w:hanging="567"/>
        <w:rPr>
          <w:lang w:val="en-CA"/>
        </w:rPr>
      </w:pPr>
      <w:r w:rsidRPr="00EC2D6E">
        <w:rPr>
          <w:lang w:val="en-CA"/>
        </w:rPr>
        <w:t xml:space="preserve">Mommsen, Theodor. 1872. </w:t>
      </w:r>
      <w:r w:rsidRPr="00523021">
        <w:rPr>
          <w:i/>
          <w:iCs/>
          <w:lang w:val="en-CA"/>
        </w:rPr>
        <w:t>Corpus inscriptionum Latinarum Vol. 5, Pars 1.</w:t>
      </w:r>
      <w:r w:rsidRPr="00523021">
        <w:rPr>
          <w:lang w:val="en-CA"/>
        </w:rPr>
        <w:t xml:space="preserve"> </w:t>
      </w:r>
      <w:r w:rsidRPr="00EC2D6E">
        <w:rPr>
          <w:lang w:val="en-CA"/>
        </w:rPr>
        <w:t>Berlin, DE-BE : Apud Georgium Reimerum.</w:t>
      </w:r>
    </w:p>
    <w:p w14:paraId="4191D14F" w14:textId="51DFF334" w:rsidR="00065317" w:rsidRPr="00EC2D6E" w:rsidRDefault="005C7BF7" w:rsidP="00652D41">
      <w:pPr>
        <w:pStyle w:val="Corpsdetexte"/>
        <w:ind w:left="567" w:hanging="567"/>
        <w:rPr>
          <w:lang w:val="en-CA"/>
        </w:rPr>
      </w:pPr>
      <w:r w:rsidRPr="00EC2D6E">
        <w:rPr>
          <w:lang w:val="en-CA"/>
        </w:rPr>
        <w:t xml:space="preserve">Mommsen, Theodor E. 1941. « The Venetians in Athens and the Destruction of the Parthenon in 1687 ». </w:t>
      </w:r>
      <w:r w:rsidRPr="00EC2D6E">
        <w:rPr>
          <w:i/>
          <w:iCs/>
          <w:lang w:val="en-CA"/>
        </w:rPr>
        <w:t>American Journal of Arch</w:t>
      </w:r>
      <w:r w:rsidR="00B40400">
        <w:rPr>
          <w:i/>
          <w:iCs/>
          <w:lang w:val="en-CA"/>
        </w:rPr>
        <w:t>ae</w:t>
      </w:r>
      <w:r w:rsidRPr="00EC2D6E">
        <w:rPr>
          <w:i/>
          <w:iCs/>
          <w:lang w:val="en-CA"/>
        </w:rPr>
        <w:t>ology</w:t>
      </w:r>
      <w:r w:rsidRPr="00EC2D6E">
        <w:rPr>
          <w:lang w:val="en-CA"/>
        </w:rPr>
        <w:t xml:space="preserve"> 45 (4) : 544‑56. </w:t>
      </w:r>
      <w:hyperlink r:id="rId341">
        <w:r w:rsidRPr="00EC2D6E">
          <w:rPr>
            <w:rStyle w:val="Lienhypertexte"/>
            <w:lang w:val="en-CA"/>
          </w:rPr>
          <w:t>https://doi.org/10.2307/499533</w:t>
        </w:r>
      </w:hyperlink>
      <w:r w:rsidRPr="00EC2D6E">
        <w:rPr>
          <w:lang w:val="en-CA"/>
        </w:rPr>
        <w:t>.</w:t>
      </w:r>
    </w:p>
    <w:p w14:paraId="12179C58" w14:textId="77777777" w:rsidR="00065317" w:rsidRPr="00EC2D6E" w:rsidRDefault="005C7BF7" w:rsidP="00652D41">
      <w:pPr>
        <w:pStyle w:val="Corpsdetexte"/>
        <w:ind w:left="567" w:hanging="567"/>
        <w:rPr>
          <w:lang w:val="en-CA"/>
        </w:rPr>
      </w:pPr>
      <w:r w:rsidRPr="00EC2D6E">
        <w:rPr>
          <w:lang w:val="en-CA"/>
        </w:rPr>
        <w:t xml:space="preserve">Monast, Jonas, et Betsy Tao. 2002. « In Memoriam: Paul Wellstone (1944-2002) ». </w:t>
      </w:r>
      <w:r w:rsidRPr="00EC2D6E">
        <w:rPr>
          <w:i/>
          <w:iCs/>
          <w:lang w:val="en-CA"/>
        </w:rPr>
        <w:t>Georgetown International Environmental Law Review</w:t>
      </w:r>
      <w:r w:rsidRPr="00EC2D6E">
        <w:rPr>
          <w:lang w:val="en-CA"/>
        </w:rPr>
        <w:t xml:space="preserve"> 15 : 133.</w:t>
      </w:r>
    </w:p>
    <w:p w14:paraId="2ED58AE0" w14:textId="77777777" w:rsidR="00065317" w:rsidRPr="00EC2D6E" w:rsidRDefault="005C7BF7" w:rsidP="00652D41">
      <w:pPr>
        <w:pStyle w:val="Corpsdetexte"/>
        <w:ind w:left="567" w:hanging="567"/>
        <w:rPr>
          <w:lang w:val="en-CA"/>
        </w:rPr>
      </w:pPr>
      <w:r w:rsidRPr="00EC2D6E">
        <w:rPr>
          <w:lang w:val="en-CA"/>
        </w:rPr>
        <w:t xml:space="preserve">Moorhouse, E. Hallam. 1987. </w:t>
      </w:r>
      <w:r w:rsidRPr="00EC2D6E">
        <w:rPr>
          <w:i/>
          <w:iCs/>
          <w:lang w:val="en-CA"/>
        </w:rPr>
        <w:t>Domesday book: through nine centuries</w:t>
      </w:r>
      <w:r w:rsidRPr="00EC2D6E">
        <w:rPr>
          <w:lang w:val="en-CA"/>
        </w:rPr>
        <w:t>. Londres, GB-LND : Thames and Hudson.</w:t>
      </w:r>
    </w:p>
    <w:p w14:paraId="513D81F9" w14:textId="1A6BEEEC" w:rsidR="00065317" w:rsidRPr="00EC2D6E" w:rsidRDefault="005C7BF7" w:rsidP="00652D41">
      <w:pPr>
        <w:pStyle w:val="Corpsdetexte"/>
        <w:ind w:left="567" w:hanging="567"/>
        <w:rPr>
          <w:lang w:val="en-CA"/>
        </w:rPr>
      </w:pPr>
      <w:r w:rsidRPr="00EC2D6E">
        <w:rPr>
          <w:lang w:val="en-CA"/>
        </w:rPr>
        <w:t xml:space="preserve">Morton, Herbert C. 1994. </w:t>
      </w:r>
      <w:r w:rsidRPr="00EC2D6E">
        <w:rPr>
          <w:i/>
          <w:iCs/>
          <w:lang w:val="en-CA"/>
        </w:rPr>
        <w:t>The story of Webster</w:t>
      </w:r>
      <w:r w:rsidR="00E84B0E">
        <w:rPr>
          <w:i/>
          <w:iCs/>
          <w:lang w:val="en-CA"/>
        </w:rPr>
        <w:t>’</w:t>
      </w:r>
      <w:r w:rsidRPr="00EC2D6E">
        <w:rPr>
          <w:i/>
          <w:iCs/>
          <w:lang w:val="en-CA"/>
        </w:rPr>
        <w:t>s third: Philip Gove</w:t>
      </w:r>
      <w:r w:rsidR="00E84B0E">
        <w:rPr>
          <w:i/>
          <w:iCs/>
          <w:lang w:val="en-CA"/>
        </w:rPr>
        <w:t>’</w:t>
      </w:r>
      <w:r w:rsidRPr="00EC2D6E">
        <w:rPr>
          <w:i/>
          <w:iCs/>
          <w:lang w:val="en-CA"/>
        </w:rPr>
        <w:t>s controversial dictionary and its critics</w:t>
      </w:r>
      <w:r w:rsidRPr="00EC2D6E">
        <w:rPr>
          <w:lang w:val="en-CA"/>
        </w:rPr>
        <w:t>. Cambridge, GB-CAM : Cambridge University Press.</w:t>
      </w:r>
    </w:p>
    <w:p w14:paraId="3FB01C0D" w14:textId="48014E48" w:rsidR="00065317" w:rsidRDefault="005C7BF7" w:rsidP="00652D41">
      <w:pPr>
        <w:pStyle w:val="Corpsdetexte"/>
        <w:ind w:left="567" w:hanging="567"/>
      </w:pPr>
      <w:r w:rsidRPr="00EC2D6E">
        <w:rPr>
          <w:lang w:val="en-CA"/>
        </w:rPr>
        <w:t xml:space="preserve">Municipality of Heraklion. s. d. « City Hall ». </w:t>
      </w:r>
      <w:r>
        <w:t>Consulté le 5</w:t>
      </w:r>
      <w:r w:rsidR="00056DCD">
        <w:t> février </w:t>
      </w:r>
      <w:r>
        <w:t xml:space="preserve">2021. </w:t>
      </w:r>
      <w:hyperlink r:id="rId342">
        <w:r>
          <w:rPr>
            <w:rStyle w:val="Lienhypertexte"/>
          </w:rPr>
          <w:t>https://www.heraklion.gr/en/municipality/city-hall//city-hall.html</w:t>
        </w:r>
      </w:hyperlink>
      <w:r>
        <w:t>.</w:t>
      </w:r>
    </w:p>
    <w:p w14:paraId="6230FC75" w14:textId="77777777" w:rsidR="00065317" w:rsidRPr="00EC2D6E" w:rsidRDefault="005C7BF7" w:rsidP="00652D41">
      <w:pPr>
        <w:pStyle w:val="Corpsdetexte"/>
        <w:ind w:left="567" w:hanging="567"/>
        <w:rPr>
          <w:lang w:val="en-CA"/>
        </w:rPr>
      </w:pPr>
      <w:r w:rsidRPr="00EC2D6E">
        <w:rPr>
          <w:lang w:val="en-CA"/>
        </w:rPr>
        <w:t xml:space="preserve">Murdoch, David H, Chris Forsey, Anne Yvonne Gilbert, et Eric Thomas. 2003. </w:t>
      </w:r>
      <w:r w:rsidRPr="00EC2D6E">
        <w:rPr>
          <w:i/>
          <w:iCs/>
          <w:lang w:val="en-CA"/>
        </w:rPr>
        <w:t>Tutankhamun: the life and death of a pharaoh</w:t>
      </w:r>
      <w:r w:rsidRPr="00EC2D6E">
        <w:rPr>
          <w:lang w:val="en-CA"/>
        </w:rPr>
        <w:t>. Londres, GB-LND : Dorling Kindersley.</w:t>
      </w:r>
    </w:p>
    <w:p w14:paraId="0C51F743" w14:textId="1EEF23FF" w:rsidR="00065317" w:rsidRDefault="005C7BF7" w:rsidP="00652D41">
      <w:pPr>
        <w:pStyle w:val="Corpsdetexte"/>
        <w:ind w:left="567" w:hanging="567"/>
      </w:pPr>
      <w:r w:rsidRPr="00523021">
        <w:rPr>
          <w:lang w:val="fr-CA"/>
        </w:rPr>
        <w:t>Musée d</w:t>
      </w:r>
      <w:r w:rsidR="00E84B0E" w:rsidRPr="00523021">
        <w:rPr>
          <w:lang w:val="fr-CA"/>
        </w:rPr>
        <w:t>’</w:t>
      </w:r>
      <w:r w:rsidRPr="00523021">
        <w:rPr>
          <w:lang w:val="fr-CA"/>
        </w:rPr>
        <w:t xml:space="preserve">Orsay. 2020. « Claude Monet “La Pie” ». 2020. </w:t>
      </w:r>
      <w:hyperlink r:id="rId343">
        <w:r>
          <w:rPr>
            <w:rStyle w:val="Lienhypertexte"/>
          </w:rPr>
          <w:t>https://www.musee-orsay.fr/fr/collections/catalogue-des-oeuvres/notice.html?no_cache=1&amp;nnumid=715</w:t>
        </w:r>
      </w:hyperlink>
      <w:r>
        <w:t>.</w:t>
      </w:r>
    </w:p>
    <w:p w14:paraId="3F878840" w14:textId="291B6057" w:rsidR="00065317" w:rsidRDefault="005C7BF7" w:rsidP="00652D41">
      <w:pPr>
        <w:pStyle w:val="Corpsdetexte"/>
        <w:ind w:left="567" w:hanging="567"/>
      </w:pPr>
      <w:r w:rsidRPr="00EC2D6E">
        <w:rPr>
          <w:lang w:val="en-CA"/>
        </w:rPr>
        <w:t xml:space="preserve">National Gallery of Victoria. s. d. « Portrait group: The singer Farinelli and friends (c. 1750-1752) Jacopo Amigoni ». </w:t>
      </w:r>
      <w:r>
        <w:t>Consulté le 5</w:t>
      </w:r>
      <w:r w:rsidR="00056DCD">
        <w:t> février </w:t>
      </w:r>
      <w:r>
        <w:t xml:space="preserve">2021. </w:t>
      </w:r>
      <w:hyperlink r:id="rId344">
        <w:r>
          <w:rPr>
            <w:rStyle w:val="Lienhypertexte"/>
          </w:rPr>
          <w:t>http://www.ngv.vic.gov.au/explore/collection/work/3701/</w:t>
        </w:r>
      </w:hyperlink>
      <w:r>
        <w:t>.</w:t>
      </w:r>
    </w:p>
    <w:p w14:paraId="4D82E0F5" w14:textId="77777777" w:rsidR="00065317" w:rsidRPr="00EC2D6E" w:rsidRDefault="005C7BF7" w:rsidP="00652D41">
      <w:pPr>
        <w:pStyle w:val="Corpsdetexte"/>
        <w:ind w:left="567" w:hanging="567"/>
        <w:rPr>
          <w:lang w:val="en-CA"/>
        </w:rPr>
      </w:pPr>
      <w:r w:rsidRPr="00EC2D6E">
        <w:rPr>
          <w:lang w:val="en-CA"/>
        </w:rPr>
        <w:t xml:space="preserve">Nelson, Alan H. 1989. </w:t>
      </w:r>
      <w:r w:rsidRPr="00EC2D6E">
        <w:rPr>
          <w:i/>
          <w:iCs/>
          <w:lang w:val="en-CA"/>
        </w:rPr>
        <w:t>Cambridge</w:t>
      </w:r>
      <w:r w:rsidRPr="00EC2D6E">
        <w:rPr>
          <w:lang w:val="en-CA"/>
        </w:rPr>
        <w:t>. Toronto, CA-ON : University of Toronto Press.</w:t>
      </w:r>
    </w:p>
    <w:p w14:paraId="30FCEB73" w14:textId="77777777" w:rsidR="00065317" w:rsidRPr="00EC2D6E" w:rsidRDefault="005C7BF7" w:rsidP="00652D41">
      <w:pPr>
        <w:pStyle w:val="Corpsdetexte"/>
        <w:ind w:left="567" w:hanging="567"/>
        <w:rPr>
          <w:lang w:val="en-CA"/>
        </w:rPr>
      </w:pPr>
      <w:r w:rsidRPr="00EC2D6E">
        <w:rPr>
          <w:lang w:val="en-CA"/>
        </w:rPr>
        <w:t xml:space="preserve">Norman, C. F. W. 1986. </w:t>
      </w:r>
      <w:r w:rsidRPr="00EC2D6E">
        <w:rPr>
          <w:i/>
          <w:iCs/>
          <w:lang w:val="en-CA"/>
        </w:rPr>
        <w:t>Corrosion of aluminium.</w:t>
      </w:r>
      <w:r w:rsidRPr="00EC2D6E">
        <w:rPr>
          <w:lang w:val="en-CA"/>
        </w:rPr>
        <w:t xml:space="preserve"> University of Manchester Press.</w:t>
      </w:r>
    </w:p>
    <w:p w14:paraId="71E16973" w14:textId="77777777" w:rsidR="00065317" w:rsidRPr="006E6C31" w:rsidRDefault="005C7BF7" w:rsidP="00652D41">
      <w:pPr>
        <w:pStyle w:val="Corpsdetexte"/>
        <w:ind w:left="567" w:hanging="567"/>
        <w:rPr>
          <w:lang w:val="en-CA"/>
        </w:rPr>
      </w:pPr>
      <w:r w:rsidRPr="00EC2D6E">
        <w:rPr>
          <w:lang w:val="en-CA"/>
        </w:rPr>
        <w:t xml:space="preserve">« Numismatics ». 2005. Historical Museum of Crete. 2020 2005. </w:t>
      </w:r>
      <w:hyperlink r:id="rId345">
        <w:r w:rsidRPr="006E6C31">
          <w:rPr>
            <w:rStyle w:val="Lienhypertexte"/>
            <w:lang w:val="en-CA"/>
          </w:rPr>
          <w:t>https://www.historical-museum.gr/eng/collections/view/nomismatikh-sullogh</w:t>
        </w:r>
      </w:hyperlink>
      <w:r w:rsidRPr="006E6C31">
        <w:rPr>
          <w:lang w:val="en-CA"/>
        </w:rPr>
        <w:t>.</w:t>
      </w:r>
    </w:p>
    <w:p w14:paraId="6F975656" w14:textId="01808935" w:rsidR="00065317" w:rsidRPr="00EC2D6E" w:rsidRDefault="005C7BF7" w:rsidP="00652D41">
      <w:pPr>
        <w:pStyle w:val="Corpsdetexte"/>
        <w:ind w:left="567" w:hanging="567"/>
        <w:rPr>
          <w:lang w:val="en-CA"/>
        </w:rPr>
      </w:pPr>
      <w:r w:rsidRPr="00EC2D6E">
        <w:rPr>
          <w:i/>
          <w:iCs/>
          <w:lang w:val="en-CA"/>
        </w:rPr>
        <w:t>Ode to joy: theme and 6 variations on Beethoven</w:t>
      </w:r>
      <w:r w:rsidR="00E84B0E">
        <w:rPr>
          <w:i/>
          <w:iCs/>
          <w:lang w:val="en-CA"/>
        </w:rPr>
        <w:t>’</w:t>
      </w:r>
      <w:r w:rsidRPr="00EC2D6E">
        <w:rPr>
          <w:i/>
          <w:iCs/>
          <w:lang w:val="en-CA"/>
        </w:rPr>
        <w:t>s Ode to joy, in the style of Bach, Mozart, Mendelssohn, Dvořák, Wagner and Scott Joplin : string orchestra</w:t>
      </w:r>
      <w:r w:rsidRPr="00EC2D6E">
        <w:rPr>
          <w:lang w:val="en-CA"/>
        </w:rPr>
        <w:t>. 1999. Monmouth, GB-MON : Spartan Press.</w:t>
      </w:r>
    </w:p>
    <w:p w14:paraId="1BD8214C" w14:textId="77777777" w:rsidR="00065317" w:rsidRPr="00EC2D6E" w:rsidRDefault="005C7BF7" w:rsidP="00652D41">
      <w:pPr>
        <w:pStyle w:val="Corpsdetexte"/>
        <w:ind w:left="567" w:hanging="567"/>
        <w:rPr>
          <w:lang w:val="en-CA"/>
        </w:rPr>
      </w:pPr>
      <w:r w:rsidRPr="00EC2D6E">
        <w:rPr>
          <w:lang w:val="en-CA"/>
        </w:rPr>
        <w:t xml:space="preserve">Overy, Richard. 2012. </w:t>
      </w:r>
      <w:r w:rsidRPr="00EC2D6E">
        <w:rPr>
          <w:i/>
          <w:iCs/>
          <w:lang w:val="en-CA"/>
        </w:rPr>
        <w:t>20th Century</w:t>
      </w:r>
      <w:r w:rsidRPr="00EC2D6E">
        <w:rPr>
          <w:lang w:val="en-CA"/>
        </w:rPr>
        <w:t>. Londres, GB-LND : Dorling Kindersley.</w:t>
      </w:r>
    </w:p>
    <w:p w14:paraId="4D82246B" w14:textId="4C72B836" w:rsidR="00065317" w:rsidRPr="00EC2D6E" w:rsidRDefault="005C7BF7" w:rsidP="00652D41">
      <w:pPr>
        <w:pStyle w:val="Corpsdetexte"/>
        <w:ind w:left="567" w:hanging="567"/>
        <w:rPr>
          <w:lang w:val="en-CA"/>
        </w:rPr>
      </w:pPr>
      <w:r w:rsidRPr="00EC2D6E">
        <w:rPr>
          <w:lang w:val="en-CA"/>
        </w:rPr>
        <w:lastRenderedPageBreak/>
        <w:t>Owen, Jennifer Chowning. 2009. « Forever Amber : the impact of the Amber Room on Russia</w:t>
      </w:r>
      <w:r w:rsidR="00E84B0E">
        <w:rPr>
          <w:lang w:val="en-CA"/>
        </w:rPr>
        <w:t>’</w:t>
      </w:r>
      <w:r w:rsidRPr="00EC2D6E">
        <w:rPr>
          <w:lang w:val="en-CA"/>
        </w:rPr>
        <w:t xml:space="preserve">s cultural stature then, now and in the future ». </w:t>
      </w:r>
      <w:r w:rsidRPr="00EC2D6E">
        <w:rPr>
          <w:i/>
          <w:iCs/>
          <w:lang w:val="en-CA"/>
        </w:rPr>
        <w:t>Dept. of Art and Art History, Masters dissertations, 2009.</w:t>
      </w:r>
      <w:r w:rsidRPr="00EC2D6E">
        <w:rPr>
          <w:lang w:val="en-CA"/>
        </w:rPr>
        <w:t xml:space="preserve"> Thesis, Georgetown University. </w:t>
      </w:r>
      <w:hyperlink r:id="rId346">
        <w:r w:rsidRPr="00EC2D6E">
          <w:rPr>
            <w:rStyle w:val="Lienhypertexte"/>
            <w:lang w:val="en-CA"/>
          </w:rPr>
          <w:t>https://repository.library.georgetown.edu/handle/10822/552838</w:t>
        </w:r>
      </w:hyperlink>
      <w:r w:rsidRPr="00EC2D6E">
        <w:rPr>
          <w:lang w:val="en-CA"/>
        </w:rPr>
        <w:t>.</w:t>
      </w:r>
    </w:p>
    <w:p w14:paraId="14BC0579" w14:textId="77777777" w:rsidR="00065317" w:rsidRPr="001C1490" w:rsidRDefault="005C7BF7" w:rsidP="00652D41">
      <w:pPr>
        <w:pStyle w:val="Corpsdetexte"/>
        <w:ind w:left="567" w:hanging="567"/>
        <w:rPr>
          <w:lang w:val="fr-CA"/>
        </w:rPr>
      </w:pPr>
      <w:r w:rsidRPr="00EC2D6E">
        <w:rPr>
          <w:lang w:val="en-CA"/>
        </w:rPr>
        <w:t xml:space="preserve">Palmer, L. R. 1980. </w:t>
      </w:r>
      <w:r w:rsidRPr="00EC2D6E">
        <w:rPr>
          <w:i/>
          <w:iCs/>
          <w:lang w:val="en-CA"/>
        </w:rPr>
        <w:t>The Greek language</w:t>
      </w:r>
      <w:r w:rsidRPr="00EC2D6E">
        <w:rPr>
          <w:lang w:val="en-CA"/>
        </w:rPr>
        <w:t xml:space="preserve">. </w:t>
      </w:r>
      <w:r w:rsidRPr="001C1490">
        <w:rPr>
          <w:lang w:val="fr-CA"/>
        </w:rPr>
        <w:t>Londres, GB-LND : Faber.</w:t>
      </w:r>
    </w:p>
    <w:p w14:paraId="0C2ABC51" w14:textId="77777777" w:rsidR="00065317" w:rsidRDefault="005C7BF7" w:rsidP="00652D41">
      <w:pPr>
        <w:pStyle w:val="Corpsdetexte"/>
        <w:ind w:left="567" w:hanging="567"/>
      </w:pPr>
      <w:r w:rsidRPr="001C1490">
        <w:rPr>
          <w:lang w:val="fr-CA"/>
        </w:rPr>
        <w:t>Panotis, Aristidis. 2016. « « </w:t>
      </w:r>
      <w:r>
        <w:t>Η</w:t>
      </w:r>
      <w:r w:rsidRPr="001C1490">
        <w:rPr>
          <w:lang w:val="fr-CA"/>
        </w:rPr>
        <w:t xml:space="preserve"> </w:t>
      </w:r>
      <w:r>
        <w:t>Θείω</w:t>
      </w:r>
      <w:r w:rsidRPr="001C1490">
        <w:rPr>
          <w:lang w:val="fr-CA"/>
        </w:rPr>
        <w:t xml:space="preserve"> </w:t>
      </w:r>
      <w:r>
        <w:t>Πνεύματι</w:t>
      </w:r>
      <w:r w:rsidRPr="001C1490">
        <w:rPr>
          <w:lang w:val="fr-CA"/>
        </w:rPr>
        <w:t xml:space="preserve"> </w:t>
      </w:r>
      <w:r>
        <w:t>κραταιωθείσα</w:t>
      </w:r>
      <w:r w:rsidRPr="001C1490">
        <w:rPr>
          <w:lang w:val="fr-CA"/>
        </w:rPr>
        <w:t xml:space="preserve"> </w:t>
      </w:r>
      <w:r>
        <w:t>Σύνοδος</w:t>
      </w:r>
      <w:r w:rsidRPr="001C1490">
        <w:rPr>
          <w:lang w:val="fr-CA"/>
        </w:rPr>
        <w:t xml:space="preserve"> </w:t>
      </w:r>
      <w:r>
        <w:t>της</w:t>
      </w:r>
      <w:r w:rsidRPr="001C1490">
        <w:rPr>
          <w:lang w:val="fr-CA"/>
        </w:rPr>
        <w:t xml:space="preserve"> </w:t>
      </w:r>
      <w:r>
        <w:t>Κρήτης</w:t>
      </w:r>
      <w:r w:rsidRPr="001C1490">
        <w:rPr>
          <w:lang w:val="fr-CA"/>
        </w:rPr>
        <w:t xml:space="preserve"> » ». </w:t>
      </w:r>
      <w:r>
        <w:rPr>
          <w:i/>
          <w:iCs/>
        </w:rPr>
        <w:t>Πανώτης</w:t>
      </w:r>
      <w:r>
        <w:t xml:space="preserve">. 29 juin. </w:t>
      </w:r>
      <w:hyperlink r:id="rId347">
        <w:r>
          <w:rPr>
            <w:rStyle w:val="Lienhypertexte"/>
          </w:rPr>
          <w:t>https://www.panotis.gr/index.php/2016/06/29/the-holy-spirit-stressed-summit-of-crete/</w:t>
        </w:r>
      </w:hyperlink>
      <w:r>
        <w:t>.</w:t>
      </w:r>
    </w:p>
    <w:p w14:paraId="5E871C3B" w14:textId="0B50D75D" w:rsidR="00065317" w:rsidRPr="00EC2D6E" w:rsidRDefault="005C7BF7" w:rsidP="00652D41">
      <w:pPr>
        <w:pStyle w:val="Corpsdetexte"/>
        <w:ind w:left="567" w:hanging="567"/>
        <w:rPr>
          <w:lang w:val="en-CA"/>
        </w:rPr>
      </w:pPr>
      <w:r>
        <w:t xml:space="preserve">Paoletti, John T, et Rolf Bagemihl. </w:t>
      </w:r>
      <w:r w:rsidRPr="00EC2D6E">
        <w:rPr>
          <w:lang w:val="en-CA"/>
        </w:rPr>
        <w:t xml:space="preserve">2015. </w:t>
      </w:r>
      <w:r w:rsidRPr="00EC2D6E">
        <w:rPr>
          <w:i/>
          <w:iCs/>
          <w:lang w:val="en-CA"/>
        </w:rPr>
        <w:t>Michelangelo</w:t>
      </w:r>
      <w:r w:rsidR="00E84B0E">
        <w:rPr>
          <w:i/>
          <w:iCs/>
          <w:lang w:val="en-CA"/>
        </w:rPr>
        <w:t>’</w:t>
      </w:r>
      <w:r w:rsidRPr="00EC2D6E">
        <w:rPr>
          <w:i/>
          <w:iCs/>
          <w:lang w:val="en-CA"/>
        </w:rPr>
        <w:t>s David: Florentine history and civic identity</w:t>
      </w:r>
      <w:r w:rsidRPr="00EC2D6E">
        <w:rPr>
          <w:lang w:val="en-CA"/>
        </w:rPr>
        <w:t xml:space="preserve">. New York, US-NY : Cambridge University Press. </w:t>
      </w:r>
      <w:hyperlink r:id="rId348">
        <w:r w:rsidRPr="00EC2D6E">
          <w:rPr>
            <w:rStyle w:val="Lienhypertexte"/>
            <w:lang w:val="en-CA"/>
          </w:rPr>
          <w:t>https://doi.org/10.1017/CBO9781107338784</w:t>
        </w:r>
      </w:hyperlink>
      <w:r w:rsidRPr="00EC2D6E">
        <w:rPr>
          <w:lang w:val="en-CA"/>
        </w:rPr>
        <w:t>.</w:t>
      </w:r>
    </w:p>
    <w:p w14:paraId="0052F51B" w14:textId="77777777" w:rsidR="00065317" w:rsidRPr="00EC2D6E" w:rsidRDefault="005C7BF7" w:rsidP="00652D41">
      <w:pPr>
        <w:pStyle w:val="Corpsdetexte"/>
        <w:ind w:left="567" w:hanging="567"/>
        <w:rPr>
          <w:lang w:val="en-CA"/>
        </w:rPr>
      </w:pPr>
      <w:r w:rsidRPr="00EC2D6E">
        <w:rPr>
          <w:lang w:val="en-CA"/>
        </w:rPr>
        <w:t xml:space="preserve">Parker, V. 2002. </w:t>
      </w:r>
      <w:r w:rsidRPr="00EC2D6E">
        <w:rPr>
          <w:i/>
          <w:iCs/>
          <w:lang w:val="en-CA"/>
        </w:rPr>
        <w:t>Queen Elizabeth II</w:t>
      </w:r>
      <w:r w:rsidRPr="00EC2D6E">
        <w:rPr>
          <w:lang w:val="en-CA"/>
        </w:rPr>
        <w:t>. Oxford, GB-OXF : Heinemann Library.</w:t>
      </w:r>
    </w:p>
    <w:p w14:paraId="0991AEFB" w14:textId="77777777" w:rsidR="00065317" w:rsidRPr="00EC2D6E" w:rsidRDefault="005C7BF7" w:rsidP="00652D41">
      <w:pPr>
        <w:pStyle w:val="Corpsdetexte"/>
        <w:ind w:left="567" w:hanging="567"/>
        <w:rPr>
          <w:lang w:val="en-CA"/>
        </w:rPr>
      </w:pPr>
      <w:r w:rsidRPr="00EC2D6E">
        <w:rPr>
          <w:lang w:val="en-CA"/>
        </w:rPr>
        <w:t xml:space="preserve">Patterson, Richard. 1998. </w:t>
      </w:r>
      <w:r w:rsidRPr="00EC2D6E">
        <w:rPr>
          <w:i/>
          <w:iCs/>
          <w:lang w:val="en-CA"/>
        </w:rPr>
        <w:t>Butch Cassidy: A Biography.</w:t>
      </w:r>
      <w:r w:rsidRPr="00EC2D6E">
        <w:rPr>
          <w:lang w:val="en-CA"/>
        </w:rPr>
        <w:t xml:space="preserve"> Lincoln, US-NE : University of Nebraska Press.</w:t>
      </w:r>
    </w:p>
    <w:p w14:paraId="34F28011" w14:textId="77777777" w:rsidR="00065317" w:rsidRPr="00EC2D6E" w:rsidRDefault="005C7BF7" w:rsidP="00652D41">
      <w:pPr>
        <w:pStyle w:val="Corpsdetexte"/>
        <w:ind w:left="567" w:hanging="567"/>
        <w:rPr>
          <w:lang w:val="en-CA"/>
        </w:rPr>
      </w:pPr>
      <w:r w:rsidRPr="00EC2D6E">
        <w:rPr>
          <w:lang w:val="en-CA"/>
        </w:rPr>
        <w:t xml:space="preserve">Pedersén, Olof. 1986. </w:t>
      </w:r>
      <w:r w:rsidRPr="00EC2D6E">
        <w:rPr>
          <w:i/>
          <w:iCs/>
          <w:lang w:val="en-CA"/>
        </w:rPr>
        <w:t>Archives and libraries in the City of Assur: a survey of the material from the German excavations</w:t>
      </w:r>
      <w:r w:rsidRPr="00EC2D6E">
        <w:rPr>
          <w:lang w:val="en-CA"/>
        </w:rPr>
        <w:t>. Uppsala; Stockholm, SE-AB : Uppsala University.</w:t>
      </w:r>
    </w:p>
    <w:p w14:paraId="5627ECD3" w14:textId="77777777" w:rsidR="00065317" w:rsidRPr="00EC2D6E" w:rsidRDefault="005C7BF7" w:rsidP="00652D41">
      <w:pPr>
        <w:pStyle w:val="Corpsdetexte"/>
        <w:ind w:left="567" w:hanging="567"/>
        <w:rPr>
          <w:lang w:val="en-CA"/>
        </w:rPr>
      </w:pPr>
      <w:r w:rsidRPr="00EC2D6E">
        <w:rPr>
          <w:lang w:val="en-CA"/>
        </w:rPr>
        <w:t xml:space="preserve">Peel, Christine, trad. 1999. </w:t>
      </w:r>
      <w:r w:rsidRPr="00EC2D6E">
        <w:rPr>
          <w:i/>
          <w:iCs/>
          <w:lang w:val="en-CA"/>
        </w:rPr>
        <w:t>Guta Saga: The History of the Gotlanders</w:t>
      </w:r>
      <w:r w:rsidRPr="00EC2D6E">
        <w:rPr>
          <w:lang w:val="en-CA"/>
        </w:rPr>
        <w:t>. Londres, GB-LND : Viking Society for Northern Research.</w:t>
      </w:r>
    </w:p>
    <w:p w14:paraId="54B53162" w14:textId="77777777" w:rsidR="00065317" w:rsidRDefault="005C7BF7" w:rsidP="00652D41">
      <w:pPr>
        <w:pStyle w:val="Corpsdetexte"/>
        <w:ind w:left="567" w:hanging="567"/>
      </w:pPr>
      <w:r w:rsidRPr="00EC2D6E">
        <w:rPr>
          <w:lang w:val="en-CA"/>
        </w:rPr>
        <w:t xml:space="preserve">Perley, Bernard. 2017. « Declaration of Independence: The First Public Reading ». </w:t>
      </w:r>
      <w:r>
        <w:rPr>
          <w:i/>
          <w:iCs/>
        </w:rPr>
        <w:t>Anthropology News</w:t>
      </w:r>
      <w:r>
        <w:t xml:space="preserve"> 58 (3) : e197‑99. </w:t>
      </w:r>
      <w:hyperlink r:id="rId349">
        <w:r>
          <w:rPr>
            <w:rStyle w:val="Lienhypertexte"/>
          </w:rPr>
          <w:t>https://doi.org/10.1111/AN.445</w:t>
        </w:r>
      </w:hyperlink>
      <w:r>
        <w:t>.</w:t>
      </w:r>
    </w:p>
    <w:p w14:paraId="46344CC6" w14:textId="77777777" w:rsidR="00065317" w:rsidRPr="00EC2D6E" w:rsidRDefault="005C7BF7" w:rsidP="00652D41">
      <w:pPr>
        <w:pStyle w:val="Corpsdetexte"/>
        <w:ind w:left="567" w:hanging="567"/>
        <w:rPr>
          <w:lang w:val="en-CA"/>
        </w:rPr>
      </w:pPr>
      <w:r>
        <w:t xml:space="preserve">Perrault, C. 1697. </w:t>
      </w:r>
      <w:r>
        <w:rPr>
          <w:i/>
          <w:iCs/>
        </w:rPr>
        <w:t>Histoires ou Contes du temps passé</w:t>
      </w:r>
      <w:r>
        <w:t xml:space="preserve">. </w:t>
      </w:r>
      <w:r w:rsidRPr="00EC2D6E">
        <w:rPr>
          <w:lang w:val="en-CA"/>
        </w:rPr>
        <w:t>Paris, FR-75 : Claude Barbin.</w:t>
      </w:r>
    </w:p>
    <w:p w14:paraId="5F722F67" w14:textId="77777777" w:rsidR="00065317" w:rsidRPr="00EC2D6E" w:rsidRDefault="005C7BF7" w:rsidP="00652D41">
      <w:pPr>
        <w:pStyle w:val="Corpsdetexte"/>
        <w:ind w:left="567" w:hanging="567"/>
        <w:rPr>
          <w:lang w:val="en-CA"/>
        </w:rPr>
      </w:pPr>
      <w:r w:rsidRPr="00EC2D6E">
        <w:rPr>
          <w:lang w:val="en-CA"/>
        </w:rPr>
        <w:t xml:space="preserve">Petersen, Toni. 1990. </w:t>
      </w:r>
      <w:r w:rsidRPr="00EC2D6E">
        <w:rPr>
          <w:i/>
          <w:iCs/>
          <w:lang w:val="en-CA"/>
        </w:rPr>
        <w:t>Art &amp; architecture thesaurus</w:t>
      </w:r>
      <w:r w:rsidRPr="00EC2D6E">
        <w:rPr>
          <w:lang w:val="en-CA"/>
        </w:rPr>
        <w:t>. New York; Oxford, GB-OXF : Oxford University Press.</w:t>
      </w:r>
    </w:p>
    <w:p w14:paraId="3A917CB4" w14:textId="77777777" w:rsidR="00065317" w:rsidRPr="00523021" w:rsidRDefault="005C7BF7" w:rsidP="00652D41">
      <w:pPr>
        <w:pStyle w:val="Corpsdetexte"/>
        <w:ind w:left="567" w:hanging="567"/>
        <w:rPr>
          <w:lang w:val="en-CA"/>
        </w:rPr>
      </w:pPr>
      <w:r>
        <w:t xml:space="preserve">Petrocchi, Giorgio et Società dantesca italiana. 1967. </w:t>
      </w:r>
      <w:r>
        <w:rPr>
          <w:i/>
          <w:iCs/>
        </w:rPr>
        <w:t>Le opere di Dante Alighieri: edizione nazionale</w:t>
      </w:r>
      <w:r>
        <w:t xml:space="preserve">. </w:t>
      </w:r>
      <w:r w:rsidRPr="00523021">
        <w:rPr>
          <w:lang w:val="en-CA"/>
        </w:rPr>
        <w:t>Milan, IT-MI : Mondadori.</w:t>
      </w:r>
    </w:p>
    <w:p w14:paraId="7A69C9A6" w14:textId="77777777" w:rsidR="00065317" w:rsidRPr="00EC2D6E" w:rsidRDefault="005C7BF7" w:rsidP="00652D41">
      <w:pPr>
        <w:pStyle w:val="Corpsdetexte"/>
        <w:ind w:left="567" w:hanging="567"/>
        <w:rPr>
          <w:lang w:val="en-CA"/>
        </w:rPr>
      </w:pPr>
      <w:r w:rsidRPr="00523021">
        <w:rPr>
          <w:lang w:val="en-CA"/>
        </w:rPr>
        <w:t xml:space="preserve">Pietrangeli, Carlo. 1986. </w:t>
      </w:r>
      <w:r w:rsidRPr="00EC2D6E">
        <w:rPr>
          <w:i/>
          <w:iCs/>
          <w:lang w:val="en-CA"/>
        </w:rPr>
        <w:t>The Sistine Chapel: the art, the history, and the restoration</w:t>
      </w:r>
      <w:r w:rsidRPr="00EC2D6E">
        <w:rPr>
          <w:lang w:val="en-CA"/>
        </w:rPr>
        <w:t>. New York, US-NY : Harmony Books.</w:t>
      </w:r>
    </w:p>
    <w:p w14:paraId="4769D15A" w14:textId="77777777" w:rsidR="00065317" w:rsidRPr="00EC2D6E" w:rsidRDefault="005C7BF7" w:rsidP="00652D41">
      <w:pPr>
        <w:pStyle w:val="Corpsdetexte"/>
        <w:ind w:left="567" w:hanging="567"/>
        <w:rPr>
          <w:lang w:val="en-CA"/>
        </w:rPr>
      </w:pPr>
      <w:r w:rsidRPr="00EC2D6E">
        <w:rPr>
          <w:lang w:val="en-CA"/>
        </w:rPr>
        <w:t xml:space="preserve">Pipes, Richard. 1964. </w:t>
      </w:r>
      <w:r w:rsidRPr="00EC2D6E">
        <w:rPr>
          <w:i/>
          <w:iCs/>
          <w:lang w:val="en-CA"/>
        </w:rPr>
        <w:t>The formation of the Soviet Union.</w:t>
      </w:r>
      <w:r w:rsidRPr="00EC2D6E">
        <w:rPr>
          <w:lang w:val="en-CA"/>
        </w:rPr>
        <w:t xml:space="preserve"> Cambridge, GB-CAM : Harvard University Press.</w:t>
      </w:r>
    </w:p>
    <w:p w14:paraId="419140D6" w14:textId="77777777" w:rsidR="00065317" w:rsidRPr="00EC2D6E" w:rsidRDefault="005C7BF7" w:rsidP="00652D41">
      <w:pPr>
        <w:pStyle w:val="Corpsdetexte"/>
        <w:ind w:left="567" w:hanging="567"/>
        <w:rPr>
          <w:lang w:val="en-CA"/>
        </w:rPr>
      </w:pPr>
      <w:r w:rsidRPr="00EC2D6E">
        <w:rPr>
          <w:lang w:val="en-CA"/>
        </w:rPr>
        <w:t xml:space="preserve">Poe, Edgar Allan. 1869. </w:t>
      </w:r>
      <w:r w:rsidRPr="00EC2D6E">
        <w:rPr>
          <w:i/>
          <w:iCs/>
          <w:lang w:val="en-CA"/>
        </w:rPr>
        <w:t>The Raven.</w:t>
      </w:r>
      <w:r w:rsidRPr="00EC2D6E">
        <w:rPr>
          <w:lang w:val="en-CA"/>
        </w:rPr>
        <w:t xml:space="preserve"> Glasgow.</w:t>
      </w:r>
    </w:p>
    <w:p w14:paraId="7C713518" w14:textId="77777777" w:rsidR="00065317" w:rsidRPr="00EC2D6E" w:rsidRDefault="005C7BF7" w:rsidP="00652D41">
      <w:pPr>
        <w:pStyle w:val="Corpsdetexte"/>
        <w:ind w:left="567" w:hanging="567"/>
        <w:rPr>
          <w:lang w:val="en-CA"/>
        </w:rPr>
      </w:pPr>
      <w:r w:rsidRPr="00EC2D6E">
        <w:rPr>
          <w:lang w:val="en-CA"/>
        </w:rPr>
        <w:t xml:space="preserve">Pomeroy, Sarah B. 1984. </w:t>
      </w:r>
      <w:r w:rsidRPr="00EC2D6E">
        <w:rPr>
          <w:i/>
          <w:iCs/>
          <w:lang w:val="en-CA"/>
        </w:rPr>
        <w:t>Women in Hellenistic Egypt: from Alexander to Cleopatra</w:t>
      </w:r>
      <w:r w:rsidRPr="00EC2D6E">
        <w:rPr>
          <w:lang w:val="en-CA"/>
        </w:rPr>
        <w:t>. Ann Arbor, US-MI : University of Michigan Library.</w:t>
      </w:r>
    </w:p>
    <w:p w14:paraId="1E0ED461" w14:textId="77777777" w:rsidR="00065317" w:rsidRPr="00EC2D6E" w:rsidRDefault="005C7BF7" w:rsidP="00652D41">
      <w:pPr>
        <w:pStyle w:val="Corpsdetexte"/>
        <w:ind w:left="567" w:hanging="567"/>
        <w:rPr>
          <w:lang w:val="en-CA"/>
        </w:rPr>
      </w:pPr>
      <w:r w:rsidRPr="00EC2D6E">
        <w:rPr>
          <w:lang w:val="en-CA"/>
        </w:rPr>
        <w:t xml:space="preserve">Poole, J. B., et R. Reed. 1962. « The Preparation of Leather and Parchment by the Dead Sea Scrolls Community ». </w:t>
      </w:r>
      <w:r w:rsidRPr="00EC2D6E">
        <w:rPr>
          <w:i/>
          <w:iCs/>
          <w:lang w:val="en-CA"/>
        </w:rPr>
        <w:t>Technology and Culture</w:t>
      </w:r>
      <w:r w:rsidRPr="00EC2D6E">
        <w:rPr>
          <w:lang w:val="en-CA"/>
        </w:rPr>
        <w:t xml:space="preserve"> 3 (1) : 1‑26. </w:t>
      </w:r>
      <w:hyperlink r:id="rId350">
        <w:r w:rsidRPr="00EC2D6E">
          <w:rPr>
            <w:rStyle w:val="Lienhypertexte"/>
            <w:lang w:val="en-CA"/>
          </w:rPr>
          <w:t>https://doi.org/10.2307/3100798</w:t>
        </w:r>
      </w:hyperlink>
      <w:r w:rsidRPr="00EC2D6E">
        <w:rPr>
          <w:lang w:val="en-CA"/>
        </w:rPr>
        <w:t>.</w:t>
      </w:r>
    </w:p>
    <w:p w14:paraId="39F64E0D" w14:textId="77777777" w:rsidR="00065317" w:rsidRPr="00EC2D6E" w:rsidRDefault="005C7BF7" w:rsidP="00652D41">
      <w:pPr>
        <w:pStyle w:val="Corpsdetexte"/>
        <w:ind w:left="567" w:hanging="567"/>
        <w:rPr>
          <w:lang w:val="en-CA"/>
        </w:rPr>
      </w:pPr>
      <w:r w:rsidRPr="00EC2D6E">
        <w:rPr>
          <w:lang w:val="en-CA"/>
        </w:rPr>
        <w:t xml:space="preserve">Porter, Stephen. 2009. </w:t>
      </w:r>
      <w:r w:rsidRPr="00EC2D6E">
        <w:rPr>
          <w:i/>
          <w:iCs/>
          <w:lang w:val="en-CA"/>
        </w:rPr>
        <w:t>The Great Plague of London</w:t>
      </w:r>
      <w:r w:rsidRPr="00EC2D6E">
        <w:rPr>
          <w:lang w:val="en-CA"/>
        </w:rPr>
        <w:t>. Stroud, GB-GLS : Amberley Publishing.</w:t>
      </w:r>
    </w:p>
    <w:p w14:paraId="391D2722" w14:textId="77777777" w:rsidR="00065317" w:rsidRPr="00EC2D6E" w:rsidRDefault="005C7BF7" w:rsidP="00652D41">
      <w:pPr>
        <w:pStyle w:val="Corpsdetexte"/>
        <w:ind w:left="567" w:hanging="567"/>
        <w:rPr>
          <w:lang w:val="en-CA"/>
        </w:rPr>
      </w:pPr>
      <w:r w:rsidRPr="00EC2D6E">
        <w:rPr>
          <w:lang w:val="en-CA"/>
        </w:rPr>
        <w:t xml:space="preserve">Potts, Timothy. 2015. </w:t>
      </w:r>
      <w:r w:rsidRPr="00EC2D6E">
        <w:rPr>
          <w:i/>
          <w:iCs/>
          <w:lang w:val="en-CA"/>
        </w:rPr>
        <w:t>The J. Paul Getty Museum Handbook of the Collection: Eighth Edition</w:t>
      </w:r>
      <w:r w:rsidRPr="00EC2D6E">
        <w:rPr>
          <w:lang w:val="en-CA"/>
        </w:rPr>
        <w:t>. Revised edition. Los Angeles, US-CA : J. Paul Getty Museum.</w:t>
      </w:r>
    </w:p>
    <w:p w14:paraId="2E731819" w14:textId="77777777" w:rsidR="00065317" w:rsidRPr="00EC2D6E" w:rsidRDefault="005C7BF7" w:rsidP="00652D41">
      <w:pPr>
        <w:pStyle w:val="Corpsdetexte"/>
        <w:ind w:left="567" w:hanging="567"/>
        <w:rPr>
          <w:lang w:val="en-CA"/>
        </w:rPr>
      </w:pPr>
      <w:r w:rsidRPr="00EC2D6E">
        <w:rPr>
          <w:lang w:val="en-CA"/>
        </w:rPr>
        <w:t xml:space="preserve">Pryor, F. 2016. </w:t>
      </w:r>
      <w:r w:rsidRPr="00EC2D6E">
        <w:rPr>
          <w:i/>
          <w:iCs/>
          <w:lang w:val="en-CA"/>
        </w:rPr>
        <w:t>Stonehenge</w:t>
      </w:r>
      <w:r w:rsidRPr="00EC2D6E">
        <w:rPr>
          <w:lang w:val="en-CA"/>
        </w:rPr>
        <w:t>. Londres, GB-LND : Head of Zeus.</w:t>
      </w:r>
    </w:p>
    <w:p w14:paraId="10703B45" w14:textId="77777777" w:rsidR="00065317" w:rsidRPr="00EC2D6E" w:rsidRDefault="005C7BF7" w:rsidP="00652D41">
      <w:pPr>
        <w:pStyle w:val="Corpsdetexte"/>
        <w:ind w:left="567" w:hanging="567"/>
        <w:rPr>
          <w:lang w:val="en-CA"/>
        </w:rPr>
      </w:pPr>
      <w:r w:rsidRPr="00EC2D6E">
        <w:rPr>
          <w:lang w:val="en-CA"/>
        </w:rPr>
        <w:t xml:space="preserve">Psimenos, S. 2005. </w:t>
      </w:r>
      <w:r w:rsidRPr="00EC2D6E">
        <w:rPr>
          <w:i/>
          <w:iCs/>
          <w:lang w:val="en-CA"/>
        </w:rPr>
        <w:t>Unexplored Peloponnese</w:t>
      </w:r>
      <w:r w:rsidRPr="00EC2D6E">
        <w:rPr>
          <w:lang w:val="en-CA"/>
        </w:rPr>
        <w:t>. GR or Grèce : Road Editions.</w:t>
      </w:r>
    </w:p>
    <w:p w14:paraId="3C9E84C8" w14:textId="6299FCF7" w:rsidR="00065317" w:rsidRPr="00EC2D6E" w:rsidRDefault="005C7BF7" w:rsidP="00652D41">
      <w:pPr>
        <w:pStyle w:val="Corpsdetexte"/>
        <w:ind w:left="567" w:hanging="567"/>
        <w:rPr>
          <w:lang w:val="en-CA"/>
        </w:rPr>
      </w:pPr>
      <w:r w:rsidRPr="00EC2D6E">
        <w:rPr>
          <w:lang w:val="en-CA"/>
        </w:rPr>
        <w:t xml:space="preserve">Queen, Ellery. 1964. </w:t>
      </w:r>
      <w:r w:rsidRPr="00EC2D6E">
        <w:rPr>
          <w:i/>
          <w:iCs/>
          <w:lang w:val="en-CA"/>
        </w:rPr>
        <w:t>Ellery Queen</w:t>
      </w:r>
      <w:r w:rsidR="00E84B0E">
        <w:rPr>
          <w:i/>
          <w:iCs/>
          <w:lang w:val="en-CA"/>
        </w:rPr>
        <w:t>’</w:t>
      </w:r>
      <w:r w:rsidRPr="00EC2D6E">
        <w:rPr>
          <w:i/>
          <w:iCs/>
          <w:lang w:val="en-CA"/>
        </w:rPr>
        <w:t>s book of mystery stories: stories by World-famous Authors</w:t>
      </w:r>
      <w:r w:rsidRPr="00EC2D6E">
        <w:rPr>
          <w:lang w:val="en-CA"/>
        </w:rPr>
        <w:t>. Londres, GB-LND : Pan Books.</w:t>
      </w:r>
    </w:p>
    <w:p w14:paraId="2858C7C5" w14:textId="77777777" w:rsidR="00065317" w:rsidRPr="00EC2D6E" w:rsidRDefault="005C7BF7" w:rsidP="00652D41">
      <w:pPr>
        <w:pStyle w:val="Corpsdetexte"/>
        <w:ind w:left="567" w:hanging="567"/>
        <w:rPr>
          <w:lang w:val="en-CA"/>
        </w:rPr>
      </w:pPr>
      <w:r w:rsidRPr="00EC2D6E">
        <w:rPr>
          <w:lang w:val="en-CA"/>
        </w:rPr>
        <w:t xml:space="preserve">Quiviger, François. 2019. </w:t>
      </w:r>
      <w:r w:rsidRPr="00EC2D6E">
        <w:rPr>
          <w:i/>
          <w:iCs/>
          <w:lang w:val="en-CA"/>
        </w:rPr>
        <w:t>Leonardo da Vinci: Self Art and Nature</w:t>
      </w:r>
      <w:r w:rsidRPr="00EC2D6E">
        <w:rPr>
          <w:lang w:val="en-CA"/>
        </w:rPr>
        <w:t>. 1st edition. Reaktion Books.</w:t>
      </w:r>
    </w:p>
    <w:p w14:paraId="70F4A59B" w14:textId="044B0A24" w:rsidR="00065317" w:rsidRPr="006E6C31" w:rsidRDefault="005C7BF7" w:rsidP="00652D41">
      <w:pPr>
        <w:pStyle w:val="Corpsdetexte"/>
        <w:ind w:left="567" w:hanging="567"/>
        <w:rPr>
          <w:lang w:val="en-CA"/>
        </w:rPr>
      </w:pPr>
      <w:r w:rsidRPr="00EC2D6E">
        <w:rPr>
          <w:lang w:val="en-CA"/>
        </w:rPr>
        <w:lastRenderedPageBreak/>
        <w:t>Raga, Suzanne. 2016. « How Mich</w:t>
      </w:r>
      <w:r w:rsidR="00B40400">
        <w:rPr>
          <w:lang w:val="en-CA"/>
        </w:rPr>
        <w:t>ae</w:t>
      </w:r>
      <w:r w:rsidRPr="00EC2D6E">
        <w:rPr>
          <w:lang w:val="en-CA"/>
        </w:rPr>
        <w:t xml:space="preserve">l Jackson Bought the Publishing Rights to The Beatles Catalogue ». </w:t>
      </w:r>
      <w:r w:rsidRPr="00EC2D6E">
        <w:rPr>
          <w:i/>
          <w:iCs/>
          <w:lang w:val="en-CA"/>
        </w:rPr>
        <w:t>Mental Floss</w:t>
      </w:r>
      <w:r w:rsidRPr="00EC2D6E">
        <w:rPr>
          <w:lang w:val="en-CA"/>
        </w:rPr>
        <w:t>, 29</w:t>
      </w:r>
      <w:r w:rsidR="00056DCD">
        <w:rPr>
          <w:lang w:val="en-CA"/>
        </w:rPr>
        <w:t> août </w:t>
      </w:r>
      <w:r w:rsidRPr="00EC2D6E">
        <w:rPr>
          <w:lang w:val="en-CA"/>
        </w:rPr>
        <w:t xml:space="preserve">2016. </w:t>
      </w:r>
      <w:hyperlink r:id="rId351">
        <w:r w:rsidRPr="006E6C31">
          <w:rPr>
            <w:rStyle w:val="Lienhypertexte"/>
            <w:lang w:val="en-CA"/>
          </w:rPr>
          <w:t>https://www.mentalfloss.com/article/85007/how-michael-jackson-bought-publishing-rights-beatles-catalogue</w:t>
        </w:r>
      </w:hyperlink>
      <w:r w:rsidRPr="006E6C31">
        <w:rPr>
          <w:lang w:val="en-CA"/>
        </w:rPr>
        <w:t>.</w:t>
      </w:r>
    </w:p>
    <w:p w14:paraId="748231BA" w14:textId="059882D2" w:rsidR="00065317" w:rsidRPr="00DA2F1F" w:rsidRDefault="005C7BF7" w:rsidP="00652D41">
      <w:pPr>
        <w:pStyle w:val="Corpsdetexte"/>
        <w:ind w:left="567" w:hanging="567"/>
        <w:rPr>
          <w:lang w:val="fr-CA"/>
        </w:rPr>
      </w:pPr>
      <w:r w:rsidRPr="00EC2D6E">
        <w:rPr>
          <w:lang w:val="en-CA"/>
        </w:rPr>
        <w:t xml:space="preserve">Raymond, Lee. 2006. « Exxon Mobil Corp. » </w:t>
      </w:r>
      <w:r w:rsidRPr="00EC2D6E">
        <w:rPr>
          <w:i/>
          <w:iCs/>
          <w:lang w:val="en-CA"/>
        </w:rPr>
        <w:t>Mergent</w:t>
      </w:r>
      <w:r w:rsidR="00E84B0E">
        <w:rPr>
          <w:i/>
          <w:iCs/>
          <w:lang w:val="en-CA"/>
        </w:rPr>
        <w:t>’</w:t>
      </w:r>
      <w:r w:rsidRPr="00EC2D6E">
        <w:rPr>
          <w:i/>
          <w:iCs/>
          <w:lang w:val="en-CA"/>
        </w:rPr>
        <w:t>s Dividend Achievers</w:t>
      </w:r>
      <w:r w:rsidRPr="00EC2D6E">
        <w:rPr>
          <w:lang w:val="en-CA"/>
        </w:rPr>
        <w:t xml:space="preserve"> 3 (3) : 97‑97. </w:t>
      </w:r>
      <w:hyperlink r:id="rId352">
        <w:r w:rsidRPr="00DA2F1F">
          <w:rPr>
            <w:rStyle w:val="Lienhypertexte"/>
            <w:lang w:val="fr-CA"/>
          </w:rPr>
          <w:t>https://doi.org/10.1002/div.4323</w:t>
        </w:r>
      </w:hyperlink>
      <w:r w:rsidRPr="00DA2F1F">
        <w:rPr>
          <w:lang w:val="fr-CA"/>
        </w:rPr>
        <w:t>.</w:t>
      </w:r>
    </w:p>
    <w:p w14:paraId="41BAA7AD" w14:textId="77777777" w:rsidR="00065317" w:rsidRPr="00DA2F1F" w:rsidRDefault="005C7BF7" w:rsidP="00652D41">
      <w:pPr>
        <w:pStyle w:val="Corpsdetexte"/>
        <w:ind w:left="567" w:hanging="567"/>
        <w:rPr>
          <w:lang w:val="fr-CA"/>
        </w:rPr>
      </w:pPr>
      <w:r>
        <w:t xml:space="preserve">Reaney, G. 1974. </w:t>
      </w:r>
      <w:r>
        <w:rPr>
          <w:i/>
          <w:iCs/>
        </w:rPr>
        <w:t>Guillaume de Machaut.</w:t>
      </w:r>
      <w:r>
        <w:t xml:space="preserve"> </w:t>
      </w:r>
      <w:r w:rsidRPr="00DA2F1F">
        <w:rPr>
          <w:lang w:val="fr-CA"/>
        </w:rPr>
        <w:t>Londres, GB-LND : Oxford University Press.</w:t>
      </w:r>
    </w:p>
    <w:p w14:paraId="30BF8279" w14:textId="77777777" w:rsidR="00065317" w:rsidRPr="00EC2D6E" w:rsidRDefault="005C7BF7" w:rsidP="00652D41">
      <w:pPr>
        <w:pStyle w:val="Corpsdetexte"/>
        <w:ind w:left="567" w:hanging="567"/>
        <w:rPr>
          <w:lang w:val="en-CA"/>
        </w:rPr>
      </w:pPr>
      <w:r w:rsidRPr="00EC2D6E">
        <w:rPr>
          <w:lang w:val="en-CA"/>
        </w:rPr>
        <w:t xml:space="preserve">Reid, S. 1993. </w:t>
      </w:r>
      <w:r w:rsidRPr="00EC2D6E">
        <w:rPr>
          <w:i/>
          <w:iCs/>
          <w:lang w:val="en-CA"/>
        </w:rPr>
        <w:t>Ancient Egypt</w:t>
      </w:r>
      <w:r w:rsidRPr="00EC2D6E">
        <w:rPr>
          <w:lang w:val="en-CA"/>
        </w:rPr>
        <w:t>. Londres, GB-LND : Belitha.</w:t>
      </w:r>
    </w:p>
    <w:p w14:paraId="3DFD21A4" w14:textId="77777777" w:rsidR="00065317" w:rsidRPr="00EC2D6E" w:rsidRDefault="005C7BF7" w:rsidP="00652D41">
      <w:pPr>
        <w:pStyle w:val="Corpsdetexte"/>
        <w:ind w:left="567" w:hanging="567"/>
        <w:rPr>
          <w:lang w:val="en-CA"/>
        </w:rPr>
      </w:pPr>
      <w:r w:rsidRPr="00EC2D6E">
        <w:rPr>
          <w:lang w:val="en-CA"/>
        </w:rPr>
        <w:t xml:space="preserve">Reiter, R. 1984. « On Conceptual Modelling, chapter Towards a Logical Reconstruction of Relational Database Theory ». </w:t>
      </w:r>
      <w:r w:rsidRPr="00EC2D6E">
        <w:rPr>
          <w:i/>
          <w:iCs/>
          <w:lang w:val="en-CA"/>
        </w:rPr>
        <w:t>On Conceptual Modelling</w:t>
      </w:r>
      <w:r w:rsidRPr="00EC2D6E">
        <w:rPr>
          <w:lang w:val="en-CA"/>
        </w:rPr>
        <w:t>, 191‑233.</w:t>
      </w:r>
    </w:p>
    <w:p w14:paraId="33006792" w14:textId="77777777" w:rsidR="00065317" w:rsidRPr="00EC2D6E" w:rsidRDefault="005C7BF7" w:rsidP="00652D41">
      <w:pPr>
        <w:pStyle w:val="Corpsdetexte"/>
        <w:ind w:left="567" w:hanging="567"/>
        <w:rPr>
          <w:lang w:val="en-CA"/>
        </w:rPr>
      </w:pPr>
      <w:r w:rsidRPr="00EC2D6E">
        <w:rPr>
          <w:lang w:val="en-CA"/>
        </w:rPr>
        <w:t xml:space="preserve">Riley, Christopher, et Phil Dolling. 2009. </w:t>
      </w:r>
      <w:r w:rsidRPr="00EC2D6E">
        <w:rPr>
          <w:i/>
          <w:iCs/>
          <w:lang w:val="en-CA"/>
        </w:rPr>
        <w:t>Apollo 11 Manual: An Insight into the Hardware from the First Manned Mission to Land on the Moon</w:t>
      </w:r>
      <w:r w:rsidRPr="00EC2D6E">
        <w:rPr>
          <w:lang w:val="en-CA"/>
        </w:rPr>
        <w:t>. Reprint edition. Sparkford, GB-SOM : J H Haynes &amp; Co Ltd.</w:t>
      </w:r>
    </w:p>
    <w:p w14:paraId="31922175" w14:textId="77777777" w:rsidR="00065317" w:rsidRPr="00EC2D6E" w:rsidRDefault="005C7BF7" w:rsidP="00652D41">
      <w:pPr>
        <w:pStyle w:val="Corpsdetexte"/>
        <w:ind w:left="567" w:hanging="567"/>
        <w:rPr>
          <w:lang w:val="en-CA"/>
        </w:rPr>
      </w:pPr>
      <w:r w:rsidRPr="00EC2D6E">
        <w:rPr>
          <w:lang w:val="en-CA"/>
        </w:rPr>
        <w:t xml:space="preserve">River, Charles. 2016. </w:t>
      </w:r>
      <w:r w:rsidRPr="00EC2D6E">
        <w:rPr>
          <w:i/>
          <w:iCs/>
          <w:lang w:val="en-CA"/>
        </w:rPr>
        <w:t>Nineveh: The History and Legacy of the Ancient Assyrian Capital</w:t>
      </w:r>
      <w:r w:rsidRPr="00EC2D6E">
        <w:rPr>
          <w:lang w:val="en-CA"/>
        </w:rPr>
        <w:t>. CreateSpace Independent Publishing Platform.</w:t>
      </w:r>
    </w:p>
    <w:p w14:paraId="4E1A620A" w14:textId="77777777" w:rsidR="00065317" w:rsidRPr="00EC2D6E" w:rsidRDefault="005C7BF7" w:rsidP="00652D41">
      <w:pPr>
        <w:pStyle w:val="Corpsdetexte"/>
        <w:ind w:left="567" w:hanging="567"/>
        <w:rPr>
          <w:lang w:val="en-CA"/>
        </w:rPr>
      </w:pPr>
      <w:r w:rsidRPr="00EC2D6E">
        <w:rPr>
          <w:lang w:val="en-CA"/>
        </w:rPr>
        <w:t xml:space="preserve">Robinson, John Martin. 2000. </w:t>
      </w:r>
      <w:r w:rsidRPr="00EC2D6E">
        <w:rPr>
          <w:i/>
          <w:iCs/>
          <w:lang w:val="en-CA"/>
        </w:rPr>
        <w:t>Buckingham Palace: The Official Illustrated History</w:t>
      </w:r>
      <w:r w:rsidRPr="00EC2D6E">
        <w:rPr>
          <w:lang w:val="en-CA"/>
        </w:rPr>
        <w:t>. First Edition. Londres, GB-LND : Royal Collection Trust.</w:t>
      </w:r>
    </w:p>
    <w:p w14:paraId="652FFFFC" w14:textId="77777777" w:rsidR="00065317" w:rsidRPr="00EC2D6E" w:rsidRDefault="005C7BF7" w:rsidP="00652D41">
      <w:pPr>
        <w:pStyle w:val="Corpsdetexte"/>
        <w:ind w:left="567" w:hanging="567"/>
        <w:rPr>
          <w:lang w:val="en-CA"/>
        </w:rPr>
      </w:pPr>
      <w:r w:rsidRPr="00EC2D6E">
        <w:rPr>
          <w:lang w:val="en-CA"/>
        </w:rPr>
        <w:t xml:space="preserve">Rolt, L. T. C. 1971. </w:t>
      </w:r>
      <w:r w:rsidRPr="00EC2D6E">
        <w:rPr>
          <w:i/>
          <w:iCs/>
          <w:lang w:val="en-CA"/>
        </w:rPr>
        <w:t>The railway museum, York.</w:t>
      </w:r>
      <w:r w:rsidRPr="00EC2D6E">
        <w:rPr>
          <w:lang w:val="en-CA"/>
        </w:rPr>
        <w:t xml:space="preserve"> British Railways Board.</w:t>
      </w:r>
    </w:p>
    <w:p w14:paraId="7D7C4507" w14:textId="77777777" w:rsidR="00065317" w:rsidRPr="00EC2D6E" w:rsidRDefault="005C7BF7" w:rsidP="00652D41">
      <w:pPr>
        <w:pStyle w:val="Corpsdetexte"/>
        <w:ind w:left="567" w:hanging="567"/>
        <w:rPr>
          <w:lang w:val="en-CA"/>
        </w:rPr>
      </w:pPr>
      <w:r w:rsidRPr="00EC2D6E">
        <w:rPr>
          <w:lang w:val="en-CA"/>
        </w:rPr>
        <w:t xml:space="preserve">Rose, Harold, Hendrik S. Houthakker, William J. McDonough, et Geoffrey Maynard. 1978. </w:t>
      </w:r>
      <w:r w:rsidRPr="00EC2D6E">
        <w:rPr>
          <w:i/>
          <w:iCs/>
          <w:lang w:val="en-CA"/>
        </w:rPr>
        <w:t>The US dollar and its role as a reserve currency</w:t>
      </w:r>
      <w:r w:rsidRPr="00EC2D6E">
        <w:rPr>
          <w:lang w:val="en-CA"/>
        </w:rPr>
        <w:t>. British-North American Research Association.</w:t>
      </w:r>
    </w:p>
    <w:p w14:paraId="23711F9F" w14:textId="77777777" w:rsidR="00065317" w:rsidRPr="00EC2D6E" w:rsidRDefault="005C7BF7" w:rsidP="00652D41">
      <w:pPr>
        <w:pStyle w:val="Corpsdetexte"/>
        <w:ind w:left="567" w:hanging="567"/>
        <w:rPr>
          <w:lang w:val="en-CA"/>
        </w:rPr>
      </w:pPr>
      <w:r w:rsidRPr="00EC2D6E">
        <w:rPr>
          <w:lang w:val="en-CA"/>
        </w:rPr>
        <w:t xml:space="preserve">Scarratt, Kenneth, et Russell Shor. 2006. « The Cullinian Diamond Centennial: A history and Gemological Analysis of Cullinians ». </w:t>
      </w:r>
      <w:r w:rsidRPr="00EC2D6E">
        <w:rPr>
          <w:i/>
          <w:iCs/>
          <w:lang w:val="en-CA"/>
        </w:rPr>
        <w:t>Gems &amp; Gemology</w:t>
      </w:r>
      <w:r w:rsidRPr="00EC2D6E">
        <w:rPr>
          <w:lang w:val="en-CA"/>
        </w:rPr>
        <w:t xml:space="preserve"> 42 (2) : 120‑32.</w:t>
      </w:r>
    </w:p>
    <w:p w14:paraId="45D6D6D3" w14:textId="77777777" w:rsidR="00065317" w:rsidRPr="00EC2D6E" w:rsidRDefault="005C7BF7" w:rsidP="00652D41">
      <w:pPr>
        <w:pStyle w:val="Corpsdetexte"/>
        <w:ind w:left="567" w:hanging="567"/>
        <w:rPr>
          <w:lang w:val="en-CA"/>
        </w:rPr>
      </w:pPr>
      <w:r w:rsidRPr="00EC2D6E">
        <w:rPr>
          <w:lang w:val="en-CA"/>
        </w:rPr>
        <w:t xml:space="preserve">Shaw, Ian. 2000. </w:t>
      </w:r>
      <w:r w:rsidRPr="00EC2D6E">
        <w:rPr>
          <w:i/>
          <w:iCs/>
          <w:lang w:val="en-CA"/>
        </w:rPr>
        <w:t>The Oxford history of ancient Egypt</w:t>
      </w:r>
      <w:r w:rsidRPr="00EC2D6E">
        <w:rPr>
          <w:lang w:val="en-CA"/>
        </w:rPr>
        <w:t>. Oxford; New York, US-NY : Oxford University Press.</w:t>
      </w:r>
    </w:p>
    <w:p w14:paraId="5DFC421B" w14:textId="77777777" w:rsidR="00065317" w:rsidRPr="00EC2D6E" w:rsidRDefault="005C7BF7" w:rsidP="00652D41">
      <w:pPr>
        <w:pStyle w:val="Corpsdetexte"/>
        <w:ind w:left="567" w:hanging="567"/>
        <w:rPr>
          <w:lang w:val="en-CA"/>
        </w:rPr>
      </w:pPr>
      <w:r w:rsidRPr="00EC2D6E">
        <w:rPr>
          <w:lang w:val="en-CA"/>
        </w:rPr>
        <w:t xml:space="preserve">Shipway, J. S., SIR T. BOUCH, B. BAKER, et SIR J. FOWLER. 1990. « The Forth Railway Bridge Centenary 1880-1990: Some Notes on its Design ». </w:t>
      </w:r>
      <w:r w:rsidRPr="00EC2D6E">
        <w:rPr>
          <w:i/>
          <w:iCs/>
          <w:lang w:val="en-CA"/>
        </w:rPr>
        <w:t>Proceedings of the Institution of Civil Engineers</w:t>
      </w:r>
      <w:r w:rsidRPr="00EC2D6E">
        <w:rPr>
          <w:lang w:val="en-CA"/>
        </w:rPr>
        <w:t xml:space="preserve"> 88 (6) : 1079‑1107.</w:t>
      </w:r>
    </w:p>
    <w:p w14:paraId="3180DD67" w14:textId="77777777" w:rsidR="00065317" w:rsidRPr="00EC2D6E" w:rsidRDefault="005C7BF7" w:rsidP="00652D41">
      <w:pPr>
        <w:pStyle w:val="Corpsdetexte"/>
        <w:ind w:left="567" w:hanging="567"/>
        <w:rPr>
          <w:lang w:val="en-CA"/>
        </w:rPr>
      </w:pPr>
      <w:r w:rsidRPr="00D75C2D">
        <w:rPr>
          <w:lang w:val="en-US"/>
        </w:rPr>
        <w:t xml:space="preserve">Siegler, M. A., et S. E. Smrekar. </w:t>
      </w:r>
      <w:r w:rsidRPr="00EC2D6E">
        <w:rPr>
          <w:lang w:val="en-CA"/>
        </w:rPr>
        <w:t xml:space="preserve">2014. « Lunar heat flow: Regional prospective of the Apollo landing sites ». </w:t>
      </w:r>
      <w:r w:rsidRPr="00EC2D6E">
        <w:rPr>
          <w:i/>
          <w:iCs/>
          <w:lang w:val="en-CA"/>
        </w:rPr>
        <w:t>Journal of Geophysical Research: Planets</w:t>
      </w:r>
      <w:r w:rsidRPr="00EC2D6E">
        <w:rPr>
          <w:lang w:val="en-CA"/>
        </w:rPr>
        <w:t xml:space="preserve"> 119 (1) : 47‑63.</w:t>
      </w:r>
    </w:p>
    <w:p w14:paraId="37BA78DB" w14:textId="2A2ED25B" w:rsidR="00065317" w:rsidRPr="00EC2D6E" w:rsidRDefault="005C7BF7" w:rsidP="00652D41">
      <w:pPr>
        <w:pStyle w:val="Corpsdetexte"/>
        <w:ind w:left="567" w:hanging="567"/>
        <w:rPr>
          <w:lang w:val="en-CA"/>
        </w:rPr>
      </w:pPr>
      <w:r w:rsidRPr="00EC2D6E">
        <w:rPr>
          <w:lang w:val="en-CA"/>
        </w:rPr>
        <w:t>Sinkevičius, Stanislovas, et Vytautas Naruševičius. 2002. « Investigation of anaphase aberrations in Chaffinch (Fringilla c</w:t>
      </w:r>
      <w:r w:rsidR="00C012B4">
        <w:rPr>
          <w:lang w:val="en-CA"/>
        </w:rPr>
        <w:t>œ</w:t>
      </w:r>
      <w:r w:rsidRPr="00EC2D6E">
        <w:rPr>
          <w:lang w:val="en-CA"/>
        </w:rPr>
        <w:t>lebs Linn</w:t>
      </w:r>
      <w:r w:rsidR="00E6427C">
        <w:rPr>
          <w:lang w:val="en-CA"/>
        </w:rPr>
        <w:t>æ</w:t>
      </w:r>
      <w:r w:rsidRPr="00EC2D6E">
        <w:rPr>
          <w:lang w:val="en-CA"/>
        </w:rPr>
        <w:t xml:space="preserve">us, 1758) populations from different regions of Lithuania ». </w:t>
      </w:r>
      <w:r w:rsidRPr="00EC2D6E">
        <w:rPr>
          <w:i/>
          <w:iCs/>
          <w:lang w:val="en-CA"/>
        </w:rPr>
        <w:t>Acta zoologica Lituanica</w:t>
      </w:r>
      <w:r w:rsidRPr="00EC2D6E">
        <w:rPr>
          <w:lang w:val="en-CA"/>
        </w:rPr>
        <w:t xml:space="preserve"> 12 (1) : 3‑9.</w:t>
      </w:r>
    </w:p>
    <w:p w14:paraId="07BB4B7E" w14:textId="77777777" w:rsidR="00065317" w:rsidRPr="00EC2D6E" w:rsidRDefault="005C7BF7" w:rsidP="00652D41">
      <w:pPr>
        <w:pStyle w:val="Corpsdetexte"/>
        <w:ind w:left="567" w:hanging="567"/>
        <w:rPr>
          <w:lang w:val="en-CA"/>
        </w:rPr>
      </w:pPr>
      <w:r w:rsidRPr="00EC2D6E">
        <w:rPr>
          <w:lang w:val="en-CA"/>
        </w:rPr>
        <w:t xml:space="preserve">Sitwell, S. 2017. </w:t>
      </w:r>
      <w:r w:rsidRPr="00EC2D6E">
        <w:rPr>
          <w:i/>
          <w:iCs/>
          <w:lang w:val="en-CA"/>
        </w:rPr>
        <w:t>Mozart</w:t>
      </w:r>
      <w:r w:rsidRPr="00EC2D6E">
        <w:rPr>
          <w:lang w:val="en-CA"/>
        </w:rPr>
        <w:t>. Londres, GB-LND : Bello.</w:t>
      </w:r>
    </w:p>
    <w:p w14:paraId="374BE3C3" w14:textId="77777777" w:rsidR="00065317" w:rsidRPr="00EC2D6E" w:rsidRDefault="005C7BF7" w:rsidP="00652D41">
      <w:pPr>
        <w:pStyle w:val="Corpsdetexte"/>
        <w:ind w:left="567" w:hanging="567"/>
        <w:rPr>
          <w:lang w:val="en-CA"/>
        </w:rPr>
      </w:pPr>
      <w:r w:rsidRPr="00EC2D6E">
        <w:rPr>
          <w:lang w:val="en-CA"/>
        </w:rPr>
        <w:t xml:space="preserve">Smails, Nathaniel W. 1975. </w:t>
      </w:r>
      <w:r w:rsidRPr="00EC2D6E">
        <w:rPr>
          <w:i/>
          <w:iCs/>
          <w:lang w:val="en-CA"/>
        </w:rPr>
        <w:t>Beautiful Lake Geneva: a collection of views of the many features, both natural and architectural, which lend attractiveness to this charming resort.</w:t>
      </w:r>
      <w:r w:rsidRPr="00EC2D6E">
        <w:rPr>
          <w:lang w:val="en-CA"/>
        </w:rPr>
        <w:t xml:space="preserve"> US-WA : Library of Congress Photoduplication Service.</w:t>
      </w:r>
    </w:p>
    <w:p w14:paraId="756D7226" w14:textId="77777777" w:rsidR="00065317" w:rsidRPr="00EC2D6E" w:rsidRDefault="005C7BF7" w:rsidP="00652D41">
      <w:pPr>
        <w:pStyle w:val="Corpsdetexte"/>
        <w:ind w:left="567" w:hanging="567"/>
        <w:rPr>
          <w:lang w:val="en-CA"/>
        </w:rPr>
      </w:pPr>
      <w:r w:rsidRPr="00EC2D6E">
        <w:rPr>
          <w:lang w:val="en-CA"/>
        </w:rPr>
        <w:t xml:space="preserve">Smith, Barry, et Achille C. Varzi. 2000. « Fiat and bona fide boundaries ». </w:t>
      </w:r>
      <w:r w:rsidRPr="00EC2D6E">
        <w:rPr>
          <w:i/>
          <w:iCs/>
          <w:lang w:val="en-CA"/>
        </w:rPr>
        <w:t>Philosophical and phenomenological research</w:t>
      </w:r>
      <w:r w:rsidRPr="00EC2D6E">
        <w:rPr>
          <w:lang w:val="en-CA"/>
        </w:rPr>
        <w:t>, 401‑20.</w:t>
      </w:r>
    </w:p>
    <w:p w14:paraId="02C1127F" w14:textId="77777777" w:rsidR="00065317" w:rsidRPr="00EC2D6E" w:rsidRDefault="005C7BF7" w:rsidP="00652D41">
      <w:pPr>
        <w:pStyle w:val="Corpsdetexte"/>
        <w:ind w:left="567" w:hanging="567"/>
        <w:rPr>
          <w:lang w:val="en-CA"/>
        </w:rPr>
      </w:pPr>
      <w:r w:rsidRPr="00EC2D6E">
        <w:rPr>
          <w:lang w:val="en-CA"/>
        </w:rPr>
        <w:t xml:space="preserve">Smith, William. 1844. </w:t>
      </w:r>
      <w:r w:rsidRPr="00EC2D6E">
        <w:rPr>
          <w:i/>
          <w:iCs/>
          <w:lang w:val="en-CA"/>
        </w:rPr>
        <w:t>Dictionary of Greek and Roman biography and mythology.</w:t>
      </w:r>
      <w:r w:rsidRPr="00EC2D6E">
        <w:rPr>
          <w:lang w:val="en-CA"/>
        </w:rPr>
        <w:t xml:space="preserve"> Londres, GB-LND : Taylor and Walton.</w:t>
      </w:r>
    </w:p>
    <w:p w14:paraId="43EF3AD3" w14:textId="77777777" w:rsidR="00065317" w:rsidRPr="001C1490" w:rsidRDefault="005C7BF7" w:rsidP="00652D41">
      <w:pPr>
        <w:pStyle w:val="Corpsdetexte"/>
        <w:ind w:left="567" w:hanging="567"/>
        <w:rPr>
          <w:lang w:val="fr-CA"/>
        </w:rPr>
      </w:pPr>
      <w:r w:rsidRPr="00EC2D6E">
        <w:rPr>
          <w:lang w:val="en-CA"/>
        </w:rPr>
        <w:t xml:space="preserve">Solomon, Brian. 2003. </w:t>
      </w:r>
      <w:r w:rsidRPr="00EC2D6E">
        <w:rPr>
          <w:i/>
          <w:iCs/>
          <w:lang w:val="en-CA"/>
        </w:rPr>
        <w:t>Railway Masterpieces</w:t>
      </w:r>
      <w:r w:rsidRPr="00EC2D6E">
        <w:rPr>
          <w:lang w:val="en-CA"/>
        </w:rPr>
        <w:t xml:space="preserve">. </w:t>
      </w:r>
      <w:r w:rsidRPr="001C1490">
        <w:rPr>
          <w:lang w:val="fr-CA"/>
        </w:rPr>
        <w:t>David &amp; Charles.</w:t>
      </w:r>
    </w:p>
    <w:p w14:paraId="4BB07C55" w14:textId="77777777" w:rsidR="00065317" w:rsidRPr="00EC2D6E" w:rsidRDefault="005C7BF7" w:rsidP="00652D41">
      <w:pPr>
        <w:pStyle w:val="Corpsdetexte"/>
        <w:ind w:left="567" w:hanging="567"/>
        <w:rPr>
          <w:lang w:val="en-CA"/>
        </w:rPr>
      </w:pPr>
      <w:r>
        <w:lastRenderedPageBreak/>
        <w:t xml:space="preserve">Spiers, A, et Gabriel Surenne. </w:t>
      </w:r>
      <w:r w:rsidRPr="00EC2D6E">
        <w:rPr>
          <w:lang w:val="en-CA"/>
        </w:rPr>
        <w:t xml:space="preserve">1854. </w:t>
      </w:r>
      <w:r w:rsidRPr="00EC2D6E">
        <w:rPr>
          <w:i/>
          <w:iCs/>
          <w:lang w:val="en-CA"/>
        </w:rPr>
        <w:t>The standard pronouncing dictionary of the French and English languages</w:t>
      </w:r>
      <w:r w:rsidRPr="00EC2D6E">
        <w:rPr>
          <w:lang w:val="en-CA"/>
        </w:rPr>
        <w:t>. New York, US-NY : Appleton.</w:t>
      </w:r>
    </w:p>
    <w:p w14:paraId="4C9EA4E4" w14:textId="77777777" w:rsidR="00065317" w:rsidRPr="00EC2D6E" w:rsidRDefault="005C7BF7" w:rsidP="00652D41">
      <w:pPr>
        <w:pStyle w:val="Corpsdetexte"/>
        <w:ind w:left="567" w:hanging="567"/>
        <w:rPr>
          <w:lang w:val="en-CA"/>
        </w:rPr>
      </w:pPr>
      <w:r w:rsidRPr="00EC2D6E">
        <w:rPr>
          <w:lang w:val="en-CA"/>
        </w:rPr>
        <w:t xml:space="preserve">Steinbeck, John. 2000. </w:t>
      </w:r>
      <w:r w:rsidRPr="00EC2D6E">
        <w:rPr>
          <w:i/>
          <w:iCs/>
          <w:lang w:val="en-CA"/>
        </w:rPr>
        <w:t>Log from the Sea of Cortez</w:t>
      </w:r>
      <w:r w:rsidRPr="00EC2D6E">
        <w:rPr>
          <w:lang w:val="en-CA"/>
        </w:rPr>
        <w:t>. Londres, GB-LND : Penguin.</w:t>
      </w:r>
    </w:p>
    <w:p w14:paraId="7D289AC3" w14:textId="77777777" w:rsidR="00065317" w:rsidRPr="00EC2D6E" w:rsidRDefault="005C7BF7" w:rsidP="00652D41">
      <w:pPr>
        <w:pStyle w:val="Corpsdetexte"/>
        <w:ind w:left="567" w:hanging="567"/>
        <w:rPr>
          <w:lang w:val="en-CA"/>
        </w:rPr>
      </w:pPr>
      <w:r w:rsidRPr="00EC2D6E">
        <w:rPr>
          <w:lang w:val="en-CA"/>
        </w:rPr>
        <w:t xml:space="preserve">Stevenson, Robert Louis, William Morrison, et William W Mann. 1909. </w:t>
      </w:r>
      <w:r w:rsidRPr="00EC2D6E">
        <w:rPr>
          <w:i/>
          <w:iCs/>
          <w:lang w:val="en-CA"/>
        </w:rPr>
        <w:t>Doktoro Jekyll kaj Sinjoro Hyde</w:t>
      </w:r>
      <w:r w:rsidRPr="00EC2D6E">
        <w:rPr>
          <w:lang w:val="en-CA"/>
        </w:rPr>
        <w:t>. Londres, GB-LND : The British Esperanto Association.</w:t>
      </w:r>
    </w:p>
    <w:p w14:paraId="19C6262D" w14:textId="77777777" w:rsidR="00065317" w:rsidRPr="00EC2D6E" w:rsidRDefault="005C7BF7" w:rsidP="00652D41">
      <w:pPr>
        <w:pStyle w:val="Corpsdetexte"/>
        <w:ind w:left="567" w:hanging="567"/>
        <w:rPr>
          <w:lang w:val="en-CA"/>
        </w:rPr>
      </w:pPr>
      <w:r w:rsidRPr="00EC2D6E">
        <w:rPr>
          <w:lang w:val="en-CA"/>
        </w:rPr>
        <w:t xml:space="preserve">Stoneman, Richard. 2004. </w:t>
      </w:r>
      <w:r w:rsidRPr="00EC2D6E">
        <w:rPr>
          <w:i/>
          <w:iCs/>
          <w:lang w:val="en-CA"/>
        </w:rPr>
        <w:t>Alexander the Great</w:t>
      </w:r>
      <w:r w:rsidRPr="00EC2D6E">
        <w:rPr>
          <w:lang w:val="en-CA"/>
        </w:rPr>
        <w:t>. London; New York, US-NY : Routledge.</w:t>
      </w:r>
    </w:p>
    <w:p w14:paraId="61B33F39" w14:textId="77777777" w:rsidR="00065317" w:rsidRPr="00EC2D6E" w:rsidRDefault="005C7BF7" w:rsidP="00652D41">
      <w:pPr>
        <w:pStyle w:val="Corpsdetexte"/>
        <w:ind w:left="567" w:hanging="567"/>
        <w:rPr>
          <w:lang w:val="en-CA"/>
        </w:rPr>
      </w:pPr>
      <w:r>
        <w:t xml:space="preserve">Strano, T. 1953. </w:t>
      </w:r>
      <w:r>
        <w:rPr>
          <w:i/>
          <w:iCs/>
        </w:rPr>
        <w:t>Leonard da Vinci</w:t>
      </w:r>
      <w:r>
        <w:t xml:space="preserve">. </w:t>
      </w:r>
      <w:r w:rsidRPr="00EC2D6E">
        <w:rPr>
          <w:lang w:val="en-CA"/>
        </w:rPr>
        <w:t>Milano.</w:t>
      </w:r>
    </w:p>
    <w:p w14:paraId="348D545C" w14:textId="77777777" w:rsidR="00065317" w:rsidRPr="00EC2D6E" w:rsidRDefault="005C7BF7" w:rsidP="00652D41">
      <w:pPr>
        <w:pStyle w:val="Corpsdetexte"/>
        <w:ind w:left="567" w:hanging="567"/>
        <w:rPr>
          <w:lang w:val="en-CA"/>
        </w:rPr>
      </w:pPr>
      <w:r w:rsidRPr="00EC2D6E">
        <w:rPr>
          <w:lang w:val="en-CA"/>
        </w:rPr>
        <w:t xml:space="preserve">Strauss, Walter L. 1974. </w:t>
      </w:r>
      <w:r w:rsidRPr="00EC2D6E">
        <w:rPr>
          <w:i/>
          <w:iCs/>
          <w:lang w:val="en-CA"/>
        </w:rPr>
        <w:t>The Complete Drawings of Albrecht Dürer: 1520-1528</w:t>
      </w:r>
      <w:r w:rsidRPr="00EC2D6E">
        <w:rPr>
          <w:lang w:val="en-CA"/>
        </w:rPr>
        <w:t>. Vol. 4. Abaris Books.</w:t>
      </w:r>
    </w:p>
    <w:p w14:paraId="2CEA216B" w14:textId="77777777" w:rsidR="00065317" w:rsidRPr="00EC2D6E" w:rsidRDefault="005C7BF7" w:rsidP="00652D41">
      <w:pPr>
        <w:pStyle w:val="Corpsdetexte"/>
        <w:ind w:left="567" w:hanging="567"/>
        <w:rPr>
          <w:lang w:val="en-CA"/>
        </w:rPr>
      </w:pPr>
      <w:r w:rsidRPr="00EC2D6E">
        <w:rPr>
          <w:lang w:val="en-CA"/>
        </w:rPr>
        <w:t xml:space="preserve">Strong, Roy. 2005. </w:t>
      </w:r>
      <w:r w:rsidRPr="00EC2D6E">
        <w:rPr>
          <w:i/>
          <w:iCs/>
          <w:lang w:val="en-CA"/>
        </w:rPr>
        <w:t>Coronation: a history of kingship and the British monarchy</w:t>
      </w:r>
      <w:r w:rsidRPr="00EC2D6E">
        <w:rPr>
          <w:lang w:val="en-CA"/>
        </w:rPr>
        <w:t>. Harpercollins Pub Limited.</w:t>
      </w:r>
    </w:p>
    <w:p w14:paraId="2D10D11A" w14:textId="77777777" w:rsidR="00065317" w:rsidRPr="00EC2D6E" w:rsidRDefault="005C7BF7" w:rsidP="00652D41">
      <w:pPr>
        <w:pStyle w:val="Corpsdetexte"/>
        <w:ind w:left="567" w:hanging="567"/>
        <w:rPr>
          <w:lang w:val="en-CA"/>
        </w:rPr>
      </w:pPr>
      <w:r w:rsidRPr="00EC2D6E">
        <w:rPr>
          <w:lang w:val="en-CA"/>
        </w:rPr>
        <w:t xml:space="preserve">Syrmas, A. 1896. </w:t>
      </w:r>
      <w:r w:rsidRPr="00EC2D6E">
        <w:rPr>
          <w:i/>
          <w:iCs/>
          <w:lang w:val="en-CA"/>
        </w:rPr>
        <w:t>Account Book of ship D.S.Skyliytsis 28/9/1895-19/10/1896 Captain A.Syrmas</w:t>
      </w:r>
      <w:r w:rsidRPr="00EC2D6E">
        <w:rPr>
          <w:lang w:val="en-CA"/>
        </w:rPr>
        <w:t>. Vol. 5.</w:t>
      </w:r>
    </w:p>
    <w:p w14:paraId="79329401" w14:textId="77777777" w:rsidR="00065317" w:rsidRPr="00EC2D6E" w:rsidRDefault="005C7BF7" w:rsidP="00652D41">
      <w:pPr>
        <w:pStyle w:val="Corpsdetexte"/>
        <w:ind w:left="567" w:hanging="567"/>
        <w:rPr>
          <w:lang w:val="en-CA"/>
        </w:rPr>
      </w:pPr>
      <w:r w:rsidRPr="00EC2D6E">
        <w:rPr>
          <w:lang w:val="en-CA"/>
        </w:rPr>
        <w:t xml:space="preserve">Temperton, Paul. 1997. </w:t>
      </w:r>
      <w:r w:rsidRPr="00EC2D6E">
        <w:rPr>
          <w:i/>
          <w:iCs/>
          <w:lang w:val="en-CA"/>
        </w:rPr>
        <w:t>The euro</w:t>
      </w:r>
      <w:r w:rsidRPr="00EC2D6E">
        <w:rPr>
          <w:lang w:val="en-CA"/>
        </w:rPr>
        <w:t>. Chichester, GB-WSX : Wiley.</w:t>
      </w:r>
    </w:p>
    <w:p w14:paraId="2464E818" w14:textId="77777777" w:rsidR="00065317" w:rsidRPr="00EC2D6E" w:rsidRDefault="005C7BF7" w:rsidP="00652D41">
      <w:pPr>
        <w:pStyle w:val="Corpsdetexte"/>
        <w:ind w:left="567" w:hanging="567"/>
        <w:rPr>
          <w:lang w:val="en-CA"/>
        </w:rPr>
      </w:pPr>
      <w:r w:rsidRPr="00523021">
        <w:rPr>
          <w:lang w:val="fr-CA"/>
        </w:rPr>
        <w:t xml:space="preserve">Temple, Robert, et Olivia Temple. </w:t>
      </w:r>
      <w:r w:rsidRPr="00EC2D6E">
        <w:rPr>
          <w:lang w:val="en-CA"/>
        </w:rPr>
        <w:t xml:space="preserve">2009. </w:t>
      </w:r>
      <w:r w:rsidRPr="00EC2D6E">
        <w:rPr>
          <w:i/>
          <w:iCs/>
          <w:lang w:val="en-CA"/>
        </w:rPr>
        <w:t>The Sphinx Mystery: The Forgotten Origins of the Sanctuary of Anubis</w:t>
      </w:r>
      <w:r w:rsidRPr="00EC2D6E">
        <w:rPr>
          <w:lang w:val="en-CA"/>
        </w:rPr>
        <w:t>. Rochester, US-VT : Inner Traditions.</w:t>
      </w:r>
    </w:p>
    <w:p w14:paraId="4E28B2C4" w14:textId="0A87E365" w:rsidR="00065317" w:rsidRDefault="005C7BF7" w:rsidP="00652D41">
      <w:pPr>
        <w:pStyle w:val="Corpsdetexte"/>
        <w:ind w:left="567" w:hanging="567"/>
      </w:pPr>
      <w:r w:rsidRPr="00EC2D6E">
        <w:rPr>
          <w:lang w:val="en-CA"/>
        </w:rPr>
        <w:t>The Editors of Encyclop</w:t>
      </w:r>
      <w:r w:rsidR="00B40400">
        <w:rPr>
          <w:lang w:val="en-CA"/>
        </w:rPr>
        <w:t>ae</w:t>
      </w:r>
      <w:r w:rsidRPr="00EC2D6E">
        <w:rPr>
          <w:lang w:val="en-CA"/>
        </w:rPr>
        <w:t xml:space="preserve">dia Britannica. 1998. « Adoration of the shepherds ». </w:t>
      </w:r>
      <w:r w:rsidRPr="00523021">
        <w:rPr>
          <w:lang w:val="en-CA"/>
        </w:rPr>
        <w:t xml:space="preserve">Dans </w:t>
      </w:r>
      <w:r w:rsidRPr="00523021">
        <w:rPr>
          <w:i/>
          <w:iCs/>
          <w:lang w:val="en-CA"/>
        </w:rPr>
        <w:t>Encyclopedia Britannica</w:t>
      </w:r>
      <w:r w:rsidRPr="00523021">
        <w:rPr>
          <w:lang w:val="en-CA"/>
        </w:rPr>
        <w:t xml:space="preserve">. </w:t>
      </w:r>
      <w:r>
        <w:t xml:space="preserve">Consulté le 1998. </w:t>
      </w:r>
      <w:hyperlink r:id="rId353">
        <w:r>
          <w:rPr>
            <w:rStyle w:val="Lienhypertexte"/>
          </w:rPr>
          <w:t>https://www.britannica.com/topic/adoration-of-the-shepherds-religious-motif</w:t>
        </w:r>
      </w:hyperlink>
      <w:r>
        <w:t>.</w:t>
      </w:r>
    </w:p>
    <w:p w14:paraId="0A5EDF13" w14:textId="77777777" w:rsidR="00065317" w:rsidRPr="00EC2D6E" w:rsidRDefault="005C7BF7" w:rsidP="00652D41">
      <w:pPr>
        <w:pStyle w:val="Corpsdetexte"/>
        <w:ind w:left="567" w:hanging="567"/>
        <w:rPr>
          <w:lang w:val="en-CA"/>
        </w:rPr>
      </w:pPr>
      <w:r w:rsidRPr="00EC2D6E">
        <w:rPr>
          <w:i/>
          <w:iCs/>
          <w:lang w:val="en-CA"/>
        </w:rPr>
        <w:t>The Oxford English Dictionary: 20 Volume Set</w:t>
      </w:r>
      <w:r w:rsidRPr="00EC2D6E">
        <w:rPr>
          <w:lang w:val="en-CA"/>
        </w:rPr>
        <w:t>. 1989. Second Edition. Oxford, New York, US-NY : Oxford University Press.</w:t>
      </w:r>
    </w:p>
    <w:p w14:paraId="74A09585" w14:textId="3A0F8DD4" w:rsidR="00065317" w:rsidRDefault="005C7BF7" w:rsidP="00652D41">
      <w:pPr>
        <w:pStyle w:val="Corpsdetexte"/>
        <w:ind w:left="567" w:hanging="567"/>
      </w:pPr>
      <w:r w:rsidRPr="00EC2D6E">
        <w:rPr>
          <w:lang w:val="en-CA"/>
        </w:rPr>
        <w:t xml:space="preserve">The State Hermitage Museum. s. d. « St Peter and St Paul ». WEB. The State hermitage Museum. </w:t>
      </w:r>
      <w:r>
        <w:t>Consulté le 22</w:t>
      </w:r>
      <w:r w:rsidR="00056DCD">
        <w:t> avril </w:t>
      </w:r>
      <w:r>
        <w:t xml:space="preserve">2021. </w:t>
      </w:r>
      <w:hyperlink r:id="rId354">
        <w:r>
          <w:rPr>
            <w:rStyle w:val="Lienhypertexte"/>
          </w:rPr>
          <w:t>https://hermitagemuseum.org/wps/portal/hermitage/digital-collection/01.+Paintings/32730</w:t>
        </w:r>
      </w:hyperlink>
      <w:r>
        <w:t>.</w:t>
      </w:r>
    </w:p>
    <w:p w14:paraId="4F95034E" w14:textId="77777777" w:rsidR="00065317" w:rsidRPr="00EC2D6E" w:rsidRDefault="005C7BF7" w:rsidP="00652D41">
      <w:pPr>
        <w:pStyle w:val="Corpsdetexte"/>
        <w:ind w:left="567" w:hanging="567"/>
        <w:rPr>
          <w:lang w:val="en-CA"/>
        </w:rPr>
      </w:pPr>
      <w:r w:rsidRPr="00EC2D6E">
        <w:rPr>
          <w:lang w:val="en-CA"/>
        </w:rPr>
        <w:t xml:space="preserve">Thieberger, F. 1947. </w:t>
      </w:r>
      <w:r w:rsidRPr="00EC2D6E">
        <w:rPr>
          <w:i/>
          <w:iCs/>
          <w:lang w:val="en-CA"/>
        </w:rPr>
        <w:t>King Solomon</w:t>
      </w:r>
      <w:r w:rsidRPr="00EC2D6E">
        <w:rPr>
          <w:lang w:val="en-CA"/>
        </w:rPr>
        <w:t>. Oxford.</w:t>
      </w:r>
    </w:p>
    <w:p w14:paraId="22ACA812" w14:textId="77777777" w:rsidR="00065317" w:rsidRPr="00523021" w:rsidRDefault="005C7BF7" w:rsidP="00652D41">
      <w:pPr>
        <w:pStyle w:val="Corpsdetexte"/>
        <w:ind w:left="567" w:hanging="567"/>
        <w:rPr>
          <w:lang w:val="fr-CA"/>
        </w:rPr>
      </w:pPr>
      <w:r w:rsidRPr="00EC2D6E">
        <w:rPr>
          <w:lang w:val="en-CA"/>
        </w:rPr>
        <w:t xml:space="preserve">Thomas, John. 1972. </w:t>
      </w:r>
      <w:r w:rsidRPr="00EC2D6E">
        <w:rPr>
          <w:i/>
          <w:iCs/>
          <w:lang w:val="en-CA"/>
        </w:rPr>
        <w:t>The Tay Bridge disaster: new light on the 1879 tragedy</w:t>
      </w:r>
      <w:r w:rsidRPr="00EC2D6E">
        <w:rPr>
          <w:lang w:val="en-CA"/>
        </w:rPr>
        <w:t xml:space="preserve">. </w:t>
      </w:r>
      <w:r w:rsidRPr="00523021">
        <w:rPr>
          <w:lang w:val="fr-CA"/>
        </w:rPr>
        <w:t>Douglas David &amp; Charles.</w:t>
      </w:r>
    </w:p>
    <w:p w14:paraId="54B8811F" w14:textId="77777777" w:rsidR="00065317" w:rsidRPr="00523021" w:rsidRDefault="005C7BF7" w:rsidP="00652D41">
      <w:pPr>
        <w:pStyle w:val="Corpsdetexte"/>
        <w:ind w:left="567" w:hanging="567"/>
        <w:rPr>
          <w:lang w:val="fr-CA"/>
        </w:rPr>
      </w:pPr>
      <w:r w:rsidRPr="00523021">
        <w:rPr>
          <w:lang w:val="fr-CA"/>
        </w:rPr>
        <w:t xml:space="preserve">Tingay, Paul. 2008. </w:t>
      </w:r>
      <w:r>
        <w:rPr>
          <w:i/>
          <w:iCs/>
        </w:rPr>
        <w:t>Vienna</w:t>
      </w:r>
      <w:r>
        <w:t xml:space="preserve">. </w:t>
      </w:r>
      <w:r w:rsidRPr="00523021">
        <w:rPr>
          <w:lang w:val="fr-CA"/>
        </w:rPr>
        <w:t>New Holland Publishers.</w:t>
      </w:r>
    </w:p>
    <w:p w14:paraId="453E6026" w14:textId="77777777" w:rsidR="00065317" w:rsidRPr="001C1490" w:rsidRDefault="005C7BF7" w:rsidP="00652D41">
      <w:pPr>
        <w:pStyle w:val="Corpsdetexte"/>
        <w:ind w:left="567" w:hanging="567"/>
        <w:rPr>
          <w:lang w:val="en-US"/>
        </w:rPr>
      </w:pPr>
      <w:r w:rsidRPr="00523021">
        <w:rPr>
          <w:lang w:val="fr-CA"/>
        </w:rPr>
        <w:t xml:space="preserve">Tissandier, Gaston. </w:t>
      </w:r>
      <w:r>
        <w:t xml:space="preserve">1889. </w:t>
      </w:r>
      <w:r>
        <w:rPr>
          <w:i/>
          <w:iCs/>
        </w:rPr>
        <w:t>La tour Eiffel de 300 mètres: description du monument, sa construction, ses organes mécaniques, son but et son utilité</w:t>
      </w:r>
      <w:r>
        <w:t xml:space="preserve">. </w:t>
      </w:r>
      <w:r w:rsidRPr="001C1490">
        <w:rPr>
          <w:lang w:val="en-US"/>
        </w:rPr>
        <w:t>Paris, FR-75 : G. Masson.</w:t>
      </w:r>
    </w:p>
    <w:p w14:paraId="04FB5C23" w14:textId="77777777" w:rsidR="00065317" w:rsidRPr="00EC2D6E" w:rsidRDefault="005C7BF7" w:rsidP="00652D41">
      <w:pPr>
        <w:pStyle w:val="Corpsdetexte"/>
        <w:ind w:left="567" w:hanging="567"/>
        <w:rPr>
          <w:lang w:val="en-CA"/>
        </w:rPr>
      </w:pPr>
      <w:r w:rsidRPr="00EC2D6E">
        <w:rPr>
          <w:lang w:val="en-CA"/>
        </w:rPr>
        <w:t xml:space="preserve">Trell, Bluma L. 1945. « The temple of Artemis at Ephesos ». </w:t>
      </w:r>
      <w:r w:rsidRPr="00EC2D6E">
        <w:rPr>
          <w:i/>
          <w:iCs/>
          <w:lang w:val="en-CA"/>
        </w:rPr>
        <w:t>Numismatic Notes and Monographs</w:t>
      </w:r>
      <w:r w:rsidRPr="00EC2D6E">
        <w:rPr>
          <w:lang w:val="en-CA"/>
        </w:rPr>
        <w:t>, n</w:t>
      </w:r>
      <w:r w:rsidRPr="00EC2D6E">
        <w:rPr>
          <w:vertAlign w:val="superscript"/>
          <w:lang w:val="en-CA"/>
        </w:rPr>
        <w:t>o</w:t>
      </w:r>
      <w:r w:rsidRPr="00EC2D6E">
        <w:rPr>
          <w:lang w:val="en-CA"/>
        </w:rPr>
        <w:t xml:space="preserve"> 107 : ii‑71.</w:t>
      </w:r>
    </w:p>
    <w:p w14:paraId="3A0A6562" w14:textId="039D7E63" w:rsidR="00065317" w:rsidRPr="00EC2D6E" w:rsidRDefault="005C7BF7" w:rsidP="00652D41">
      <w:pPr>
        <w:pStyle w:val="Corpsdetexte"/>
        <w:ind w:left="567" w:hanging="567"/>
        <w:rPr>
          <w:lang w:val="en-CA"/>
        </w:rPr>
      </w:pPr>
      <w:r w:rsidRPr="00EC2D6E">
        <w:rPr>
          <w:lang w:val="en-CA"/>
        </w:rPr>
        <w:t>Tucker, Paul. 1984. « The first Impressionist exhibition and Monet</w:t>
      </w:r>
      <w:r w:rsidR="00E84B0E">
        <w:rPr>
          <w:lang w:val="en-CA"/>
        </w:rPr>
        <w:t>’</w:t>
      </w:r>
      <w:r w:rsidRPr="00EC2D6E">
        <w:rPr>
          <w:lang w:val="en-CA"/>
        </w:rPr>
        <w:t xml:space="preserve">s Impression, Sunrise: a tale of timing, commerce and patriotism ». </w:t>
      </w:r>
      <w:r w:rsidRPr="00EC2D6E">
        <w:rPr>
          <w:i/>
          <w:iCs/>
          <w:lang w:val="en-CA"/>
        </w:rPr>
        <w:t>Art History</w:t>
      </w:r>
      <w:r w:rsidRPr="00EC2D6E">
        <w:rPr>
          <w:lang w:val="en-CA"/>
        </w:rPr>
        <w:t xml:space="preserve"> 7 (4).</w:t>
      </w:r>
    </w:p>
    <w:p w14:paraId="3BE0430F" w14:textId="672E42BD" w:rsidR="00065317" w:rsidRPr="001C1490" w:rsidRDefault="005C7BF7" w:rsidP="00652D41">
      <w:pPr>
        <w:pStyle w:val="Corpsdetexte"/>
        <w:ind w:left="567" w:hanging="567"/>
        <w:rPr>
          <w:lang w:val="fr-CA"/>
        </w:rPr>
      </w:pPr>
      <w:r w:rsidRPr="00EC2D6E">
        <w:rPr>
          <w:lang w:val="en-CA"/>
        </w:rPr>
        <w:t xml:space="preserve">UN Security Council. 2002. « Resolution 1441 ». Resolution. United Nations Security Council. </w:t>
      </w:r>
      <w:r w:rsidRPr="001C1490">
        <w:rPr>
          <w:lang w:val="fr-CA"/>
        </w:rPr>
        <w:t>Consulté le 5</w:t>
      </w:r>
      <w:r w:rsidR="00056DCD" w:rsidRPr="001C1490">
        <w:rPr>
          <w:lang w:val="fr-CA"/>
        </w:rPr>
        <w:t> février </w:t>
      </w:r>
      <w:r w:rsidRPr="001C1490">
        <w:rPr>
          <w:lang w:val="fr-CA"/>
        </w:rPr>
        <w:t xml:space="preserve">2021. </w:t>
      </w:r>
      <w:hyperlink r:id="rId355">
        <w:r w:rsidRPr="001C1490">
          <w:rPr>
            <w:rStyle w:val="Lienhypertexte"/>
            <w:lang w:val="fr-CA"/>
          </w:rPr>
          <w:t>http://digitallibrary.un.org/record/478123</w:t>
        </w:r>
      </w:hyperlink>
      <w:r w:rsidRPr="001C1490">
        <w:rPr>
          <w:lang w:val="fr-CA"/>
        </w:rPr>
        <w:t>.</w:t>
      </w:r>
    </w:p>
    <w:p w14:paraId="257963DA" w14:textId="29A3CDE8" w:rsidR="00065317" w:rsidRPr="00EC2D6E" w:rsidRDefault="005C7BF7" w:rsidP="00652D41">
      <w:pPr>
        <w:pStyle w:val="Corpsdetexte"/>
        <w:ind w:left="567" w:hanging="567"/>
        <w:rPr>
          <w:lang w:val="en-CA"/>
        </w:rPr>
      </w:pPr>
      <w:r w:rsidRPr="001C1490">
        <w:rPr>
          <w:lang w:val="fr-CA"/>
        </w:rPr>
        <w:t xml:space="preserve">Unger, Harlow Giles. </w:t>
      </w:r>
      <w:r w:rsidRPr="00EC2D6E">
        <w:rPr>
          <w:lang w:val="en-CA"/>
        </w:rPr>
        <w:t xml:space="preserve">2015. </w:t>
      </w:r>
      <w:r w:rsidRPr="00EC2D6E">
        <w:rPr>
          <w:i/>
          <w:iCs/>
          <w:lang w:val="en-CA"/>
        </w:rPr>
        <w:t>Mr. President George Washington and the Making of the Nation</w:t>
      </w:r>
      <w:r w:rsidR="00E84B0E">
        <w:rPr>
          <w:i/>
          <w:iCs/>
          <w:lang w:val="en-CA"/>
        </w:rPr>
        <w:t>’</w:t>
      </w:r>
      <w:r w:rsidRPr="00EC2D6E">
        <w:rPr>
          <w:i/>
          <w:iCs/>
          <w:lang w:val="en-CA"/>
        </w:rPr>
        <w:t>s Highest Office.</w:t>
      </w:r>
      <w:r w:rsidRPr="00EC2D6E">
        <w:rPr>
          <w:lang w:val="en-CA"/>
        </w:rPr>
        <w:t xml:space="preserve"> Cambridge; New York, US-NY : Da Capo Press, Incorporated Perseus Books Group [Distributor.</w:t>
      </w:r>
    </w:p>
    <w:p w14:paraId="3CF86E06" w14:textId="77777777" w:rsidR="00065317" w:rsidRPr="00EC2D6E" w:rsidRDefault="005C7BF7" w:rsidP="00652D41">
      <w:pPr>
        <w:pStyle w:val="Corpsdetexte"/>
        <w:ind w:left="567" w:hanging="567"/>
        <w:rPr>
          <w:lang w:val="en-CA"/>
        </w:rPr>
      </w:pPr>
      <w:r w:rsidRPr="00EC2D6E">
        <w:rPr>
          <w:lang w:val="en-CA"/>
        </w:rPr>
        <w:t xml:space="preserve">« Venetian Walls of Heraklion ». 2020. YouInGreece.com. 2020. </w:t>
      </w:r>
      <w:hyperlink r:id="rId356">
        <w:r w:rsidRPr="00EC2D6E">
          <w:rPr>
            <w:rStyle w:val="Lienhypertexte"/>
            <w:lang w:val="en-CA"/>
          </w:rPr>
          <w:t>https://youingreece.com/heraklion/venetian-walls</w:t>
        </w:r>
      </w:hyperlink>
      <w:r w:rsidRPr="00EC2D6E">
        <w:rPr>
          <w:lang w:val="en-CA"/>
        </w:rPr>
        <w:t>.</w:t>
      </w:r>
    </w:p>
    <w:p w14:paraId="21A1AF21" w14:textId="77777777" w:rsidR="00065317" w:rsidRPr="00EC2D6E" w:rsidRDefault="005C7BF7" w:rsidP="00652D41">
      <w:pPr>
        <w:pStyle w:val="Corpsdetexte"/>
        <w:ind w:left="567" w:hanging="567"/>
        <w:rPr>
          <w:lang w:val="en-CA"/>
        </w:rPr>
      </w:pPr>
      <w:r w:rsidRPr="00EC2D6E">
        <w:rPr>
          <w:lang w:val="en-CA"/>
        </w:rPr>
        <w:lastRenderedPageBreak/>
        <w:t xml:space="preserve">Walker, Mike, Sigfus Johnsen, Sune Olander Rasmussen, Trevor Popp, Jørgen-Peder Steffensen, Phil Gibbard, Wim Hoek, John Lowe, John Andrews, et Svante Björck. 2009. « Formal definition and dating of the GSSP (Global Stratotype Section and Point) for the base of the Holocene using the Greenland NGRIP ice core, and selected auxiliary records ». </w:t>
      </w:r>
      <w:r w:rsidRPr="00EC2D6E">
        <w:rPr>
          <w:i/>
          <w:iCs/>
          <w:lang w:val="en-CA"/>
        </w:rPr>
        <w:t>Journal of Quaternary Science: Published for the Quaternary Research Association</w:t>
      </w:r>
      <w:r w:rsidRPr="00EC2D6E">
        <w:rPr>
          <w:lang w:val="en-CA"/>
        </w:rPr>
        <w:t xml:space="preserve"> 24 (1) : 3‑17.</w:t>
      </w:r>
    </w:p>
    <w:p w14:paraId="52C83B63" w14:textId="77777777" w:rsidR="00065317" w:rsidRPr="00EC2D6E" w:rsidRDefault="005C7BF7" w:rsidP="00652D41">
      <w:pPr>
        <w:pStyle w:val="Corpsdetexte"/>
        <w:ind w:left="567" w:hanging="567"/>
        <w:rPr>
          <w:lang w:val="en-CA"/>
        </w:rPr>
      </w:pPr>
      <w:r w:rsidRPr="00EC2D6E">
        <w:rPr>
          <w:lang w:val="en-CA"/>
        </w:rPr>
        <w:t xml:space="preserve">Walker, Susan. 2004. </w:t>
      </w:r>
      <w:r w:rsidRPr="00EC2D6E">
        <w:rPr>
          <w:i/>
          <w:iCs/>
          <w:lang w:val="en-CA"/>
        </w:rPr>
        <w:t>The Portland vase</w:t>
      </w:r>
      <w:r w:rsidRPr="00EC2D6E">
        <w:rPr>
          <w:lang w:val="en-CA"/>
        </w:rPr>
        <w:t>. Londres, GB-LND : British Museum Press.</w:t>
      </w:r>
    </w:p>
    <w:p w14:paraId="669B19DB" w14:textId="559B78BE" w:rsidR="00065317" w:rsidRPr="00EC2D6E" w:rsidRDefault="005C7BF7" w:rsidP="00652D41">
      <w:pPr>
        <w:pStyle w:val="Corpsdetexte"/>
        <w:ind w:left="567" w:hanging="567"/>
        <w:rPr>
          <w:lang w:val="en-CA"/>
        </w:rPr>
      </w:pPr>
      <w:r w:rsidRPr="00EC2D6E">
        <w:rPr>
          <w:lang w:val="en-CA"/>
        </w:rPr>
        <w:t xml:space="preserve">Watrous, L. Vance, Donald Haggis, Krzysztof Nowicki, Natalia Vogeikoff-Brogan, et Maryanne Schultz. 2012. </w:t>
      </w:r>
      <w:r w:rsidRPr="00EC2D6E">
        <w:rPr>
          <w:i/>
          <w:iCs/>
          <w:lang w:val="en-CA"/>
        </w:rPr>
        <w:t>Arch</w:t>
      </w:r>
      <w:r w:rsidR="00B40400">
        <w:rPr>
          <w:i/>
          <w:iCs/>
          <w:lang w:val="en-CA"/>
        </w:rPr>
        <w:t>ae</w:t>
      </w:r>
      <w:r w:rsidRPr="00EC2D6E">
        <w:rPr>
          <w:i/>
          <w:iCs/>
          <w:lang w:val="en-CA"/>
        </w:rPr>
        <w:t>ological Survey of the Gournia Landscape: A Regional History of the Mirabello Bay, Crete, in Antiquity</w:t>
      </w:r>
      <w:r w:rsidRPr="00EC2D6E">
        <w:rPr>
          <w:lang w:val="en-CA"/>
        </w:rPr>
        <w:t>. Vol. 37. INSTAP Academic Press (Institute for Aegean Prehistory).</w:t>
      </w:r>
    </w:p>
    <w:p w14:paraId="673BDF0B" w14:textId="79F1B6E7" w:rsidR="00065317" w:rsidRPr="006E6C31" w:rsidRDefault="005C7BF7" w:rsidP="00652D41">
      <w:pPr>
        <w:pStyle w:val="Corpsdetexte"/>
        <w:ind w:left="567" w:hanging="567"/>
        <w:rPr>
          <w:lang w:val="en-CA"/>
        </w:rPr>
      </w:pPr>
      <w:r w:rsidRPr="00EC2D6E">
        <w:rPr>
          <w:lang w:val="en-CA"/>
        </w:rPr>
        <w:t>Watson, Mich</w:t>
      </w:r>
      <w:r w:rsidR="00B40400">
        <w:rPr>
          <w:lang w:val="en-CA"/>
        </w:rPr>
        <w:t>ae</w:t>
      </w:r>
      <w:r w:rsidRPr="00EC2D6E">
        <w:rPr>
          <w:lang w:val="en-CA"/>
        </w:rPr>
        <w:t xml:space="preserve">l John. 1990. « Cluster compounds of gold and the platinum metals. » Ph.D., University of Oxford. </w:t>
      </w:r>
      <w:hyperlink r:id="rId357">
        <w:r w:rsidRPr="006E6C31">
          <w:rPr>
            <w:rStyle w:val="Lienhypertexte"/>
            <w:lang w:val="en-CA"/>
          </w:rPr>
          <w:t>https://ethos.bl.uk/OrderDetails.do?uin=uk.bl.ethos.279996</w:t>
        </w:r>
      </w:hyperlink>
      <w:r w:rsidRPr="006E6C31">
        <w:rPr>
          <w:lang w:val="en-CA"/>
        </w:rPr>
        <w:t>.</w:t>
      </w:r>
    </w:p>
    <w:p w14:paraId="7EE885D4" w14:textId="5B2C0080" w:rsidR="00065317" w:rsidRDefault="005C7BF7" w:rsidP="00652D41">
      <w:pPr>
        <w:pStyle w:val="Corpsdetexte"/>
        <w:ind w:left="567" w:hanging="567"/>
      </w:pPr>
      <w:r w:rsidRPr="00EC2D6E">
        <w:rPr>
          <w:lang w:val="en-CA"/>
        </w:rPr>
        <w:t xml:space="preserve">Weber, Kira. 2012. </w:t>
      </w:r>
      <w:r w:rsidRPr="00EC2D6E">
        <w:rPr>
          <w:i/>
          <w:iCs/>
          <w:lang w:val="en-CA"/>
        </w:rPr>
        <w:t xml:space="preserve">Kira Weber Pastels 2003-2011. </w:t>
      </w:r>
      <w:r>
        <w:rPr>
          <w:i/>
          <w:iCs/>
        </w:rPr>
        <w:t>Exposition 15</w:t>
      </w:r>
      <w:r w:rsidR="00056DCD">
        <w:rPr>
          <w:i/>
          <w:iCs/>
        </w:rPr>
        <w:t> mars </w:t>
      </w:r>
      <w:r>
        <w:rPr>
          <w:i/>
          <w:iCs/>
        </w:rPr>
        <w:t>- 30</w:t>
      </w:r>
      <w:r w:rsidR="00056DCD">
        <w:rPr>
          <w:i/>
          <w:iCs/>
        </w:rPr>
        <w:t> avril </w:t>
      </w:r>
      <w:r>
        <w:rPr>
          <w:i/>
          <w:iCs/>
        </w:rPr>
        <w:t>2012.</w:t>
      </w:r>
      <w:r>
        <w:t xml:space="preserve"> Genève : Patrick Cramer.</w:t>
      </w:r>
    </w:p>
    <w:p w14:paraId="3963183E" w14:textId="77777777" w:rsidR="00065317" w:rsidRPr="00EC2D6E" w:rsidRDefault="005C7BF7" w:rsidP="00652D41">
      <w:pPr>
        <w:pStyle w:val="Corpsdetexte"/>
        <w:ind w:left="567" w:hanging="567"/>
        <w:rPr>
          <w:lang w:val="en-CA"/>
        </w:rPr>
      </w:pPr>
      <w:r w:rsidRPr="00EC2D6E">
        <w:rPr>
          <w:lang w:val="en-CA"/>
        </w:rPr>
        <w:t xml:space="preserve">Wheat, C. 2005. « The Real Queen(s) of Crime ». </w:t>
      </w:r>
      <w:r w:rsidRPr="00EC2D6E">
        <w:rPr>
          <w:i/>
          <w:iCs/>
          <w:lang w:val="en-CA"/>
        </w:rPr>
        <w:t>CLUES: A Journal of Detection</w:t>
      </w:r>
      <w:r w:rsidRPr="00EC2D6E">
        <w:rPr>
          <w:lang w:val="en-CA"/>
        </w:rPr>
        <w:t xml:space="preserve"> 23 : 86‑90. </w:t>
      </w:r>
      <w:hyperlink r:id="rId358">
        <w:r w:rsidRPr="00EC2D6E">
          <w:rPr>
            <w:rStyle w:val="Lienhypertexte"/>
            <w:lang w:val="en-CA"/>
          </w:rPr>
          <w:t>https://doi.org/doi:10.3200/CLUS.23.4.87-90</w:t>
        </w:r>
      </w:hyperlink>
      <w:r w:rsidRPr="00EC2D6E">
        <w:rPr>
          <w:lang w:val="en-CA"/>
        </w:rPr>
        <w:t>.</w:t>
      </w:r>
    </w:p>
    <w:p w14:paraId="29A5D0AD" w14:textId="77777777" w:rsidR="00065317" w:rsidRPr="00EC2D6E" w:rsidRDefault="005C7BF7" w:rsidP="00652D41">
      <w:pPr>
        <w:pStyle w:val="Corpsdetexte"/>
        <w:ind w:left="567" w:hanging="567"/>
        <w:rPr>
          <w:lang w:val="en-CA"/>
        </w:rPr>
      </w:pPr>
      <w:r w:rsidRPr="00EC2D6E">
        <w:rPr>
          <w:lang w:val="en-CA"/>
        </w:rPr>
        <w:t xml:space="preserve">Whittington, H. 1964. </w:t>
      </w:r>
      <w:r w:rsidRPr="00EC2D6E">
        <w:rPr>
          <w:i/>
          <w:iCs/>
          <w:lang w:val="en-CA"/>
        </w:rPr>
        <w:t>The fall of the Roman Empire</w:t>
      </w:r>
      <w:r w:rsidRPr="00EC2D6E">
        <w:rPr>
          <w:lang w:val="en-CA"/>
        </w:rPr>
        <w:t>. Greenwich, US-CT : Fawcett.</w:t>
      </w:r>
    </w:p>
    <w:p w14:paraId="594341A1" w14:textId="1AEA29EF" w:rsidR="00065317" w:rsidRPr="00EC2D6E" w:rsidRDefault="005C7BF7" w:rsidP="00652D41">
      <w:pPr>
        <w:pStyle w:val="Corpsdetexte"/>
        <w:ind w:left="567" w:hanging="567"/>
        <w:rPr>
          <w:lang w:val="en-CA"/>
        </w:rPr>
      </w:pPr>
      <w:r w:rsidRPr="00EC2D6E">
        <w:rPr>
          <w:lang w:val="en-CA"/>
        </w:rPr>
        <w:t xml:space="preserve">Wicks, Robert. 2014. </w:t>
      </w:r>
      <w:r w:rsidRPr="00EC2D6E">
        <w:rPr>
          <w:i/>
          <w:iCs/>
          <w:lang w:val="en-CA"/>
        </w:rPr>
        <w:t>Heathrow Airport Manual: Designing, building and operating the world</w:t>
      </w:r>
      <w:r w:rsidR="00E84B0E">
        <w:rPr>
          <w:i/>
          <w:iCs/>
          <w:lang w:val="en-CA"/>
        </w:rPr>
        <w:t>’</w:t>
      </w:r>
      <w:r w:rsidRPr="00EC2D6E">
        <w:rPr>
          <w:i/>
          <w:iCs/>
          <w:lang w:val="en-CA"/>
        </w:rPr>
        <w:t>s busiest international airport (Haynes Manual) (Airfield Operations Manual) by Robert Wicks (2014) Hardcover</w:t>
      </w:r>
      <w:r w:rsidRPr="00EC2D6E">
        <w:rPr>
          <w:lang w:val="en-CA"/>
        </w:rPr>
        <w:t>. GB : Haynes Publishing.</w:t>
      </w:r>
    </w:p>
    <w:p w14:paraId="0439B3F4" w14:textId="77777777" w:rsidR="00065317" w:rsidRDefault="005C7BF7" w:rsidP="00652D41">
      <w:pPr>
        <w:pStyle w:val="Corpsdetexte"/>
        <w:ind w:left="567" w:hanging="567"/>
      </w:pPr>
      <w:r w:rsidRPr="00EC2D6E">
        <w:rPr>
          <w:lang w:val="en-CA"/>
        </w:rPr>
        <w:t xml:space="preserve">Wiencke, Matthew. 1998. « Johann Winckelmann | German art historian ». </w:t>
      </w:r>
      <w:r>
        <w:t xml:space="preserve">Dans </w:t>
      </w:r>
      <w:r>
        <w:rPr>
          <w:i/>
          <w:iCs/>
        </w:rPr>
        <w:t>Encyclopedia Britannica</w:t>
      </w:r>
      <w:r>
        <w:t xml:space="preserve">. Consulté le 1998. </w:t>
      </w:r>
      <w:hyperlink r:id="rId359">
        <w:r>
          <w:rPr>
            <w:rStyle w:val="Lienhypertexte"/>
          </w:rPr>
          <w:t>https://www.britannica.com/biography/Johann-Joachim-Winckelmann</w:t>
        </w:r>
      </w:hyperlink>
      <w:r>
        <w:t>.</w:t>
      </w:r>
    </w:p>
    <w:p w14:paraId="34B951C9" w14:textId="15E841D1" w:rsidR="00065317" w:rsidRDefault="005C7BF7" w:rsidP="00652D41">
      <w:pPr>
        <w:pStyle w:val="Corpsdetexte"/>
        <w:ind w:left="567" w:hanging="567"/>
      </w:pPr>
      <w:r w:rsidRPr="00EC2D6E">
        <w:rPr>
          <w:lang w:val="en-CA"/>
        </w:rPr>
        <w:t xml:space="preserve">Wikipedia. 2021. « Et in Arcadia ego ». </w:t>
      </w:r>
      <w:r w:rsidRPr="004979D4">
        <w:rPr>
          <w:lang w:val="fr-CA"/>
        </w:rPr>
        <w:t xml:space="preserve">Dans </w:t>
      </w:r>
      <w:r w:rsidRPr="004979D4">
        <w:rPr>
          <w:i/>
          <w:iCs/>
          <w:lang w:val="fr-CA"/>
        </w:rPr>
        <w:t>Wikipedia</w:t>
      </w:r>
      <w:r w:rsidRPr="004979D4">
        <w:rPr>
          <w:lang w:val="fr-CA"/>
        </w:rPr>
        <w:t xml:space="preserve">. </w:t>
      </w:r>
      <w:r>
        <w:t>Consulté le 31</w:t>
      </w:r>
      <w:r w:rsidR="00056DCD">
        <w:t> janvier </w:t>
      </w:r>
      <w:r>
        <w:t xml:space="preserve">2021. </w:t>
      </w:r>
      <w:hyperlink r:id="rId360">
        <w:r>
          <w:rPr>
            <w:rStyle w:val="Lienhypertexte"/>
          </w:rPr>
          <w:t>https://en.wikipedia.org/w/index.php?title=Et_in_Arcadia_ego&amp;oldid=1003943423</w:t>
        </w:r>
      </w:hyperlink>
      <w:r>
        <w:t>.</w:t>
      </w:r>
    </w:p>
    <w:p w14:paraId="4483640F" w14:textId="77777777" w:rsidR="00065317" w:rsidRPr="00EC2D6E" w:rsidRDefault="005C7BF7" w:rsidP="00652D41">
      <w:pPr>
        <w:pStyle w:val="Corpsdetexte"/>
        <w:ind w:left="567" w:hanging="567"/>
        <w:rPr>
          <w:lang w:val="en-CA"/>
        </w:rPr>
      </w:pPr>
      <w:r w:rsidRPr="00EC2D6E">
        <w:rPr>
          <w:lang w:val="en-CA"/>
        </w:rPr>
        <w:t xml:space="preserve">Wildfang, Frederic B. 2005. </w:t>
      </w:r>
      <w:r w:rsidRPr="00EC2D6E">
        <w:rPr>
          <w:i/>
          <w:iCs/>
          <w:lang w:val="en-CA"/>
        </w:rPr>
        <w:t>Lake Havasu City</w:t>
      </w:r>
      <w:r w:rsidRPr="00EC2D6E">
        <w:rPr>
          <w:lang w:val="en-CA"/>
        </w:rPr>
        <w:t>. Charleston, US-SC : Arcadia.</w:t>
      </w:r>
    </w:p>
    <w:p w14:paraId="7FA27DB2" w14:textId="77777777" w:rsidR="00065317" w:rsidRPr="00EC2D6E" w:rsidRDefault="005C7BF7" w:rsidP="00652D41">
      <w:pPr>
        <w:pStyle w:val="Corpsdetexte"/>
        <w:ind w:left="567" w:hanging="567"/>
        <w:rPr>
          <w:lang w:val="en-CA"/>
        </w:rPr>
      </w:pPr>
      <w:r w:rsidRPr="00EC2D6E">
        <w:rPr>
          <w:lang w:val="en-CA"/>
        </w:rPr>
        <w:t xml:space="preserve">Williams, A. Susan. 1993. </w:t>
      </w:r>
      <w:r w:rsidRPr="00EC2D6E">
        <w:rPr>
          <w:i/>
          <w:iCs/>
          <w:lang w:val="en-CA"/>
        </w:rPr>
        <w:t>The Greeks.</w:t>
      </w:r>
      <w:r w:rsidRPr="00EC2D6E">
        <w:rPr>
          <w:lang w:val="en-CA"/>
        </w:rPr>
        <w:t xml:space="preserve"> Wayland.</w:t>
      </w:r>
    </w:p>
    <w:p w14:paraId="17BD053C" w14:textId="4B523F68" w:rsidR="00065317" w:rsidRPr="00EC2D6E" w:rsidRDefault="005C7BF7" w:rsidP="00652D41">
      <w:pPr>
        <w:pStyle w:val="Corpsdetexte"/>
        <w:ind w:left="567" w:hanging="567"/>
        <w:rPr>
          <w:lang w:val="en-CA"/>
        </w:rPr>
      </w:pPr>
      <w:r w:rsidRPr="00EC2D6E">
        <w:rPr>
          <w:lang w:val="en-CA"/>
        </w:rPr>
        <w:t xml:space="preserve">Williams, John. 2020. </w:t>
      </w:r>
      <w:r w:rsidRPr="00EC2D6E">
        <w:rPr>
          <w:i/>
          <w:iCs/>
          <w:lang w:val="en-CA"/>
        </w:rPr>
        <w:t>Goethe</w:t>
      </w:r>
      <w:r w:rsidR="00E84B0E">
        <w:rPr>
          <w:i/>
          <w:iCs/>
          <w:lang w:val="en-CA"/>
        </w:rPr>
        <w:t>’</w:t>
      </w:r>
      <w:r w:rsidRPr="00EC2D6E">
        <w:rPr>
          <w:i/>
          <w:iCs/>
          <w:lang w:val="en-CA"/>
        </w:rPr>
        <w:t>s Faust</w:t>
      </w:r>
      <w:r w:rsidRPr="00EC2D6E">
        <w:rPr>
          <w:lang w:val="en-CA"/>
        </w:rPr>
        <w:t xml:space="preserve">. Londres, GB-LND : Routledge. </w:t>
      </w:r>
      <w:hyperlink r:id="rId361">
        <w:r w:rsidRPr="00EC2D6E">
          <w:rPr>
            <w:rStyle w:val="Lienhypertexte"/>
            <w:lang w:val="en-CA"/>
          </w:rPr>
          <w:t>https://doi.org/10.4324/9781003006121</w:t>
        </w:r>
      </w:hyperlink>
      <w:r w:rsidRPr="00EC2D6E">
        <w:rPr>
          <w:lang w:val="en-CA"/>
        </w:rPr>
        <w:t>.</w:t>
      </w:r>
    </w:p>
    <w:p w14:paraId="497E941B" w14:textId="019C2840" w:rsidR="00065317" w:rsidRPr="00EC2D6E" w:rsidRDefault="005C7BF7" w:rsidP="00652D41">
      <w:pPr>
        <w:pStyle w:val="Corpsdetexte"/>
        <w:ind w:left="567" w:hanging="567"/>
        <w:rPr>
          <w:lang w:val="en-CA"/>
        </w:rPr>
      </w:pPr>
      <w:r w:rsidRPr="00EC2D6E">
        <w:rPr>
          <w:lang w:val="en-CA"/>
        </w:rPr>
        <w:t xml:space="preserve">Willis, Sam. 2010. </w:t>
      </w:r>
      <w:r w:rsidRPr="00EC2D6E">
        <w:rPr>
          <w:i/>
          <w:iCs/>
          <w:lang w:val="en-CA"/>
        </w:rPr>
        <w:t xml:space="preserve">The </w:t>
      </w:r>
      <w:r w:rsidR="00E84B0E">
        <w:rPr>
          <w:i/>
          <w:iCs/>
          <w:lang w:val="en-CA"/>
        </w:rPr>
        <w:t>‘</w:t>
      </w:r>
      <w:r w:rsidRPr="00EC2D6E">
        <w:rPr>
          <w:i/>
          <w:iCs/>
          <w:lang w:val="en-CA"/>
        </w:rPr>
        <w:t>Fighting Temeraire</w:t>
      </w:r>
      <w:r w:rsidR="00E84B0E">
        <w:rPr>
          <w:i/>
          <w:iCs/>
          <w:lang w:val="en-CA"/>
        </w:rPr>
        <w:t>’</w:t>
      </w:r>
      <w:r w:rsidRPr="00EC2D6E">
        <w:rPr>
          <w:i/>
          <w:iCs/>
          <w:lang w:val="en-CA"/>
        </w:rPr>
        <w:t>: Legend of Trafalgar</w:t>
      </w:r>
      <w:r w:rsidRPr="00EC2D6E">
        <w:rPr>
          <w:lang w:val="en-CA"/>
        </w:rPr>
        <w:t>. Edition. Londres, GB-LND : Quercus.</w:t>
      </w:r>
    </w:p>
    <w:p w14:paraId="1804AA53" w14:textId="5CF8AEAB" w:rsidR="00065317" w:rsidRPr="00EC2D6E" w:rsidRDefault="005C7BF7" w:rsidP="00652D41">
      <w:pPr>
        <w:pStyle w:val="Corpsdetexte"/>
        <w:ind w:left="567" w:hanging="567"/>
        <w:rPr>
          <w:lang w:val="en-CA"/>
        </w:rPr>
      </w:pPr>
      <w:r w:rsidRPr="00EC2D6E">
        <w:rPr>
          <w:lang w:val="en-CA"/>
        </w:rPr>
        <w:t>Wilson, Mich</w:t>
      </w:r>
      <w:r w:rsidR="00B40400">
        <w:rPr>
          <w:lang w:val="en-CA"/>
        </w:rPr>
        <w:t>ae</w:t>
      </w:r>
      <w:r w:rsidRPr="00EC2D6E">
        <w:rPr>
          <w:lang w:val="en-CA"/>
        </w:rPr>
        <w:t xml:space="preserve">l. 1994. </w:t>
      </w:r>
      <w:r w:rsidRPr="00EC2D6E">
        <w:rPr>
          <w:i/>
          <w:iCs/>
          <w:lang w:val="en-CA"/>
        </w:rPr>
        <w:t>The Impressionists</w:t>
      </w:r>
      <w:r w:rsidRPr="00EC2D6E">
        <w:rPr>
          <w:lang w:val="en-CA"/>
        </w:rPr>
        <w:t>. Reprint edition. Oxford England ; New York : [New York] : Phaidon Press.</w:t>
      </w:r>
    </w:p>
    <w:p w14:paraId="0606F5D1" w14:textId="36ACEA40" w:rsidR="00065317" w:rsidRPr="00EC2D6E" w:rsidRDefault="005C7BF7" w:rsidP="00652D41">
      <w:pPr>
        <w:pStyle w:val="Corpsdetexte"/>
        <w:ind w:left="567" w:hanging="567"/>
        <w:rPr>
          <w:lang w:val="en-CA"/>
        </w:rPr>
      </w:pPr>
      <w:r w:rsidRPr="00EC2D6E">
        <w:rPr>
          <w:lang w:val="en-CA"/>
        </w:rPr>
        <w:t xml:space="preserve">Woelkerling, William J, Gry Gustavsen, et Heidi Elin Myklebost. 2005. </w:t>
      </w:r>
      <w:r w:rsidRPr="00EC2D6E">
        <w:rPr>
          <w:i/>
          <w:iCs/>
          <w:lang w:val="en-CA"/>
        </w:rPr>
        <w:t>The coralline red algal herbarium of Mik</w:t>
      </w:r>
      <w:r w:rsidR="00B40400">
        <w:rPr>
          <w:i/>
          <w:iCs/>
          <w:lang w:val="en-CA"/>
        </w:rPr>
        <w:t>ae</w:t>
      </w:r>
      <w:r w:rsidRPr="00EC2D6E">
        <w:rPr>
          <w:i/>
          <w:iCs/>
          <w:lang w:val="en-CA"/>
        </w:rPr>
        <w:t>l Foslie: revised catalogue with analyses</w:t>
      </w:r>
      <w:r w:rsidRPr="00EC2D6E">
        <w:rPr>
          <w:lang w:val="en-CA"/>
        </w:rPr>
        <w:t>. Trondheim, NO-50 : Kgl. Norske videnskabers selskab, Museet.</w:t>
      </w:r>
    </w:p>
    <w:p w14:paraId="5411073A" w14:textId="604E2BF8" w:rsidR="00065317" w:rsidRPr="00EC2D6E" w:rsidRDefault="005C7BF7" w:rsidP="00652D41">
      <w:pPr>
        <w:pStyle w:val="Corpsdetexte"/>
        <w:ind w:left="567" w:hanging="567"/>
        <w:rPr>
          <w:lang w:val="en-CA"/>
        </w:rPr>
      </w:pPr>
      <w:r w:rsidRPr="00EC2D6E">
        <w:rPr>
          <w:lang w:val="en-CA"/>
        </w:rPr>
        <w:t>Wolff, Arnold, Rainer G</w:t>
      </w:r>
      <w:r w:rsidR="00B40400">
        <w:rPr>
          <w:lang w:val="en-CA"/>
        </w:rPr>
        <w:t>ae</w:t>
      </w:r>
      <w:r w:rsidRPr="00EC2D6E">
        <w:rPr>
          <w:lang w:val="en-CA"/>
        </w:rPr>
        <w:t xml:space="preserve">rtner, et Margret Maranuk-Rohmeder. 1999. </w:t>
      </w:r>
      <w:r w:rsidRPr="00EC2D6E">
        <w:rPr>
          <w:i/>
          <w:iCs/>
          <w:lang w:val="en-CA"/>
        </w:rPr>
        <w:t>The Cologne Cathedral</w:t>
      </w:r>
      <w:r w:rsidRPr="00EC2D6E">
        <w:rPr>
          <w:lang w:val="en-CA"/>
        </w:rPr>
        <w:t>. Verlag Kolner Dom.</w:t>
      </w:r>
    </w:p>
    <w:p w14:paraId="2C4F0DAB" w14:textId="77777777" w:rsidR="00065317" w:rsidRPr="00EC2D6E" w:rsidRDefault="005C7BF7" w:rsidP="00652D41">
      <w:pPr>
        <w:pStyle w:val="Corpsdetexte"/>
        <w:ind w:left="567" w:hanging="567"/>
        <w:rPr>
          <w:lang w:val="en-CA"/>
        </w:rPr>
      </w:pPr>
      <w:r w:rsidRPr="00EC2D6E">
        <w:rPr>
          <w:lang w:val="en-CA"/>
        </w:rPr>
        <w:t xml:space="preserve">Yakel, E. 2000. « Museums, Management, Media, and Memory: Lessons from the Enola Gay Exhibition ». </w:t>
      </w:r>
      <w:r w:rsidRPr="00EC2D6E">
        <w:rPr>
          <w:i/>
          <w:iCs/>
          <w:lang w:val="en-CA"/>
        </w:rPr>
        <w:t>Libraries and Culture</w:t>
      </w:r>
      <w:r w:rsidRPr="00EC2D6E">
        <w:rPr>
          <w:lang w:val="en-CA"/>
        </w:rPr>
        <w:t xml:space="preserve"> 35 : 278‑310.</w:t>
      </w:r>
    </w:p>
    <w:p w14:paraId="6FCC2B8A" w14:textId="24D72CF7" w:rsidR="00065317" w:rsidRPr="001C1490" w:rsidRDefault="005C7BF7" w:rsidP="00652D41">
      <w:pPr>
        <w:pStyle w:val="Corpsdetexte"/>
        <w:ind w:left="567" w:hanging="567"/>
        <w:rPr>
          <w:lang w:val="fr-CA"/>
        </w:rPr>
      </w:pPr>
      <w:r w:rsidRPr="00EC2D6E">
        <w:rPr>
          <w:lang w:val="en-CA"/>
        </w:rPr>
        <w:t xml:space="preserve">Yerkes, David. 1989. </w:t>
      </w:r>
      <w:r w:rsidRPr="00EC2D6E">
        <w:rPr>
          <w:i/>
          <w:iCs/>
          <w:lang w:val="en-CA"/>
        </w:rPr>
        <w:t>Webster</w:t>
      </w:r>
      <w:r w:rsidR="00E84B0E">
        <w:rPr>
          <w:i/>
          <w:iCs/>
          <w:lang w:val="en-CA"/>
        </w:rPr>
        <w:t>’</w:t>
      </w:r>
      <w:r w:rsidRPr="00EC2D6E">
        <w:rPr>
          <w:i/>
          <w:iCs/>
          <w:lang w:val="en-CA"/>
        </w:rPr>
        <w:t>s Encyclopedic Unabridged Dictionary of the English Languagea</w:t>
      </w:r>
      <w:r w:rsidRPr="00EC2D6E">
        <w:rPr>
          <w:lang w:val="en-CA"/>
        </w:rPr>
        <w:t xml:space="preserve">. </w:t>
      </w:r>
      <w:r w:rsidRPr="001C1490">
        <w:rPr>
          <w:lang w:val="fr-CA"/>
        </w:rPr>
        <w:t>Abridged edition. New York, US-NY : Random House.</w:t>
      </w:r>
    </w:p>
    <w:p w14:paraId="06AF45D9" w14:textId="4FE0BD82" w:rsidR="00065317" w:rsidRPr="001C1490" w:rsidRDefault="005C7BF7" w:rsidP="002E3458">
      <w:pPr>
        <w:pStyle w:val="Titre2"/>
        <w:rPr>
          <w:lang w:val="fr-CA"/>
        </w:rPr>
      </w:pPr>
      <w:bookmarkStart w:id="592" w:name="_Toc154048981"/>
      <w:bookmarkStart w:id="593" w:name="annexe"/>
      <w:bookmarkEnd w:id="590"/>
      <w:r w:rsidRPr="001C1490">
        <w:rPr>
          <w:lang w:val="fr-CA"/>
        </w:rPr>
        <w:lastRenderedPageBreak/>
        <w:t>Annexe</w:t>
      </w:r>
      <w:bookmarkEnd w:id="592"/>
    </w:p>
    <w:p w14:paraId="0D173AED" w14:textId="77777777" w:rsidR="00065317" w:rsidRPr="001C1490" w:rsidRDefault="005C7BF7" w:rsidP="002E3458">
      <w:pPr>
        <w:pStyle w:val="Titre3"/>
        <w:rPr>
          <w:lang w:val="fr-CA"/>
        </w:rPr>
      </w:pPr>
      <w:bookmarkStart w:id="594" w:name="_Toc154048982"/>
      <w:bookmarkStart w:id="595" w:name="classes-et-proprietes-depreciees"/>
      <w:r w:rsidRPr="001C1490">
        <w:rPr>
          <w:lang w:val="fr-CA"/>
        </w:rPr>
        <w:t>Classes et propriétés dépréciées</w:t>
      </w:r>
      <w:bookmarkEnd w:id="594"/>
    </w:p>
    <w:p w14:paraId="4F3C4633" w14:textId="34CE501C" w:rsidR="00065317" w:rsidRDefault="005C7BF7">
      <w:pPr>
        <w:pStyle w:val="FirstParagraph"/>
      </w:pPr>
      <w:r>
        <w:t xml:space="preserve">La liste qui suit énumère les classes et/ou propriétés qui ont été dépréciées depuis la version 5.0.4 du </w:t>
      </w:r>
      <w:r w:rsidR="00C8288F">
        <w:t>CIDOC CRM</w:t>
      </w:r>
      <w:r>
        <w:t xml:space="preserve"> (laquelle a servi d</w:t>
      </w:r>
      <w:r w:rsidR="00E84B0E">
        <w:t>’</w:t>
      </w:r>
      <w:r>
        <w:t xml:space="preserve">ébauche communautaire pour ISO21127:2014 ainsi que pour cette version 7.1). Bien que le modèle </w:t>
      </w:r>
      <w:r w:rsidR="00C8288F">
        <w:t>CIDOC CRM</w:t>
      </w:r>
      <w:r>
        <w:t xml:space="preserve"> soit développé selon les principes du changement monotone et que tout soit mis en </w:t>
      </w:r>
      <w:r w:rsidR="00C012B4">
        <w:t>œ</w:t>
      </w:r>
      <w:r>
        <w:t>uvre pour minimiser la rétro-incompatibilité (notamment grâce à une modélisation conservatrice tant initialement qu</w:t>
      </w:r>
      <w:r w:rsidR="00E84B0E">
        <w:t>’</w:t>
      </w:r>
      <w:r>
        <w:t>au cours de l</w:t>
      </w:r>
      <w:r w:rsidR="00E84B0E">
        <w:t>’</w:t>
      </w:r>
      <w:r>
        <w:t>évolution du modèle), certaines révisions exigent inévitablement des mises à jour des bases de connaissances qui s</w:t>
      </w:r>
      <w:r w:rsidR="00E84B0E">
        <w:t>’</w:t>
      </w:r>
      <w:r>
        <w:t>appuient sur d</w:t>
      </w:r>
      <w:r w:rsidR="00E84B0E">
        <w:t>’</w:t>
      </w:r>
      <w:r>
        <w:t>anciennes versions de l</w:t>
      </w:r>
      <w:r w:rsidR="00E84B0E">
        <w:t>’</w:t>
      </w:r>
      <w:r>
        <w:t>ontologie afin de réconcilier les instances avec la version actuelle. Les tableaux ci-bas indiquent quelles classes et quelles propriétés ont été dépréciées de telle sorte qu</w:t>
      </w:r>
      <w:r w:rsidR="00E84B0E">
        <w:t>’</w:t>
      </w:r>
      <w:r>
        <w:t xml:space="preserve">elles exigent une mise à jour des bases de connaissances auparavant conformes au </w:t>
      </w:r>
      <w:r w:rsidR="00C8288F">
        <w:t>CIDOC CRM</w:t>
      </w:r>
      <w:r>
        <w:t xml:space="preserve"> afin d</w:t>
      </w:r>
      <w:r w:rsidR="00E84B0E">
        <w:t>’</w:t>
      </w:r>
      <w:r>
        <w:t>être conformes avec la version la plus récente du standard.</w:t>
      </w:r>
    </w:p>
    <w:p w14:paraId="565E03E5" w14:textId="207995D2" w:rsidR="00065317" w:rsidRDefault="005C7BF7">
      <w:pPr>
        <w:pStyle w:val="Corpsdetexte"/>
      </w:pPr>
      <w:r>
        <w:t>Le tableau « </w:t>
      </w:r>
      <w:hyperlink w:anchor="X417eae3bce5028baf3dcc79313567d3ef981614">
        <w:r>
          <w:rPr>
            <w:rStyle w:val="Lienhypertexte"/>
          </w:rPr>
          <w:t>Instructions de migration des classes dépréciées</w:t>
        </w:r>
      </w:hyperlink>
      <w:r>
        <w:t> » énumère les classes dépréciées ainsi que les classes ou entités primitives qu</w:t>
      </w:r>
      <w:r w:rsidR="00E84B0E">
        <w:t>’</w:t>
      </w:r>
      <w:r>
        <w:t>il est recommandé d</w:t>
      </w:r>
      <w:r w:rsidR="00E84B0E">
        <w:t>’</w:t>
      </w:r>
      <w:r>
        <w:t>utiliser à la place de celles-ci.</w:t>
      </w:r>
    </w:p>
    <w:p w14:paraId="6FC83B36" w14:textId="605D8943" w:rsidR="00065317" w:rsidRDefault="005C7BF7">
      <w:pPr>
        <w:pStyle w:val="Corpsdetexte"/>
      </w:pPr>
      <w:r>
        <w:t>[</w:t>
      </w:r>
      <w:r w:rsidR="00AF51A3">
        <w:t xml:space="preserve">n.d.t. </w:t>
      </w:r>
      <w:r>
        <w:t>Le tableau « </w:t>
      </w:r>
      <w:hyperlink w:anchor="X2892d8efbf5689812fdccfe5cd915dac6354b9b">
        <w:r>
          <w:rPr>
            <w:rStyle w:val="Lienhypertexte"/>
          </w:rPr>
          <w:t xml:space="preserve">Instructions de migration pour </w:t>
        </w:r>
      </w:hyperlink>
      <w:hyperlink w:anchor="X2892d8efbf5689812fdccfe5cd915dac6354b9b">
        <w:r>
          <w:rPr>
            <w:rStyle w:val="VerbatimChar"/>
          </w:rPr>
          <w:t>E81_Transformation</w:t>
        </w:r>
      </w:hyperlink>
      <w:hyperlink w:anchor="X2892d8efbf5689812fdccfe5cd915dac6354b9b">
        <w:r>
          <w:rPr>
            <w:rStyle w:val="Lienhypertexte"/>
          </w:rPr>
          <w:t xml:space="preserve"> (domaine d</w:t>
        </w:r>
        <w:r w:rsidR="00E84B0E">
          <w:rPr>
            <w:rStyle w:val="Lienhypertexte"/>
          </w:rPr>
          <w:t>’</w:t>
        </w:r>
        <w:r>
          <w:rPr>
            <w:rStyle w:val="Lienhypertexte"/>
          </w:rPr>
          <w:t>application restreint)</w:t>
        </w:r>
      </w:hyperlink>
      <w:r>
        <w:t xml:space="preserve"> » fait des recommandations quant à la meilleure manière de mettre à jour une base de connaissances </w:t>
      </w:r>
      <w:r w:rsidR="00733C22">
        <w:t xml:space="preserve">à la </w:t>
      </w:r>
      <w:r>
        <w:t xml:space="preserve">suite </w:t>
      </w:r>
      <w:r w:rsidR="00733C22">
        <w:t>de</w:t>
      </w:r>
      <w:r>
        <w:t xml:space="preserve"> la restriction du domaine d</w:t>
      </w:r>
      <w:r w:rsidR="00E84B0E">
        <w:t>’</w:t>
      </w:r>
      <w:r>
        <w:t xml:space="preserve">application de </w:t>
      </w:r>
      <w:r>
        <w:rPr>
          <w:rStyle w:val="VerbatimChar"/>
        </w:rPr>
        <w:t>E81_Transformation</w:t>
      </w:r>
      <w:r>
        <w:t>.]</w:t>
      </w:r>
    </w:p>
    <w:p w14:paraId="6F946A58" w14:textId="57F69F52" w:rsidR="00065317" w:rsidRDefault="005C7BF7">
      <w:pPr>
        <w:pStyle w:val="Corpsdetexte"/>
      </w:pPr>
      <w:r>
        <w:t>Le tableau « </w:t>
      </w:r>
      <w:hyperlink w:anchor="Xbc0824d9ded619875c902969e52b54684c8ccc7">
        <w:r>
          <w:rPr>
            <w:rStyle w:val="Lienhypertexte"/>
          </w:rPr>
          <w:t>Instructions de migration des propriétés dépréciées</w:t>
        </w:r>
      </w:hyperlink>
      <w:r>
        <w:t> » énumère les propriétés dépréciées ainsi que celles qu</w:t>
      </w:r>
      <w:r w:rsidR="00E84B0E">
        <w:t>’</w:t>
      </w:r>
      <w:r>
        <w:t>il est recommandé d</w:t>
      </w:r>
      <w:r w:rsidR="00E84B0E">
        <w:t>’</w:t>
      </w:r>
      <w:r>
        <w:t>utiliser à la place de celles-ci. C</w:t>
      </w:r>
      <w:r w:rsidR="00E84B0E">
        <w:t>’</w:t>
      </w:r>
      <w:r>
        <w:t>est un bon outil pour comprendre comment bien construire de nouveaux chemins sémantiques entre des instances de classes dépréciées et les remplacements de classes ou d</w:t>
      </w:r>
      <w:r w:rsidR="00E84B0E">
        <w:t>’</w:t>
      </w:r>
      <w:r>
        <w:t>entités primitives qui sont recommandés. Il indique aussi comment procéder lorsque la portée d</w:t>
      </w:r>
      <w:r w:rsidR="00E84B0E">
        <w:t>’</w:t>
      </w:r>
      <w:r>
        <w:t>une propriété a été réduite à une sous-classe de sa portée précédente.</w:t>
      </w:r>
    </w:p>
    <w:p w14:paraId="2BC0A92E" w14:textId="77777777" w:rsidR="00065317" w:rsidRDefault="005C7BF7">
      <w:pPr>
        <w:pStyle w:val="Normalcentr"/>
      </w:pPr>
      <w:r>
        <w:rPr>
          <w:b/>
          <w:bCs/>
          <w:i/>
          <w:iCs/>
        </w:rPr>
        <w:t>Note de traduction</w:t>
      </w:r>
    </w:p>
    <w:p w14:paraId="19272341" w14:textId="06A6C677" w:rsidR="00065317" w:rsidRDefault="005C7BF7">
      <w:pPr>
        <w:pStyle w:val="Normalcentr"/>
      </w:pPr>
      <w:r>
        <w:t>Une note présentant le « Instructions de migration pour E81_Transformation (domaine d</w:t>
      </w:r>
      <w:r w:rsidR="00E84B0E">
        <w:t>’</w:t>
      </w:r>
      <w:r>
        <w:t>application restreint) » a été ajoutée afin d</w:t>
      </w:r>
      <w:r w:rsidR="00E84B0E">
        <w:t>’</w:t>
      </w:r>
      <w:r>
        <w:t>être exhaustifs et cohérents quant à la description des tableaux présentés.</w:t>
      </w:r>
    </w:p>
    <w:p w14:paraId="08E7E806" w14:textId="7F67B04B" w:rsidR="00065317" w:rsidRDefault="005C7BF7" w:rsidP="0002103D">
      <w:pPr>
        <w:pStyle w:val="Normalcentr"/>
      </w:pPr>
      <w:r>
        <w:rPr>
          <w:b/>
          <w:bCs/>
          <w:i/>
          <w:iCs/>
        </w:rPr>
        <w:t>Références</w:t>
      </w:r>
    </w:p>
    <w:p w14:paraId="43BCD48B" w14:textId="77777777" w:rsidR="00065317" w:rsidRDefault="005C7BF7" w:rsidP="002E3458">
      <w:pPr>
        <w:pStyle w:val="Titre4"/>
      </w:pPr>
      <w:bookmarkStart w:id="596" w:name="_Toc154048983"/>
      <w:bookmarkStart w:id="597" w:name="X417eae3bce5028baf3dcc79313567d3ef981614"/>
      <w:r>
        <w:t>Instructions de migration des classes dépréciées</w:t>
      </w:r>
      <w:bookmarkEnd w:id="596"/>
    </w:p>
    <w:tbl>
      <w:tblPr>
        <w:tblStyle w:val="Table"/>
        <w:tblW w:w="0" w:type="auto"/>
        <w:tblInd w:w="0" w:type="dxa"/>
        <w:tblLook w:val="0000" w:firstRow="0" w:lastRow="0" w:firstColumn="0" w:lastColumn="0" w:noHBand="0" w:noVBand="0"/>
      </w:tblPr>
      <w:tblGrid>
        <w:gridCol w:w="4329"/>
        <w:gridCol w:w="6451"/>
      </w:tblGrid>
      <w:tr w:rsidR="00FA2C22" w14:paraId="281727DD" w14:textId="77777777">
        <w:tc>
          <w:tcPr>
            <w:tcW w:w="0" w:type="auto"/>
          </w:tcPr>
          <w:p w14:paraId="261C3F18" w14:textId="626B1EEC" w:rsidR="00FA2C22" w:rsidRPr="00FA2C22" w:rsidRDefault="00FA2C22">
            <w:pPr>
              <w:rPr>
                <w:rStyle w:val="VerbatimChar"/>
                <w:rFonts w:asciiTheme="minorHAnsi" w:hAnsiTheme="minorHAnsi"/>
              </w:rPr>
            </w:pPr>
            <w:r w:rsidRPr="00FA2C22">
              <w:rPr>
                <w:rStyle w:val="lev"/>
                <w:rFonts w:cs="Segoe UI"/>
                <w:color w:val="3F3F3F"/>
                <w:shd w:val="clear" w:color="auto" w:fill="FDFDFD"/>
              </w:rPr>
              <w:t>Classe dépréciée</w:t>
            </w:r>
          </w:p>
        </w:tc>
        <w:tc>
          <w:tcPr>
            <w:tcW w:w="0" w:type="auto"/>
          </w:tcPr>
          <w:p w14:paraId="24AD515D" w14:textId="24EBBE7F" w:rsidR="00FA2C22" w:rsidRPr="00FA2C22" w:rsidRDefault="00FA2C22">
            <w:r w:rsidRPr="00FA2C22">
              <w:rPr>
                <w:rStyle w:val="lev"/>
                <w:rFonts w:cs="Segoe UI"/>
                <w:color w:val="3F3F3F"/>
                <w:shd w:val="clear" w:color="auto" w:fill="FDFDFD"/>
              </w:rPr>
              <w:t>Instruction de migration</w:t>
            </w:r>
          </w:p>
        </w:tc>
      </w:tr>
      <w:tr w:rsidR="001F7F70" w14:paraId="533880E8" w14:textId="77777777">
        <w:tc>
          <w:tcPr>
            <w:tcW w:w="0" w:type="auto"/>
          </w:tcPr>
          <w:p w14:paraId="3E32B256" w14:textId="77777777" w:rsidR="001F7F70" w:rsidRDefault="001F7F70">
            <w:r>
              <w:rPr>
                <w:rStyle w:val="VerbatimChar"/>
              </w:rPr>
              <w:t>E38_Image</w:t>
            </w:r>
          </w:p>
        </w:tc>
        <w:tc>
          <w:tcPr>
            <w:tcW w:w="0" w:type="auto"/>
          </w:tcPr>
          <w:p w14:paraId="39F05EEA" w14:textId="77777777" w:rsidR="001F7F70" w:rsidRDefault="001F7F70">
            <w:r>
              <w:t xml:space="preserve">utiliser </w:t>
            </w:r>
            <w:r>
              <w:rPr>
                <w:rStyle w:val="VerbatimChar"/>
              </w:rPr>
              <w:t>E36_Entité_visuelle</w:t>
            </w:r>
          </w:p>
        </w:tc>
      </w:tr>
      <w:tr w:rsidR="001F7F70" w14:paraId="36F478AB" w14:textId="77777777">
        <w:tc>
          <w:tcPr>
            <w:tcW w:w="0" w:type="auto"/>
          </w:tcPr>
          <w:p w14:paraId="39B6369F" w14:textId="77777777" w:rsidR="001F7F70" w:rsidRDefault="001F7F70">
            <w:r>
              <w:rPr>
                <w:rStyle w:val="VerbatimChar"/>
              </w:rPr>
              <w:t>E40_Entité_légale</w:t>
            </w:r>
          </w:p>
        </w:tc>
        <w:tc>
          <w:tcPr>
            <w:tcW w:w="0" w:type="auto"/>
          </w:tcPr>
          <w:p w14:paraId="1E5A52A5" w14:textId="77777777" w:rsidR="001F7F70" w:rsidRDefault="001F7F70">
            <w:r>
              <w:t xml:space="preserve">utiliser </w:t>
            </w:r>
            <w:r>
              <w:rPr>
                <w:rStyle w:val="VerbatimChar"/>
              </w:rPr>
              <w:t>E74_Groupe</w:t>
            </w:r>
          </w:p>
        </w:tc>
      </w:tr>
      <w:tr w:rsidR="001F7F70" w14:paraId="1544A146" w14:textId="77777777">
        <w:tc>
          <w:tcPr>
            <w:tcW w:w="0" w:type="auto"/>
          </w:tcPr>
          <w:p w14:paraId="5BC6121C" w14:textId="77777777" w:rsidR="001F7F70" w:rsidRDefault="001F7F70">
            <w:r>
              <w:rPr>
                <w:rStyle w:val="VerbatimChar"/>
              </w:rPr>
              <w:t>E44_Appellation_du_lieu</w:t>
            </w:r>
          </w:p>
        </w:tc>
        <w:tc>
          <w:tcPr>
            <w:tcW w:w="0" w:type="auto"/>
          </w:tcPr>
          <w:p w14:paraId="58B19BC7" w14:textId="77777777" w:rsidR="001F7F70" w:rsidRDefault="001F7F70">
            <w:r>
              <w:t xml:space="preserve">utiliser </w:t>
            </w:r>
            <w:r>
              <w:rPr>
                <w:rStyle w:val="VerbatimChar"/>
              </w:rPr>
              <w:t>E41_Appellation</w:t>
            </w:r>
          </w:p>
        </w:tc>
      </w:tr>
      <w:tr w:rsidR="001F7F70" w14:paraId="6448C2D1" w14:textId="77777777">
        <w:tc>
          <w:tcPr>
            <w:tcW w:w="0" w:type="auto"/>
          </w:tcPr>
          <w:p w14:paraId="04EBC390" w14:textId="77777777" w:rsidR="001F7F70" w:rsidRDefault="001F7F70">
            <w:r>
              <w:rPr>
                <w:rStyle w:val="VerbatimChar"/>
              </w:rPr>
              <w:t>E45_Adresse</w:t>
            </w:r>
          </w:p>
        </w:tc>
        <w:tc>
          <w:tcPr>
            <w:tcW w:w="0" w:type="auto"/>
          </w:tcPr>
          <w:p w14:paraId="63BA2993" w14:textId="77777777" w:rsidR="001F7F70" w:rsidRDefault="001F7F70">
            <w:r>
              <w:t xml:space="preserve">utiliser </w:t>
            </w:r>
            <w:r>
              <w:rPr>
                <w:rStyle w:val="VerbatimChar"/>
              </w:rPr>
              <w:t>E41_Appellation</w:t>
            </w:r>
            <w:r>
              <w:t xml:space="preserve">, </w:t>
            </w:r>
            <w:r>
              <w:rPr>
                <w:rStyle w:val="VerbatimChar"/>
              </w:rPr>
              <w:t>P2_a_pour_type</w:t>
            </w:r>
            <w:r>
              <w:t xml:space="preserve"> : « Adresse »</w:t>
            </w:r>
          </w:p>
        </w:tc>
      </w:tr>
      <w:tr w:rsidR="001F7F70" w14:paraId="5D94EEA0" w14:textId="77777777">
        <w:tc>
          <w:tcPr>
            <w:tcW w:w="0" w:type="auto"/>
          </w:tcPr>
          <w:p w14:paraId="5666BCB1" w14:textId="77777777" w:rsidR="001F7F70" w:rsidRDefault="001F7F70">
            <w:r>
              <w:rPr>
                <w:rStyle w:val="VerbatimChar"/>
              </w:rPr>
              <w:t>E46_Définition_de_section</w:t>
            </w:r>
          </w:p>
        </w:tc>
        <w:tc>
          <w:tcPr>
            <w:tcW w:w="0" w:type="auto"/>
          </w:tcPr>
          <w:p w14:paraId="3E61BA4D" w14:textId="77777777" w:rsidR="001F7F70" w:rsidRDefault="001F7F70">
            <w:r>
              <w:t xml:space="preserve">utiliser </w:t>
            </w:r>
            <w:r>
              <w:rPr>
                <w:rStyle w:val="VerbatimChar"/>
              </w:rPr>
              <w:t>E41_Appellation</w:t>
            </w:r>
          </w:p>
        </w:tc>
      </w:tr>
      <w:tr w:rsidR="001F7F70" w14:paraId="4A73C618" w14:textId="77777777">
        <w:tc>
          <w:tcPr>
            <w:tcW w:w="0" w:type="auto"/>
          </w:tcPr>
          <w:p w14:paraId="359354E8" w14:textId="77777777" w:rsidR="001F7F70" w:rsidRDefault="001F7F70">
            <w:r>
              <w:rPr>
                <w:rStyle w:val="VerbatimChar"/>
              </w:rPr>
              <w:lastRenderedPageBreak/>
              <w:t>E47_Coordonnées_spatiales</w:t>
            </w:r>
          </w:p>
        </w:tc>
        <w:tc>
          <w:tcPr>
            <w:tcW w:w="0" w:type="auto"/>
          </w:tcPr>
          <w:p w14:paraId="702D0785" w14:textId="77777777" w:rsidR="001F7F70" w:rsidRDefault="001F7F70">
            <w:r>
              <w:t xml:space="preserve">utiliser </w:t>
            </w:r>
            <w:r>
              <w:rPr>
                <w:rStyle w:val="VerbatimChar"/>
              </w:rPr>
              <w:t>E94_Primitive_spatiale</w:t>
            </w:r>
          </w:p>
        </w:tc>
      </w:tr>
      <w:tr w:rsidR="001F7F70" w14:paraId="5F4077D8" w14:textId="77777777">
        <w:tc>
          <w:tcPr>
            <w:tcW w:w="0" w:type="auto"/>
          </w:tcPr>
          <w:p w14:paraId="568364E7" w14:textId="77777777" w:rsidR="001F7F70" w:rsidRDefault="001F7F70">
            <w:r>
              <w:rPr>
                <w:rStyle w:val="VerbatimChar"/>
              </w:rPr>
              <w:t>E48_Nom_de_lieu</w:t>
            </w:r>
          </w:p>
        </w:tc>
        <w:tc>
          <w:tcPr>
            <w:tcW w:w="0" w:type="auto"/>
          </w:tcPr>
          <w:p w14:paraId="09C2D820" w14:textId="77777777" w:rsidR="001F7F70" w:rsidRDefault="001F7F70">
            <w:r>
              <w:t xml:space="preserve">utiliser </w:t>
            </w:r>
            <w:r>
              <w:rPr>
                <w:rStyle w:val="VerbatimChar"/>
              </w:rPr>
              <w:t>E41_Appellation</w:t>
            </w:r>
          </w:p>
        </w:tc>
      </w:tr>
      <w:tr w:rsidR="001F7F70" w14:paraId="75CAB612" w14:textId="77777777">
        <w:tc>
          <w:tcPr>
            <w:tcW w:w="0" w:type="auto"/>
          </w:tcPr>
          <w:p w14:paraId="474285F7" w14:textId="77777777" w:rsidR="001F7F70" w:rsidRDefault="001F7F70">
            <w:r>
              <w:rPr>
                <w:rStyle w:val="VerbatimChar"/>
              </w:rPr>
              <w:t>E49_Appellation_de_temps</w:t>
            </w:r>
          </w:p>
        </w:tc>
        <w:tc>
          <w:tcPr>
            <w:tcW w:w="0" w:type="auto"/>
          </w:tcPr>
          <w:p w14:paraId="5E1A2F2B" w14:textId="77777777" w:rsidR="001F7F70" w:rsidRDefault="001F7F70">
            <w:r>
              <w:t xml:space="preserve">utiliser </w:t>
            </w:r>
            <w:r>
              <w:rPr>
                <w:rStyle w:val="VerbatimChar"/>
              </w:rPr>
              <w:t>E41_Appellation</w:t>
            </w:r>
          </w:p>
        </w:tc>
      </w:tr>
      <w:tr w:rsidR="001F7F70" w14:paraId="470926B8" w14:textId="77777777">
        <w:tc>
          <w:tcPr>
            <w:tcW w:w="0" w:type="auto"/>
          </w:tcPr>
          <w:p w14:paraId="7CB7CCD7" w14:textId="77777777" w:rsidR="001F7F70" w:rsidRDefault="001F7F70">
            <w:r>
              <w:rPr>
                <w:rStyle w:val="VerbatimChar"/>
              </w:rPr>
              <w:t>E50_Date</w:t>
            </w:r>
          </w:p>
        </w:tc>
        <w:tc>
          <w:tcPr>
            <w:tcW w:w="0" w:type="auto"/>
          </w:tcPr>
          <w:p w14:paraId="323A617F" w14:textId="77777777" w:rsidR="001F7F70" w:rsidRDefault="001F7F70">
            <w:r>
              <w:t xml:space="preserve">utiliser </w:t>
            </w:r>
            <w:r>
              <w:rPr>
                <w:rStyle w:val="VerbatimChar"/>
              </w:rPr>
              <w:t>E61_Primitive_temporelle</w:t>
            </w:r>
          </w:p>
        </w:tc>
      </w:tr>
      <w:tr w:rsidR="001F7F70" w14:paraId="27411B73" w14:textId="77777777">
        <w:tc>
          <w:tcPr>
            <w:tcW w:w="0" w:type="auto"/>
          </w:tcPr>
          <w:p w14:paraId="451F4D57" w14:textId="77777777" w:rsidR="001F7F70" w:rsidRDefault="001F7F70">
            <w:r>
              <w:rPr>
                <w:rStyle w:val="VerbatimChar"/>
              </w:rPr>
              <w:t>E51_Point_de_contact</w:t>
            </w:r>
          </w:p>
        </w:tc>
        <w:tc>
          <w:tcPr>
            <w:tcW w:w="0" w:type="auto"/>
          </w:tcPr>
          <w:p w14:paraId="5CE6DD0B" w14:textId="77777777" w:rsidR="001F7F70" w:rsidRDefault="001F7F70">
            <w:r>
              <w:t xml:space="preserve">utiliser </w:t>
            </w:r>
            <w:r>
              <w:rPr>
                <w:rStyle w:val="VerbatimChar"/>
              </w:rPr>
              <w:t>E41_Appellation</w:t>
            </w:r>
            <w:r>
              <w:t xml:space="preserve">, </w:t>
            </w:r>
            <w:r>
              <w:rPr>
                <w:rStyle w:val="VerbatimChar"/>
              </w:rPr>
              <w:t>P2_a_pour_type</w:t>
            </w:r>
            <w:r>
              <w:t xml:space="preserve"> : « Point de contact »</w:t>
            </w:r>
          </w:p>
        </w:tc>
      </w:tr>
      <w:tr w:rsidR="001F7F70" w14:paraId="59C7A65F" w14:textId="77777777">
        <w:tc>
          <w:tcPr>
            <w:tcW w:w="0" w:type="auto"/>
          </w:tcPr>
          <w:p w14:paraId="07C6E0B9" w14:textId="0E7DE73A" w:rsidR="001F7F70" w:rsidRDefault="001F7F70">
            <w:r>
              <w:rPr>
                <w:rStyle w:val="VerbatimChar"/>
              </w:rPr>
              <w:t>E75_Appellation_d</w:t>
            </w:r>
            <w:r w:rsidR="00E84B0E">
              <w:rPr>
                <w:rStyle w:val="VerbatimChar"/>
              </w:rPr>
              <w:t>’</w:t>
            </w:r>
            <w:r>
              <w:rPr>
                <w:rStyle w:val="VerbatimChar"/>
              </w:rPr>
              <w:t>objet_conceptuel</w:t>
            </w:r>
          </w:p>
        </w:tc>
        <w:tc>
          <w:tcPr>
            <w:tcW w:w="0" w:type="auto"/>
          </w:tcPr>
          <w:p w14:paraId="73A7D9CB" w14:textId="77777777" w:rsidR="001F7F70" w:rsidRDefault="001F7F70">
            <w:r>
              <w:t xml:space="preserve">utiliser </w:t>
            </w:r>
            <w:r>
              <w:rPr>
                <w:rStyle w:val="VerbatimChar"/>
              </w:rPr>
              <w:t>E41_Appellation</w:t>
            </w:r>
          </w:p>
        </w:tc>
      </w:tr>
      <w:tr w:rsidR="001F7F70" w14:paraId="3BB2FD42" w14:textId="77777777">
        <w:tc>
          <w:tcPr>
            <w:tcW w:w="0" w:type="auto"/>
          </w:tcPr>
          <w:p w14:paraId="5B467608" w14:textId="4ABA4FD3" w:rsidR="001F7F70" w:rsidRDefault="001F7F70">
            <w:r>
              <w:rPr>
                <w:rStyle w:val="VerbatimChar"/>
              </w:rPr>
              <w:t>E82_Appellation_d</w:t>
            </w:r>
            <w:r w:rsidR="00E84B0E">
              <w:rPr>
                <w:rStyle w:val="VerbatimChar"/>
              </w:rPr>
              <w:t>’</w:t>
            </w:r>
            <w:r>
              <w:rPr>
                <w:rStyle w:val="VerbatimChar"/>
              </w:rPr>
              <w:t>acteur</w:t>
            </w:r>
          </w:p>
        </w:tc>
        <w:tc>
          <w:tcPr>
            <w:tcW w:w="0" w:type="auto"/>
          </w:tcPr>
          <w:p w14:paraId="392B03D9" w14:textId="77777777" w:rsidR="001F7F70" w:rsidRDefault="001F7F70">
            <w:r>
              <w:t xml:space="preserve">utiliser </w:t>
            </w:r>
            <w:r>
              <w:rPr>
                <w:rStyle w:val="VerbatimChar"/>
              </w:rPr>
              <w:t>E41_Appellation</w:t>
            </w:r>
          </w:p>
        </w:tc>
      </w:tr>
      <w:tr w:rsidR="001F7F70" w14:paraId="371144D2" w14:textId="77777777">
        <w:tc>
          <w:tcPr>
            <w:tcW w:w="0" w:type="auto"/>
          </w:tcPr>
          <w:p w14:paraId="5CAAA23E" w14:textId="40B4AFC9" w:rsidR="001F7F70" w:rsidRDefault="001F7F70">
            <w:r>
              <w:rPr>
                <w:rStyle w:val="VerbatimChar"/>
              </w:rPr>
              <w:t>E84_Porteur_d</w:t>
            </w:r>
            <w:r w:rsidR="00E84B0E">
              <w:rPr>
                <w:rStyle w:val="VerbatimChar"/>
              </w:rPr>
              <w:t>’</w:t>
            </w:r>
            <w:r>
              <w:rPr>
                <w:rStyle w:val="VerbatimChar"/>
              </w:rPr>
              <w:t>information</w:t>
            </w:r>
          </w:p>
        </w:tc>
        <w:tc>
          <w:tcPr>
            <w:tcW w:w="0" w:type="auto"/>
          </w:tcPr>
          <w:p w14:paraId="191F197D" w14:textId="1417CB95" w:rsidR="001F7F70" w:rsidRDefault="001F7F70">
            <w:r>
              <w:t xml:space="preserve">utiliser </w:t>
            </w:r>
            <w:r>
              <w:rPr>
                <w:rStyle w:val="VerbatimChar"/>
              </w:rPr>
              <w:t>E22_Objet_élaboré_par_l</w:t>
            </w:r>
            <w:r w:rsidR="00E84B0E">
              <w:rPr>
                <w:rStyle w:val="VerbatimChar"/>
              </w:rPr>
              <w:t>’</w:t>
            </w:r>
            <w:r>
              <w:rPr>
                <w:rStyle w:val="VerbatimChar"/>
              </w:rPr>
              <w:t>humain</w:t>
            </w:r>
            <w:r>
              <w:t xml:space="preserve">, </w:t>
            </w:r>
            <w:r>
              <w:rPr>
                <w:rStyle w:val="VerbatimChar"/>
              </w:rPr>
              <w:t>P2_a_pour_type</w:t>
            </w:r>
            <w:r>
              <w:t xml:space="preserve"> : « Porteur d</w:t>
            </w:r>
            <w:r w:rsidR="00E84B0E">
              <w:t>’</w:t>
            </w:r>
            <w:r>
              <w:t>information »</w:t>
            </w:r>
          </w:p>
        </w:tc>
      </w:tr>
    </w:tbl>
    <w:p w14:paraId="325DC697" w14:textId="77777777" w:rsidR="001F7F70" w:rsidRDefault="001F7F70" w:rsidP="001F7F70">
      <w:pPr>
        <w:pStyle w:val="Normalcentr"/>
      </w:pPr>
      <w:bookmarkStart w:id="598" w:name="Xbc0824d9ded619875c902969e52b54684c8ccc7"/>
      <w:bookmarkEnd w:id="597"/>
      <w:r>
        <w:rPr>
          <w:b/>
          <w:bCs/>
          <w:i/>
          <w:iCs/>
        </w:rPr>
        <w:t>Note de traduction</w:t>
      </w:r>
    </w:p>
    <w:p w14:paraId="5298506B" w14:textId="0BC847DA" w:rsidR="001F7F70" w:rsidRDefault="001F7F70" w:rsidP="001F7F70">
      <w:pPr>
        <w:pStyle w:val="Normalcentr"/>
      </w:pPr>
      <w:r>
        <w:t>Les traductions des classes dépréciées sont littérales et n</w:t>
      </w:r>
      <w:r w:rsidR="00E84B0E">
        <w:t>’</w:t>
      </w:r>
      <w:r>
        <w:t>ont pas fait l</w:t>
      </w:r>
      <w:r w:rsidR="00E84B0E">
        <w:t>’</w:t>
      </w:r>
      <w:r>
        <w:t>objet d</w:t>
      </w:r>
      <w:r w:rsidR="00E84B0E">
        <w:t>’</w:t>
      </w:r>
      <w:r>
        <w:t>un examen dédié dans le cadre de ce travail.</w:t>
      </w:r>
    </w:p>
    <w:p w14:paraId="4E0F0C75" w14:textId="47E32F19" w:rsidR="001F7F70" w:rsidRPr="005D00A8" w:rsidRDefault="001F7F70" w:rsidP="001F7F70">
      <w:pPr>
        <w:pStyle w:val="Normalcentr"/>
        <w:rPr>
          <w:lang w:val="fr-CA"/>
        </w:rPr>
      </w:pPr>
      <w:r>
        <w:rPr>
          <w:b/>
          <w:bCs/>
          <w:i/>
          <w:iCs/>
        </w:rPr>
        <w:t>Références</w:t>
      </w:r>
    </w:p>
    <w:p w14:paraId="7CC94283" w14:textId="028BF3A7" w:rsidR="00065317" w:rsidRDefault="005C7BF7" w:rsidP="002E3458">
      <w:pPr>
        <w:pStyle w:val="Titre4"/>
      </w:pPr>
      <w:bookmarkStart w:id="599" w:name="_Toc154048984"/>
      <w:r>
        <w:t>Instructions de migration des propriétés dépréciées</w:t>
      </w:r>
      <w:bookmarkEnd w:id="599"/>
    </w:p>
    <w:tbl>
      <w:tblPr>
        <w:tblStyle w:val="Table"/>
        <w:tblW w:w="4969" w:type="pct"/>
        <w:tblInd w:w="0" w:type="dxa"/>
        <w:tblLook w:val="0000" w:firstRow="0" w:lastRow="0" w:firstColumn="0" w:lastColumn="0" w:noHBand="0" w:noVBand="0"/>
      </w:tblPr>
      <w:tblGrid>
        <w:gridCol w:w="4692"/>
        <w:gridCol w:w="6022"/>
      </w:tblGrid>
      <w:tr w:rsidR="00FA2C22" w14:paraId="3196D7EB" w14:textId="77777777" w:rsidTr="001F7F70">
        <w:tc>
          <w:tcPr>
            <w:tcW w:w="0" w:type="auto"/>
          </w:tcPr>
          <w:p w14:paraId="645AC5B5" w14:textId="3BF2351E" w:rsidR="00FA2C22" w:rsidRDefault="00FA2C22" w:rsidP="00FA2C22">
            <w:pPr>
              <w:rPr>
                <w:rStyle w:val="VerbatimChar"/>
              </w:rPr>
            </w:pPr>
            <w:r>
              <w:rPr>
                <w:rStyle w:val="lev"/>
                <w:rFonts w:cs="Segoe UI"/>
                <w:color w:val="3F3F3F"/>
                <w:shd w:val="clear" w:color="auto" w:fill="FDFDFD"/>
              </w:rPr>
              <w:t>Propriété</w:t>
            </w:r>
            <w:r w:rsidRPr="00FA2C22">
              <w:rPr>
                <w:rStyle w:val="lev"/>
                <w:rFonts w:cs="Segoe UI"/>
                <w:color w:val="3F3F3F"/>
                <w:shd w:val="clear" w:color="auto" w:fill="FDFDFD"/>
              </w:rPr>
              <w:t xml:space="preserve"> dépréciée</w:t>
            </w:r>
          </w:p>
        </w:tc>
        <w:tc>
          <w:tcPr>
            <w:tcW w:w="0" w:type="auto"/>
          </w:tcPr>
          <w:p w14:paraId="095F8C52" w14:textId="3B64F98B" w:rsidR="00FA2C22" w:rsidRDefault="00FA2C22" w:rsidP="00FA2C22">
            <w:r w:rsidRPr="00FA2C22">
              <w:rPr>
                <w:rStyle w:val="lev"/>
                <w:rFonts w:cs="Segoe UI"/>
                <w:color w:val="3F3F3F"/>
                <w:shd w:val="clear" w:color="auto" w:fill="FDFDFD"/>
              </w:rPr>
              <w:t>Instruction de migration</w:t>
            </w:r>
          </w:p>
        </w:tc>
      </w:tr>
      <w:tr w:rsidR="00FA2C22" w14:paraId="08AD882B" w14:textId="77777777" w:rsidTr="001F7F70">
        <w:tc>
          <w:tcPr>
            <w:tcW w:w="0" w:type="auto"/>
          </w:tcPr>
          <w:p w14:paraId="7F69077F" w14:textId="77777777" w:rsidR="00FA2C22" w:rsidRDefault="00FA2C22" w:rsidP="00FA2C22">
            <w:r>
              <w:rPr>
                <w:rStyle w:val="VerbatimChar"/>
              </w:rPr>
              <w:t>P58_a_pour_définition_de_section (définit_la_section)</w:t>
            </w:r>
          </w:p>
        </w:tc>
        <w:tc>
          <w:tcPr>
            <w:tcW w:w="0" w:type="auto"/>
          </w:tcPr>
          <w:p w14:paraId="7B518B3E" w14:textId="77777777" w:rsidR="00FA2C22" w:rsidRDefault="00FA2C22" w:rsidP="00FA2C22">
            <w:r>
              <w:t xml:space="preserve">utiliser </w:t>
            </w:r>
            <w:r>
              <w:rPr>
                <w:rStyle w:val="VerbatimChar"/>
              </w:rPr>
              <w:t>P1_est_identifié_par (identifie)</w:t>
            </w:r>
          </w:p>
        </w:tc>
      </w:tr>
      <w:tr w:rsidR="00FA2C22" w14:paraId="672C7C75" w14:textId="77777777" w:rsidTr="001F7F70">
        <w:tc>
          <w:tcPr>
            <w:tcW w:w="0" w:type="auto"/>
          </w:tcPr>
          <w:p w14:paraId="044D8F0D" w14:textId="372641DB" w:rsidR="00FA2C22" w:rsidRDefault="00FA2C22" w:rsidP="00FA2C22">
            <w:r>
              <w:rPr>
                <w:rStyle w:val="VerbatimChar"/>
              </w:rPr>
              <w:t>P78_est_identifié_par</w:t>
            </w:r>
            <w:r w:rsidR="00A162DC">
              <w:rPr>
                <w:rStyle w:val="VerbatimChar"/>
              </w:rPr>
              <w:t xml:space="preserve"> </w:t>
            </w:r>
            <w:r>
              <w:rPr>
                <w:rStyle w:val="VerbatimChar"/>
              </w:rPr>
              <w:t>(identifie)</w:t>
            </w:r>
            <w:r>
              <w:t xml:space="preserve"> : </w:t>
            </w:r>
            <w:r>
              <w:rPr>
                <w:rStyle w:val="VerbatimChar"/>
              </w:rPr>
              <w:t>E49_Appellation_de_temps</w:t>
            </w:r>
          </w:p>
          <w:p w14:paraId="2E758665" w14:textId="4D740F51" w:rsidR="00FA2C22" w:rsidRDefault="00FA2C22" w:rsidP="00FA2C22">
            <w:r>
              <w:t>[à l</w:t>
            </w:r>
            <w:r w:rsidR="00E84B0E">
              <w:t>’</w:t>
            </w:r>
            <w:r>
              <w:t xml:space="preserve">exception des instances de </w:t>
            </w:r>
            <w:r>
              <w:rPr>
                <w:rStyle w:val="VerbatimChar"/>
              </w:rPr>
              <w:t>E50_Date</w:t>
            </w:r>
            <w:r>
              <w:t>]</w:t>
            </w:r>
          </w:p>
        </w:tc>
        <w:tc>
          <w:tcPr>
            <w:tcW w:w="0" w:type="auto"/>
          </w:tcPr>
          <w:p w14:paraId="6DB18BA8" w14:textId="77777777" w:rsidR="00FA2C22" w:rsidRDefault="00FA2C22" w:rsidP="00FA2C22">
            <w:r>
              <w:t xml:space="preserve">utiliser </w:t>
            </w:r>
            <w:r>
              <w:rPr>
                <w:rStyle w:val="VerbatimChar"/>
              </w:rPr>
              <w:t>P1_est_identifié_par (identifie)</w:t>
            </w:r>
            <w:r>
              <w:t xml:space="preserve"> : </w:t>
            </w:r>
            <w:r>
              <w:rPr>
                <w:rStyle w:val="VerbatimChar"/>
              </w:rPr>
              <w:t xml:space="preserve">E41_Appellation </w:t>
            </w:r>
            <w:r>
              <w:t>[par exemple, des noms de règles impériales japonaises]</w:t>
            </w:r>
          </w:p>
        </w:tc>
      </w:tr>
      <w:tr w:rsidR="00FA2C22" w14:paraId="54996F8F" w14:textId="77777777" w:rsidTr="001F7F70">
        <w:tc>
          <w:tcPr>
            <w:tcW w:w="0" w:type="auto"/>
          </w:tcPr>
          <w:p w14:paraId="30AF777C" w14:textId="51B940C1" w:rsidR="00FA2C22" w:rsidRDefault="00FA2C22" w:rsidP="00FA2C22">
            <w:r>
              <w:rPr>
                <w:rStyle w:val="VerbatimChar"/>
              </w:rPr>
              <w:t>P78_est_identifié_par (identifie)</w:t>
            </w:r>
            <w:r>
              <w:t xml:space="preserve"> : </w:t>
            </w:r>
            <w:r>
              <w:rPr>
                <w:rStyle w:val="VerbatimChar"/>
              </w:rPr>
              <w:t>E50_Date</w:t>
            </w:r>
          </w:p>
        </w:tc>
        <w:tc>
          <w:tcPr>
            <w:tcW w:w="0" w:type="auto"/>
          </w:tcPr>
          <w:p w14:paraId="5687A7DD" w14:textId="77777777" w:rsidR="00FA2C22" w:rsidRDefault="00FA2C22" w:rsidP="00FA2C22">
            <w:r>
              <w:t xml:space="preserve">utiliser </w:t>
            </w:r>
            <w:r>
              <w:rPr>
                <w:rStyle w:val="VerbatimChar"/>
              </w:rPr>
              <w:t>P170i_temps_défini_par</w:t>
            </w:r>
            <w:r>
              <w:t xml:space="preserve"> : </w:t>
            </w:r>
            <w:r>
              <w:rPr>
                <w:rStyle w:val="VerbatimChar"/>
              </w:rPr>
              <w:t>E61_Primitive_temporelle</w:t>
            </w:r>
          </w:p>
        </w:tc>
      </w:tr>
      <w:tr w:rsidR="00FA2C22" w14:paraId="3D798254" w14:textId="77777777" w:rsidTr="001F7F70">
        <w:tc>
          <w:tcPr>
            <w:tcW w:w="0" w:type="auto"/>
          </w:tcPr>
          <w:p w14:paraId="1D599F23" w14:textId="77777777" w:rsidR="00FA2C22" w:rsidRDefault="00FA2C22" w:rsidP="00FA2C22">
            <w:r>
              <w:rPr>
                <w:rStyle w:val="VerbatimChar"/>
              </w:rPr>
              <w:t>P88_consiste_en (fait_partie_de)</w:t>
            </w:r>
          </w:p>
        </w:tc>
        <w:tc>
          <w:tcPr>
            <w:tcW w:w="0" w:type="auto"/>
          </w:tcPr>
          <w:p w14:paraId="123AC18F" w14:textId="6D96437D" w:rsidR="00FA2C22" w:rsidRDefault="00FA2C22" w:rsidP="00FA2C22">
            <w:r>
              <w:t>s</w:t>
            </w:r>
            <w:r w:rsidR="00E84B0E">
              <w:t>’</w:t>
            </w:r>
            <w:r>
              <w:t>il s</w:t>
            </w:r>
            <w:r w:rsidR="00E84B0E">
              <w:t>’</w:t>
            </w:r>
            <w:r>
              <w:t>agit d</w:t>
            </w:r>
            <w:r w:rsidR="00E84B0E">
              <w:t>’</w:t>
            </w:r>
            <w:r>
              <w:t xml:space="preserve">une décomposition géométrique, utiliser </w:t>
            </w:r>
            <w:r>
              <w:rPr>
                <w:rStyle w:val="VerbatimChar"/>
              </w:rPr>
              <w:t>P89i_contient</w:t>
            </w:r>
          </w:p>
          <w:p w14:paraId="73203522" w14:textId="3904B0F9" w:rsidR="00FA2C22" w:rsidRDefault="00FA2C22" w:rsidP="00FA2C22">
            <w:r>
              <w:t xml:space="preserve">Si le lieu dont il est question est une instance de </w:t>
            </w:r>
            <w:r>
              <w:rPr>
                <w:rStyle w:val="VerbatimChar"/>
              </w:rPr>
              <w:t>E26_Caractéristique_physique</w:t>
            </w:r>
            <w:r>
              <w:t xml:space="preserve"> et que l</w:t>
            </w:r>
            <w:r w:rsidR="00E84B0E">
              <w:t>’</w:t>
            </w:r>
            <w:r>
              <w:t xml:space="preserve">usage de </w:t>
            </w:r>
            <w:r>
              <w:rPr>
                <w:rStyle w:val="VerbatimChar"/>
              </w:rPr>
              <w:t>P88_consiste_en</w:t>
            </w:r>
            <w:r>
              <w:t xml:space="preserve"> a pour objectif de décrire la décomposition en des composantes naturelles, décrire </w:t>
            </w:r>
            <w:r>
              <w:lastRenderedPageBreak/>
              <w:t>explicitement l</w:t>
            </w:r>
            <w:r w:rsidR="00E84B0E">
              <w:t>’</w:t>
            </w:r>
            <w:r>
              <w:t xml:space="preserve">instance de </w:t>
            </w:r>
            <w:r>
              <w:rPr>
                <w:rStyle w:val="VerbatimChar"/>
              </w:rPr>
              <w:t>E26_Caractéristique_physique</w:t>
            </w:r>
            <w:r>
              <w:t xml:space="preserve"> ainsi que ses composantes en utilisant </w:t>
            </w:r>
            <w:r>
              <w:rPr>
                <w:rStyle w:val="VerbatimChar"/>
              </w:rPr>
              <w:t>P46_est_composé_de</w:t>
            </w:r>
          </w:p>
        </w:tc>
      </w:tr>
      <w:tr w:rsidR="00FA2C22" w14:paraId="5312129E" w14:textId="77777777" w:rsidTr="001F7F70">
        <w:tc>
          <w:tcPr>
            <w:tcW w:w="0" w:type="auto"/>
          </w:tcPr>
          <w:p w14:paraId="7989A2B5" w14:textId="77777777" w:rsidR="00FA2C22" w:rsidRDefault="00FA2C22" w:rsidP="00FA2C22">
            <w:r>
              <w:rPr>
                <w:rStyle w:val="VerbatimChar"/>
              </w:rPr>
              <w:lastRenderedPageBreak/>
              <w:t>P83_a_eu_pour_durée_minimale (était_la_durée_minimale_de)</w:t>
            </w:r>
          </w:p>
          <w:p w14:paraId="303403EC" w14:textId="77777777" w:rsidR="00FA2C22" w:rsidRDefault="00FA2C22" w:rsidP="00FA2C22"/>
          <w:p w14:paraId="56874C79" w14:textId="77777777" w:rsidR="00FA2C22" w:rsidRDefault="00FA2C22" w:rsidP="00FA2C22">
            <w:r>
              <w:t>et</w:t>
            </w:r>
          </w:p>
          <w:p w14:paraId="1F8DB2B3" w14:textId="77777777" w:rsidR="00FA2C22" w:rsidRDefault="00FA2C22" w:rsidP="00FA2C22">
            <w:r>
              <w:rPr>
                <w:rStyle w:val="VerbatimChar"/>
              </w:rPr>
              <w:t>P84_a_eu_pour_durée_maximale (était_la_durée_maximale_de)</w:t>
            </w:r>
          </w:p>
        </w:tc>
        <w:tc>
          <w:tcPr>
            <w:tcW w:w="0" w:type="auto"/>
          </w:tcPr>
          <w:p w14:paraId="1A0D305B" w14:textId="77777777" w:rsidR="00FA2C22" w:rsidRDefault="00FA2C22" w:rsidP="00FA2C22">
            <w:r>
              <w:t xml:space="preserve">utiliser </w:t>
            </w:r>
            <w:r>
              <w:rPr>
                <w:rStyle w:val="VerbatimChar"/>
              </w:rPr>
              <w:t>P191_a_eu_pour_durée (était_la_durée_de)</w:t>
            </w:r>
          </w:p>
          <w:p w14:paraId="0704D6CC" w14:textId="77777777" w:rsidR="00FA2C22" w:rsidRDefault="00FA2C22" w:rsidP="00FA2C22">
            <w:r>
              <w:t xml:space="preserve">Les instances de </w:t>
            </w:r>
            <w:r>
              <w:rPr>
                <w:rStyle w:val="VerbatimChar"/>
              </w:rPr>
              <w:t>E60_Nombre</w:t>
            </w:r>
            <w:r>
              <w:t xml:space="preserve"> qui se trouvent dans des chemins sémantiques complets (</w:t>
            </w:r>
            <w:r>
              <w:rPr>
                <w:rStyle w:val="VerbatimChar"/>
              </w:rPr>
              <w:t>E52_Intervalle_temporel</w:t>
            </w:r>
            <w:r>
              <w:t xml:space="preserve"> . </w:t>
            </w:r>
            <w:r>
              <w:rPr>
                <w:rStyle w:val="VerbatimChar"/>
              </w:rPr>
              <w:t>P83_a_eu_pour_durée_minimale</w:t>
            </w:r>
            <w:r>
              <w:t xml:space="preserve"> . </w:t>
            </w:r>
            <w:r>
              <w:rPr>
                <w:rStyle w:val="VerbatimChar"/>
              </w:rPr>
              <w:t>E54_Dimension</w:t>
            </w:r>
            <w:r>
              <w:t xml:space="preserve"> . </w:t>
            </w:r>
            <w:r>
              <w:rPr>
                <w:rStyle w:val="VerbatimChar"/>
              </w:rPr>
              <w:t>P90_a_pour_valeur</w:t>
            </w:r>
            <w:r>
              <w:t xml:space="preserve"> . </w:t>
            </w:r>
            <w:r>
              <w:rPr>
                <w:rStyle w:val="VerbatimChar"/>
              </w:rPr>
              <w:t>E60_Nombre</w:t>
            </w:r>
            <w:r>
              <w:t xml:space="preserve"> et </w:t>
            </w:r>
            <w:r>
              <w:rPr>
                <w:rStyle w:val="VerbatimChar"/>
              </w:rPr>
              <w:t>E52_Intervalle_temporel</w:t>
            </w:r>
            <w:r>
              <w:t xml:space="preserve"> . </w:t>
            </w:r>
            <w:r>
              <w:rPr>
                <w:rStyle w:val="VerbatimChar"/>
              </w:rPr>
              <w:t>P84_a_eu_pour_durée_maximale</w:t>
            </w:r>
            <w:r>
              <w:t xml:space="preserve"> . </w:t>
            </w:r>
            <w:r>
              <w:rPr>
                <w:rStyle w:val="VerbatimChar"/>
              </w:rPr>
              <w:t>E54_Dimension</w:t>
            </w:r>
            <w:r>
              <w:t xml:space="preserve"> . </w:t>
            </w:r>
            <w:r>
              <w:rPr>
                <w:rStyle w:val="VerbatimChar"/>
              </w:rPr>
              <w:t>P90_a_pour_valeur</w:t>
            </w:r>
            <w:r>
              <w:t xml:space="preserve"> . </w:t>
            </w:r>
            <w:r>
              <w:rPr>
                <w:rStyle w:val="VerbatimChar"/>
              </w:rPr>
              <w:t>E60_Nombre</w:t>
            </w:r>
            <w:r>
              <w:t xml:space="preserve">) devraient être amalgamées en un seul intervalle numérique, instance de </w:t>
            </w:r>
            <w:r>
              <w:rPr>
                <w:rStyle w:val="VerbatimChar"/>
              </w:rPr>
              <w:t>E60_Nombre</w:t>
            </w:r>
            <w:r>
              <w:t xml:space="preserve"> : </w:t>
            </w:r>
            <w:r>
              <w:rPr>
                <w:rStyle w:val="VerbatimChar"/>
              </w:rPr>
              <w:t>E52_Intervalle_temporel</w:t>
            </w:r>
            <w:r>
              <w:t xml:space="preserve"> . </w:t>
            </w:r>
            <w:r>
              <w:rPr>
                <w:rStyle w:val="VerbatimChar"/>
              </w:rPr>
              <w:t>P191_a_eu_pour_durée</w:t>
            </w:r>
            <w:r>
              <w:t xml:space="preserve"> . </w:t>
            </w:r>
            <w:r>
              <w:rPr>
                <w:rStyle w:val="VerbatimChar"/>
              </w:rPr>
              <w:t>E54_Dimension</w:t>
            </w:r>
            <w:r>
              <w:t xml:space="preserve"> . </w:t>
            </w:r>
            <w:r>
              <w:rPr>
                <w:rStyle w:val="VerbatimChar"/>
              </w:rPr>
              <w:t>P90_a_pour_valeur</w:t>
            </w:r>
            <w:r>
              <w:t xml:space="preserve"> . </w:t>
            </w:r>
            <w:r>
              <w:rPr>
                <w:rStyle w:val="VerbatimChar"/>
              </w:rPr>
              <w:t>E60_Nombre</w:t>
            </w:r>
          </w:p>
          <w:p w14:paraId="5FB10B60" w14:textId="77851A4A" w:rsidR="00FA2C22" w:rsidRDefault="00FA2C22" w:rsidP="00FA2C22">
            <w:r>
              <w:t xml:space="preserve">Pour représenter les intervalles en encodage </w:t>
            </w:r>
            <w:hyperlink r:id="rId362">
              <w:r>
                <w:rPr>
                  <w:rStyle w:val="Lienhypertexte"/>
                </w:rPr>
                <w:t>RDF</w:t>
              </w:r>
            </w:hyperlink>
            <w:r>
              <w:t>/</w:t>
            </w:r>
            <w:hyperlink r:id="rId363">
              <w:r>
                <w:rPr>
                  <w:rStyle w:val="Lienhypertexte"/>
                </w:rPr>
                <w:t>OWL</w:t>
              </w:r>
            </w:hyperlink>
            <w:r>
              <w:t>, voir les recommandations d</w:t>
            </w:r>
            <w:r w:rsidR="00E84B0E">
              <w:t>’</w:t>
            </w:r>
            <w:r>
              <w:t>implémentation de chacun.</w:t>
            </w:r>
          </w:p>
        </w:tc>
      </w:tr>
      <w:tr w:rsidR="00FA2C22" w14:paraId="22D4C485" w14:textId="77777777" w:rsidTr="001F7F70">
        <w:tc>
          <w:tcPr>
            <w:tcW w:w="0" w:type="auto"/>
          </w:tcPr>
          <w:p w14:paraId="77611488" w14:textId="4AF61B62" w:rsidR="00FA2C22" w:rsidRDefault="00FA2C22" w:rsidP="00FA2C22">
            <w:r>
              <w:rPr>
                <w:rStyle w:val="VerbatimChar"/>
              </w:rPr>
              <w:t>P87_est_identifié_par (identifie)</w:t>
            </w:r>
            <w:r>
              <w:t xml:space="preserve"> : </w:t>
            </w:r>
            <w:r>
              <w:rPr>
                <w:rStyle w:val="VerbatimChar"/>
              </w:rPr>
              <w:t>E44_Appellation_du_lieu</w:t>
            </w:r>
            <w:r>
              <w:t xml:space="preserve"> (à l</w:t>
            </w:r>
            <w:r w:rsidR="00E84B0E">
              <w:t>’</w:t>
            </w:r>
            <w:r>
              <w:t xml:space="preserve">exception des instances de </w:t>
            </w:r>
            <w:r>
              <w:rPr>
                <w:rStyle w:val="VerbatimChar"/>
              </w:rPr>
              <w:t>E47_Coordonnées_spatiales</w:t>
            </w:r>
            <w:r>
              <w:t>).</w:t>
            </w:r>
          </w:p>
        </w:tc>
        <w:tc>
          <w:tcPr>
            <w:tcW w:w="0" w:type="auto"/>
          </w:tcPr>
          <w:p w14:paraId="625D9D24" w14:textId="77777777" w:rsidR="00FA2C22" w:rsidRDefault="00FA2C22" w:rsidP="00FA2C22">
            <w:r>
              <w:t xml:space="preserve">utiliser </w:t>
            </w:r>
            <w:r>
              <w:rPr>
                <w:rStyle w:val="VerbatimChar"/>
              </w:rPr>
              <w:t>P1_est_identifié_par (identifie)</w:t>
            </w:r>
            <w:r>
              <w:t xml:space="preserve"> : </w:t>
            </w:r>
            <w:r>
              <w:rPr>
                <w:rStyle w:val="VerbatimChar"/>
              </w:rPr>
              <w:t>E41_Appellation</w:t>
            </w:r>
          </w:p>
        </w:tc>
      </w:tr>
      <w:tr w:rsidR="00FA2C22" w14:paraId="1B0B360B" w14:textId="77777777" w:rsidTr="001F7F70">
        <w:tc>
          <w:tcPr>
            <w:tcW w:w="0" w:type="auto"/>
          </w:tcPr>
          <w:p w14:paraId="5783D6C4" w14:textId="5E854E53" w:rsidR="00FA2C22" w:rsidRDefault="00FA2C22" w:rsidP="00FA2C22">
            <w:r>
              <w:rPr>
                <w:rStyle w:val="VerbatimChar"/>
              </w:rPr>
              <w:t>P87_est_identifié_par (identifie)</w:t>
            </w:r>
            <w:r>
              <w:t xml:space="preserve"> : </w:t>
            </w:r>
            <w:r>
              <w:rPr>
                <w:rStyle w:val="VerbatimChar"/>
              </w:rPr>
              <w:t>E47_Coordonnées_spatiales</w:t>
            </w:r>
          </w:p>
        </w:tc>
        <w:tc>
          <w:tcPr>
            <w:tcW w:w="0" w:type="auto"/>
          </w:tcPr>
          <w:p w14:paraId="77D2FCBC" w14:textId="77777777" w:rsidR="00FA2C22" w:rsidRDefault="00FA2C22" w:rsidP="00FA2C22">
            <w:r>
              <w:t xml:space="preserve">utiliser </w:t>
            </w:r>
            <w:r>
              <w:rPr>
                <w:rStyle w:val="VerbatimChar"/>
              </w:rPr>
              <w:t>P168i_définit_le_lieu</w:t>
            </w:r>
            <w:r>
              <w:t xml:space="preserve"> : </w:t>
            </w:r>
            <w:r>
              <w:rPr>
                <w:rStyle w:val="VerbatimChar"/>
              </w:rPr>
              <w:t>E94_Primitive_spatiale</w:t>
            </w:r>
          </w:p>
        </w:tc>
      </w:tr>
      <w:tr w:rsidR="00FA2C22" w14:paraId="4A638E29" w14:textId="77777777" w:rsidTr="001F7F70">
        <w:tc>
          <w:tcPr>
            <w:tcW w:w="0" w:type="auto"/>
          </w:tcPr>
          <w:p w14:paraId="18250F74" w14:textId="3B1AAA2F" w:rsidR="00FA2C22" w:rsidRDefault="00FA2C22" w:rsidP="00FA2C22">
            <w:r>
              <w:rPr>
                <w:rStyle w:val="VerbatimChar"/>
              </w:rPr>
              <w:t>P114_a_pour_équivalence_temporelle</w:t>
            </w:r>
            <w:r>
              <w:t>*</w:t>
            </w:r>
          </w:p>
        </w:tc>
        <w:tc>
          <w:tcPr>
            <w:tcW w:w="0" w:type="auto"/>
          </w:tcPr>
          <w:p w14:paraId="60CE853E" w14:textId="07CE85E7" w:rsidR="00FA2C22" w:rsidRDefault="00FA2C22" w:rsidP="00FA2C22">
            <w:r>
              <w:t xml:space="preserve">utiliser le chemin sémantique complet depuis </w:t>
            </w:r>
            <w:r>
              <w:rPr>
                <w:rStyle w:val="VerbatimChar"/>
              </w:rPr>
              <w:t xml:space="preserve">E2_Entité_temporelle </w:t>
            </w:r>
            <w:r>
              <w:t xml:space="preserve">en passant par </w:t>
            </w:r>
            <w:r>
              <w:rPr>
                <w:rStyle w:val="VerbatimChar"/>
              </w:rPr>
              <w:t>P4_a_pour_intervalle_temporel</w:t>
            </w:r>
            <w:r>
              <w:t xml:space="preserve">, </w:t>
            </w:r>
            <w:r>
              <w:rPr>
                <w:rStyle w:val="VerbatimChar"/>
              </w:rPr>
              <w:t>E52_Intervalle_temporel</w:t>
            </w:r>
            <w:r>
              <w:t xml:space="preserve">, </w:t>
            </w:r>
            <w:r>
              <w:rPr>
                <w:rStyle w:val="VerbatimChar"/>
              </w:rPr>
              <w:t>P4i_est_l</w:t>
            </w:r>
            <w:r w:rsidR="00E84B0E">
              <w:rPr>
                <w:rStyle w:val="VerbatimChar"/>
              </w:rPr>
              <w:t>’</w:t>
            </w:r>
            <w:r>
              <w:rPr>
                <w:rStyle w:val="VerbatimChar"/>
              </w:rPr>
              <w:t>intervalle_temporel_de</w:t>
            </w:r>
            <w:r>
              <w:t xml:space="preserve"> . </w:t>
            </w:r>
            <w:r>
              <w:rPr>
                <w:rStyle w:val="VerbatimChar"/>
              </w:rPr>
              <w:t>E2_Entité_temporelle</w:t>
            </w:r>
          </w:p>
          <w:p w14:paraId="6DDA8CE3" w14:textId="1502DE4C" w:rsidR="00FA2C22" w:rsidRDefault="00FA2C22" w:rsidP="00FA2C22">
            <w:r>
              <w:t xml:space="preserve">Théoriquement, </w:t>
            </w:r>
            <w:r>
              <w:rPr>
                <w:i/>
                <w:iCs/>
              </w:rPr>
              <w:t>P114_a_pour_équivalence_temporelle</w:t>
            </w:r>
            <w:r>
              <w:t xml:space="preserve"> est l</w:t>
            </w:r>
            <w:r w:rsidR="00E84B0E">
              <w:t>’</w:t>
            </w:r>
            <w:r>
              <w:t>équivalent de la conjonction de (</w:t>
            </w:r>
            <w:r>
              <w:rPr>
                <w:rStyle w:val="VerbatimChar"/>
              </w:rPr>
              <w:t>P175_commence_avant_ou_au_moment_du_début_de</w:t>
            </w:r>
            <w:r>
              <w:t xml:space="preserve"> </w:t>
            </w:r>
            <w:r>
              <w:rPr>
                <w:b/>
                <w:bCs/>
              </w:rPr>
              <w:t>ET</w:t>
            </w:r>
            <w:r>
              <w:t xml:space="preserve"> </w:t>
            </w:r>
            <w:r>
              <w:rPr>
                <w:rStyle w:val="VerbatimChar"/>
              </w:rPr>
              <w:t>P175i_commence_après_ou_au_moment_du_début_de</w:t>
            </w:r>
            <w:r>
              <w:t xml:space="preserve"> </w:t>
            </w:r>
            <w:r>
              <w:rPr>
                <w:b/>
                <w:bCs/>
              </w:rPr>
              <w:t>ET</w:t>
            </w:r>
            <w:r>
              <w:t xml:space="preserve"> </w:t>
            </w:r>
            <w:r>
              <w:rPr>
                <w:rStyle w:val="VerbatimChar"/>
              </w:rPr>
              <w:t>P184_se_termine_avant_ou_au_moment_de_la_fin_de</w:t>
            </w:r>
            <w:r>
              <w:t xml:space="preserve"> </w:t>
            </w:r>
            <w:r>
              <w:rPr>
                <w:b/>
                <w:bCs/>
              </w:rPr>
              <w:t>ET</w:t>
            </w:r>
            <w:r>
              <w:t xml:space="preserve"> </w:t>
            </w:r>
            <w:r>
              <w:rPr>
                <w:rStyle w:val="VerbatimChar"/>
              </w:rPr>
              <w:t>P184i_se_termine_au_moment_ou_après_la_fin_de</w:t>
            </w:r>
            <w:r>
              <w:t>) sans frontières temporelles floues. Cependant, seules une cause commune ou un intervalle temporel déclaré socialement peuvent mener à l</w:t>
            </w:r>
            <w:r w:rsidR="00E84B0E">
              <w:t>’</w:t>
            </w:r>
            <w:r>
              <w:t xml:space="preserve">équivalence temporelle de différentes instances de </w:t>
            </w:r>
            <w:r>
              <w:rPr>
                <w:rStyle w:val="VerbatimChar"/>
              </w:rPr>
              <w:t>E2_Entité_temporelle</w:t>
            </w:r>
            <w:r>
              <w:t>. Par conséquent, la création d</w:t>
            </w:r>
            <w:r w:rsidR="00E84B0E">
              <w:t>’</w:t>
            </w:r>
            <w:r>
              <w:t xml:space="preserve">un chemin sémantique </w:t>
            </w:r>
            <w:r>
              <w:lastRenderedPageBreak/>
              <w:t>complet est la stratégie de migration qui devrait toujours être privilégiée.</w:t>
            </w:r>
          </w:p>
        </w:tc>
      </w:tr>
      <w:tr w:rsidR="00FA2C22" w14:paraId="06A659BD" w14:textId="77777777" w:rsidTr="001F7F70">
        <w:tc>
          <w:tcPr>
            <w:tcW w:w="0" w:type="auto"/>
          </w:tcPr>
          <w:p w14:paraId="6851945C" w14:textId="08FF935C" w:rsidR="00FA2C22" w:rsidRDefault="00FA2C22" w:rsidP="00FA2C22">
            <w:r>
              <w:rPr>
                <w:rStyle w:val="VerbatimChar"/>
              </w:rPr>
              <w:lastRenderedPageBreak/>
              <w:t>P115_termine (est terminé par)</w:t>
            </w:r>
            <w:r>
              <w:t>*</w:t>
            </w:r>
          </w:p>
        </w:tc>
        <w:tc>
          <w:tcPr>
            <w:tcW w:w="0" w:type="auto"/>
          </w:tcPr>
          <w:p w14:paraId="1CB5799F" w14:textId="77777777" w:rsidR="00FA2C22" w:rsidRDefault="00FA2C22" w:rsidP="00FA2C22">
            <w:r>
              <w:t xml:space="preserve">utiliser </w:t>
            </w:r>
            <w:r>
              <w:rPr>
                <w:rStyle w:val="VerbatimChar"/>
              </w:rPr>
              <w:t>P176i_commence_avant_le_début_de</w:t>
            </w:r>
            <w:r>
              <w:t xml:space="preserve"> </w:t>
            </w:r>
            <w:r>
              <w:rPr>
                <w:b/>
                <w:bCs/>
              </w:rPr>
              <w:t>ET</w:t>
            </w:r>
            <w:r>
              <w:t xml:space="preserve"> </w:t>
            </w:r>
            <w:r>
              <w:rPr>
                <w:rStyle w:val="VerbatimChar"/>
              </w:rPr>
              <w:t>P184_se_termine_avant_ou_au_moment_de_la_fin_de</w:t>
            </w:r>
            <w:r>
              <w:t xml:space="preserve"> </w:t>
            </w:r>
            <w:r>
              <w:rPr>
                <w:b/>
                <w:bCs/>
              </w:rPr>
              <w:t>ET</w:t>
            </w:r>
            <w:r>
              <w:t xml:space="preserve"> </w:t>
            </w:r>
            <w:r>
              <w:rPr>
                <w:rStyle w:val="VerbatimChar"/>
              </w:rPr>
              <w:t>P184i_se_termine_au_moment_ou_après_la_fin_de</w:t>
            </w:r>
            <w:r>
              <w:t xml:space="preserve"> [</w:t>
            </w:r>
            <w:r>
              <w:rPr>
                <w:rStyle w:val="VerbatimChar"/>
              </w:rPr>
              <w:t>P176i_commence_avant_le_début_de</w:t>
            </w:r>
            <w:r>
              <w:t xml:space="preserve"> est exigé car la portée de </w:t>
            </w:r>
            <w:r>
              <w:rPr>
                <w:rStyle w:val="VerbatimChar"/>
              </w:rPr>
              <w:t>E2_Entité_temporelle</w:t>
            </w:r>
            <w:r>
              <w:t xml:space="preserve"> doit être plus longue que le domaine de </w:t>
            </w:r>
            <w:r>
              <w:rPr>
                <w:rStyle w:val="VerbatimChar"/>
              </w:rPr>
              <w:t>E2_Entité_temporelle</w:t>
            </w:r>
            <w:r>
              <w:t>].</w:t>
            </w:r>
          </w:p>
        </w:tc>
      </w:tr>
      <w:tr w:rsidR="00FA2C22" w14:paraId="7040C6D8" w14:textId="77777777" w:rsidTr="001F7F70">
        <w:tc>
          <w:tcPr>
            <w:tcW w:w="0" w:type="auto"/>
          </w:tcPr>
          <w:p w14:paraId="36CD6E8B" w14:textId="4FC4F26F" w:rsidR="00FA2C22" w:rsidRDefault="00FA2C22" w:rsidP="00FA2C22">
            <w:r>
              <w:rPr>
                <w:rStyle w:val="VerbatimChar"/>
              </w:rPr>
              <w:t>P116_commence (est_commencé_par)</w:t>
            </w:r>
            <w:r>
              <w:t>*</w:t>
            </w:r>
          </w:p>
        </w:tc>
        <w:tc>
          <w:tcPr>
            <w:tcW w:w="0" w:type="auto"/>
          </w:tcPr>
          <w:p w14:paraId="02169DE5" w14:textId="77777777" w:rsidR="00FA2C22" w:rsidRDefault="00FA2C22" w:rsidP="00FA2C22">
            <w:r>
              <w:t xml:space="preserve">utiliser </w:t>
            </w:r>
            <w:r>
              <w:rPr>
                <w:rStyle w:val="VerbatimChar"/>
              </w:rPr>
              <w:t>P175_commence_avant_ou_au_moment_du_début_de</w:t>
            </w:r>
            <w:r>
              <w:t xml:space="preserve"> </w:t>
            </w:r>
            <w:r>
              <w:rPr>
                <w:b/>
                <w:bCs/>
              </w:rPr>
              <w:t>ET</w:t>
            </w:r>
            <w:r>
              <w:t xml:space="preserve"> </w:t>
            </w:r>
            <w:r>
              <w:rPr>
                <w:rStyle w:val="VerbatimChar"/>
              </w:rPr>
              <w:t>P175i_commence_après_ou_au_moment_du_début_de</w:t>
            </w:r>
            <w:r>
              <w:t xml:space="preserve"> </w:t>
            </w:r>
            <w:r>
              <w:rPr>
                <w:b/>
                <w:bCs/>
              </w:rPr>
              <w:t>ET</w:t>
            </w:r>
            <w:r>
              <w:t xml:space="preserve"> </w:t>
            </w:r>
            <w:r>
              <w:rPr>
                <w:rStyle w:val="VerbatimChar"/>
              </w:rPr>
              <w:t>P185_se_termine_avant_la_fin_de</w:t>
            </w:r>
            <w:r>
              <w:t xml:space="preserve"> [</w:t>
            </w:r>
            <w:r>
              <w:rPr>
                <w:rStyle w:val="VerbatimChar"/>
              </w:rPr>
              <w:t>P185_se_termine_avant_la_fin_de</w:t>
            </w:r>
            <w:r>
              <w:t xml:space="preserve"> est exigé car la portée de </w:t>
            </w:r>
            <w:r>
              <w:rPr>
                <w:rStyle w:val="VerbatimChar"/>
              </w:rPr>
              <w:t>E2_Entité_temporelle</w:t>
            </w:r>
            <w:r>
              <w:t xml:space="preserve"> doit être plus longue que le domaine de </w:t>
            </w:r>
            <w:r>
              <w:rPr>
                <w:rStyle w:val="VerbatimChar"/>
              </w:rPr>
              <w:t>E2_Entité_temporelle</w:t>
            </w:r>
            <w:r>
              <w:t>]</w:t>
            </w:r>
          </w:p>
        </w:tc>
      </w:tr>
      <w:tr w:rsidR="00FA2C22" w14:paraId="143C0836" w14:textId="77777777" w:rsidTr="001F7F70">
        <w:tc>
          <w:tcPr>
            <w:tcW w:w="0" w:type="auto"/>
          </w:tcPr>
          <w:p w14:paraId="0019318D" w14:textId="51956723" w:rsidR="00FA2C22" w:rsidRDefault="00FA2C22" w:rsidP="00FA2C22">
            <w:r>
              <w:rPr>
                <w:rStyle w:val="VerbatimChar"/>
              </w:rPr>
              <w:t>P117_se_produit_durant (inclut)</w:t>
            </w:r>
            <w:r>
              <w:t>*</w:t>
            </w:r>
          </w:p>
        </w:tc>
        <w:tc>
          <w:tcPr>
            <w:tcW w:w="0" w:type="auto"/>
          </w:tcPr>
          <w:p w14:paraId="618EA30C" w14:textId="77777777" w:rsidR="00FA2C22" w:rsidRDefault="00FA2C22" w:rsidP="00FA2C22">
            <w:r>
              <w:t xml:space="preserve">utiliser </w:t>
            </w:r>
            <w:r>
              <w:rPr>
                <w:rStyle w:val="VerbatimChar"/>
              </w:rPr>
              <w:t>P176i_commence_après_le_début_de</w:t>
            </w:r>
            <w:r>
              <w:t xml:space="preserve"> </w:t>
            </w:r>
            <w:r>
              <w:rPr>
                <w:b/>
                <w:bCs/>
              </w:rPr>
              <w:t>ET</w:t>
            </w:r>
            <w:r>
              <w:t xml:space="preserve"> </w:t>
            </w:r>
            <w:r>
              <w:rPr>
                <w:rStyle w:val="VerbatimChar"/>
              </w:rPr>
              <w:t>P185_se_termine_avant_la_fin_de</w:t>
            </w:r>
          </w:p>
        </w:tc>
      </w:tr>
      <w:tr w:rsidR="00FA2C22" w14:paraId="3CB14279" w14:textId="77777777" w:rsidTr="001F7F70">
        <w:tc>
          <w:tcPr>
            <w:tcW w:w="0" w:type="auto"/>
          </w:tcPr>
          <w:p w14:paraId="5E13C393" w14:textId="6BA2893F" w:rsidR="00FA2C22" w:rsidRDefault="00FA2C22" w:rsidP="00FA2C22">
            <w:r>
              <w:rPr>
                <w:rStyle w:val="VerbatimChar"/>
              </w:rPr>
              <w:t>P118_se_superpose_temporellement_à (est_temporellement_superposé_à)</w:t>
            </w:r>
            <w:r>
              <w:t>*</w:t>
            </w:r>
          </w:p>
        </w:tc>
        <w:tc>
          <w:tcPr>
            <w:tcW w:w="0" w:type="auto"/>
          </w:tcPr>
          <w:p w14:paraId="3742D4F1" w14:textId="77777777" w:rsidR="00FA2C22" w:rsidRDefault="00FA2C22" w:rsidP="00FA2C22">
            <w:r>
              <w:t xml:space="preserve">utiliser </w:t>
            </w:r>
            <w:r>
              <w:rPr>
                <w:rStyle w:val="VerbatimChar"/>
              </w:rPr>
              <w:t>P176_commence_avant_le_début_de</w:t>
            </w:r>
            <w:r>
              <w:t xml:space="preserve"> </w:t>
            </w:r>
            <w:r>
              <w:rPr>
                <w:b/>
                <w:bCs/>
              </w:rPr>
              <w:t>ET</w:t>
            </w:r>
            <w:r>
              <w:t xml:space="preserve"> </w:t>
            </w:r>
            <w:r>
              <w:rPr>
                <w:rStyle w:val="VerbatimChar"/>
              </w:rPr>
              <w:t>P185_se_termine_avant_la_fin_de</w:t>
            </w:r>
          </w:p>
        </w:tc>
      </w:tr>
      <w:tr w:rsidR="00FA2C22" w14:paraId="6B4529E0" w14:textId="77777777" w:rsidTr="001F7F70">
        <w:tc>
          <w:tcPr>
            <w:tcW w:w="0" w:type="auto"/>
          </w:tcPr>
          <w:p w14:paraId="774FE1A3" w14:textId="5578266E" w:rsidR="00FA2C22" w:rsidRDefault="00FA2C22" w:rsidP="00FA2C22">
            <w:r>
              <w:rPr>
                <w:rStyle w:val="VerbatimChar"/>
              </w:rPr>
              <w:t>P119_concorde_temporellement_avec (concorde_temporellement_avec)</w:t>
            </w:r>
            <w:r>
              <w:t>*</w:t>
            </w:r>
          </w:p>
        </w:tc>
        <w:tc>
          <w:tcPr>
            <w:tcW w:w="0" w:type="auto"/>
          </w:tcPr>
          <w:p w14:paraId="4E902792" w14:textId="77777777" w:rsidR="00FA2C22" w:rsidRDefault="00FA2C22" w:rsidP="00FA2C22">
            <w:r>
              <w:t xml:space="preserve">utiliser </w:t>
            </w:r>
            <w:r>
              <w:rPr>
                <w:rStyle w:val="VerbatimChar"/>
              </w:rPr>
              <w:t>P182_se_termine_avant_ou_au_début_du_moment_de</w:t>
            </w:r>
            <w:r>
              <w:t xml:space="preserve"> </w:t>
            </w:r>
            <w:r>
              <w:rPr>
                <w:b/>
                <w:bCs/>
              </w:rPr>
              <w:t>ET</w:t>
            </w:r>
            <w:r>
              <w:t xml:space="preserve"> </w:t>
            </w:r>
            <w:r>
              <w:rPr>
                <w:rStyle w:val="VerbatimChar"/>
              </w:rPr>
              <w:t>P173i_se_termine_après_ou_au_moment_du_début_de</w:t>
            </w:r>
          </w:p>
        </w:tc>
      </w:tr>
      <w:tr w:rsidR="00FA2C22" w14:paraId="6290EABA" w14:textId="77777777" w:rsidTr="001F7F70">
        <w:tc>
          <w:tcPr>
            <w:tcW w:w="0" w:type="auto"/>
          </w:tcPr>
          <w:p w14:paraId="5764553C" w14:textId="7D671D34" w:rsidR="00FA2C22" w:rsidRDefault="00FA2C22" w:rsidP="00FA2C22">
            <w:r>
              <w:rPr>
                <w:rStyle w:val="VerbatimChar"/>
              </w:rPr>
              <w:t>P120_se_produit_avant (se_produit_après)</w:t>
            </w:r>
            <w:r>
              <w:t>*</w:t>
            </w:r>
          </w:p>
        </w:tc>
        <w:tc>
          <w:tcPr>
            <w:tcW w:w="0" w:type="auto"/>
          </w:tcPr>
          <w:p w14:paraId="3F26B723" w14:textId="77777777" w:rsidR="00FA2C22" w:rsidRDefault="00FA2C22" w:rsidP="00FA2C22">
            <w:r>
              <w:t xml:space="preserve">utiliser </w:t>
            </w:r>
            <w:r>
              <w:rPr>
                <w:rStyle w:val="VerbatimChar"/>
              </w:rPr>
              <w:t>P183_se_termine_avant_le_début_de</w:t>
            </w:r>
          </w:p>
        </w:tc>
      </w:tr>
      <w:tr w:rsidR="00FA2C22" w14:paraId="34272AB5" w14:textId="77777777" w:rsidTr="001F7F70">
        <w:tc>
          <w:tcPr>
            <w:tcW w:w="0" w:type="auto"/>
          </w:tcPr>
          <w:p w14:paraId="6C89CD64" w14:textId="77777777" w:rsidR="00FA2C22" w:rsidRDefault="00FA2C22" w:rsidP="00FA2C22">
            <w:r>
              <w:rPr>
                <w:rStyle w:val="VerbatimChar"/>
              </w:rPr>
              <w:t>P131_est_identifié_par (identifie)</w:t>
            </w:r>
            <w:r>
              <w:t xml:space="preserve"> </w:t>
            </w:r>
          </w:p>
        </w:tc>
        <w:tc>
          <w:tcPr>
            <w:tcW w:w="0" w:type="auto"/>
          </w:tcPr>
          <w:p w14:paraId="7D995DC6" w14:textId="77777777" w:rsidR="00FA2C22" w:rsidRDefault="00FA2C22" w:rsidP="00FA2C22">
            <w:r>
              <w:t xml:space="preserve">utiliser </w:t>
            </w:r>
            <w:r>
              <w:rPr>
                <w:rStyle w:val="VerbatimChar"/>
              </w:rPr>
              <w:t>P1_est_identifié_par (identifie)</w:t>
            </w:r>
          </w:p>
        </w:tc>
      </w:tr>
      <w:tr w:rsidR="00FA2C22" w14:paraId="69923DF3" w14:textId="77777777" w:rsidTr="001F7F70">
        <w:tc>
          <w:tcPr>
            <w:tcW w:w="0" w:type="auto"/>
          </w:tcPr>
          <w:p w14:paraId="5D9E34EC" w14:textId="77777777" w:rsidR="00FA2C22" w:rsidRDefault="00FA2C22" w:rsidP="00FA2C22">
            <w:r>
              <w:rPr>
                <w:rStyle w:val="VerbatimChar"/>
              </w:rPr>
              <w:t>P149_est_identifié_par (identifie)</w:t>
            </w:r>
            <w:r>
              <w:t xml:space="preserve"> </w:t>
            </w:r>
          </w:p>
        </w:tc>
        <w:tc>
          <w:tcPr>
            <w:tcW w:w="0" w:type="auto"/>
          </w:tcPr>
          <w:p w14:paraId="19613367" w14:textId="77777777" w:rsidR="00FA2C22" w:rsidRDefault="00FA2C22" w:rsidP="00FA2C22">
            <w:r>
              <w:t xml:space="preserve">utiliser </w:t>
            </w:r>
            <w:r>
              <w:rPr>
                <w:rStyle w:val="VerbatimChar"/>
              </w:rPr>
              <w:t>P1_est_identifié_par (identifie)</w:t>
            </w:r>
          </w:p>
        </w:tc>
      </w:tr>
      <w:tr w:rsidR="00FA2C22" w14:paraId="79E19794" w14:textId="77777777" w:rsidTr="001F7F70">
        <w:tc>
          <w:tcPr>
            <w:tcW w:w="0" w:type="auto"/>
          </w:tcPr>
          <w:p w14:paraId="2A5F7E0D" w14:textId="77777777" w:rsidR="00FA2C22" w:rsidRDefault="00FA2C22" w:rsidP="00FA2C22">
            <w:r>
              <w:rPr>
                <w:rStyle w:val="VerbatimChar"/>
              </w:rPr>
              <w:t>P178_se_termine_après_ou_au_moment_de (se_termine_avant_ou_à_la_fin_de)</w:t>
            </w:r>
          </w:p>
        </w:tc>
        <w:tc>
          <w:tcPr>
            <w:tcW w:w="0" w:type="auto"/>
          </w:tcPr>
          <w:p w14:paraId="2C738C58" w14:textId="77777777" w:rsidR="00FA2C22" w:rsidRDefault="00FA2C22" w:rsidP="00FA2C22">
            <w:r>
              <w:t xml:space="preserve">utiliser </w:t>
            </w:r>
            <w:r>
              <w:rPr>
                <w:rStyle w:val="VerbatimChar"/>
              </w:rPr>
              <w:t>P184i_se_termine_au_moment_de_ou_après_la_fin_de</w:t>
            </w:r>
          </w:p>
        </w:tc>
      </w:tr>
      <w:tr w:rsidR="00FA2C22" w14:paraId="6E421756" w14:textId="77777777" w:rsidTr="001F7F70">
        <w:tc>
          <w:tcPr>
            <w:tcW w:w="0" w:type="auto"/>
          </w:tcPr>
          <w:p w14:paraId="5E8112B5" w14:textId="77777777" w:rsidR="00FA2C22" w:rsidRDefault="00FA2C22" w:rsidP="00FA2C22">
            <w:r>
              <w:rPr>
                <w:rStyle w:val="VerbatimChar"/>
              </w:rPr>
              <w:t>P181_a_pour_quantité</w:t>
            </w:r>
          </w:p>
        </w:tc>
        <w:tc>
          <w:tcPr>
            <w:tcW w:w="0" w:type="auto"/>
          </w:tcPr>
          <w:p w14:paraId="18B79308" w14:textId="77777777" w:rsidR="00FA2C22" w:rsidRDefault="00FA2C22" w:rsidP="00FA2C22">
            <w:r>
              <w:t xml:space="preserve">utiliser </w:t>
            </w:r>
            <w:r>
              <w:rPr>
                <w:rStyle w:val="VerbatimChar"/>
              </w:rPr>
              <w:t>E54_Dimension</w:t>
            </w:r>
            <w:r>
              <w:t xml:space="preserve"> . </w:t>
            </w:r>
            <w:r>
              <w:rPr>
                <w:rStyle w:val="VerbatimChar"/>
              </w:rPr>
              <w:t>P90_a_pour_valeur</w:t>
            </w:r>
            <w:r>
              <w:t xml:space="preserve"> : </w:t>
            </w:r>
            <w:r>
              <w:rPr>
                <w:rStyle w:val="VerbatimChar"/>
              </w:rPr>
              <w:t>E60_Nombre</w:t>
            </w:r>
          </w:p>
        </w:tc>
      </w:tr>
    </w:tbl>
    <w:p w14:paraId="685F822E" w14:textId="342E8DA9" w:rsidR="001F7F70" w:rsidRDefault="001F7F70" w:rsidP="001F7F70">
      <w:bookmarkStart w:id="600" w:name="X2892d8efbf5689812fdccfe5cd915dac6354b9b"/>
      <w:r>
        <w:t>* Les propriétés P114 à P120 ont été introduites par l</w:t>
      </w:r>
      <w:r w:rsidR="00E84B0E">
        <w:t>’</w:t>
      </w:r>
      <w:r>
        <w:t>extension « Definition of the CRMarch</w:t>
      </w:r>
      <w:r w:rsidR="005620D6">
        <w:t>ae</w:t>
      </w:r>
      <w:r>
        <w:t xml:space="preserve">o. An Extension of </w:t>
      </w:r>
      <w:r w:rsidR="00C8288F">
        <w:t>CIDOC CRM</w:t>
      </w:r>
      <w:r>
        <w:t xml:space="preserve"> to support the arch</w:t>
      </w:r>
      <w:r w:rsidR="005620D6">
        <w:t>ae</w:t>
      </w:r>
      <w:r>
        <w:t>ological excavation process”, Version 1.5.1 qui date de</w:t>
      </w:r>
      <w:r w:rsidR="00056DCD">
        <w:t> mars </w:t>
      </w:r>
      <w:r>
        <w:t>2021.</w:t>
      </w:r>
      <w:r>
        <w:tab/>
      </w:r>
      <w:r>
        <w:tab/>
      </w:r>
      <w:r>
        <w:tab/>
      </w:r>
    </w:p>
    <w:p w14:paraId="331210E7" w14:textId="77D84C86" w:rsidR="001F7F70" w:rsidRPr="00707A95" w:rsidRDefault="001F7F70" w:rsidP="001F7F70">
      <w:pPr>
        <w:pStyle w:val="Normalcentr"/>
        <w:rPr>
          <w:b/>
          <w:bCs/>
          <w:i/>
          <w:iCs/>
        </w:rPr>
      </w:pPr>
      <w:r w:rsidRPr="00707A95">
        <w:rPr>
          <w:b/>
          <w:bCs/>
          <w:i/>
          <w:iCs/>
        </w:rPr>
        <w:lastRenderedPageBreak/>
        <w:t>Note de traduction</w:t>
      </w:r>
    </w:p>
    <w:p w14:paraId="4F58139C" w14:textId="187854C9" w:rsidR="001F7F70" w:rsidRPr="00707A95" w:rsidRDefault="001F7F70" w:rsidP="001F7F70">
      <w:pPr>
        <w:pStyle w:val="Normalcentr"/>
        <w:rPr>
          <w:b/>
          <w:bCs/>
          <w:i/>
          <w:iCs/>
        </w:rPr>
      </w:pPr>
      <w:r w:rsidRPr="00707A95">
        <w:rPr>
          <w:b/>
          <w:bCs/>
          <w:i/>
          <w:iCs/>
        </w:rPr>
        <w:t>Références</w:t>
      </w:r>
    </w:p>
    <w:p w14:paraId="571F40DD" w14:textId="43034BD8" w:rsidR="001F7F70" w:rsidRPr="00523021" w:rsidRDefault="001F7F70" w:rsidP="001F7F70">
      <w:pPr>
        <w:pStyle w:val="Normalcentr"/>
        <w:rPr>
          <w:lang w:val="en-CA"/>
        </w:rPr>
      </w:pPr>
      <w:r w:rsidRPr="001C1490">
        <w:t xml:space="preserve">OWL Working Group. </w:t>
      </w:r>
      <w:r w:rsidRPr="00784AE7">
        <w:rPr>
          <w:lang w:val="en-US"/>
        </w:rPr>
        <w:t xml:space="preserve">2012. « OWL - Semantic Web Standards ». </w:t>
      </w:r>
      <w:r w:rsidRPr="00523021">
        <w:rPr>
          <w:lang w:val="en-CA"/>
        </w:rPr>
        <w:t>W3C. 11</w:t>
      </w:r>
      <w:r w:rsidR="00056DCD" w:rsidRPr="00523021">
        <w:rPr>
          <w:lang w:val="en-CA"/>
        </w:rPr>
        <w:t> décembre </w:t>
      </w:r>
      <w:r w:rsidRPr="00523021">
        <w:rPr>
          <w:lang w:val="en-CA"/>
        </w:rPr>
        <w:t>2012. https://www.w3.org/OWL/.</w:t>
      </w:r>
    </w:p>
    <w:p w14:paraId="7D54BFE3" w14:textId="0293D588" w:rsidR="001F7F70" w:rsidRDefault="001F7F70" w:rsidP="001F7F70">
      <w:pPr>
        <w:pStyle w:val="Normalcentr"/>
      </w:pPr>
      <w:r w:rsidRPr="001F7F70">
        <w:rPr>
          <w:lang w:val="en-CA"/>
        </w:rPr>
        <w:t xml:space="preserve">RDF Working Group. </w:t>
      </w:r>
      <w:r w:rsidRPr="00523021">
        <w:rPr>
          <w:lang w:val="fr-CA"/>
        </w:rPr>
        <w:t xml:space="preserve">2014. « RDF - Semantic Web Standards ». </w:t>
      </w:r>
      <w:r>
        <w:t>W3C. 25</w:t>
      </w:r>
      <w:r w:rsidR="00056DCD">
        <w:t> février </w:t>
      </w:r>
      <w:r>
        <w:t>2014. https://www.w3.org/RDF/.</w:t>
      </w:r>
    </w:p>
    <w:p w14:paraId="644AF1A6" w14:textId="1AC0FA2D" w:rsidR="00065317" w:rsidRDefault="005C7BF7" w:rsidP="00A162DC">
      <w:pPr>
        <w:pStyle w:val="Titre5"/>
      </w:pPr>
      <w:r>
        <w:t xml:space="preserve">Instructions de migration pour </w:t>
      </w:r>
      <w:r>
        <w:rPr>
          <w:rStyle w:val="VerbatimChar"/>
        </w:rPr>
        <w:t>E81_Transformation</w:t>
      </w:r>
      <w:r>
        <w:t xml:space="preserve"> (note d</w:t>
      </w:r>
      <w:r w:rsidR="00E84B0E">
        <w:t>’</w:t>
      </w:r>
      <w:r>
        <w:t>application restreinte)</w:t>
      </w:r>
    </w:p>
    <w:p w14:paraId="2A254F8A" w14:textId="2B0C98ED" w:rsidR="00065317" w:rsidRDefault="005C7BF7">
      <w:pPr>
        <w:pStyle w:val="FirstParagraph"/>
      </w:pPr>
      <w:r>
        <w:t xml:space="preserve">À compter de la version 7.1.1, la classe </w:t>
      </w:r>
      <w:r>
        <w:rPr>
          <w:rStyle w:val="VerbatimChar"/>
        </w:rPr>
        <w:t>E81_Transformation</w:t>
      </w:r>
      <w:r>
        <w:t xml:space="preserve"> ne s</w:t>
      </w:r>
      <w:r w:rsidR="00E84B0E">
        <w:t>’</w:t>
      </w:r>
      <w:r>
        <w:t>applique qu</w:t>
      </w:r>
      <w:r w:rsidR="00E84B0E">
        <w:t>’</w:t>
      </w:r>
      <w:r>
        <w:t xml:space="preserve">aux instances de </w:t>
      </w:r>
      <w:r>
        <w:rPr>
          <w:rStyle w:val="VerbatimChar"/>
        </w:rPr>
        <w:t>E18_Chose_matérielle</w:t>
      </w:r>
      <w:r>
        <w:t xml:space="preserve"> alors qu</w:t>
      </w:r>
      <w:r w:rsidR="00E84B0E">
        <w:t>’</w:t>
      </w:r>
      <w:r>
        <w:t>elle s</w:t>
      </w:r>
      <w:r w:rsidR="00E84B0E">
        <w:t>’</w:t>
      </w:r>
      <w:r>
        <w:t xml:space="preserve">appliquait aussi, auparavant, aux instances de </w:t>
      </w:r>
      <w:r>
        <w:rPr>
          <w:rStyle w:val="VerbatimChar"/>
        </w:rPr>
        <w:t>E77_Entité_persistante</w:t>
      </w:r>
      <w:r>
        <w:t>. Ce changement a été effectué car si la forme préexistante d</w:t>
      </w:r>
      <w:r w:rsidR="00E84B0E">
        <w:t>’</w:t>
      </w:r>
      <w:r>
        <w:t>une chose matérielle doit cesser d</w:t>
      </w:r>
      <w:r w:rsidR="00E84B0E">
        <w:t>’</w:t>
      </w:r>
      <w:r>
        <w:t>exister pour être remplacée, ce n</w:t>
      </w:r>
      <w:r w:rsidR="00E84B0E">
        <w:t>’</w:t>
      </w:r>
      <w:r>
        <w:t>est pas le cas de ce qui n</w:t>
      </w:r>
      <w:r w:rsidR="00E84B0E">
        <w:t>’</w:t>
      </w:r>
      <w:r>
        <w:t xml:space="preserve">est pas matériel. Dans le cas des instances de </w:t>
      </w:r>
      <w:r>
        <w:rPr>
          <w:rStyle w:val="VerbatimChar"/>
        </w:rPr>
        <w:t>E28_Objet_conceptuel</w:t>
      </w:r>
      <w:r>
        <w:t>, de nombreuses copies d</w:t>
      </w:r>
      <w:r w:rsidR="00E84B0E">
        <w:t>’</w:t>
      </w:r>
      <w:r>
        <w:t xml:space="preserve">un même objet peuvent exister sans être affectées par la transformation. De la même manière, la transformation des instances de </w:t>
      </w:r>
      <w:r>
        <w:rPr>
          <w:rStyle w:val="VerbatimChar"/>
        </w:rPr>
        <w:t>E74_Groupe</w:t>
      </w:r>
      <w:r>
        <w:t xml:space="preserve"> n</w:t>
      </w:r>
      <w:r w:rsidR="00E84B0E">
        <w:t>’</w:t>
      </w:r>
      <w:r>
        <w:t>implique pas nécessairement la dissolution du groupement préexistant.</w:t>
      </w:r>
    </w:p>
    <w:p w14:paraId="746919A0" w14:textId="77777777" w:rsidR="00065317" w:rsidRDefault="005C7BF7">
      <w:pPr>
        <w:pStyle w:val="Corpsdetexte"/>
      </w:pPr>
      <w:r>
        <w:t xml:space="preserve">Les propriétés </w:t>
      </w:r>
      <w:r>
        <w:rPr>
          <w:rStyle w:val="VerbatimChar"/>
        </w:rPr>
        <w:t>P123_a_eu_pour_résultat (a_résulté_de)</w:t>
      </w:r>
      <w:r>
        <w:t xml:space="preserve"> et </w:t>
      </w:r>
      <w:r>
        <w:rPr>
          <w:rStyle w:val="VerbatimChar"/>
        </w:rPr>
        <w:t>P124_a transformé (a_été_transformé_par)</w:t>
      </w:r>
      <w:r>
        <w:t xml:space="preserve"> ont donc maintenant pour portée </w:t>
      </w:r>
      <w:r>
        <w:rPr>
          <w:rStyle w:val="VerbatimChar"/>
        </w:rPr>
        <w:t>E18_Chose_matérielle</w:t>
      </w:r>
      <w:r>
        <w:t>.</w:t>
      </w:r>
    </w:p>
    <w:p w14:paraId="7F090DAD" w14:textId="58EA4493" w:rsidR="00065317" w:rsidRDefault="005C7BF7">
      <w:pPr>
        <w:pStyle w:val="Corpsdetexte"/>
      </w:pPr>
      <w:r>
        <w:t>Si dans la [</w:t>
      </w:r>
      <w:r w:rsidR="00AF51A3">
        <w:t xml:space="preserve">n.d.t. </w:t>
      </w:r>
      <w:r>
        <w:t xml:space="preserve">base de connaissances] source ces propriétés étaient appliquées à des instances de </w:t>
      </w:r>
      <w:r>
        <w:rPr>
          <w:rStyle w:val="VerbatimChar"/>
        </w:rPr>
        <w:t>E28_Objet_conceptuel</w:t>
      </w:r>
      <w:r>
        <w:t xml:space="preserve"> ou de ses sous-classes, il est recommandé d</w:t>
      </w:r>
      <w:r w:rsidR="00E84B0E">
        <w:t>’</w:t>
      </w:r>
      <w:r>
        <w:t>utiliser :</w:t>
      </w:r>
    </w:p>
    <w:p w14:paraId="195E9E1C" w14:textId="77777777" w:rsidR="00065317" w:rsidRDefault="005C7BF7">
      <w:pPr>
        <w:numPr>
          <w:ilvl w:val="0"/>
          <w:numId w:val="304"/>
        </w:numPr>
      </w:pPr>
      <w:r>
        <w:rPr>
          <w:rStyle w:val="VerbatimChar"/>
        </w:rPr>
        <w:t>E65_Création</w:t>
      </w:r>
      <w:r>
        <w:t xml:space="preserve"> au lieu de </w:t>
      </w:r>
      <w:r>
        <w:rPr>
          <w:rStyle w:val="VerbatimChar"/>
        </w:rPr>
        <w:t>E81_Transformation</w:t>
      </w:r>
      <w:r>
        <w:t>;</w:t>
      </w:r>
    </w:p>
    <w:p w14:paraId="5DE4602D" w14:textId="77777777" w:rsidR="00065317" w:rsidRDefault="005C7BF7">
      <w:pPr>
        <w:numPr>
          <w:ilvl w:val="0"/>
          <w:numId w:val="304"/>
        </w:numPr>
      </w:pPr>
      <w:r>
        <w:rPr>
          <w:rStyle w:val="VerbatimChar"/>
        </w:rPr>
        <w:t>P94_a_créé (a_été_créé_par)</w:t>
      </w:r>
      <w:r>
        <w:t xml:space="preserve"> au lieu de </w:t>
      </w:r>
      <w:r>
        <w:rPr>
          <w:rStyle w:val="VerbatimChar"/>
        </w:rPr>
        <w:t>P123_a_eu_pour_résultat (a_résulté_de)</w:t>
      </w:r>
      <w:r>
        <w:t>;</w:t>
      </w:r>
    </w:p>
    <w:p w14:paraId="1D4A8D8B" w14:textId="7DE7D9CD" w:rsidR="00065317" w:rsidRDefault="005C7BF7">
      <w:pPr>
        <w:numPr>
          <w:ilvl w:val="0"/>
          <w:numId w:val="304"/>
        </w:numPr>
      </w:pPr>
      <w:r>
        <w:rPr>
          <w:rStyle w:val="VerbatimChar"/>
        </w:rPr>
        <w:t>P16_a_utilisé_l</w:t>
      </w:r>
      <w:r w:rsidR="00E84B0E">
        <w:rPr>
          <w:rStyle w:val="VerbatimChar"/>
        </w:rPr>
        <w:t>’</w:t>
      </w:r>
      <w:r>
        <w:rPr>
          <w:rStyle w:val="VerbatimChar"/>
        </w:rPr>
        <w:t>objet_spécifique (a_été_utilisé_pour)</w:t>
      </w:r>
      <w:r>
        <w:t xml:space="preserve"> au lieu de </w:t>
      </w:r>
      <w:r>
        <w:rPr>
          <w:rStyle w:val="VerbatimChar"/>
        </w:rPr>
        <w:t>P124_a transformé (a_été_transformé_par)</w:t>
      </w:r>
      <w:r>
        <w:t>.</w:t>
      </w:r>
    </w:p>
    <w:p w14:paraId="5024D640" w14:textId="2E55AF3E" w:rsidR="00065317" w:rsidRDefault="005C7BF7">
      <w:pPr>
        <w:pStyle w:val="FirstParagraph"/>
      </w:pPr>
      <w:r>
        <w:t>Si dans la [</w:t>
      </w:r>
      <w:r w:rsidR="00AF51A3">
        <w:t xml:space="preserve">n.d.t. </w:t>
      </w:r>
      <w:r>
        <w:t xml:space="preserve">base de connaissances] source ces propriétés étaient appliquées à des instances de </w:t>
      </w:r>
      <w:r>
        <w:rPr>
          <w:rStyle w:val="VerbatimChar"/>
        </w:rPr>
        <w:t>E74_Groupe</w:t>
      </w:r>
      <w:r>
        <w:t>, il est recommandé d</w:t>
      </w:r>
      <w:r w:rsidR="00E84B0E">
        <w:t>’</w:t>
      </w:r>
      <w:r>
        <w:t>utiliser :</w:t>
      </w:r>
    </w:p>
    <w:p w14:paraId="303C3D67" w14:textId="77777777" w:rsidR="00065317" w:rsidRDefault="005C7BF7">
      <w:pPr>
        <w:numPr>
          <w:ilvl w:val="0"/>
          <w:numId w:val="305"/>
        </w:numPr>
      </w:pPr>
      <w:r>
        <w:rPr>
          <w:rStyle w:val="VerbatimChar"/>
        </w:rPr>
        <w:t>E66_Formation</w:t>
      </w:r>
      <w:r>
        <w:t xml:space="preserve"> au lieu de </w:t>
      </w:r>
      <w:r>
        <w:rPr>
          <w:rStyle w:val="VerbatimChar"/>
        </w:rPr>
        <w:t>E81_Transformation</w:t>
      </w:r>
      <w:r>
        <w:t>;</w:t>
      </w:r>
    </w:p>
    <w:p w14:paraId="120C5E54" w14:textId="77777777" w:rsidR="00065317" w:rsidRDefault="005C7BF7">
      <w:pPr>
        <w:numPr>
          <w:ilvl w:val="0"/>
          <w:numId w:val="305"/>
        </w:numPr>
      </w:pPr>
      <w:r>
        <w:rPr>
          <w:rStyle w:val="VerbatimChar"/>
        </w:rPr>
        <w:t>P95_a_fondé (a_été_fondé_par)</w:t>
      </w:r>
      <w:r>
        <w:t xml:space="preserve"> au lieu de </w:t>
      </w:r>
      <w:r>
        <w:rPr>
          <w:rStyle w:val="VerbatimChar"/>
        </w:rPr>
        <w:t>P123_a_eu_pour_résultat (a_résulté_de)</w:t>
      </w:r>
      <w:r>
        <w:t>;</w:t>
      </w:r>
    </w:p>
    <w:p w14:paraId="7F8B820C" w14:textId="77777777" w:rsidR="00065317" w:rsidRDefault="005C7BF7">
      <w:pPr>
        <w:numPr>
          <w:ilvl w:val="0"/>
          <w:numId w:val="305"/>
        </w:numPr>
      </w:pPr>
      <w:r>
        <w:rPr>
          <w:rStyle w:val="VerbatimChar"/>
        </w:rPr>
        <w:t>P151_a_été_formé_de (a_participé_à)</w:t>
      </w:r>
      <w:r>
        <w:t xml:space="preserve"> au lieu de </w:t>
      </w:r>
      <w:r>
        <w:rPr>
          <w:rStyle w:val="VerbatimChar"/>
        </w:rPr>
        <w:t>P124_a transformé (a_été_transformé_par)</w:t>
      </w:r>
      <w:r>
        <w:t>.</w:t>
      </w:r>
    </w:p>
    <w:p w14:paraId="2608F5C8" w14:textId="77777777" w:rsidR="00065317" w:rsidRDefault="005C7BF7">
      <w:pPr>
        <w:pStyle w:val="Normalcentr"/>
      </w:pPr>
      <w:r>
        <w:rPr>
          <w:b/>
          <w:bCs/>
          <w:i/>
          <w:iCs/>
        </w:rPr>
        <w:t>Note de traduction</w:t>
      </w:r>
    </w:p>
    <w:p w14:paraId="14993C4D" w14:textId="2830B052" w:rsidR="00065317" w:rsidRDefault="005C7BF7" w:rsidP="0002103D">
      <w:pPr>
        <w:pStyle w:val="Normalcentr"/>
      </w:pPr>
      <w:r>
        <w:rPr>
          <w:b/>
          <w:bCs/>
          <w:i/>
          <w:iCs/>
        </w:rPr>
        <w:t>Références</w:t>
      </w:r>
    </w:p>
    <w:p w14:paraId="55AB18E2" w14:textId="73562A20" w:rsidR="00065317" w:rsidRDefault="005C7BF7" w:rsidP="00A162DC">
      <w:pPr>
        <w:pStyle w:val="Titre5"/>
      </w:pPr>
      <w:bookmarkStart w:id="601" w:name="Xdbc94fe05fa9aeb635bdb0ef3fb7e30af8d2b83"/>
      <w:bookmarkEnd w:id="600"/>
      <w:r>
        <w:t xml:space="preserve">Instructions de migration pour </w:t>
      </w:r>
      <w:r>
        <w:rPr>
          <w:rStyle w:val="VerbatimChar"/>
        </w:rPr>
        <w:t>E16_Mesurage</w:t>
      </w:r>
      <w:r>
        <w:t xml:space="preserve"> (note d</w:t>
      </w:r>
      <w:r w:rsidR="00E84B0E">
        <w:t>’</w:t>
      </w:r>
      <w:r>
        <w:t>application restreinte)</w:t>
      </w:r>
    </w:p>
    <w:p w14:paraId="1FE677CF" w14:textId="2F12AB8D" w:rsidR="00065317" w:rsidRDefault="005C7BF7">
      <w:pPr>
        <w:pStyle w:val="FirstParagraph"/>
      </w:pPr>
      <w:r>
        <w:t xml:space="preserve">À compter de la version 7.1.1, la classe </w:t>
      </w:r>
      <w:r>
        <w:rPr>
          <w:rStyle w:val="VerbatimChar"/>
        </w:rPr>
        <w:t>E16_Mesurage</w:t>
      </w:r>
      <w:r>
        <w:t xml:space="preserve"> ne s</w:t>
      </w:r>
      <w:r w:rsidR="00E84B0E">
        <w:t>’</w:t>
      </w:r>
      <w:r>
        <w:t>applique qu</w:t>
      </w:r>
      <w:r w:rsidR="00E84B0E">
        <w:t>’</w:t>
      </w:r>
      <w:r>
        <w:t xml:space="preserve">aux instances de </w:t>
      </w:r>
      <w:r>
        <w:rPr>
          <w:rStyle w:val="VerbatimChar"/>
        </w:rPr>
        <w:t>E18_Chose_matérielle</w:t>
      </w:r>
      <w:r>
        <w:t xml:space="preserve"> alors qu</w:t>
      </w:r>
      <w:r w:rsidR="00E84B0E">
        <w:t>’</w:t>
      </w:r>
      <w:r>
        <w:t>elle s</w:t>
      </w:r>
      <w:r w:rsidR="00E84B0E">
        <w:t>’</w:t>
      </w:r>
      <w:r>
        <w:t xml:space="preserve">appliquait, auparavant, aux instances de </w:t>
      </w:r>
      <w:r>
        <w:rPr>
          <w:rStyle w:val="VerbatimChar"/>
        </w:rPr>
        <w:t>E1_Entité_CRM</w:t>
      </w:r>
      <w:r>
        <w:t xml:space="preserve">. Ce changement a été effectué pour deux raisons. En premier lieu, la propriété </w:t>
      </w:r>
      <w:r>
        <w:rPr>
          <w:rStyle w:val="VerbatimChar"/>
        </w:rPr>
        <w:t>P43_a_pour_dimension (est_la_dimension_de)</w:t>
      </w:r>
      <w:r>
        <w:t xml:space="preserve"> n</w:t>
      </w:r>
      <w:r w:rsidR="00E84B0E">
        <w:t>’</w:t>
      </w:r>
      <w:r>
        <w:t>associe une dimension qu</w:t>
      </w:r>
      <w:r w:rsidR="00E84B0E">
        <w:t>’</w:t>
      </w:r>
      <w:r>
        <w:t xml:space="preserve">avec une instance de </w:t>
      </w:r>
      <w:r>
        <w:rPr>
          <w:rStyle w:val="VerbatimChar"/>
        </w:rPr>
        <w:t>E70_Chose</w:t>
      </w:r>
      <w:r>
        <w:t>. Elle ne permet donc que la documentation des résultats du mesurage d</w:t>
      </w:r>
      <w:r w:rsidR="00E84B0E">
        <w:t>’</w:t>
      </w:r>
      <w:r>
        <w:t xml:space="preserve">instances de </w:t>
      </w:r>
      <w:r>
        <w:rPr>
          <w:rStyle w:val="VerbatimChar"/>
        </w:rPr>
        <w:t>E70_Chose</w:t>
      </w:r>
      <w:r>
        <w:t>. En second lieu, de manière plus spécifique, seules des choses physiques peuvent faire l</w:t>
      </w:r>
      <w:r w:rsidR="00E84B0E">
        <w:t>’</w:t>
      </w:r>
      <w:r>
        <w:t>objet d</w:t>
      </w:r>
      <w:r w:rsidR="00E84B0E">
        <w:t>’</w:t>
      </w:r>
      <w:r>
        <w:t xml:space="preserve">un mesurage quantitatif, mais des instances de </w:t>
      </w:r>
      <w:r>
        <w:rPr>
          <w:rStyle w:val="VerbatimChar"/>
        </w:rPr>
        <w:t>E54_Dimension</w:t>
      </w:r>
      <w:r>
        <w:t xml:space="preserve"> – en particulier des instances de </w:t>
      </w:r>
      <w:r>
        <w:rPr>
          <w:rStyle w:val="VerbatimChar"/>
        </w:rPr>
        <w:t>E28_Objet_conceptuel</w:t>
      </w:r>
      <w:r>
        <w:t xml:space="preserve"> – peuvent être inférées du fait d</w:t>
      </w:r>
      <w:r w:rsidR="00E84B0E">
        <w:t>’</w:t>
      </w:r>
      <w:r>
        <w:t>autres formes d</w:t>
      </w:r>
      <w:r w:rsidR="00E84B0E">
        <w:t>’</w:t>
      </w:r>
      <w:r>
        <w:t>assignation (</w:t>
      </w:r>
      <w:r>
        <w:rPr>
          <w:rStyle w:val="VerbatimChar"/>
        </w:rPr>
        <w:t>E13_Assignation_d</w:t>
      </w:r>
      <w:r w:rsidR="00E84B0E">
        <w:rPr>
          <w:rStyle w:val="VerbatimChar"/>
        </w:rPr>
        <w:t>’</w:t>
      </w:r>
      <w:r>
        <w:rPr>
          <w:rStyle w:val="VerbatimChar"/>
        </w:rPr>
        <w:t>attribut</w:t>
      </w:r>
      <w:r>
        <w:t>), par exemple une évaluation de données.</w:t>
      </w:r>
    </w:p>
    <w:p w14:paraId="678F14A4" w14:textId="77777777" w:rsidR="00065317" w:rsidRDefault="005C7BF7">
      <w:pPr>
        <w:pStyle w:val="Corpsdetexte"/>
      </w:pPr>
      <w:r>
        <w:lastRenderedPageBreak/>
        <w:t xml:space="preserve">La propriété </w:t>
      </w:r>
      <w:r>
        <w:rPr>
          <w:rStyle w:val="VerbatimChar"/>
        </w:rPr>
        <w:t>P39_a_mesuré (a_été_mesuré_par)</w:t>
      </w:r>
      <w:r>
        <w:t xml:space="preserve"> a donc maintenant pour portée </w:t>
      </w:r>
      <w:r>
        <w:rPr>
          <w:rStyle w:val="VerbatimChar"/>
        </w:rPr>
        <w:t>E18_Chose_matérielle</w:t>
      </w:r>
      <w:r>
        <w:t>.</w:t>
      </w:r>
    </w:p>
    <w:p w14:paraId="7717CC9D" w14:textId="6EE9089C" w:rsidR="00065317" w:rsidRDefault="005C7BF7">
      <w:pPr>
        <w:pStyle w:val="Corpsdetexte"/>
      </w:pPr>
      <w:r>
        <w:t>Si dans la [</w:t>
      </w:r>
      <w:r w:rsidR="00AF51A3">
        <w:t xml:space="preserve">n.d.t. </w:t>
      </w:r>
      <w:r>
        <w:t xml:space="preserve">base de connaissances] source ces propriétés étaient appliquées à des instances de </w:t>
      </w:r>
      <w:r>
        <w:rPr>
          <w:rStyle w:val="VerbatimChar"/>
        </w:rPr>
        <w:t>E28_Objet_conceptuel</w:t>
      </w:r>
      <w:r>
        <w:t xml:space="preserve"> ou de ses sous-classes, il est recommandé d</w:t>
      </w:r>
      <w:r w:rsidR="00E84B0E">
        <w:t>’</w:t>
      </w:r>
      <w:r>
        <w:t>utiliser :</w:t>
      </w:r>
    </w:p>
    <w:p w14:paraId="67119898" w14:textId="6F318647" w:rsidR="00065317" w:rsidRDefault="005C7BF7">
      <w:pPr>
        <w:numPr>
          <w:ilvl w:val="0"/>
          <w:numId w:val="306"/>
        </w:numPr>
      </w:pPr>
      <w:r>
        <w:rPr>
          <w:rStyle w:val="VerbatimChar"/>
        </w:rPr>
        <w:t>E13_Assignation_d</w:t>
      </w:r>
      <w:r w:rsidR="00E84B0E">
        <w:rPr>
          <w:rStyle w:val="VerbatimChar"/>
        </w:rPr>
        <w:t>’</w:t>
      </w:r>
      <w:r>
        <w:rPr>
          <w:rStyle w:val="VerbatimChar"/>
        </w:rPr>
        <w:t>attribut</w:t>
      </w:r>
      <w:r>
        <w:t xml:space="preserve"> au lieu de </w:t>
      </w:r>
      <w:r>
        <w:rPr>
          <w:rStyle w:val="VerbatimChar"/>
        </w:rPr>
        <w:t>E16_Mesurage</w:t>
      </w:r>
      <w:r>
        <w:t>;</w:t>
      </w:r>
    </w:p>
    <w:p w14:paraId="2917FF46" w14:textId="53A1EF5C" w:rsidR="00065317" w:rsidRDefault="005C7BF7">
      <w:pPr>
        <w:numPr>
          <w:ilvl w:val="0"/>
          <w:numId w:val="306"/>
        </w:numPr>
      </w:pPr>
      <w:r>
        <w:rPr>
          <w:rStyle w:val="VerbatimChar"/>
        </w:rPr>
        <w:t>P140_a_assigné_l</w:t>
      </w:r>
      <w:r w:rsidR="00E84B0E">
        <w:rPr>
          <w:rStyle w:val="VerbatimChar"/>
        </w:rPr>
        <w:t>’</w:t>
      </w:r>
      <w:r>
        <w:rPr>
          <w:rStyle w:val="VerbatimChar"/>
        </w:rPr>
        <w:t>attribut_à (a_reçu_l</w:t>
      </w:r>
      <w:r w:rsidR="00E84B0E">
        <w:rPr>
          <w:rStyle w:val="VerbatimChar"/>
        </w:rPr>
        <w:t>’</w:t>
      </w:r>
      <w:r>
        <w:rPr>
          <w:rStyle w:val="VerbatimChar"/>
        </w:rPr>
        <w:t>attribut_par)</w:t>
      </w:r>
      <w:r>
        <w:t xml:space="preserve"> au lieu de </w:t>
      </w:r>
      <w:r>
        <w:rPr>
          <w:rStyle w:val="VerbatimChar"/>
        </w:rPr>
        <w:t>P39_a_mesuré (a_été_mesuré_par)</w:t>
      </w:r>
      <w:r>
        <w:t>;</w:t>
      </w:r>
    </w:p>
    <w:p w14:paraId="18A8E42B" w14:textId="77777777" w:rsidR="00065317" w:rsidRDefault="005C7BF7">
      <w:pPr>
        <w:numPr>
          <w:ilvl w:val="0"/>
          <w:numId w:val="306"/>
        </w:numPr>
      </w:pPr>
      <w:r>
        <w:rPr>
          <w:rStyle w:val="VerbatimChar"/>
        </w:rPr>
        <w:t>P141_a_assigné (a_été_assigné_par)</w:t>
      </w:r>
      <w:r>
        <w:t xml:space="preserve"> au lieu de </w:t>
      </w:r>
      <w:r>
        <w:rPr>
          <w:rStyle w:val="VerbatimChar"/>
        </w:rPr>
        <w:t>P40_a_relevé_comme_dimension (a_été_relevé_par)</w:t>
      </w:r>
      <w:r>
        <w:t>;</w:t>
      </w:r>
    </w:p>
    <w:p w14:paraId="224600E4" w14:textId="4CD88BD9" w:rsidR="00065317" w:rsidRDefault="005C7BF7">
      <w:pPr>
        <w:numPr>
          <w:ilvl w:val="0"/>
          <w:numId w:val="306"/>
        </w:numPr>
      </w:pPr>
      <w:r>
        <w:rPr>
          <w:rStyle w:val="VerbatimChar"/>
        </w:rPr>
        <w:t>P177_a_assigné_le_type_de_propriété (est le type de la propriété assigné)</w:t>
      </w:r>
      <w:r>
        <w:t xml:space="preserve"> : «</w:t>
      </w:r>
      <w:r w:rsidR="00823F91">
        <w:t> </w:t>
      </w:r>
      <w:r>
        <w:rPr>
          <w:rStyle w:val="VerbatimChar"/>
        </w:rPr>
        <w:t>P43_a_pour_dimension (est_la_dimension_de)</w:t>
      </w:r>
      <w:r w:rsidR="00823F91">
        <w:t> </w:t>
      </w:r>
      <w:r>
        <w:t>» (</w:t>
      </w:r>
      <w:r>
        <w:rPr>
          <w:rStyle w:val="VerbatimChar"/>
        </w:rPr>
        <w:t>E55_Type)</w:t>
      </w:r>
      <w:r>
        <w:t>.</w:t>
      </w:r>
    </w:p>
    <w:p w14:paraId="729CF84D" w14:textId="77777777" w:rsidR="00065317" w:rsidRDefault="005C7BF7">
      <w:pPr>
        <w:pStyle w:val="Normalcentr"/>
      </w:pPr>
      <w:r>
        <w:rPr>
          <w:b/>
          <w:bCs/>
          <w:i/>
          <w:iCs/>
        </w:rPr>
        <w:t>Note de traduction</w:t>
      </w:r>
    </w:p>
    <w:p w14:paraId="7EC2363F" w14:textId="2A79DDAC" w:rsidR="00065317" w:rsidRDefault="005C7BF7" w:rsidP="0002103D">
      <w:pPr>
        <w:pStyle w:val="Normalcentr"/>
      </w:pPr>
      <w:r>
        <w:rPr>
          <w:b/>
          <w:bCs/>
          <w:i/>
          <w:iCs/>
        </w:rPr>
        <w:t>Références</w:t>
      </w:r>
    </w:p>
    <w:p w14:paraId="7BA8195A" w14:textId="77777777" w:rsidR="00065317" w:rsidRDefault="005C7BF7" w:rsidP="00A162DC">
      <w:pPr>
        <w:pStyle w:val="Titre3"/>
      </w:pPr>
      <w:bookmarkStart w:id="602" w:name="_Toc154048985"/>
      <w:bookmarkStart w:id="603" w:name="modifications"/>
      <w:bookmarkEnd w:id="595"/>
      <w:bookmarkEnd w:id="598"/>
      <w:bookmarkEnd w:id="601"/>
      <w:r w:rsidRPr="00C2235A">
        <w:t>Modifications</w:t>
      </w:r>
      <w:bookmarkEnd w:id="602"/>
    </w:p>
    <w:p w14:paraId="7AE1854E" w14:textId="2039E129" w:rsidR="00065317" w:rsidRDefault="005C7BF7">
      <w:pPr>
        <w:pStyle w:val="FirstParagraph"/>
      </w:pPr>
      <w:r>
        <w:t>Les modifications sont recensées dans le document « Amendments of the CIDOC: Conceptual reference Model ver. 7.1.1: volume B » [</w:t>
      </w:r>
      <w:r w:rsidR="00AF51A3">
        <w:t xml:space="preserve">n.d.t. </w:t>
      </w:r>
      <w:r>
        <w:t>qui n</w:t>
      </w:r>
      <w:r w:rsidR="00E84B0E">
        <w:t>’</w:t>
      </w:r>
      <w:r>
        <w:t>a pas fait l</w:t>
      </w:r>
      <w:r w:rsidR="00E84B0E">
        <w:t>’</w:t>
      </w:r>
      <w:r>
        <w:t>objet d</w:t>
      </w:r>
      <w:r w:rsidR="00E84B0E">
        <w:t>’</w:t>
      </w:r>
      <w:r>
        <w:t>une traduction].</w:t>
      </w:r>
    </w:p>
    <w:p w14:paraId="38C40C07" w14:textId="77777777" w:rsidR="00065317" w:rsidRDefault="005C7BF7">
      <w:pPr>
        <w:pStyle w:val="Normalcentr"/>
      </w:pPr>
      <w:r>
        <w:rPr>
          <w:b/>
          <w:bCs/>
          <w:i/>
          <w:iCs/>
        </w:rPr>
        <w:t>Note de traduction</w:t>
      </w:r>
    </w:p>
    <w:p w14:paraId="540E4AC6" w14:textId="77777777" w:rsidR="00065317" w:rsidRDefault="005C7BF7">
      <w:pPr>
        <w:pStyle w:val="Normalcentr"/>
      </w:pPr>
      <w:r>
        <w:rPr>
          <w:b/>
          <w:bCs/>
          <w:i/>
          <w:iCs/>
        </w:rPr>
        <w:t>Références</w:t>
      </w:r>
    </w:p>
    <w:p w14:paraId="43576CCA" w14:textId="77777777" w:rsidR="00065317" w:rsidRDefault="00065317" w:rsidP="0002103D">
      <w:pPr>
        <w:pStyle w:val="Normalcentr"/>
      </w:pPr>
    </w:p>
    <w:p w14:paraId="6EFE2E69" w14:textId="77777777" w:rsidR="00FA2C22" w:rsidRDefault="00FA2C22">
      <w:pPr>
        <w:spacing w:after="0"/>
        <w:rPr>
          <w:rFonts w:eastAsiaTheme="majorEastAsia" w:cstheme="majorBidi"/>
          <w:b/>
          <w:bCs/>
          <w:color w:val="000000"/>
          <w:sz w:val="36"/>
          <w:szCs w:val="36"/>
        </w:rPr>
      </w:pPr>
      <w:bookmarkStart w:id="604" w:name="X7b74833c677a2f1c69166f105dc530dd213fddc"/>
      <w:bookmarkEnd w:id="593"/>
      <w:bookmarkEnd w:id="603"/>
      <w:r>
        <w:br w:type="page"/>
      </w:r>
    </w:p>
    <w:p w14:paraId="0BF55994" w14:textId="55EC8D86" w:rsidR="00065317" w:rsidRDefault="005C7BF7" w:rsidP="00A162DC">
      <w:pPr>
        <w:pStyle w:val="Titre2"/>
      </w:pPr>
      <w:bookmarkStart w:id="605" w:name="_Toc154048986"/>
      <w:r>
        <w:lastRenderedPageBreak/>
        <w:t>Bibliographie de la traduction</w:t>
      </w:r>
      <w:bookmarkEnd w:id="605"/>
    </w:p>
    <w:p w14:paraId="5E7A2E39" w14:textId="77777777" w:rsidR="00065317" w:rsidRDefault="005C7BF7" w:rsidP="00652D41">
      <w:pPr>
        <w:pStyle w:val="FirstParagraph"/>
        <w:ind w:left="567" w:hanging="567"/>
      </w:pPr>
      <w:r>
        <w:t xml:space="preserve">Alighieri, Dante. (1308–1321) 2021. </w:t>
      </w:r>
      <w:r>
        <w:rPr>
          <w:i/>
          <w:iCs/>
        </w:rPr>
        <w:t>La divine comédie</w:t>
      </w:r>
      <w:r>
        <w:t>. Sous la direction de Carlo Ossola. Traduit par Jacqueline Risset. Éd. bilingue. Bibliothèque de la Pléiade 659. Paris, FR-IDF : Gallimard.</w:t>
      </w:r>
    </w:p>
    <w:p w14:paraId="104C2809" w14:textId="54A7017C" w:rsidR="00065317" w:rsidRDefault="005C7BF7" w:rsidP="00652D41">
      <w:pPr>
        <w:pStyle w:val="Corpsdetexte"/>
        <w:ind w:left="567" w:hanging="567"/>
      </w:pPr>
      <w:r>
        <w:t xml:space="preserve">Antidote. 2022a. « Actant ». Dans </w:t>
      </w:r>
      <w:r>
        <w:rPr>
          <w:i/>
          <w:iCs/>
        </w:rPr>
        <w:t>Antidote</w:t>
      </w:r>
      <w:r>
        <w:t xml:space="preserve">. Montréal, CA-QC : Druide Informatique. Consulté le 2022. </w:t>
      </w:r>
      <w:hyperlink r:id="rId364">
        <w:r>
          <w:rPr>
            <w:rStyle w:val="Lienhypertexte"/>
          </w:rPr>
          <w:t>https://antidote.app/dictionnaires/fr/definitions/FRUAgAAAABGUgBDZAAAQ2QAAC0AAACDTm9thmFjdGFudICAgA%3D%3Dd707/RlLvh7cyNTY2N%2B%2BHt05vbQ%3D%3D/RlLvh7cyNTY2N%2B%2BHt05vbe%2BHt2FjdGFudO%2BHt2FjdGFudA%3D%3D</w:t>
        </w:r>
      </w:hyperlink>
      <w:r>
        <w:t>.</w:t>
      </w:r>
    </w:p>
    <w:p w14:paraId="54A8A740" w14:textId="23C47E61" w:rsidR="00065317" w:rsidRDefault="005C7BF7" w:rsidP="00652D41">
      <w:pPr>
        <w:pStyle w:val="Corpsdetexte"/>
        <w:ind w:left="567" w:hanging="567"/>
      </w:pPr>
      <w:r>
        <w:t xml:space="preserve">———. 2022b. « Précision ». Dans </w:t>
      </w:r>
      <w:r>
        <w:rPr>
          <w:i/>
          <w:iCs/>
        </w:rPr>
        <w:t>Antidote</w:t>
      </w:r>
      <w:r>
        <w:t>. Montr</w:t>
      </w:r>
      <w:r w:rsidR="00A162DC">
        <w:t>é</w:t>
      </w:r>
      <w:r>
        <w:t>al, CA-QC : Druide Informatique.</w:t>
      </w:r>
    </w:p>
    <w:p w14:paraId="6525351D" w14:textId="27BAB2B9" w:rsidR="00065317" w:rsidRDefault="005C7BF7" w:rsidP="00652D41">
      <w:pPr>
        <w:pStyle w:val="Corpsdetexte"/>
        <w:ind w:left="567" w:hanging="567"/>
      </w:pPr>
      <w:r>
        <w:t xml:space="preserve">———. 2022c. « Spécialisation ». Dans </w:t>
      </w:r>
      <w:r>
        <w:rPr>
          <w:i/>
          <w:iCs/>
        </w:rPr>
        <w:t>Antidote</w:t>
      </w:r>
      <w:r>
        <w:t>. Montr</w:t>
      </w:r>
      <w:r w:rsidR="00A162DC">
        <w:t>é</w:t>
      </w:r>
      <w:r>
        <w:t xml:space="preserve">al, CA-QC : Druide Informatique. Consulté le 2022. </w:t>
      </w:r>
      <w:hyperlink r:id="rId365">
        <w:r>
          <w:rPr>
            <w:rStyle w:val="Lienhypertexte"/>
          </w:rPr>
          <w:t>https://antidote.app/dictionnaires/fr/definitions/FRUAgAAAABGUgBDZAAAQ2QAAC0AAACDTm9thmFjdGFudICAgA%3D%3Dd707/RlLvh7cyNTY2N%2B%2BHt05vbQ%3D%3D/RlLvh7cyNTY2N%2B%2BHt05vbe%2BHt2FjdGFudO%2BHt2FjdGFudA%3D%3D</w:t>
        </w:r>
      </w:hyperlink>
      <w:r>
        <w:t>.</w:t>
      </w:r>
    </w:p>
    <w:p w14:paraId="5F7384D5" w14:textId="77777777" w:rsidR="00065317" w:rsidRPr="005620D6" w:rsidRDefault="005C7BF7" w:rsidP="00652D41">
      <w:pPr>
        <w:pStyle w:val="Corpsdetexte"/>
        <w:ind w:left="567" w:hanging="567"/>
        <w:rPr>
          <w:lang w:val="en-US"/>
        </w:rPr>
      </w:pPr>
      <w:r w:rsidRPr="00EC2D6E">
        <w:rPr>
          <w:lang w:val="en-CA"/>
        </w:rPr>
        <w:t xml:space="preserve">Benaki Museum. 2016. « Childhood, Toys and Games - </w:t>
      </w:r>
      <w:r>
        <w:t>Μουσείο</w:t>
      </w:r>
      <w:r w:rsidRPr="00EC2D6E">
        <w:rPr>
          <w:lang w:val="en-CA"/>
        </w:rPr>
        <w:t xml:space="preserve"> </w:t>
      </w:r>
      <w:r>
        <w:t>Μπενάκη</w:t>
      </w:r>
      <w:r w:rsidRPr="00EC2D6E">
        <w:rPr>
          <w:lang w:val="en-CA"/>
        </w:rPr>
        <w:t xml:space="preserve"> ». Benaki Museum. 2016. </w:t>
      </w:r>
      <w:hyperlink r:id="rId366">
        <w:r w:rsidRPr="005620D6">
          <w:rPr>
            <w:rStyle w:val="Lienhypertexte"/>
            <w:lang w:val="en-US"/>
          </w:rPr>
          <w:t>https://www.benaki.org//index.php?option=com_collections&amp;view=collection&amp;id=45&amp;Itemid=540&amp;lang=el</w:t>
        </w:r>
      </w:hyperlink>
      <w:r w:rsidRPr="005620D6">
        <w:rPr>
          <w:lang w:val="en-US"/>
        </w:rPr>
        <w:t>.</w:t>
      </w:r>
    </w:p>
    <w:p w14:paraId="6DBBBD69" w14:textId="77777777" w:rsidR="00065317" w:rsidRDefault="005C7BF7" w:rsidP="00652D41">
      <w:pPr>
        <w:pStyle w:val="Corpsdetexte"/>
        <w:ind w:left="567" w:hanging="567"/>
      </w:pPr>
      <w:r w:rsidRPr="00EC2D6E">
        <w:rPr>
          <w:lang w:val="en-CA"/>
        </w:rPr>
        <w:t xml:space="preserve">Berners-Lee, Tim, Tim Bray, Dan Connolly, Paul Cotton, Roy Fielding, Mario Jeckle, Chris Lilley, et al. (2005) 2006. « Architecture du World Wide Web: Volume Un ». Recommandation. Cambridge, USA-MA : World Wide Web Consortium (W3C). </w:t>
      </w:r>
      <w:hyperlink r:id="rId367">
        <w:r>
          <w:rPr>
            <w:rStyle w:val="Lienhypertexte"/>
          </w:rPr>
          <w:t>http://www.opikanoba.org/tr/w3c/webarch/</w:t>
        </w:r>
      </w:hyperlink>
      <w:r>
        <w:t>.</w:t>
      </w:r>
    </w:p>
    <w:p w14:paraId="565E63C6" w14:textId="77777777" w:rsidR="00065317" w:rsidRDefault="005C7BF7" w:rsidP="00652D41">
      <w:pPr>
        <w:pStyle w:val="Corpsdetexte"/>
        <w:ind w:left="567" w:hanging="567"/>
      </w:pPr>
      <w:r>
        <w:t xml:space="preserve">Berrueta, Diego, et Jon Phipps. 2008. « Méthodes exemplaires pour la publication des vocabulaires RDF ». Meilleures pratiques. Cambridge, USA-MA : World Wide Web Consortium (W3C). </w:t>
      </w:r>
      <w:hyperlink r:id="rId368">
        <w:r>
          <w:rPr>
            <w:rStyle w:val="Lienhypertexte"/>
          </w:rPr>
          <w:t>http://www.yoyodesign.org/doc/w3c/swbp-vocab-pub/</w:t>
        </w:r>
      </w:hyperlink>
      <w:r>
        <w:t>.</w:t>
      </w:r>
    </w:p>
    <w:p w14:paraId="7E267BDE" w14:textId="2C363084" w:rsidR="00065317" w:rsidRDefault="005C7BF7" w:rsidP="00652D41">
      <w:pPr>
        <w:pStyle w:val="Corpsdetexte"/>
        <w:ind w:left="567" w:hanging="567"/>
      </w:pPr>
      <w:r>
        <w:t xml:space="preserve">Centre National de Ressources Textuelles et Lexicales (CNRTL). 2012. « Périssement ». Dans </w:t>
      </w:r>
      <w:r>
        <w:rPr>
          <w:i/>
          <w:iCs/>
        </w:rPr>
        <w:t>Portail lexical du CNRTL</w:t>
      </w:r>
      <w:r w:rsidR="002068C0">
        <w:t>.</w:t>
      </w:r>
      <w:r>
        <w:t xml:space="preserve"> Nancy, FR-GES : Centre National de Ressources Textuelles et Lexicales (CNRTL). Consulté le 2012. </w:t>
      </w:r>
      <w:hyperlink r:id="rId369">
        <w:r>
          <w:rPr>
            <w:rStyle w:val="Lienhypertexte"/>
          </w:rPr>
          <w:t>https://www.cnrtl.fr/definition/p%C3%A9rissement</w:t>
        </w:r>
      </w:hyperlink>
      <w:r>
        <w:t>.</w:t>
      </w:r>
    </w:p>
    <w:p w14:paraId="256AE4CB" w14:textId="324A051A" w:rsidR="00065317" w:rsidRDefault="00C8288F" w:rsidP="00652D41">
      <w:pPr>
        <w:pStyle w:val="Corpsdetexte"/>
        <w:ind w:left="567" w:hanging="567"/>
      </w:pPr>
      <w:r>
        <w:t>CIDOC CRM</w:t>
      </w:r>
      <w:r w:rsidR="005C7BF7">
        <w:t xml:space="preserve">. 2021. « CRMgeo ». Modèle. </w:t>
      </w:r>
      <w:hyperlink r:id="rId370">
        <w:r w:rsidR="005C7BF7">
          <w:rPr>
            <w:rStyle w:val="Lienhypertexte"/>
          </w:rPr>
          <w:t>http://www.cidoc-crm.org/crmgeo/home-5</w:t>
        </w:r>
      </w:hyperlink>
      <w:r w:rsidR="005C7BF7">
        <w:t>.</w:t>
      </w:r>
    </w:p>
    <w:p w14:paraId="10D7FE04" w14:textId="77777777" w:rsidR="00065317" w:rsidRDefault="005C7BF7" w:rsidP="00652D41">
      <w:pPr>
        <w:pStyle w:val="Corpsdetexte"/>
        <w:ind w:left="567" w:hanging="567"/>
      </w:pPr>
      <w:r>
        <w:t xml:space="preserve">Climacus, John. 1100a. « Égypte, Mont Sinaï, Monastère Sainte-Catherine, MS gr. 418 ». Manuscrit. Monastère Sainte-Catherine, EG-JS. </w:t>
      </w:r>
      <w:hyperlink r:id="rId371">
        <w:r>
          <w:rPr>
            <w:rStyle w:val="Lienhypertexte"/>
          </w:rPr>
          <w:t>https://portail.biblissima.fr/fr/ark:/43093/mdata4173039fff31678134d93fd0bd8ff41dd71226a8</w:t>
        </w:r>
      </w:hyperlink>
      <w:r>
        <w:t>.</w:t>
      </w:r>
    </w:p>
    <w:p w14:paraId="493890C1" w14:textId="77777777" w:rsidR="00065317" w:rsidRPr="00784AE7" w:rsidRDefault="005C7BF7" w:rsidP="00652D41">
      <w:pPr>
        <w:pStyle w:val="Corpsdetexte"/>
        <w:ind w:left="567" w:hanging="567"/>
        <w:rPr>
          <w:lang w:val="fr-CA"/>
        </w:rPr>
      </w:pPr>
      <w:r w:rsidRPr="005620D6">
        <w:rPr>
          <w:lang w:val="en-US"/>
        </w:rPr>
        <w:t xml:space="preserve">———. 1100b. </w:t>
      </w:r>
      <w:r w:rsidRPr="00EC2D6E">
        <w:rPr>
          <w:lang w:val="en-CA"/>
        </w:rPr>
        <w:t xml:space="preserve">« Greek Manuscripts 418. </w:t>
      </w:r>
      <w:r w:rsidRPr="005620D6">
        <w:rPr>
          <w:lang w:val="en-US"/>
        </w:rPr>
        <w:t xml:space="preserve">John Climacus ». </w:t>
      </w:r>
      <w:r w:rsidRPr="00784AE7">
        <w:rPr>
          <w:lang w:val="fr-CA"/>
        </w:rPr>
        <w:t xml:space="preserve">Manuscrit. Monastère Sainte-Catherine, EG-JS. </w:t>
      </w:r>
      <w:hyperlink r:id="rId372">
        <w:r w:rsidRPr="00784AE7">
          <w:rPr>
            <w:rStyle w:val="Lienhypertexte"/>
            <w:lang w:val="fr-CA"/>
          </w:rPr>
          <w:t>https://www.loc.gov/item/00279380435-ms</w:t>
        </w:r>
      </w:hyperlink>
      <w:r w:rsidRPr="00784AE7">
        <w:rPr>
          <w:lang w:val="fr-CA"/>
        </w:rPr>
        <w:t>.</w:t>
      </w:r>
    </w:p>
    <w:p w14:paraId="1A1629E3" w14:textId="742234E9" w:rsidR="00065317" w:rsidRDefault="005C7BF7" w:rsidP="00652D41">
      <w:pPr>
        <w:pStyle w:val="Corpsdetexte"/>
        <w:ind w:left="567" w:hanging="567"/>
      </w:pPr>
      <w:r>
        <w:t xml:space="preserve">Comité </w:t>
      </w:r>
      <w:r w:rsidR="002068C0">
        <w:t>I</w:t>
      </w:r>
      <w:r>
        <w:t xml:space="preserve">nternational pour la </w:t>
      </w:r>
      <w:r w:rsidR="002068C0">
        <w:t>D</w:t>
      </w:r>
      <w:r>
        <w:t>ocumentation de l</w:t>
      </w:r>
      <w:r w:rsidR="00E84B0E">
        <w:t>’</w:t>
      </w:r>
      <w:r>
        <w:t>ICOM. 2021. « CIDOC ». ICOM CIDOC. 24</w:t>
      </w:r>
      <w:r w:rsidR="00056DCD">
        <w:t> février </w:t>
      </w:r>
      <w:r>
        <w:t xml:space="preserve">2021. </w:t>
      </w:r>
      <w:hyperlink r:id="rId373">
        <w:r>
          <w:rPr>
            <w:rStyle w:val="Lienhypertexte"/>
          </w:rPr>
          <w:t>http://cidoc.mini.icom.museum/fr/</w:t>
        </w:r>
      </w:hyperlink>
      <w:r>
        <w:t>.</w:t>
      </w:r>
    </w:p>
    <w:p w14:paraId="5F51A0E9" w14:textId="77777777" w:rsidR="00065317" w:rsidRDefault="005C7BF7" w:rsidP="00652D41">
      <w:pPr>
        <w:pStyle w:val="Corpsdetexte"/>
        <w:ind w:left="567" w:hanging="567"/>
      </w:pPr>
      <w:r>
        <w:t xml:space="preserve">De Vinci, Léonard. 1503. </w:t>
      </w:r>
      <w:r>
        <w:rPr>
          <w:i/>
          <w:iCs/>
        </w:rPr>
        <w:t>Portrait de Lisa Gherardini, épouse de Francesco del Giocondo, dit La Joconde ou Monna Lisa</w:t>
      </w:r>
      <w:r>
        <w:t xml:space="preserve">. Huile sur bois (peuplier). Salle 711. Musée du Louvre. </w:t>
      </w:r>
      <w:hyperlink r:id="rId374">
        <w:r>
          <w:rPr>
            <w:rStyle w:val="Lienhypertexte"/>
          </w:rPr>
          <w:t>https://collections.louvre.fr/en/ark:/53355/cl010062370</w:t>
        </w:r>
      </w:hyperlink>
      <w:r>
        <w:t>.</w:t>
      </w:r>
    </w:p>
    <w:p w14:paraId="5996F45E" w14:textId="45A45CBD" w:rsidR="00065317" w:rsidRPr="006E6C31" w:rsidRDefault="005C7BF7" w:rsidP="00652D41">
      <w:pPr>
        <w:pStyle w:val="Corpsdetexte"/>
        <w:ind w:left="567" w:hanging="567"/>
        <w:rPr>
          <w:lang w:val="en-CA"/>
        </w:rPr>
      </w:pPr>
      <w:r w:rsidRPr="00EC2D6E">
        <w:rPr>
          <w:lang w:val="en-CA"/>
        </w:rPr>
        <w:t xml:space="preserve">« Definition of the CIDOC Conceptual Reference Model ». 2015. Modèle. Paris, FR-IDF : </w:t>
      </w:r>
      <w:r w:rsidR="00C8288F">
        <w:rPr>
          <w:lang w:val="en-CA"/>
        </w:rPr>
        <w:t>CIDOC CRM</w:t>
      </w:r>
      <w:r w:rsidR="002068C0">
        <w:rPr>
          <w:lang w:val="en-CA"/>
        </w:rPr>
        <w:t xml:space="preserve"> </w:t>
      </w:r>
      <w:r w:rsidRPr="00EC2D6E">
        <w:rPr>
          <w:lang w:val="en-CA"/>
        </w:rPr>
        <w:t xml:space="preserve">Special Interest Group. </w:t>
      </w:r>
      <w:hyperlink r:id="rId375">
        <w:r w:rsidRPr="006E6C31">
          <w:rPr>
            <w:rStyle w:val="Lienhypertexte"/>
            <w:lang w:val="en-CA"/>
          </w:rPr>
          <w:t>https://cidoc-crm.org/sites/default/files/cidoc_crm_version_6.2.pdf</w:t>
        </w:r>
      </w:hyperlink>
      <w:r w:rsidRPr="006E6C31">
        <w:rPr>
          <w:lang w:val="en-CA"/>
        </w:rPr>
        <w:t>.</w:t>
      </w:r>
    </w:p>
    <w:p w14:paraId="0F299F4E" w14:textId="417B0251" w:rsidR="00065317" w:rsidRPr="005620D6" w:rsidRDefault="005C7BF7" w:rsidP="00652D41">
      <w:pPr>
        <w:pStyle w:val="Corpsdetexte"/>
        <w:ind w:left="567" w:hanging="567"/>
        <w:rPr>
          <w:lang w:val="en-CA"/>
        </w:rPr>
      </w:pPr>
      <w:r w:rsidRPr="00EC2D6E">
        <w:rPr>
          <w:lang w:val="en-CA"/>
        </w:rPr>
        <w:t xml:space="preserve">« ——— ». 2021. Modèle. Paris, FR-IDF : </w:t>
      </w:r>
      <w:r w:rsidR="00C8288F">
        <w:rPr>
          <w:lang w:val="en-CA"/>
        </w:rPr>
        <w:t>CIDOC CRM</w:t>
      </w:r>
      <w:r w:rsidRPr="00EC2D6E">
        <w:rPr>
          <w:lang w:val="en-CA"/>
        </w:rPr>
        <w:t xml:space="preserve"> Special Interest Group. </w:t>
      </w:r>
      <w:hyperlink r:id="rId376">
        <w:r w:rsidRPr="005620D6">
          <w:rPr>
            <w:rStyle w:val="Lienhypertexte"/>
            <w:lang w:val="en-CA"/>
          </w:rPr>
          <w:t>http://cidoc-crm.org/sites/default/files/CIDOC%20CRM_v.7.1%20%5B8%20March%202021%5D.pdf</w:t>
        </w:r>
      </w:hyperlink>
      <w:r w:rsidRPr="005620D6">
        <w:rPr>
          <w:lang w:val="en-CA"/>
        </w:rPr>
        <w:t>.</w:t>
      </w:r>
    </w:p>
    <w:p w14:paraId="4AD12F0E" w14:textId="2DAEB6B5" w:rsidR="00065317" w:rsidRDefault="005C7BF7" w:rsidP="00652D41">
      <w:pPr>
        <w:pStyle w:val="Corpsdetexte"/>
        <w:ind w:left="567" w:hanging="567"/>
      </w:pPr>
      <w:r>
        <w:lastRenderedPageBreak/>
        <w:t xml:space="preserve">Einstein, Albert. 2001. </w:t>
      </w:r>
      <w:r>
        <w:rPr>
          <w:i/>
          <w:iCs/>
        </w:rPr>
        <w:t>La relativité : théorie de la relativité restreinte et générale, la relativité et le problème de l</w:t>
      </w:r>
      <w:r w:rsidR="00E84B0E">
        <w:rPr>
          <w:i/>
          <w:iCs/>
        </w:rPr>
        <w:t>’</w:t>
      </w:r>
      <w:r>
        <w:rPr>
          <w:i/>
          <w:iCs/>
        </w:rPr>
        <w:t>espace</w:t>
      </w:r>
      <w:r>
        <w:t>. Traduit par Maurice Solovine. Petite bibliothèque Payot 25. Paris, FR-IDF : Payot &amp; Rivages.</w:t>
      </w:r>
    </w:p>
    <w:p w14:paraId="5606FD02" w14:textId="77777777" w:rsidR="00065317" w:rsidRPr="00EC2D6E" w:rsidRDefault="005C7BF7" w:rsidP="00652D41">
      <w:pPr>
        <w:pStyle w:val="Corpsdetexte"/>
        <w:ind w:left="567" w:hanging="567"/>
        <w:rPr>
          <w:lang w:val="en-CA"/>
        </w:rPr>
      </w:pPr>
      <w:r w:rsidRPr="00EC2D6E">
        <w:rPr>
          <w:lang w:val="en-CA"/>
        </w:rPr>
        <w:t xml:space="preserve">Evans, Arthur John. 1921. </w:t>
      </w:r>
      <w:r w:rsidRPr="00EC2D6E">
        <w:rPr>
          <w:i/>
          <w:iCs/>
          <w:lang w:val="en-CA"/>
        </w:rPr>
        <w:t>The Palace of Minos: The Neolithic and Early Middle Minoan Age</w:t>
      </w:r>
      <w:r w:rsidRPr="00EC2D6E">
        <w:rPr>
          <w:lang w:val="en-CA"/>
        </w:rPr>
        <w:t xml:space="preserve">. Vol. 1. 6 vol. The Palace of Minos. London, GB-LND : Macmillan. </w:t>
      </w:r>
      <w:hyperlink r:id="rId377">
        <w:r w:rsidRPr="00EC2D6E">
          <w:rPr>
            <w:rStyle w:val="Lienhypertexte"/>
            <w:lang w:val="en-CA"/>
          </w:rPr>
          <w:t>https://openlibrary.org/books/OL7063760M/The_palace_of_Minos</w:t>
        </w:r>
      </w:hyperlink>
      <w:r w:rsidRPr="00EC2D6E">
        <w:rPr>
          <w:lang w:val="en-CA"/>
        </w:rPr>
        <w:t>.</w:t>
      </w:r>
    </w:p>
    <w:p w14:paraId="65251628" w14:textId="712B6FA3" w:rsidR="00065317" w:rsidRDefault="005C7BF7" w:rsidP="00652D41">
      <w:pPr>
        <w:pStyle w:val="Corpsdetexte"/>
        <w:ind w:left="567" w:hanging="567"/>
      </w:pPr>
      <w:r>
        <w:t xml:space="preserve">Grimal, Nicolas-Christophe. 1988. </w:t>
      </w:r>
      <w:r>
        <w:rPr>
          <w:i/>
          <w:iCs/>
        </w:rPr>
        <w:t>Histoire de l</w:t>
      </w:r>
      <w:r w:rsidR="00E84B0E">
        <w:rPr>
          <w:i/>
          <w:iCs/>
        </w:rPr>
        <w:t>’</w:t>
      </w:r>
      <w:r>
        <w:rPr>
          <w:i/>
          <w:iCs/>
        </w:rPr>
        <w:t>Égypte ancienne</w:t>
      </w:r>
      <w:r>
        <w:t>. Paris, FR-75 : Fayard.</w:t>
      </w:r>
    </w:p>
    <w:p w14:paraId="5ACFF3F7" w14:textId="77777777" w:rsidR="00065317" w:rsidRDefault="005C7BF7" w:rsidP="00652D41">
      <w:pPr>
        <w:pStyle w:val="Corpsdetexte"/>
        <w:ind w:left="567" w:hanging="567"/>
      </w:pPr>
      <w:r>
        <w:t xml:space="preserve">Groz, Benoît. 2008. « Inclusion et équivalence de requêtes conjonctives ». Rapport de stage, Paris, FR-IDF : Institut national de recherche en sciences et technologies du numérique. </w:t>
      </w:r>
      <w:hyperlink r:id="rId378">
        <w:r>
          <w:rPr>
            <w:rStyle w:val="Lienhypertexte"/>
          </w:rPr>
          <w:t>https://www.lri.fr/~groz/documents/rapport.pdf</w:t>
        </w:r>
      </w:hyperlink>
      <w:r>
        <w:t>.</w:t>
      </w:r>
    </w:p>
    <w:p w14:paraId="76CF3919" w14:textId="199A11F4" w:rsidR="00065317" w:rsidRDefault="005C7BF7" w:rsidP="00652D41">
      <w:pPr>
        <w:pStyle w:val="Corpsdetexte"/>
        <w:ind w:left="567" w:hanging="567"/>
      </w:pPr>
      <w:r>
        <w:t>Institut canadien de conservation. 2022. « Traitements de conservation ». Traitements et services de conservation. 18</w:t>
      </w:r>
      <w:r w:rsidR="00056DCD">
        <w:t> octobre </w:t>
      </w:r>
      <w:r>
        <w:t xml:space="preserve">2022. </w:t>
      </w:r>
      <w:hyperlink r:id="rId379">
        <w:r>
          <w:rPr>
            <w:rStyle w:val="Lienhypertexte"/>
          </w:rPr>
          <w:t>https://www.canada.ca/fr/institut-conservation/services/traitements-services-conservation/traitements-conservation.html</w:t>
        </w:r>
      </w:hyperlink>
      <w:r>
        <w:t>.</w:t>
      </w:r>
    </w:p>
    <w:p w14:paraId="06CE6348" w14:textId="2DC8743D" w:rsidR="00065317" w:rsidRDefault="005C7BF7" w:rsidP="00652D41">
      <w:pPr>
        <w:pStyle w:val="Corpsdetexte"/>
        <w:ind w:left="567" w:hanging="567"/>
      </w:pPr>
      <w:r w:rsidRPr="00EC2D6E">
        <w:rPr>
          <w:lang w:val="en-CA"/>
        </w:rPr>
        <w:t xml:space="preserve">JSON-LD Working Group. 2014. « JSON-LD - JSON for Linking Data ». </w:t>
      </w:r>
      <w:r w:rsidRPr="00523021">
        <w:rPr>
          <w:lang w:val="fr-CA"/>
        </w:rPr>
        <w:t xml:space="preserve">JSON-LD. </w:t>
      </w:r>
      <w:r>
        <w:t>16</w:t>
      </w:r>
      <w:r w:rsidR="00056DCD">
        <w:t> janvier </w:t>
      </w:r>
      <w:r>
        <w:t xml:space="preserve">2014. </w:t>
      </w:r>
      <w:hyperlink r:id="rId380">
        <w:r>
          <w:rPr>
            <w:rStyle w:val="Lienhypertexte"/>
          </w:rPr>
          <w:t>https://json-ld.org/</w:t>
        </w:r>
      </w:hyperlink>
      <w:r>
        <w:t>.</w:t>
      </w:r>
    </w:p>
    <w:p w14:paraId="36C3638D" w14:textId="43CB10CA" w:rsidR="00065317" w:rsidRDefault="005C7BF7" w:rsidP="00652D41">
      <w:pPr>
        <w:pStyle w:val="Corpsdetexte"/>
        <w:ind w:left="567" w:hanging="567"/>
      </w:pPr>
      <w:r>
        <w:t xml:space="preserve">Lenormand, Louis Sébastien, et W. Maigne. (1900) 2006. « Tranchefile ». Dans </w:t>
      </w:r>
      <w:r>
        <w:rPr>
          <w:i/>
          <w:iCs/>
        </w:rPr>
        <w:t>Nouveau manuel complet du relieur en tous genres contenant les arts de l</w:t>
      </w:r>
      <w:r w:rsidR="00E84B0E">
        <w:rPr>
          <w:i/>
          <w:iCs/>
        </w:rPr>
        <w:t>’</w:t>
      </w:r>
      <w:r>
        <w:rPr>
          <w:i/>
          <w:iCs/>
        </w:rPr>
        <w:t>assembleur, du satineur, du cartonneur, du marbreur sur tranches et du doreur sur tranches et sur cuir</w:t>
      </w:r>
      <w:r>
        <w:t xml:space="preserve">. Sous la direction de L. Mulo, 171‑75. Manuels Roret. Paris, FR-IDF : Encyclopédie-Roret. </w:t>
      </w:r>
      <w:hyperlink r:id="rId381">
        <w:r>
          <w:rPr>
            <w:rStyle w:val="Lienhypertexte"/>
          </w:rPr>
          <w:t>https://www.moulinduverger.com/reliure-manuelle/roret-69.php</w:t>
        </w:r>
      </w:hyperlink>
      <w:r>
        <w:t>.</w:t>
      </w:r>
    </w:p>
    <w:p w14:paraId="00CEDA04" w14:textId="75A1CEFD" w:rsidR="00065317" w:rsidRDefault="005C7BF7" w:rsidP="00652D41">
      <w:pPr>
        <w:pStyle w:val="Corpsdetexte"/>
        <w:ind w:left="567" w:hanging="567"/>
      </w:pPr>
      <w:r>
        <w:t xml:space="preserve">Louis, Olivier. 2021. « Bâtonnets de tranchefile, fabrication, matériel utilisé et dimensions. » Blogue. </w:t>
      </w:r>
      <w:r>
        <w:rPr>
          <w:i/>
          <w:iCs/>
        </w:rPr>
        <w:t>Reliure d</w:t>
      </w:r>
      <w:r w:rsidR="00E84B0E">
        <w:rPr>
          <w:i/>
          <w:iCs/>
        </w:rPr>
        <w:t>’</w:t>
      </w:r>
      <w:r>
        <w:rPr>
          <w:i/>
          <w:iCs/>
        </w:rPr>
        <w:t>art dare</w:t>
      </w:r>
      <w:r>
        <w:t xml:space="preserve">. 28 septembre. </w:t>
      </w:r>
      <w:hyperlink r:id="rId382">
        <w:r>
          <w:rPr>
            <w:rStyle w:val="Lienhypertexte"/>
          </w:rPr>
          <w:t>https://reliuredartdare.com/2021/09/batonnets-tranchefile-fabrication/</w:t>
        </w:r>
      </w:hyperlink>
      <w:r>
        <w:t>.</w:t>
      </w:r>
    </w:p>
    <w:p w14:paraId="1A8E6B00" w14:textId="7F9A6761" w:rsidR="00065317" w:rsidRPr="001C1490" w:rsidRDefault="005C7BF7" w:rsidP="00652D41">
      <w:pPr>
        <w:pStyle w:val="Corpsdetexte"/>
        <w:ind w:left="567" w:hanging="567"/>
        <w:rPr>
          <w:lang w:val="en-US"/>
        </w:rPr>
      </w:pPr>
      <w:r w:rsidRPr="00EC2D6E">
        <w:rPr>
          <w:lang w:val="en-CA"/>
        </w:rPr>
        <w:t xml:space="preserve">Lowe Fri, Maria. 2011. </w:t>
      </w:r>
      <w:r w:rsidRPr="00EC2D6E">
        <w:rPr>
          <w:i/>
          <w:iCs/>
          <w:lang w:val="en-CA"/>
        </w:rPr>
        <w:t>The Double Axe in Minoan Crete: An Experimental Study of Production and Use</w:t>
      </w:r>
      <w:r w:rsidRPr="00EC2D6E">
        <w:rPr>
          <w:lang w:val="en-CA"/>
        </w:rPr>
        <w:t>. BAR International Series 2304. Oxford, GB-OXF : Arch</w:t>
      </w:r>
      <w:r w:rsidR="005620D6">
        <w:rPr>
          <w:lang w:val="en-CA"/>
        </w:rPr>
        <w:t>ae</w:t>
      </w:r>
      <w:r w:rsidRPr="00EC2D6E">
        <w:rPr>
          <w:lang w:val="en-CA"/>
        </w:rPr>
        <w:t xml:space="preserve">opress. </w:t>
      </w:r>
      <w:hyperlink r:id="rId383">
        <w:r w:rsidRPr="001C1490">
          <w:rPr>
            <w:rStyle w:val="Lienhypertexte"/>
            <w:lang w:val="en-US"/>
          </w:rPr>
          <w:t>https://doi.org/10.30861/9781407308814</w:t>
        </w:r>
      </w:hyperlink>
      <w:r w:rsidRPr="001C1490">
        <w:rPr>
          <w:lang w:val="en-US"/>
        </w:rPr>
        <w:t>.</w:t>
      </w:r>
    </w:p>
    <w:p w14:paraId="64ABA488" w14:textId="55D90B10" w:rsidR="00065317" w:rsidRDefault="005C7BF7" w:rsidP="00652D41">
      <w:pPr>
        <w:pStyle w:val="Corpsdetexte"/>
        <w:ind w:left="567" w:hanging="567"/>
      </w:pPr>
      <w:r>
        <w:t xml:space="preserve">Office québécois de la langue française. 2017. « Base de connaissances ». Dans </w:t>
      </w:r>
      <w:r>
        <w:rPr>
          <w:i/>
          <w:iCs/>
        </w:rPr>
        <w:t>Grand dictionnaire terminologique</w:t>
      </w:r>
      <w:r w:rsidR="002068C0">
        <w:t>.</w:t>
      </w:r>
      <w:r>
        <w:t xml:space="preserve"> Québec, CA-QC : Office québécois de la langue française. Consulté le 2017. </w:t>
      </w:r>
      <w:hyperlink r:id="rId384">
        <w:r>
          <w:rPr>
            <w:rStyle w:val="Lienhypertexte"/>
          </w:rPr>
          <w:t>http://gdt.oqlf.gouv.qc.ca/ficheOqlf.aspx?Id_Fiche=8366746</w:t>
        </w:r>
      </w:hyperlink>
      <w:r>
        <w:t>.</w:t>
      </w:r>
    </w:p>
    <w:p w14:paraId="27D3F054" w14:textId="0F979B8E" w:rsidR="00065317" w:rsidRDefault="005C7BF7" w:rsidP="00652D41">
      <w:pPr>
        <w:pStyle w:val="Corpsdetexte"/>
        <w:ind w:left="567" w:hanging="567"/>
      </w:pPr>
      <w:r>
        <w:t xml:space="preserve">———. 2019a. « Écriture des dates ». Dans </w:t>
      </w:r>
      <w:r>
        <w:rPr>
          <w:i/>
          <w:iCs/>
        </w:rPr>
        <w:t>Banque de dépannage linguistique</w:t>
      </w:r>
      <w:r w:rsidR="002068C0">
        <w:t>.</w:t>
      </w:r>
      <w:r>
        <w:t xml:space="preserve"> Québec, CA-QC : Office québécois de la langue française. Consulté le 2019. </w:t>
      </w:r>
      <w:hyperlink r:id="rId385">
        <w:r>
          <w:rPr>
            <w:rStyle w:val="Lienhypertexte"/>
          </w:rPr>
          <w:t>https://vitrinelinguistique.oqlf.gouv.qc.ca/21640/la-typographie/nombres/ecriture-des-dates</w:t>
        </w:r>
      </w:hyperlink>
      <w:r>
        <w:t>.</w:t>
      </w:r>
    </w:p>
    <w:p w14:paraId="08B78C81" w14:textId="52A84A68" w:rsidR="00065317" w:rsidRDefault="005C7BF7" w:rsidP="00652D41">
      <w:pPr>
        <w:pStyle w:val="Corpsdetexte"/>
        <w:ind w:left="567" w:hanging="567"/>
      </w:pPr>
      <w:r>
        <w:t xml:space="preserve">———. 2019b. « Écriture des dates et des heures dans les lettres et les textes courants ». Dans </w:t>
      </w:r>
      <w:r>
        <w:rPr>
          <w:i/>
          <w:iCs/>
        </w:rPr>
        <w:t>Banque de dépannage linguistique</w:t>
      </w:r>
      <w:r w:rsidR="002068C0">
        <w:t>.</w:t>
      </w:r>
      <w:r>
        <w:t xml:space="preserve"> Québec, CA-QC : Office québécois de la langue française. Consulté le 2019. </w:t>
      </w:r>
      <w:hyperlink r:id="rId386">
        <w:r>
          <w:rPr>
            <w:rStyle w:val="Lienhypertexte"/>
          </w:rPr>
          <w:t>https://vitrinelinguistique.oqlf.gouv.qc.ca/21242/la-typographie/nombres/ecriture-des-dates-et-des-heures-dans-les-lettres-et-les-textes-courants</w:t>
        </w:r>
      </w:hyperlink>
      <w:r>
        <w:t>.</w:t>
      </w:r>
    </w:p>
    <w:p w14:paraId="0495D701" w14:textId="42D4FF6E" w:rsidR="003E6361" w:rsidRDefault="005C7BF7" w:rsidP="00652D41">
      <w:pPr>
        <w:pStyle w:val="Corpsdetexte"/>
        <w:ind w:left="567" w:hanging="567"/>
      </w:pPr>
      <w:r>
        <w:t xml:space="preserve">———. 2022. « Différence entre procédé, processus et procédure ». Dans </w:t>
      </w:r>
      <w:r>
        <w:rPr>
          <w:i/>
          <w:iCs/>
        </w:rPr>
        <w:t>Banque de dépannage linguistique</w:t>
      </w:r>
      <w:r w:rsidR="002068C0">
        <w:t>.</w:t>
      </w:r>
      <w:r>
        <w:t xml:space="preserve"> Québec, CA-QC : Office québécois de la langue française. Consulté le 2022. </w:t>
      </w:r>
      <w:hyperlink r:id="rId387">
        <w:r>
          <w:rPr>
            <w:rStyle w:val="Lienhypertexte"/>
          </w:rPr>
          <w:t>https://vitrinelinguistique.oqlf.gouv.qc.ca/22247/le-vocabulaire/nuances-semantiques/difference-entre-procede-processus-et-procedure</w:t>
        </w:r>
      </w:hyperlink>
      <w:r>
        <w:t>.</w:t>
      </w:r>
    </w:p>
    <w:p w14:paraId="0C556374" w14:textId="48E54E2C" w:rsidR="00065317" w:rsidRDefault="003E6361" w:rsidP="003E6361">
      <w:pPr>
        <w:spacing w:after="0"/>
      </w:pPr>
      <w:r>
        <w:br w:type="page"/>
      </w:r>
    </w:p>
    <w:p w14:paraId="0366064D" w14:textId="53B86AC4" w:rsidR="00065317" w:rsidRDefault="005C7BF7" w:rsidP="00652D41">
      <w:pPr>
        <w:pStyle w:val="Corpsdetexte"/>
        <w:ind w:left="567" w:hanging="567"/>
      </w:pPr>
      <w:r>
        <w:lastRenderedPageBreak/>
        <w:t>———. 2023. « Maximal, minimal et optimal : accord de l</w:t>
      </w:r>
      <w:r w:rsidR="00E84B0E">
        <w:t>’</w:t>
      </w:r>
      <w:r>
        <w:t xml:space="preserve">adjectif ». Dans </w:t>
      </w:r>
      <w:r>
        <w:rPr>
          <w:i/>
          <w:iCs/>
        </w:rPr>
        <w:t>Banque de dépannage linguistique</w:t>
      </w:r>
      <w:r w:rsidR="002068C0">
        <w:t>.</w:t>
      </w:r>
      <w:r>
        <w:t xml:space="preserve"> Québec, CA-QC : Office québécois de la langue francaise. Consulté le 8</w:t>
      </w:r>
      <w:r w:rsidR="00056DCD">
        <w:t> février </w:t>
      </w:r>
      <w:r>
        <w:t xml:space="preserve">2023. </w:t>
      </w:r>
      <w:hyperlink r:id="rId388">
        <w:r>
          <w:rPr>
            <w:rStyle w:val="Lienhypertexte"/>
          </w:rPr>
          <w:t>https://vitrinelinguistique.oqlf.gouv.qc.ca/23433/la-grammaire/ladjectif/accord-de-ladjectif/cas-particuliers-daccord-de-ladjectif/accord-des-adjectifs-maximal-minimal-et-optimal</w:t>
        </w:r>
      </w:hyperlink>
      <w:r>
        <w:t>.</w:t>
      </w:r>
    </w:p>
    <w:p w14:paraId="7C0C6FA4" w14:textId="77777777" w:rsidR="00065317" w:rsidRPr="005620D6" w:rsidRDefault="005C7BF7" w:rsidP="00652D41">
      <w:pPr>
        <w:pStyle w:val="Corpsdetexte"/>
        <w:ind w:left="567" w:hanging="567"/>
        <w:rPr>
          <w:lang w:val="fr-CA"/>
        </w:rPr>
      </w:pPr>
      <w:r w:rsidRPr="00EC2D6E">
        <w:rPr>
          <w:lang w:val="en-CA"/>
        </w:rPr>
        <w:t xml:space="preserve">OWL Working Group. 2012. « OWL - Semantic Web Standards ». </w:t>
      </w:r>
      <w:r w:rsidRPr="005620D6">
        <w:rPr>
          <w:lang w:val="fr-CA"/>
        </w:rPr>
        <w:t xml:space="preserve">Ontologie. Cambridge, USA-MA : World Wide Web Consortium (W3C). </w:t>
      </w:r>
      <w:hyperlink r:id="rId389">
        <w:r w:rsidRPr="005620D6">
          <w:rPr>
            <w:rStyle w:val="Lienhypertexte"/>
            <w:lang w:val="fr-CA"/>
          </w:rPr>
          <w:t>https://www.w3.org/OWL/</w:t>
        </w:r>
      </w:hyperlink>
      <w:r w:rsidRPr="005620D6">
        <w:rPr>
          <w:lang w:val="fr-CA"/>
        </w:rPr>
        <w:t>.</w:t>
      </w:r>
    </w:p>
    <w:p w14:paraId="0423E536" w14:textId="77777777" w:rsidR="00065317" w:rsidRPr="00523021" w:rsidRDefault="005C7BF7" w:rsidP="00652D41">
      <w:pPr>
        <w:pStyle w:val="Corpsdetexte"/>
        <w:ind w:left="567" w:hanging="567"/>
        <w:rPr>
          <w:lang w:val="en-CA"/>
        </w:rPr>
      </w:pPr>
      <w:r w:rsidRPr="005620D6">
        <w:rPr>
          <w:lang w:val="fr-CA"/>
        </w:rPr>
        <w:t xml:space="preserve">Picard, Charles. 1929. </w:t>
      </w:r>
      <w:r>
        <w:t xml:space="preserve">« Le palais de Minos à Cnossos ». </w:t>
      </w:r>
      <w:r w:rsidRPr="00523021">
        <w:rPr>
          <w:i/>
          <w:iCs/>
          <w:lang w:val="en-CA"/>
        </w:rPr>
        <w:t>Journal des Savants</w:t>
      </w:r>
      <w:r w:rsidRPr="00523021">
        <w:rPr>
          <w:lang w:val="en-CA"/>
        </w:rPr>
        <w:t xml:space="preserve"> 3 (1) : 97‑110.</w:t>
      </w:r>
    </w:p>
    <w:p w14:paraId="701CFB31" w14:textId="77777777" w:rsidR="00065317" w:rsidRDefault="005C7BF7" w:rsidP="00652D41">
      <w:pPr>
        <w:pStyle w:val="Corpsdetexte"/>
        <w:ind w:left="567" w:hanging="567"/>
      </w:pPr>
      <w:r w:rsidRPr="00EC2D6E">
        <w:rPr>
          <w:lang w:val="en-CA"/>
        </w:rPr>
        <w:t xml:space="preserve">RDF Working Group. 2014. « RDF - Semantic Web Standards ». Modèle. Cambridge, USA-MA : World Wide Web Consortium (W3C). </w:t>
      </w:r>
      <w:hyperlink r:id="rId390">
        <w:r>
          <w:rPr>
            <w:rStyle w:val="Lienhypertexte"/>
          </w:rPr>
          <w:t>https://www.w3.org/RDF/</w:t>
        </w:r>
      </w:hyperlink>
      <w:r>
        <w:t>.</w:t>
      </w:r>
    </w:p>
    <w:p w14:paraId="22DD77F2" w14:textId="77777777" w:rsidR="00065317" w:rsidRPr="00EC2D6E" w:rsidRDefault="005C7BF7" w:rsidP="00652D41">
      <w:pPr>
        <w:pStyle w:val="Corpsdetexte"/>
        <w:ind w:left="567" w:hanging="567"/>
        <w:rPr>
          <w:lang w:val="en-CA"/>
        </w:rPr>
      </w:pPr>
      <w:r>
        <w:t xml:space="preserve">Reaney, Gilbert. 1974. </w:t>
      </w:r>
      <w:r>
        <w:rPr>
          <w:i/>
          <w:iCs/>
        </w:rPr>
        <w:t>Guillaume de Machaut</w:t>
      </w:r>
      <w:r>
        <w:t xml:space="preserve">. </w:t>
      </w:r>
      <w:r w:rsidRPr="00523021">
        <w:rPr>
          <w:lang w:val="en-CA"/>
        </w:rPr>
        <w:t>2</w:t>
      </w:r>
      <w:r w:rsidRPr="00523021">
        <w:rPr>
          <w:vertAlign w:val="superscript"/>
          <w:lang w:val="en-CA"/>
        </w:rPr>
        <w:t>e</w:t>
      </w:r>
      <w:r w:rsidRPr="00523021">
        <w:rPr>
          <w:lang w:val="en-CA"/>
        </w:rPr>
        <w:t xml:space="preserve"> éd. </w:t>
      </w:r>
      <w:r w:rsidRPr="00EC2D6E">
        <w:rPr>
          <w:lang w:val="en-CA"/>
        </w:rPr>
        <w:t>Oxford Studies of Composers 9. London, GB-LND : Oxford University Press.</w:t>
      </w:r>
    </w:p>
    <w:p w14:paraId="254F3D2E" w14:textId="5801E0EF" w:rsidR="00065317" w:rsidRPr="001C1490" w:rsidRDefault="005C7BF7" w:rsidP="00652D41">
      <w:pPr>
        <w:pStyle w:val="Corpsdetexte"/>
        <w:ind w:left="567" w:hanging="567"/>
        <w:rPr>
          <w:lang w:val="en-US"/>
        </w:rPr>
      </w:pPr>
      <w:r w:rsidRPr="00523021">
        <w:rPr>
          <w:lang w:val="en-CA"/>
        </w:rPr>
        <w:t>Smith, Shelagh, et Hélène Franc</w:t>
      </w:r>
      <w:r w:rsidR="00F52177" w:rsidRPr="00523021">
        <w:rPr>
          <w:lang w:val="en-CA"/>
        </w:rPr>
        <w:t>oe</w:t>
      </w:r>
      <w:r w:rsidRPr="00523021">
        <w:rPr>
          <w:lang w:val="en-CA"/>
        </w:rPr>
        <w:t xml:space="preserve">ur. </w:t>
      </w:r>
      <w:r w:rsidRPr="00EC2D6E">
        <w:rPr>
          <w:lang w:val="en-CA"/>
        </w:rPr>
        <w:t xml:space="preserve">2021. </w:t>
      </w:r>
      <w:r w:rsidRPr="00EC2D6E">
        <w:rPr>
          <w:i/>
          <w:iCs/>
          <w:lang w:val="en-CA"/>
        </w:rPr>
        <w:t>English to French Book Arts Terms</w:t>
      </w:r>
      <w:r w:rsidRPr="00EC2D6E">
        <w:rPr>
          <w:lang w:val="en-CA"/>
        </w:rPr>
        <w:t xml:space="preserve">. Toronto, CA-ON : Canadian Bookbinders and Book Artists Guild. </w:t>
      </w:r>
      <w:hyperlink r:id="rId391">
        <w:r w:rsidRPr="001C1490">
          <w:rPr>
            <w:rStyle w:val="Lienhypertexte"/>
            <w:lang w:val="en-US"/>
          </w:rPr>
          <w:t>https://www.cbbag.ca/resources/Public/Book%20Arts%20ENG%20FRE%20Translation.pdf</w:t>
        </w:r>
      </w:hyperlink>
      <w:r w:rsidRPr="001C1490">
        <w:rPr>
          <w:lang w:val="en-US"/>
        </w:rPr>
        <w:t>.</w:t>
      </w:r>
    </w:p>
    <w:p w14:paraId="6BEAE560" w14:textId="77777777" w:rsidR="00065317" w:rsidRPr="005620D6" w:rsidRDefault="005C7BF7" w:rsidP="00652D41">
      <w:pPr>
        <w:pStyle w:val="Corpsdetexte"/>
        <w:ind w:left="567" w:hanging="567"/>
        <w:rPr>
          <w:lang w:val="fr-CA"/>
        </w:rPr>
      </w:pPr>
      <w:r w:rsidRPr="00EC2D6E">
        <w:rPr>
          <w:lang w:val="en-CA"/>
        </w:rPr>
        <w:t xml:space="preserve">Strong, Roy. 2005. </w:t>
      </w:r>
      <w:r w:rsidRPr="00EC2D6E">
        <w:rPr>
          <w:i/>
          <w:iCs/>
          <w:lang w:val="en-CA"/>
        </w:rPr>
        <w:t>Coronation: a history of kingship and the British monarchy</w:t>
      </w:r>
      <w:r w:rsidRPr="00EC2D6E">
        <w:rPr>
          <w:lang w:val="en-CA"/>
        </w:rPr>
        <w:t xml:space="preserve">. </w:t>
      </w:r>
      <w:r w:rsidRPr="005620D6">
        <w:rPr>
          <w:lang w:val="fr-CA"/>
        </w:rPr>
        <w:t>London, GB-LND : Harper Collins.</w:t>
      </w:r>
    </w:p>
    <w:p w14:paraId="2D6E81A5" w14:textId="2DB77A5C" w:rsidR="00065317" w:rsidRDefault="005C7BF7" w:rsidP="00652D41">
      <w:pPr>
        <w:pStyle w:val="Corpsdetexte"/>
        <w:ind w:left="567" w:hanging="567"/>
      </w:pPr>
      <w:r w:rsidRPr="005620D6">
        <w:rPr>
          <w:lang w:val="fr-CA"/>
        </w:rPr>
        <w:t xml:space="preserve">Termium. 1997. </w:t>
      </w:r>
      <w:r>
        <w:t xml:space="preserve">« Avant Jésus-Christ ». Dans </w:t>
      </w:r>
      <w:r>
        <w:rPr>
          <w:i/>
          <w:iCs/>
        </w:rPr>
        <w:t>Termium Plus</w:t>
      </w:r>
      <w:r w:rsidR="002068C0">
        <w:t>.</w:t>
      </w:r>
      <w:r>
        <w:t xml:space="preserve"> Ottawa, CA-ON : Gouvernement du Canada. Consulté le 29</w:t>
      </w:r>
      <w:r w:rsidR="00056DCD">
        <w:t> janvier </w:t>
      </w:r>
      <w:r>
        <w:t xml:space="preserve">1997. </w:t>
      </w:r>
      <w:hyperlink r:id="rId392" w:anchor="resultrecs">
        <w:r>
          <w:rPr>
            <w:rStyle w:val="Lienhypertexte"/>
          </w:rPr>
          <w:t>https://www.btb.termiumplus.gc.ca/tpv2alpha/alpha-fra.html?lang=fra&amp;i=1&amp;srchtxt=avant+J%C3%A9sus-christ&amp;codom2nd_wet=1#resultrecs</w:t>
        </w:r>
      </w:hyperlink>
      <w:r>
        <w:t>.</w:t>
      </w:r>
    </w:p>
    <w:p w14:paraId="037074D5" w14:textId="6BD9EB1C" w:rsidR="00065317" w:rsidRDefault="005C7BF7" w:rsidP="00652D41">
      <w:pPr>
        <w:pStyle w:val="Corpsdetexte"/>
        <w:ind w:left="567" w:hanging="567"/>
      </w:pPr>
      <w:r>
        <w:t xml:space="preserve">———. 2001. « Via ». Dans </w:t>
      </w:r>
      <w:r>
        <w:rPr>
          <w:i/>
          <w:iCs/>
        </w:rPr>
        <w:t>Termium Plus</w:t>
      </w:r>
      <w:r w:rsidR="002068C0">
        <w:t>.</w:t>
      </w:r>
      <w:r>
        <w:t xml:space="preserve"> Ottawa, CA-ON : Gouvernement du Canada. Consulté le 8</w:t>
      </w:r>
      <w:r w:rsidR="00056DCD">
        <w:t> mars </w:t>
      </w:r>
      <w:r>
        <w:t xml:space="preserve">2001. </w:t>
      </w:r>
      <w:hyperlink r:id="rId393" w:anchor="fichesauve-saverecord4">
        <w:r>
          <w:rPr>
            <w:rStyle w:val="Lienhypertexte"/>
          </w:rPr>
          <w:t>https://www.btb.termiumplus.gc.ca/tpv2alpha/alpha-fra.html?lang=fra&amp;srchtxt=VIA&amp;i=&amp;index=ent&amp;sg_kp_wet=1323269&amp;fchrcrdnm=4#fichesauve-saverecord4</w:t>
        </w:r>
      </w:hyperlink>
      <w:r>
        <w:t>.</w:t>
      </w:r>
    </w:p>
    <w:p w14:paraId="0C3EB359" w14:textId="5D7B9127" w:rsidR="00065317" w:rsidRDefault="005C7BF7" w:rsidP="00652D41">
      <w:pPr>
        <w:pStyle w:val="Corpsdetexte"/>
        <w:ind w:left="567" w:hanging="567"/>
      </w:pPr>
      <w:r w:rsidRPr="00EC2D6E">
        <w:rPr>
          <w:lang w:val="en-CA"/>
        </w:rPr>
        <w:t xml:space="preserve">———. 2003. « Temporal reasoning ». </w:t>
      </w:r>
      <w:r w:rsidRPr="005620D6">
        <w:rPr>
          <w:lang w:val="en-US"/>
        </w:rPr>
        <w:t xml:space="preserve">Dans </w:t>
      </w:r>
      <w:r w:rsidRPr="005620D6">
        <w:rPr>
          <w:i/>
          <w:iCs/>
          <w:lang w:val="en-US"/>
        </w:rPr>
        <w:t>Termium Plus</w:t>
      </w:r>
      <w:r w:rsidR="002068C0" w:rsidRPr="005620D6">
        <w:rPr>
          <w:lang w:val="en-US"/>
        </w:rPr>
        <w:t>.</w:t>
      </w:r>
      <w:r w:rsidRPr="005620D6">
        <w:rPr>
          <w:lang w:val="en-US"/>
        </w:rPr>
        <w:t xml:space="preserve"> </w:t>
      </w:r>
      <w:r>
        <w:t>Ottawa, CA-ON : Gouvernment du Canada. Consulté le 19</w:t>
      </w:r>
      <w:r w:rsidR="00056DCD">
        <w:t> septembre </w:t>
      </w:r>
      <w:r>
        <w:t xml:space="preserve">2003. </w:t>
      </w:r>
      <w:hyperlink r:id="rId394" w:anchor="fichesauve-saverecord1">
        <w:r>
          <w:rPr>
            <w:rStyle w:val="Lienhypertexte"/>
          </w:rPr>
          <w:t>https://www.btb.termiumplus.gc.ca/tpv2alpha/alpha-fra.html?lang=fra&amp;srchtxt=temporal%20reasoning&amp;i=&amp;index=alt&amp;sg_kp_wet=921138&amp;fchrcrdnm=1#fichesauve-saverecord1</w:t>
        </w:r>
      </w:hyperlink>
      <w:r>
        <w:t>.</w:t>
      </w:r>
    </w:p>
    <w:p w14:paraId="5C731800" w14:textId="53B5DC04" w:rsidR="00065317" w:rsidRDefault="005C7BF7" w:rsidP="00652D41">
      <w:pPr>
        <w:pStyle w:val="Corpsdetexte"/>
        <w:ind w:left="567" w:hanging="567"/>
      </w:pPr>
      <w:r>
        <w:t xml:space="preserve">———. 2009a. « Back catalogue ». Dans </w:t>
      </w:r>
      <w:r>
        <w:rPr>
          <w:i/>
          <w:iCs/>
        </w:rPr>
        <w:t>Termium Plus</w:t>
      </w:r>
      <w:r w:rsidR="002068C0">
        <w:t>.</w:t>
      </w:r>
      <w:r>
        <w:t xml:space="preserve"> Ottawa, CA-ON : Gouvernement du Canada. Consulté le 8</w:t>
      </w:r>
      <w:r w:rsidR="00056DCD">
        <w:t> octobre </w:t>
      </w:r>
      <w:r>
        <w:t xml:space="preserve">2009. </w:t>
      </w:r>
      <w:hyperlink r:id="rId395" w:anchor="resultrecs">
        <w:r>
          <w:rPr>
            <w:rStyle w:val="Lienhypertexte"/>
          </w:rPr>
          <w:t>https://www.btb.termiumplus.gc.ca/tpv2alpha/alpha-fra.html?lang=fra&amp;i=1&amp;srchtxt=back+catalogue&amp;index=alt&amp;codom2nd_wet=1#resultrecs</w:t>
        </w:r>
      </w:hyperlink>
      <w:r>
        <w:t>.</w:t>
      </w:r>
    </w:p>
    <w:p w14:paraId="466C9A75" w14:textId="1347A39F" w:rsidR="00065317" w:rsidRDefault="005C7BF7" w:rsidP="00652D41">
      <w:pPr>
        <w:pStyle w:val="Corpsdetexte"/>
        <w:ind w:left="567" w:hanging="567"/>
      </w:pPr>
      <w:r>
        <w:t xml:space="preserve">———. 2009b. « Cardinalité ». Dans </w:t>
      </w:r>
      <w:r>
        <w:rPr>
          <w:i/>
          <w:iCs/>
        </w:rPr>
        <w:t>Termium Plus</w:t>
      </w:r>
      <w:r w:rsidR="002068C0">
        <w:t>.</w:t>
      </w:r>
      <w:r>
        <w:t xml:space="preserve"> Ottawa, CA-ON : Gouvernement du Canada. Consulté le 8</w:t>
      </w:r>
      <w:r w:rsidR="00056DCD">
        <w:t> octobre </w:t>
      </w:r>
      <w:r>
        <w:t xml:space="preserve">2009. </w:t>
      </w:r>
      <w:hyperlink r:id="rId396" w:anchor="resultrecs">
        <w:r>
          <w:rPr>
            <w:rStyle w:val="Lienhypertexte"/>
          </w:rPr>
          <w:t>https://www.btb.termiumplus.gc.ca/tpv2alpha/alpha-fra.html?lang=fra&amp;i=1&amp;srchtxt=cardinalit%C3%A9&amp;index=frt&amp;codom2nd_wet=1#resultrecs</w:t>
        </w:r>
      </w:hyperlink>
      <w:r>
        <w:t>.</w:t>
      </w:r>
    </w:p>
    <w:p w14:paraId="4F6E47E7" w14:textId="0A08EFA9" w:rsidR="00065317" w:rsidRDefault="005C7BF7" w:rsidP="00652D41">
      <w:pPr>
        <w:pStyle w:val="Corpsdetexte"/>
        <w:ind w:left="567" w:hanging="567"/>
      </w:pPr>
      <w:r>
        <w:t xml:space="preserve">———. 2009c. « Construct ». Dans </w:t>
      </w:r>
      <w:r>
        <w:rPr>
          <w:i/>
          <w:iCs/>
        </w:rPr>
        <w:t>Termium Plus</w:t>
      </w:r>
      <w:r w:rsidR="002068C0">
        <w:t>.</w:t>
      </w:r>
      <w:r>
        <w:t xml:space="preserve"> Ottawa, CA-ON : Gouvernement du Canada. Consulté le 8</w:t>
      </w:r>
      <w:r w:rsidR="00056DCD">
        <w:t> octobre </w:t>
      </w:r>
      <w:r>
        <w:t xml:space="preserve">2009. </w:t>
      </w:r>
      <w:hyperlink r:id="rId397" w:anchor="resultrecs">
        <w:r>
          <w:rPr>
            <w:rStyle w:val="Lienhypertexte"/>
          </w:rPr>
          <w:t>https://www.btb.termiumplus.gc.ca/tpv2alpha/alpha-fra.html?lang=fra&amp;i=1&amp;srchtxt=construct&amp;index=ent&amp;codom2nd_wet=1#resultrecs</w:t>
        </w:r>
      </w:hyperlink>
      <w:r>
        <w:t>.</w:t>
      </w:r>
    </w:p>
    <w:p w14:paraId="54C95B1C" w14:textId="6A69CE60" w:rsidR="00065317" w:rsidRDefault="005C7BF7" w:rsidP="00652D41">
      <w:pPr>
        <w:pStyle w:val="Corpsdetexte"/>
        <w:ind w:left="567" w:hanging="567"/>
      </w:pPr>
      <w:r>
        <w:t xml:space="preserve">———. 2009d. « Containment ». Dans </w:t>
      </w:r>
      <w:r>
        <w:rPr>
          <w:i/>
          <w:iCs/>
        </w:rPr>
        <w:t>Termium Plus</w:t>
      </w:r>
      <w:r w:rsidR="002068C0">
        <w:t>.</w:t>
      </w:r>
      <w:r>
        <w:t xml:space="preserve"> Ottawa, CA-ON : Gouvernement du Canada. Consulté le 8</w:t>
      </w:r>
      <w:r w:rsidR="00056DCD">
        <w:t> octobre </w:t>
      </w:r>
      <w:r>
        <w:t xml:space="preserve">2009. </w:t>
      </w:r>
      <w:hyperlink r:id="rId398" w:anchor="resultrecs">
        <w:r>
          <w:rPr>
            <w:rStyle w:val="Lienhypertexte"/>
          </w:rPr>
          <w:t>https://www.btb.termiumplus.gc.ca/tpv2alpha/alpha-fra.html?lang=fra&amp;i=1&amp;srchtxt=containment&amp;index=ent&amp;codom2nd_wet=1#resultrecs</w:t>
        </w:r>
      </w:hyperlink>
      <w:r>
        <w:t>.</w:t>
      </w:r>
    </w:p>
    <w:p w14:paraId="4BB9141E" w14:textId="5EEC3C4F" w:rsidR="00065317" w:rsidRDefault="005C7BF7" w:rsidP="00652D41">
      <w:pPr>
        <w:pStyle w:val="Corpsdetexte"/>
        <w:ind w:left="567" w:hanging="567"/>
      </w:pPr>
      <w:r>
        <w:t xml:space="preserve">———. 2009e. « Contiguous ». Dans </w:t>
      </w:r>
      <w:r>
        <w:rPr>
          <w:i/>
          <w:iCs/>
        </w:rPr>
        <w:t>Termium Plus</w:t>
      </w:r>
      <w:r w:rsidR="002068C0">
        <w:t>.</w:t>
      </w:r>
      <w:r>
        <w:t xml:space="preserve"> Ottawa, CA-ON : Gouvernement du Canada. Consulté le 8</w:t>
      </w:r>
      <w:r w:rsidR="00056DCD">
        <w:t> octobre </w:t>
      </w:r>
      <w:r>
        <w:t xml:space="preserve">2009. </w:t>
      </w:r>
      <w:hyperlink r:id="rId399" w:anchor="resultrecs">
        <w:r>
          <w:rPr>
            <w:rStyle w:val="Lienhypertexte"/>
          </w:rPr>
          <w:t>https://www.btb.termiumplus.gc.ca/tpv2alpha/alpha-fra.html?lang=fra&amp;i=1&amp;srchtxt=contiguous&amp;codom2nd_wet=1#resultrecs</w:t>
        </w:r>
      </w:hyperlink>
      <w:r>
        <w:t>.</w:t>
      </w:r>
    </w:p>
    <w:p w14:paraId="16459FAA" w14:textId="544DA5C8" w:rsidR="00065317" w:rsidRDefault="005C7BF7" w:rsidP="00652D41">
      <w:pPr>
        <w:pStyle w:val="Corpsdetexte"/>
        <w:ind w:left="567" w:hanging="567"/>
      </w:pPr>
      <w:r>
        <w:lastRenderedPageBreak/>
        <w:t xml:space="preserve">———. 2009f. « Convention appellation courriels ». Dans </w:t>
      </w:r>
      <w:r>
        <w:rPr>
          <w:i/>
          <w:iCs/>
        </w:rPr>
        <w:t>Termium Plus</w:t>
      </w:r>
      <w:r w:rsidR="002068C0">
        <w:t>.</w:t>
      </w:r>
      <w:r>
        <w:t xml:space="preserve"> Ottawa, CA-ON : Gouvernement du Canada. Consulté le 8</w:t>
      </w:r>
      <w:r w:rsidR="00056DCD">
        <w:t> octobre </w:t>
      </w:r>
      <w:r>
        <w:t xml:space="preserve">2009. </w:t>
      </w:r>
      <w:hyperlink r:id="rId400">
        <w:r>
          <w:rPr>
            <w:rStyle w:val="Lienhypertexte"/>
          </w:rPr>
          <w:t>https://www.btb.termiumplus.gc.ca/tpv2alpha/alpha-eng.html?lang=eng&amp;i=1&amp;index=frt&amp;srchtxt=CONVENTION%20APPELLATION%20COURRIELS</w:t>
        </w:r>
      </w:hyperlink>
      <w:r>
        <w:t>.</w:t>
      </w:r>
    </w:p>
    <w:p w14:paraId="080AEB4B" w14:textId="75F795E8" w:rsidR="00065317" w:rsidRDefault="005C7BF7" w:rsidP="00652D41">
      <w:pPr>
        <w:pStyle w:val="Corpsdetexte"/>
        <w:ind w:left="567" w:hanging="567"/>
      </w:pPr>
      <w:r>
        <w:t xml:space="preserve">———. 2009g. « Directed graph ». Dans </w:t>
      </w:r>
      <w:r>
        <w:rPr>
          <w:i/>
          <w:iCs/>
        </w:rPr>
        <w:t>Termium Plus</w:t>
      </w:r>
      <w:r w:rsidR="002068C0">
        <w:t>.</w:t>
      </w:r>
      <w:r>
        <w:t xml:space="preserve"> Ottawa, CA-ON : Gouvernement du Canada. Consulté le 8</w:t>
      </w:r>
      <w:r w:rsidR="00056DCD">
        <w:t> octobre </w:t>
      </w:r>
      <w:r>
        <w:t xml:space="preserve">2009. </w:t>
      </w:r>
      <w:hyperlink r:id="rId401" w:anchor="resultrecs">
        <w:r>
          <w:rPr>
            <w:rStyle w:val="Lienhypertexte"/>
          </w:rPr>
          <w:t>https://www.btb.termiumplus.gc.ca/tpv2alpha/alpha-fra.html?lang=fra&amp;i=1&amp;srchtxt=directed+graph&amp;index=alt&amp;codom2nd_wet=1#resultrecs</w:t>
        </w:r>
      </w:hyperlink>
      <w:r>
        <w:t>.</w:t>
      </w:r>
    </w:p>
    <w:p w14:paraId="25F14802" w14:textId="23EB6F55" w:rsidR="00065317" w:rsidRDefault="005C7BF7" w:rsidP="00652D41">
      <w:pPr>
        <w:pStyle w:val="Corpsdetexte"/>
        <w:ind w:left="567" w:hanging="567"/>
      </w:pPr>
      <w:r>
        <w:t xml:space="preserve">———. 2009h. « Fan-in ». Dans </w:t>
      </w:r>
      <w:r>
        <w:rPr>
          <w:i/>
          <w:iCs/>
        </w:rPr>
        <w:t>Termium Plus</w:t>
      </w:r>
      <w:r w:rsidR="002068C0">
        <w:t>.</w:t>
      </w:r>
      <w:r>
        <w:t xml:space="preserve"> Ottawa, CA-ON : Gouvernement du Canada. Consulté le 8</w:t>
      </w:r>
      <w:r w:rsidR="00056DCD">
        <w:t> octobre </w:t>
      </w:r>
      <w:r>
        <w:t xml:space="preserve">2009. </w:t>
      </w:r>
      <w:hyperlink r:id="rId402" w:anchor="resultrecs">
        <w:r>
          <w:rPr>
            <w:rStyle w:val="Lienhypertexte"/>
          </w:rPr>
          <w:t>https://www.btb.termiumplus.gc.ca/tpv2alpha/alpha-fra.html?lang=fra&amp;i=1&amp;srchtxt=fan-in&amp;index=ent&amp;codom2nd_wet=1#resultrecs</w:t>
        </w:r>
      </w:hyperlink>
      <w:r>
        <w:t>.</w:t>
      </w:r>
    </w:p>
    <w:p w14:paraId="34642B33" w14:textId="13E9FC03" w:rsidR="00065317" w:rsidRDefault="005C7BF7" w:rsidP="00652D41">
      <w:pPr>
        <w:pStyle w:val="Corpsdetexte"/>
        <w:ind w:left="567" w:hanging="567"/>
      </w:pPr>
      <w:r>
        <w:t xml:space="preserve">———. 2009i. « Fan-out ». Dans </w:t>
      </w:r>
      <w:r>
        <w:rPr>
          <w:i/>
          <w:iCs/>
        </w:rPr>
        <w:t>Termium Plus</w:t>
      </w:r>
      <w:r w:rsidR="002068C0">
        <w:t>.</w:t>
      </w:r>
      <w:r>
        <w:t xml:space="preserve"> Ottawa, CA-ON : Gouvernement du Canada. Consulté le 8</w:t>
      </w:r>
      <w:r w:rsidR="00056DCD">
        <w:t> octobre </w:t>
      </w:r>
      <w:r>
        <w:t xml:space="preserve">2009. </w:t>
      </w:r>
      <w:hyperlink r:id="rId403" w:anchor="resultrecs">
        <w:r>
          <w:rPr>
            <w:rStyle w:val="Lienhypertexte"/>
          </w:rPr>
          <w:t>https://www.btb.termiumplus.gc.ca/tpv2alpha/alpha-fra.html?lang=fra&amp;i=1&amp;srchtxt=fan-out&amp;index=ent&amp;codom2nd_wet=1#resultrecs</w:t>
        </w:r>
      </w:hyperlink>
      <w:r>
        <w:t>.</w:t>
      </w:r>
    </w:p>
    <w:p w14:paraId="01DA1F65" w14:textId="4A52BF33" w:rsidR="00065317" w:rsidRDefault="005C7BF7" w:rsidP="00652D41">
      <w:pPr>
        <w:pStyle w:val="Corpsdetexte"/>
        <w:ind w:left="567" w:hanging="567"/>
      </w:pPr>
      <w:r>
        <w:t xml:space="preserve">———. 2009j. « Ideational content ». Dans </w:t>
      </w:r>
      <w:r>
        <w:rPr>
          <w:i/>
          <w:iCs/>
        </w:rPr>
        <w:t>Termium Plus</w:t>
      </w:r>
      <w:r w:rsidR="002068C0">
        <w:t>.</w:t>
      </w:r>
      <w:r>
        <w:t xml:space="preserve"> Ottawa, CA-ON : Gouvernement du Canada. Consulté le 8</w:t>
      </w:r>
      <w:r w:rsidR="00056DCD">
        <w:t> octobre </w:t>
      </w:r>
      <w:r>
        <w:t xml:space="preserve">2009. </w:t>
      </w:r>
      <w:hyperlink r:id="rId404">
        <w:r>
          <w:rPr>
            <w:rStyle w:val="Lienhypertexte"/>
          </w:rPr>
          <w:t>https://www.btb.termiumplus.gc.ca/tpv2alpha/alpha-fra.html?lang=fra&amp;srchtxt=IDEATIONAL+CONTENT</w:t>
        </w:r>
      </w:hyperlink>
      <w:r>
        <w:t>.</w:t>
      </w:r>
    </w:p>
    <w:p w14:paraId="27F30D55" w14:textId="6DDA14BA" w:rsidR="00065317" w:rsidRDefault="005C7BF7" w:rsidP="00652D41">
      <w:pPr>
        <w:pStyle w:val="Corpsdetexte"/>
        <w:ind w:left="567" w:hanging="567"/>
      </w:pPr>
      <w:r>
        <w:t xml:space="preserve">———. 2009k. « Information system ». Dans </w:t>
      </w:r>
      <w:r>
        <w:rPr>
          <w:i/>
          <w:iCs/>
        </w:rPr>
        <w:t>Termium Plus</w:t>
      </w:r>
      <w:r w:rsidR="002068C0">
        <w:t>.</w:t>
      </w:r>
      <w:r>
        <w:t xml:space="preserve"> Ottawa, CA-ON : Gouvernement du Canada. Consulté le 8</w:t>
      </w:r>
      <w:r w:rsidR="00056DCD">
        <w:t> octobre </w:t>
      </w:r>
      <w:r>
        <w:t xml:space="preserve">2009. </w:t>
      </w:r>
      <w:hyperlink r:id="rId405" w:anchor="resultrecs">
        <w:r>
          <w:rPr>
            <w:rStyle w:val="Lienhypertexte"/>
          </w:rPr>
          <w:t>https://www.btb.termiumplus.gc.ca/tpv2alpha/alpha-eng.html?lang=eng&amp;i=1&amp;srchtxt=INFORMATION+SYSTEM&amp;index=ent&amp;codom2nd_wet=1#resultrecs</w:t>
        </w:r>
      </w:hyperlink>
      <w:r>
        <w:t>.</w:t>
      </w:r>
    </w:p>
    <w:p w14:paraId="32532CBB" w14:textId="328389A6" w:rsidR="00065317" w:rsidRDefault="005C7BF7" w:rsidP="00652D41">
      <w:pPr>
        <w:pStyle w:val="Corpsdetexte"/>
        <w:ind w:left="567" w:hanging="567"/>
      </w:pPr>
      <w:r>
        <w:t xml:space="preserve">———. 2009l. « Join ». Dans </w:t>
      </w:r>
      <w:r>
        <w:rPr>
          <w:i/>
          <w:iCs/>
        </w:rPr>
        <w:t>Termium Plus</w:t>
      </w:r>
      <w:r w:rsidR="002068C0">
        <w:t>.</w:t>
      </w:r>
      <w:r>
        <w:t xml:space="preserve"> Ottawa, CA-ON : Gouvernement du Canada. Consulté le 8</w:t>
      </w:r>
      <w:r w:rsidR="00056DCD">
        <w:t> octobre </w:t>
      </w:r>
      <w:r>
        <w:t xml:space="preserve">2009. </w:t>
      </w:r>
      <w:hyperlink r:id="rId406" w:anchor="resultrecs">
        <w:r>
          <w:rPr>
            <w:rStyle w:val="Lienhypertexte"/>
          </w:rPr>
          <w:t>https://www.btb.termiumplus.gc.ca/tpv2alpha/alpha-fra.html?lang=fra&amp;i=1&amp;srchtxt=join&amp;index=ent&amp;codom2nd_wet=1#resultrecs</w:t>
        </w:r>
      </w:hyperlink>
      <w:r>
        <w:t>.</w:t>
      </w:r>
    </w:p>
    <w:p w14:paraId="3BE7CAEA" w14:textId="09B54F52" w:rsidR="00065317" w:rsidRDefault="005C7BF7" w:rsidP="00652D41">
      <w:pPr>
        <w:pStyle w:val="Corpsdetexte"/>
        <w:ind w:left="567" w:hanging="567"/>
      </w:pPr>
      <w:r>
        <w:t xml:space="preserve">———. 2009m. « Merge ». Dans </w:t>
      </w:r>
      <w:r>
        <w:rPr>
          <w:i/>
          <w:iCs/>
        </w:rPr>
        <w:t>Termium Plus</w:t>
      </w:r>
      <w:r w:rsidR="002068C0">
        <w:t>.</w:t>
      </w:r>
      <w:r>
        <w:t xml:space="preserve"> Ottawa, CA-ON : Gouvernement du Canada. Consulté le 8</w:t>
      </w:r>
      <w:r w:rsidR="00056DCD">
        <w:t> octobre </w:t>
      </w:r>
      <w:r>
        <w:t xml:space="preserve">2009. </w:t>
      </w:r>
      <w:hyperlink r:id="rId407" w:anchor="resultrecs">
        <w:r>
          <w:rPr>
            <w:rStyle w:val="Lienhypertexte"/>
          </w:rPr>
          <w:t>https://www.btb.termiumplus.gc.ca/tpv2alpha/alpha-fra.html?lang=fra&amp;i=1&amp;srchtxt=merge&amp;index=ent&amp;codom2nd_wet=1#resultrecs</w:t>
        </w:r>
      </w:hyperlink>
      <w:r>
        <w:t>.</w:t>
      </w:r>
    </w:p>
    <w:p w14:paraId="466049B3" w14:textId="158C2530" w:rsidR="00065317" w:rsidRDefault="005C7BF7" w:rsidP="00652D41">
      <w:pPr>
        <w:pStyle w:val="Corpsdetexte"/>
        <w:ind w:left="567" w:hanging="567"/>
      </w:pPr>
      <w:r>
        <w:t xml:space="preserve">———. 2009n. « Normalization ». Dans </w:t>
      </w:r>
      <w:r>
        <w:rPr>
          <w:i/>
          <w:iCs/>
        </w:rPr>
        <w:t>Termium Plus</w:t>
      </w:r>
      <w:r w:rsidR="002068C0">
        <w:t>.</w:t>
      </w:r>
      <w:r>
        <w:t xml:space="preserve"> Ottawa, CA-ON : Gouvernement du Canada. Consulté le 8</w:t>
      </w:r>
      <w:r w:rsidR="00056DCD">
        <w:t> octobre </w:t>
      </w:r>
      <w:r>
        <w:t xml:space="preserve">2009. </w:t>
      </w:r>
      <w:hyperlink r:id="rId408" w:anchor="resultrecs">
        <w:r>
          <w:rPr>
            <w:rStyle w:val="Lienhypertexte"/>
          </w:rPr>
          <w:t>https://www.btb.termiumplus.gc.ca/tpv2alpha/alpha-fra.html?lang=fra&amp;i=1&amp;srchtxt=normalization&amp;index=alt&amp;codom2nd_wet=1#resultrecs</w:t>
        </w:r>
      </w:hyperlink>
      <w:r>
        <w:t>.</w:t>
      </w:r>
    </w:p>
    <w:p w14:paraId="76F837EF" w14:textId="62C9C19C" w:rsidR="00065317" w:rsidRDefault="005C7BF7" w:rsidP="00652D41">
      <w:pPr>
        <w:pStyle w:val="Corpsdetexte"/>
        <w:ind w:left="567" w:hanging="567"/>
      </w:pPr>
      <w:r>
        <w:t xml:space="preserve">———. 2009o. « Primitive ». Dans </w:t>
      </w:r>
      <w:r>
        <w:rPr>
          <w:i/>
          <w:iCs/>
        </w:rPr>
        <w:t>Termium Plus</w:t>
      </w:r>
      <w:r w:rsidR="002068C0">
        <w:t>.</w:t>
      </w:r>
      <w:r>
        <w:t xml:space="preserve"> Ottawa, CA-ON : Gouvernement du Canada. Consulté le 8</w:t>
      </w:r>
      <w:r w:rsidR="00056DCD">
        <w:t> octobre </w:t>
      </w:r>
      <w:r>
        <w:t xml:space="preserve">2009. </w:t>
      </w:r>
      <w:hyperlink r:id="rId409" w:anchor="resultrecs">
        <w:r>
          <w:rPr>
            <w:rStyle w:val="Lienhypertexte"/>
          </w:rPr>
          <w:t>https://www.btb.termiumplus.gc.ca/tpv2alpha/alpha-fra.html?lang=fra&amp;i=1&amp;srchtxt=primitive&amp;index=ent&amp;codom2nd_wet=1#resultrecs</w:t>
        </w:r>
      </w:hyperlink>
      <w:r>
        <w:t>.</w:t>
      </w:r>
    </w:p>
    <w:p w14:paraId="2B86B8D9" w14:textId="5C57BC6A" w:rsidR="00065317" w:rsidRDefault="005C7BF7" w:rsidP="00652D41">
      <w:pPr>
        <w:pStyle w:val="Corpsdetexte"/>
        <w:ind w:left="567" w:hanging="567"/>
      </w:pPr>
      <w:r>
        <w:t xml:space="preserve">———. 2009p. « Quantifier ». Dans </w:t>
      </w:r>
      <w:r>
        <w:rPr>
          <w:i/>
          <w:iCs/>
        </w:rPr>
        <w:t>Termium Plus</w:t>
      </w:r>
      <w:r w:rsidR="002068C0">
        <w:t>.</w:t>
      </w:r>
      <w:r>
        <w:t xml:space="preserve"> Ottawa, CA-ON : Gouvernement du Canada. Consulté le 8</w:t>
      </w:r>
      <w:r w:rsidR="00056DCD">
        <w:t> octobre </w:t>
      </w:r>
      <w:r>
        <w:t xml:space="preserve">2009. </w:t>
      </w:r>
      <w:hyperlink r:id="rId410" w:anchor="resultrecs">
        <w:r>
          <w:rPr>
            <w:rStyle w:val="Lienhypertexte"/>
          </w:rPr>
          <w:t>https://www.btb.termiumplus.gc.ca/tpv2alpha/alpha-fra.html?lang=fra&amp;i=1&amp;srchtxt=quantifier&amp;index=ent&amp;codom2nd_wet=1#resultrecs</w:t>
        </w:r>
      </w:hyperlink>
      <w:r>
        <w:t>.</w:t>
      </w:r>
    </w:p>
    <w:p w14:paraId="6A6E1B65" w14:textId="44128524" w:rsidR="00065317" w:rsidRDefault="005C7BF7" w:rsidP="00652D41">
      <w:pPr>
        <w:pStyle w:val="Corpsdetexte"/>
        <w:ind w:left="567" w:hanging="567"/>
      </w:pPr>
      <w:r>
        <w:t xml:space="preserve">———. 2009q. « Répétable ». Dans </w:t>
      </w:r>
      <w:r>
        <w:rPr>
          <w:i/>
          <w:iCs/>
        </w:rPr>
        <w:t>Termium Plus</w:t>
      </w:r>
      <w:r w:rsidR="002068C0">
        <w:t>.</w:t>
      </w:r>
      <w:r>
        <w:t xml:space="preserve"> Ottawa, CA-ON : Gouvernement du Canada. Consulté le 8</w:t>
      </w:r>
      <w:r w:rsidR="00056DCD">
        <w:t> octobre </w:t>
      </w:r>
      <w:r>
        <w:t xml:space="preserve">2009. </w:t>
      </w:r>
      <w:hyperlink r:id="rId411">
        <w:r>
          <w:rPr>
            <w:rStyle w:val="Lienhypertexte"/>
          </w:rPr>
          <w:t>https://www.btb.termiumplus.gc.ca/tpv2alpha/alpha-fra.html?lang=fra&amp;i=&amp;index=alt&amp;srchtxt=CATEGORIE%20REPETABLE</w:t>
        </w:r>
      </w:hyperlink>
      <w:r>
        <w:t>.</w:t>
      </w:r>
    </w:p>
    <w:p w14:paraId="1D1DE53C" w14:textId="2A55504C" w:rsidR="00065317" w:rsidRDefault="005C7BF7" w:rsidP="00652D41">
      <w:pPr>
        <w:pStyle w:val="Corpsdetexte"/>
        <w:ind w:left="567" w:hanging="567"/>
      </w:pPr>
      <w:r>
        <w:t xml:space="preserve">———. 2022a. « Custody ». Dans </w:t>
      </w:r>
      <w:r>
        <w:rPr>
          <w:i/>
          <w:iCs/>
        </w:rPr>
        <w:t>Termium Plus</w:t>
      </w:r>
      <w:r w:rsidR="002068C0">
        <w:t>.</w:t>
      </w:r>
      <w:r>
        <w:t xml:space="preserve"> Ottawa, CA-ON : Gouvernement du Canada. Consulté le 2022. </w:t>
      </w:r>
      <w:hyperlink r:id="rId412" w:anchor="resultrecs">
        <w:r>
          <w:rPr>
            <w:rStyle w:val="Lienhypertexte"/>
          </w:rPr>
          <w:t>https://www.btb.termiumplus.gc.ca/tpv2alpha/alpha-fra.html?lang=fra&amp;i=1&amp;srchtxt=custody&amp;codom2nd_wet=1#resultrecs</w:t>
        </w:r>
      </w:hyperlink>
      <w:r>
        <w:t>.</w:t>
      </w:r>
    </w:p>
    <w:p w14:paraId="1EEFE5B9" w14:textId="6FB9437D" w:rsidR="00065317" w:rsidRDefault="005C7BF7" w:rsidP="00652D41">
      <w:pPr>
        <w:pStyle w:val="Corpsdetexte"/>
        <w:ind w:left="567" w:hanging="567"/>
      </w:pPr>
      <w:r>
        <w:lastRenderedPageBreak/>
        <w:t xml:space="preserve">———. 2022b. « Land use ». Dans </w:t>
      </w:r>
      <w:r>
        <w:rPr>
          <w:i/>
          <w:iCs/>
        </w:rPr>
        <w:t>Termium Plus</w:t>
      </w:r>
      <w:r w:rsidR="002068C0">
        <w:t>.</w:t>
      </w:r>
      <w:r>
        <w:t xml:space="preserve"> Ottawa, CA-ON : Gouvernement du Canada. Consulté le 2022. </w:t>
      </w:r>
      <w:hyperlink r:id="rId413" w:anchor="resultrecs">
        <w:r>
          <w:rPr>
            <w:rStyle w:val="Lienhypertexte"/>
          </w:rPr>
          <w:t>https://www.btb.termiumplus.gc.ca/tpv2alpha/alpha-fra.html?lang=fra&amp;i=1&amp;srchtxt=land+use&amp;index=alt&amp;codom2nd_wet=1#resultrecs</w:t>
        </w:r>
      </w:hyperlink>
      <w:r>
        <w:t>.</w:t>
      </w:r>
    </w:p>
    <w:p w14:paraId="744CA326" w14:textId="2593B738" w:rsidR="00065317" w:rsidRDefault="005C7BF7" w:rsidP="00652D41">
      <w:pPr>
        <w:pStyle w:val="Corpsdetexte"/>
        <w:ind w:left="567" w:hanging="567"/>
      </w:pPr>
      <w:r>
        <w:t xml:space="preserve">———. 2022c. « Museum exhibit ». Dans </w:t>
      </w:r>
      <w:r>
        <w:rPr>
          <w:i/>
          <w:iCs/>
        </w:rPr>
        <w:t>Termium Plus</w:t>
      </w:r>
      <w:r w:rsidR="002068C0">
        <w:t>.</w:t>
      </w:r>
      <w:r>
        <w:t xml:space="preserve"> Ottawa, CA-ON : Gouvernement du Canada. Consulté le 2022. </w:t>
      </w:r>
      <w:hyperlink r:id="rId414" w:anchor="resultrecs">
        <w:r>
          <w:rPr>
            <w:rStyle w:val="Lienhypertexte"/>
          </w:rPr>
          <w:t>https://www.btb.termiumplus.gc.ca/tpv2alpha/alpha-fra.html?lang=fra&amp;i=1&amp;srchtxt=MUSEUM+EXHIBIT&amp;codom2nd_wet=1#resultrecs</w:t>
        </w:r>
      </w:hyperlink>
      <w:r>
        <w:t>.</w:t>
      </w:r>
    </w:p>
    <w:p w14:paraId="3B1BEACE" w14:textId="77777777" w:rsidR="00065317" w:rsidRDefault="005C7BF7" w:rsidP="00652D41">
      <w:pPr>
        <w:pStyle w:val="Corpsdetexte"/>
        <w:ind w:left="567" w:hanging="567"/>
      </w:pPr>
      <w:r w:rsidRPr="00EC2D6E">
        <w:rPr>
          <w:lang w:val="en-CA"/>
        </w:rPr>
        <w:t xml:space="preserve">Theodoropoulos, Alexandros. 2021. « Maria Argyriadi: The researcher and toys collector that changed the Benaki Museum ». </w:t>
      </w:r>
      <w:r w:rsidRPr="00C86352">
        <w:rPr>
          <w:i/>
          <w:iCs/>
          <w:lang w:val="fr-CA"/>
        </w:rPr>
        <w:t>ImpacTalk</w:t>
      </w:r>
      <w:r w:rsidRPr="00C86352">
        <w:rPr>
          <w:lang w:val="fr-CA"/>
        </w:rPr>
        <w:t xml:space="preserve">. </w:t>
      </w:r>
      <w:r>
        <w:t xml:space="preserve">21 mai. </w:t>
      </w:r>
      <w:hyperlink r:id="rId415">
        <w:r>
          <w:rPr>
            <w:rStyle w:val="Lienhypertexte"/>
          </w:rPr>
          <w:t>https://impactalk.gr/en/stories-talk/maria-argyriadi-researcher-and-toys-collector-changed-benaki-museum</w:t>
        </w:r>
      </w:hyperlink>
      <w:r>
        <w:t>.</w:t>
      </w:r>
    </w:p>
    <w:p w14:paraId="390BC05F" w14:textId="27072021" w:rsidR="00065317" w:rsidRDefault="005C7BF7" w:rsidP="00652D41">
      <w:pPr>
        <w:pStyle w:val="Corpsdetexte"/>
        <w:ind w:left="567" w:hanging="567"/>
      </w:pPr>
      <w:r>
        <w:t>Utpictura18. s. d. « Farinelli et ses amis - Amigoni ». Utpictura18. Consulté le 18</w:t>
      </w:r>
      <w:r w:rsidR="00056DCD">
        <w:t> mai </w:t>
      </w:r>
      <w:r>
        <w:t xml:space="preserve">2023. </w:t>
      </w:r>
      <w:hyperlink r:id="rId416">
        <w:r>
          <w:rPr>
            <w:rStyle w:val="Lienhypertexte"/>
          </w:rPr>
          <w:t>https://utpictura18.univ-amu.fr/notice/4226-farinelli-amis-amigoni</w:t>
        </w:r>
      </w:hyperlink>
      <w:r>
        <w:t>.</w:t>
      </w:r>
    </w:p>
    <w:p w14:paraId="12DFC6B2" w14:textId="77777777" w:rsidR="00065317" w:rsidRDefault="005C7BF7" w:rsidP="00652D41">
      <w:pPr>
        <w:pStyle w:val="Corpsdetexte"/>
        <w:ind w:left="567" w:hanging="567"/>
      </w:pPr>
      <w:r>
        <w:t xml:space="preserve">Van Rijn, Rembrandt. 1658. </w:t>
      </w:r>
      <w:r>
        <w:rPr>
          <w:i/>
          <w:iCs/>
        </w:rPr>
        <w:t>La Femme devant le poêle</w:t>
      </w:r>
      <w:r>
        <w:t xml:space="preserve">. Épreuve sur papier japon. Eau-forte, burin et pointe sèche. Bibliothèque nationale de France. </w:t>
      </w:r>
      <w:hyperlink r:id="rId417">
        <w:r>
          <w:rPr>
            <w:rStyle w:val="Lienhypertexte"/>
          </w:rPr>
          <w:t>https://essentiels.bnf.fr/fr/image/eff2e8b4-8e73-4800-91fb-7d277ca66a34-femme-devant-poele-7e-etat</w:t>
        </w:r>
      </w:hyperlink>
      <w:r>
        <w:t>.</w:t>
      </w:r>
    </w:p>
    <w:p w14:paraId="2DD64766" w14:textId="39BC9A92" w:rsidR="00065317" w:rsidRDefault="005C7BF7" w:rsidP="00652D41">
      <w:pPr>
        <w:pStyle w:val="Corpsdetexte"/>
        <w:ind w:left="567" w:hanging="567"/>
      </w:pPr>
      <w:r>
        <w:t xml:space="preserve">Wikipédia. 2017a. « Monotonie ». </w:t>
      </w:r>
      <w:r w:rsidRPr="00523021">
        <w:rPr>
          <w:lang w:val="fr-CA"/>
        </w:rPr>
        <w:t xml:space="preserve">Dans </w:t>
      </w:r>
      <w:r w:rsidRPr="00523021">
        <w:rPr>
          <w:i/>
          <w:iCs/>
          <w:lang w:val="fr-CA"/>
        </w:rPr>
        <w:t>Wikipédia</w:t>
      </w:r>
      <w:r w:rsidRPr="00523021">
        <w:rPr>
          <w:lang w:val="fr-CA"/>
        </w:rPr>
        <w:t xml:space="preserve">. </w:t>
      </w:r>
      <w:r w:rsidRPr="00EC2D6E">
        <w:rPr>
          <w:lang w:val="en-CA"/>
        </w:rPr>
        <w:t xml:space="preserve">San Francisco, US-CA : Wikipédia. </w:t>
      </w:r>
      <w:r>
        <w:t>Consulté le 19</w:t>
      </w:r>
      <w:r w:rsidR="00056DCD">
        <w:t> février </w:t>
      </w:r>
      <w:r>
        <w:t xml:space="preserve">2017. </w:t>
      </w:r>
      <w:hyperlink r:id="rId418">
        <w:r>
          <w:rPr>
            <w:rStyle w:val="Lienhypertexte"/>
          </w:rPr>
          <w:t>https://fr.wikipedia.org/w/index.php?title=Monotonie&amp;oldid=134697868</w:t>
        </w:r>
      </w:hyperlink>
      <w:r>
        <w:t>.</w:t>
      </w:r>
    </w:p>
    <w:p w14:paraId="107DD864" w14:textId="319CE571" w:rsidR="00065317" w:rsidRDefault="005C7BF7" w:rsidP="00652D41">
      <w:pPr>
        <w:pStyle w:val="Corpsdetexte"/>
        <w:ind w:left="567" w:hanging="567"/>
      </w:pPr>
      <w:r>
        <w:t xml:space="preserve">———. 2017b. « Extension conservatrice ». </w:t>
      </w:r>
      <w:r w:rsidRPr="00523021">
        <w:rPr>
          <w:lang w:val="fr-CA"/>
        </w:rPr>
        <w:t xml:space="preserve">Dans </w:t>
      </w:r>
      <w:r w:rsidRPr="00523021">
        <w:rPr>
          <w:i/>
          <w:iCs/>
          <w:lang w:val="fr-CA"/>
        </w:rPr>
        <w:t>Wikipédia</w:t>
      </w:r>
      <w:r w:rsidRPr="00523021">
        <w:rPr>
          <w:lang w:val="fr-CA"/>
        </w:rPr>
        <w:t xml:space="preserve">. </w:t>
      </w:r>
      <w:r w:rsidRPr="00EC2D6E">
        <w:rPr>
          <w:lang w:val="en-CA"/>
        </w:rPr>
        <w:t xml:space="preserve">San Francisco, US-CA : Wikipédia. </w:t>
      </w:r>
      <w:r>
        <w:t>Consulté le 17</w:t>
      </w:r>
      <w:r w:rsidR="00056DCD">
        <w:t> décembre </w:t>
      </w:r>
      <w:r>
        <w:t xml:space="preserve">2017. </w:t>
      </w:r>
      <w:hyperlink r:id="rId419">
        <w:r>
          <w:rPr>
            <w:rStyle w:val="Lienhypertexte"/>
          </w:rPr>
          <w:t>https://fr.wikipedia.org/w/index.php?title=Extension_conservatrice&amp;oldid=143598511</w:t>
        </w:r>
      </w:hyperlink>
      <w:r>
        <w:t>.</w:t>
      </w:r>
    </w:p>
    <w:p w14:paraId="46E340FB" w14:textId="5C5A4ED2" w:rsidR="00065317" w:rsidRDefault="005C7BF7" w:rsidP="00652D41">
      <w:pPr>
        <w:pStyle w:val="Corpsdetexte"/>
        <w:ind w:left="567" w:hanging="567"/>
      </w:pPr>
      <w:r w:rsidRPr="00EC2D6E">
        <w:rPr>
          <w:lang w:val="en-CA"/>
        </w:rPr>
        <w:t xml:space="preserve">———. 2020a. « Érostrate ». Dans </w:t>
      </w:r>
      <w:r w:rsidRPr="00EC2D6E">
        <w:rPr>
          <w:i/>
          <w:iCs/>
          <w:lang w:val="en-CA"/>
        </w:rPr>
        <w:t>Wikipédia</w:t>
      </w:r>
      <w:r w:rsidRPr="00EC2D6E">
        <w:rPr>
          <w:lang w:val="en-CA"/>
        </w:rPr>
        <w:t xml:space="preserve">. San Francisco, US-CA : Wikipédia. </w:t>
      </w:r>
      <w:r>
        <w:t>Consulté le 4</w:t>
      </w:r>
      <w:r w:rsidR="00056DCD">
        <w:t> août </w:t>
      </w:r>
      <w:r>
        <w:t xml:space="preserve">2020. </w:t>
      </w:r>
      <w:hyperlink r:id="rId420">
        <w:r>
          <w:rPr>
            <w:rStyle w:val="Lienhypertexte"/>
          </w:rPr>
          <w:t>https://fr.wikipedia.org/w/index.php?title=%C3%89rostrate&amp;oldid=173548642</w:t>
        </w:r>
      </w:hyperlink>
      <w:r>
        <w:t>.</w:t>
      </w:r>
    </w:p>
    <w:p w14:paraId="1740B00F" w14:textId="7F8C3E5E" w:rsidR="00065317" w:rsidRDefault="005C7BF7" w:rsidP="00652D41">
      <w:pPr>
        <w:pStyle w:val="Corpsdetexte"/>
        <w:ind w:left="567" w:hanging="567"/>
      </w:pPr>
      <w:r w:rsidRPr="00EC2D6E">
        <w:rPr>
          <w:lang w:val="en-CA"/>
        </w:rPr>
        <w:t>———. 2020b. « </w:t>
      </w:r>
      <w:r>
        <w:t>安</w:t>
      </w:r>
      <w:r w:rsidRPr="00EC2D6E">
        <w:rPr>
          <w:lang w:val="en-CA"/>
        </w:rPr>
        <w:t xml:space="preserve"> ». Dans </w:t>
      </w:r>
      <w:r w:rsidRPr="00EC2D6E">
        <w:rPr>
          <w:i/>
          <w:iCs/>
          <w:lang w:val="en-CA"/>
        </w:rPr>
        <w:t>Wikipédia</w:t>
      </w:r>
      <w:r w:rsidR="002068C0">
        <w:rPr>
          <w:lang w:val="en-CA"/>
        </w:rPr>
        <w:t>.</w:t>
      </w:r>
      <w:r w:rsidRPr="00EC2D6E">
        <w:rPr>
          <w:lang w:val="en-CA"/>
        </w:rPr>
        <w:t xml:space="preserve"> San Francisco, US-CA : Wikipédia. </w:t>
      </w:r>
      <w:r>
        <w:t>Consulté le 21</w:t>
      </w:r>
      <w:r w:rsidR="00056DCD">
        <w:t> octobre </w:t>
      </w:r>
      <w:r>
        <w:t xml:space="preserve">2020. </w:t>
      </w:r>
      <w:hyperlink r:id="rId421">
        <w:r>
          <w:rPr>
            <w:rStyle w:val="Lienhypertexte"/>
          </w:rPr>
          <w:t>https://fr.wikipedia.org/w/index.php?title=%E5%AE%89</w:t>
        </w:r>
      </w:hyperlink>
      <w:r>
        <w:t>.</w:t>
      </w:r>
    </w:p>
    <w:p w14:paraId="27AEDEE1" w14:textId="69A4FF9D" w:rsidR="00065317" w:rsidRDefault="005C7BF7" w:rsidP="00652D41">
      <w:pPr>
        <w:pStyle w:val="Corpsdetexte"/>
        <w:ind w:left="567" w:hanging="567"/>
      </w:pPr>
      <w:r>
        <w:t xml:space="preserve">———. 2020c. « Langue SVO ». </w:t>
      </w:r>
      <w:r w:rsidRPr="00523021">
        <w:rPr>
          <w:lang w:val="fr-CA"/>
        </w:rPr>
        <w:t xml:space="preserve">Dans </w:t>
      </w:r>
      <w:r w:rsidRPr="00523021">
        <w:rPr>
          <w:i/>
          <w:iCs/>
          <w:lang w:val="fr-CA"/>
        </w:rPr>
        <w:t>Wikipédia</w:t>
      </w:r>
      <w:r w:rsidRPr="00523021">
        <w:rPr>
          <w:lang w:val="fr-CA"/>
        </w:rPr>
        <w:t xml:space="preserve">. </w:t>
      </w:r>
      <w:r w:rsidRPr="00EC2D6E">
        <w:rPr>
          <w:lang w:val="en-CA"/>
        </w:rPr>
        <w:t xml:space="preserve">San Francisco, US-CA : Wikipédia. </w:t>
      </w:r>
      <w:r>
        <w:t>Consulté le 31</w:t>
      </w:r>
      <w:r w:rsidR="00056DCD">
        <w:t> octobre </w:t>
      </w:r>
      <w:r>
        <w:t xml:space="preserve">2020. </w:t>
      </w:r>
      <w:hyperlink r:id="rId422">
        <w:r>
          <w:rPr>
            <w:rStyle w:val="Lienhypertexte"/>
          </w:rPr>
          <w:t>https://fr.wikipedia.org/w/index.php?title=Langue_SVO&amp;oldid=176099662</w:t>
        </w:r>
      </w:hyperlink>
      <w:r>
        <w:t>.</w:t>
      </w:r>
    </w:p>
    <w:p w14:paraId="7AA936C0" w14:textId="62D7D48C" w:rsidR="00065317" w:rsidRDefault="005C7BF7" w:rsidP="00652D41">
      <w:pPr>
        <w:pStyle w:val="Corpsdetexte"/>
        <w:ind w:left="567" w:hanging="567"/>
      </w:pPr>
      <w:r w:rsidRPr="00EC2D6E">
        <w:rPr>
          <w:lang w:val="en-CA"/>
        </w:rPr>
        <w:t xml:space="preserve">———. 2020d. « Fan-in ». Dans </w:t>
      </w:r>
      <w:r w:rsidRPr="00EC2D6E">
        <w:rPr>
          <w:i/>
          <w:iCs/>
          <w:lang w:val="en-CA"/>
        </w:rPr>
        <w:t>Wikipédia</w:t>
      </w:r>
      <w:r w:rsidRPr="00EC2D6E">
        <w:rPr>
          <w:lang w:val="en-CA"/>
        </w:rPr>
        <w:t xml:space="preserve">. San Francisco, US-CA : Wikipédia. </w:t>
      </w:r>
      <w:r>
        <w:t>Consulté le 11</w:t>
      </w:r>
      <w:r w:rsidR="00056DCD">
        <w:t> novembre </w:t>
      </w:r>
      <w:r>
        <w:t xml:space="preserve">2020. </w:t>
      </w:r>
      <w:hyperlink r:id="rId423">
        <w:r>
          <w:rPr>
            <w:rStyle w:val="Lienhypertexte"/>
          </w:rPr>
          <w:t>https://fr.wikipedia.org/w/index.php?title=Fan-in&amp;oldid=176479056</w:t>
        </w:r>
      </w:hyperlink>
      <w:r>
        <w:t>.</w:t>
      </w:r>
    </w:p>
    <w:p w14:paraId="48A65BDC" w14:textId="1D994D82" w:rsidR="00065317" w:rsidRDefault="005C7BF7" w:rsidP="00652D41">
      <w:pPr>
        <w:pStyle w:val="Corpsdetexte"/>
        <w:ind w:left="567" w:hanging="567"/>
      </w:pPr>
      <w:r w:rsidRPr="00EC2D6E">
        <w:rPr>
          <w:lang w:val="en-CA"/>
        </w:rPr>
        <w:t xml:space="preserve">———. 2020e. « Fan-out ». Dans </w:t>
      </w:r>
      <w:r w:rsidRPr="00EC2D6E">
        <w:rPr>
          <w:i/>
          <w:iCs/>
          <w:lang w:val="en-CA"/>
        </w:rPr>
        <w:t>Wikipédia</w:t>
      </w:r>
      <w:r w:rsidRPr="00EC2D6E">
        <w:rPr>
          <w:lang w:val="en-CA"/>
        </w:rPr>
        <w:t xml:space="preserve">. San Francisco, US-CA : Wikipédia. </w:t>
      </w:r>
      <w:r>
        <w:t>Consulté le 11</w:t>
      </w:r>
      <w:r w:rsidR="00056DCD">
        <w:t> novembre </w:t>
      </w:r>
      <w:r>
        <w:t xml:space="preserve">2020. </w:t>
      </w:r>
      <w:hyperlink r:id="rId424">
        <w:r>
          <w:rPr>
            <w:rStyle w:val="Lienhypertexte"/>
          </w:rPr>
          <w:t>https://fr.wikipedia.org/w/index.php?title=Fan-out&amp;oldid=176479075</w:t>
        </w:r>
      </w:hyperlink>
      <w:r>
        <w:t>.</w:t>
      </w:r>
    </w:p>
    <w:p w14:paraId="311EE75B" w14:textId="46C3AC46" w:rsidR="00065317" w:rsidRDefault="005C7BF7" w:rsidP="00652D41">
      <w:pPr>
        <w:pStyle w:val="Corpsdetexte"/>
        <w:ind w:left="567" w:hanging="567"/>
      </w:pPr>
      <w:r>
        <w:t>———. 2021a. « Algèbre des intervalles d</w:t>
      </w:r>
      <w:r w:rsidR="00E84B0E">
        <w:t>’</w:t>
      </w:r>
      <w:r>
        <w:t xml:space="preserve">Allen ». </w:t>
      </w:r>
      <w:r w:rsidRPr="00EC2D6E">
        <w:rPr>
          <w:lang w:val="en-CA"/>
        </w:rPr>
        <w:t xml:space="preserve">Dans </w:t>
      </w:r>
      <w:r w:rsidRPr="00EC2D6E">
        <w:rPr>
          <w:i/>
          <w:iCs/>
          <w:lang w:val="en-CA"/>
        </w:rPr>
        <w:t>Wikipédia</w:t>
      </w:r>
      <w:r w:rsidRPr="00EC2D6E">
        <w:rPr>
          <w:lang w:val="en-CA"/>
        </w:rPr>
        <w:t xml:space="preserve">. San Francisco, US-CA : Wikipédia. </w:t>
      </w:r>
      <w:r>
        <w:t>Consulté le 14</w:t>
      </w:r>
      <w:r w:rsidR="00056DCD">
        <w:t> janvier </w:t>
      </w:r>
      <w:r>
        <w:t xml:space="preserve">2021. </w:t>
      </w:r>
      <w:hyperlink r:id="rId425">
        <w:r>
          <w:rPr>
            <w:rStyle w:val="Lienhypertexte"/>
          </w:rPr>
          <w:t>https://fr.wikipedia.org/wiki/Alg%C3%A8bre_des_intervalles_d%27Allen</w:t>
        </w:r>
      </w:hyperlink>
      <w:r>
        <w:t>.</w:t>
      </w:r>
    </w:p>
    <w:p w14:paraId="099E5F22" w14:textId="412B65FC" w:rsidR="00065317" w:rsidRDefault="005C7BF7" w:rsidP="00652D41">
      <w:pPr>
        <w:pStyle w:val="Corpsdetexte"/>
        <w:ind w:left="567" w:hanging="567"/>
      </w:pPr>
      <w:r>
        <w:t xml:space="preserve">———. 2021b. « Univers du discours ». </w:t>
      </w:r>
      <w:r w:rsidRPr="00523021">
        <w:rPr>
          <w:lang w:val="fr-CA"/>
        </w:rPr>
        <w:t xml:space="preserve">Dans </w:t>
      </w:r>
      <w:r w:rsidRPr="00523021">
        <w:rPr>
          <w:i/>
          <w:iCs/>
          <w:lang w:val="fr-CA"/>
        </w:rPr>
        <w:t>Wikipedia</w:t>
      </w:r>
      <w:r w:rsidRPr="00523021">
        <w:rPr>
          <w:lang w:val="fr-CA"/>
        </w:rPr>
        <w:t xml:space="preserve">. </w:t>
      </w:r>
      <w:r w:rsidRPr="00EC2D6E">
        <w:rPr>
          <w:lang w:val="en-CA"/>
        </w:rPr>
        <w:t xml:space="preserve">San Francisco, US-CA : Wikipédia. </w:t>
      </w:r>
      <w:r>
        <w:t>Consulté le 28</w:t>
      </w:r>
      <w:r w:rsidR="00056DCD">
        <w:t> janvier </w:t>
      </w:r>
      <w:r>
        <w:t xml:space="preserve">2021. </w:t>
      </w:r>
      <w:hyperlink r:id="rId426">
        <w:r>
          <w:rPr>
            <w:rStyle w:val="Lienhypertexte"/>
          </w:rPr>
          <w:t>https://fr.wikipedia.org/wiki/Univers_du_discours</w:t>
        </w:r>
      </w:hyperlink>
      <w:r>
        <w:t>.</w:t>
      </w:r>
    </w:p>
    <w:p w14:paraId="1BB4635C" w14:textId="0C5C6113" w:rsidR="00065317" w:rsidRDefault="005C7BF7" w:rsidP="00652D41">
      <w:pPr>
        <w:pStyle w:val="Corpsdetexte"/>
        <w:ind w:left="567" w:hanging="567"/>
      </w:pPr>
      <w:r>
        <w:t xml:space="preserve">———. 2021c. « Expositions des vestiges archéologiques provenant de la tombe de Toutânkhamon ». Dans </w:t>
      </w:r>
      <w:r>
        <w:rPr>
          <w:i/>
          <w:iCs/>
        </w:rPr>
        <w:t>Wikipédia</w:t>
      </w:r>
      <w:r>
        <w:t>. San Francisco, US-CA : Wikipédia. Consulté le 30</w:t>
      </w:r>
      <w:r w:rsidR="00056DCD">
        <w:t> janvier </w:t>
      </w:r>
      <w:r>
        <w:t xml:space="preserve">2021. </w:t>
      </w:r>
      <w:hyperlink r:id="rId427">
        <w:r>
          <w:rPr>
            <w:rStyle w:val="Lienhypertexte"/>
          </w:rPr>
          <w:t>https://fr.wikipedia.org/w/index.php?title=Expositions_des_vestiges_arch%C3%A9ologiques_provenant_de_la_tombe_de_Tout%C3%A2nkhamon&amp;oldid=179392035</w:t>
        </w:r>
      </w:hyperlink>
      <w:r>
        <w:t>.</w:t>
      </w:r>
    </w:p>
    <w:p w14:paraId="72548940" w14:textId="6295AAAC" w:rsidR="00065317" w:rsidRDefault="005C7BF7" w:rsidP="00652D41">
      <w:pPr>
        <w:pStyle w:val="Corpsdetexte"/>
        <w:ind w:left="567" w:hanging="567"/>
      </w:pPr>
      <w:r>
        <w:t xml:space="preserve">———. 2021d. « Liste des gravures de Rembrandt ». </w:t>
      </w:r>
      <w:r w:rsidRPr="00EC2D6E">
        <w:rPr>
          <w:lang w:val="en-CA"/>
        </w:rPr>
        <w:t xml:space="preserve">Dans </w:t>
      </w:r>
      <w:r w:rsidRPr="00EC2D6E">
        <w:rPr>
          <w:i/>
          <w:iCs/>
          <w:lang w:val="en-CA"/>
        </w:rPr>
        <w:t>Wikipédia</w:t>
      </w:r>
      <w:r w:rsidRPr="00EC2D6E">
        <w:rPr>
          <w:lang w:val="en-CA"/>
        </w:rPr>
        <w:t xml:space="preserve">. San Francisco, US-CA : Wikipédia. </w:t>
      </w:r>
      <w:r>
        <w:t>Consulté le 15</w:t>
      </w:r>
      <w:r w:rsidR="00056DCD">
        <w:t> mars </w:t>
      </w:r>
      <w:r>
        <w:t xml:space="preserve">2021. </w:t>
      </w:r>
      <w:hyperlink r:id="rId428">
        <w:r>
          <w:rPr>
            <w:rStyle w:val="Lienhypertexte"/>
          </w:rPr>
          <w:t>https://fr.wikipedia.org/w/index.php?title=Liste_des_gravures_de_Rembrandt&amp;oldid=180898582</w:t>
        </w:r>
      </w:hyperlink>
      <w:r>
        <w:t>.</w:t>
      </w:r>
    </w:p>
    <w:p w14:paraId="30224B5F" w14:textId="59A1D0D8" w:rsidR="00065317" w:rsidRDefault="005C7BF7" w:rsidP="00652D41">
      <w:pPr>
        <w:pStyle w:val="Corpsdetexte"/>
        <w:ind w:left="567" w:hanging="567"/>
      </w:pPr>
      <w:r w:rsidRPr="00EC2D6E">
        <w:rPr>
          <w:lang w:val="en-CA"/>
        </w:rPr>
        <w:lastRenderedPageBreak/>
        <w:t xml:space="preserve">———. 2021e. « United Press International ». Dans </w:t>
      </w:r>
      <w:r w:rsidRPr="00EC2D6E">
        <w:rPr>
          <w:i/>
          <w:iCs/>
          <w:lang w:val="en-CA"/>
        </w:rPr>
        <w:t>Wikipédia</w:t>
      </w:r>
      <w:r w:rsidRPr="00EC2D6E">
        <w:rPr>
          <w:lang w:val="en-CA"/>
        </w:rPr>
        <w:t xml:space="preserve">. San Francisco, US-CA : Wikipédia. </w:t>
      </w:r>
      <w:r>
        <w:t>Consulté le 15</w:t>
      </w:r>
      <w:r w:rsidR="00056DCD">
        <w:t> mai </w:t>
      </w:r>
      <w:r>
        <w:t xml:space="preserve">2021. </w:t>
      </w:r>
      <w:hyperlink r:id="rId429">
        <w:r>
          <w:rPr>
            <w:rStyle w:val="Lienhypertexte"/>
          </w:rPr>
          <w:t>https://fr.wikipedia.org/w/index.php?title=United_Press_International&amp;oldid=182934531</w:t>
        </w:r>
      </w:hyperlink>
      <w:r>
        <w:t>.</w:t>
      </w:r>
    </w:p>
    <w:p w14:paraId="2EB23D60" w14:textId="4DA3C5A6" w:rsidR="00065317" w:rsidRDefault="005C7BF7" w:rsidP="00652D41">
      <w:pPr>
        <w:pStyle w:val="Corpsdetexte"/>
        <w:ind w:left="567" w:hanging="567"/>
      </w:pPr>
      <w:r w:rsidRPr="00EC2D6E">
        <w:rPr>
          <w:lang w:val="en-CA"/>
        </w:rPr>
        <w:t xml:space="preserve">———. 2021f. « Chrisme ». Dans </w:t>
      </w:r>
      <w:r w:rsidRPr="00EC2D6E">
        <w:rPr>
          <w:i/>
          <w:iCs/>
          <w:lang w:val="en-CA"/>
        </w:rPr>
        <w:t>Wikipédia</w:t>
      </w:r>
      <w:r w:rsidRPr="00EC2D6E">
        <w:rPr>
          <w:lang w:val="en-CA"/>
        </w:rPr>
        <w:t xml:space="preserve">. San Francisco, US-CA : Wikipédia. </w:t>
      </w:r>
      <w:r>
        <w:t>Consulté le 30</w:t>
      </w:r>
      <w:r w:rsidR="00056DCD">
        <w:t> juin </w:t>
      </w:r>
      <w:r>
        <w:t xml:space="preserve">2021. </w:t>
      </w:r>
      <w:hyperlink r:id="rId430">
        <w:r>
          <w:rPr>
            <w:rStyle w:val="Lienhypertexte"/>
          </w:rPr>
          <w:t>https://fr.wikipedia.org/w/index.php?title=Chrisme&amp;oldid=184249375</w:t>
        </w:r>
      </w:hyperlink>
      <w:r>
        <w:t>.</w:t>
      </w:r>
    </w:p>
    <w:p w14:paraId="1D4B2849" w14:textId="1C472028" w:rsidR="00707A95" w:rsidRDefault="00707A95" w:rsidP="00707A95">
      <w:pPr>
        <w:pStyle w:val="Corpsdetexte"/>
        <w:ind w:left="567" w:hanging="567"/>
      </w:pPr>
      <w:r w:rsidRPr="00EC2D6E">
        <w:rPr>
          <w:lang w:val="en-CA"/>
        </w:rPr>
        <w:t>———. 2022</w:t>
      </w:r>
      <w:r>
        <w:rPr>
          <w:lang w:val="en-CA"/>
        </w:rPr>
        <w:t>a</w:t>
      </w:r>
      <w:r w:rsidRPr="00EC2D6E">
        <w:rPr>
          <w:lang w:val="en-CA"/>
        </w:rPr>
        <w:t xml:space="preserve">. « László Moholy-Nagy ». Dans </w:t>
      </w:r>
      <w:r w:rsidRPr="00EC2D6E">
        <w:rPr>
          <w:i/>
          <w:iCs/>
          <w:lang w:val="en-CA"/>
        </w:rPr>
        <w:t>Wikipédia</w:t>
      </w:r>
      <w:r w:rsidRPr="00EC2D6E">
        <w:rPr>
          <w:lang w:val="en-CA"/>
        </w:rPr>
        <w:t xml:space="preserve">. San Francisco, US-CA : Wikipédia. </w:t>
      </w:r>
      <w:r>
        <w:t xml:space="preserve">Consulté le 30 mars 2022. </w:t>
      </w:r>
      <w:hyperlink r:id="rId431">
        <w:r>
          <w:rPr>
            <w:rStyle w:val="Lienhypertexte"/>
          </w:rPr>
          <w:t>https://fr.wikipedia.org/w/index.php?title=L%C3%A1szl%C3%B3_Moholy-Nagy&amp;oldid=192385234</w:t>
        </w:r>
      </w:hyperlink>
      <w:r>
        <w:t>.</w:t>
      </w:r>
    </w:p>
    <w:p w14:paraId="40FEA587" w14:textId="21DCB124" w:rsidR="00065317" w:rsidRPr="00784AE7" w:rsidRDefault="00707A95" w:rsidP="00652D41">
      <w:pPr>
        <w:pStyle w:val="Corpsdetexte"/>
        <w:ind w:left="567" w:hanging="567"/>
        <w:rPr>
          <w:lang w:val="fr-CA"/>
        </w:rPr>
      </w:pPr>
      <w:r w:rsidRPr="00EC2D6E">
        <w:rPr>
          <w:lang w:val="en-CA"/>
        </w:rPr>
        <w:t>———.</w:t>
      </w:r>
      <w:r w:rsidR="005C7BF7" w:rsidRPr="00EC2D6E">
        <w:rPr>
          <w:lang w:val="en-CA"/>
        </w:rPr>
        <w:t xml:space="preserve"> 2022</w:t>
      </w:r>
      <w:r>
        <w:rPr>
          <w:lang w:val="en-CA"/>
        </w:rPr>
        <w:t>b</w:t>
      </w:r>
      <w:r w:rsidR="005C7BF7" w:rsidRPr="00EC2D6E">
        <w:rPr>
          <w:lang w:val="en-CA"/>
        </w:rPr>
        <w:t xml:space="preserve">. « Well-known text representation of geometry ». Dans </w:t>
      </w:r>
      <w:r w:rsidR="005C7BF7" w:rsidRPr="00EC2D6E">
        <w:rPr>
          <w:i/>
          <w:iCs/>
          <w:lang w:val="en-CA"/>
        </w:rPr>
        <w:t>Wikipédia</w:t>
      </w:r>
      <w:r w:rsidR="005C7BF7" w:rsidRPr="00EC2D6E">
        <w:rPr>
          <w:lang w:val="en-CA"/>
        </w:rPr>
        <w:t xml:space="preserve">. San Francisco, US-CA : Wikipédia. </w:t>
      </w:r>
      <w:r w:rsidR="005C7BF7" w:rsidRPr="00784AE7">
        <w:rPr>
          <w:lang w:val="fr-CA"/>
        </w:rPr>
        <w:t>Consulté le 20</w:t>
      </w:r>
      <w:r w:rsidR="00056DCD" w:rsidRPr="00784AE7">
        <w:rPr>
          <w:lang w:val="fr-CA"/>
        </w:rPr>
        <w:t> août </w:t>
      </w:r>
      <w:r w:rsidR="005C7BF7" w:rsidRPr="00784AE7">
        <w:rPr>
          <w:lang w:val="fr-CA"/>
        </w:rPr>
        <w:t xml:space="preserve">2022. </w:t>
      </w:r>
      <w:hyperlink r:id="rId432">
        <w:r w:rsidR="005C7BF7" w:rsidRPr="00784AE7">
          <w:rPr>
            <w:rStyle w:val="Lienhypertexte"/>
            <w:lang w:val="fr-CA"/>
          </w:rPr>
          <w:t>https://en.wikipedia.org/w/index.php?title=Well-known_text_representation_of_geometry&amp;oldid=1105540049</w:t>
        </w:r>
      </w:hyperlink>
      <w:r w:rsidR="005C7BF7" w:rsidRPr="00784AE7">
        <w:rPr>
          <w:lang w:val="fr-CA"/>
        </w:rPr>
        <w:t>.</w:t>
      </w:r>
    </w:p>
    <w:p w14:paraId="0420F57A" w14:textId="348946A3" w:rsidR="00065317" w:rsidRDefault="005C7BF7" w:rsidP="00652D41">
      <w:pPr>
        <w:pStyle w:val="Corpsdetexte"/>
        <w:ind w:left="567" w:hanging="567"/>
      </w:pPr>
      <w:r>
        <w:t>———. 2022</w:t>
      </w:r>
      <w:r w:rsidR="00707A95">
        <w:t>c</w:t>
      </w:r>
      <w:r>
        <w:t xml:space="preserve">. « La Relativité ». Dans </w:t>
      </w:r>
      <w:r>
        <w:rPr>
          <w:i/>
          <w:iCs/>
        </w:rPr>
        <w:t>Wikipédia</w:t>
      </w:r>
      <w:r>
        <w:t xml:space="preserve">. </w:t>
      </w:r>
      <w:r w:rsidRPr="00EC2D6E">
        <w:rPr>
          <w:lang w:val="en-CA"/>
        </w:rPr>
        <w:t xml:space="preserve">San Francisco, US-CA : Wikipédia. </w:t>
      </w:r>
      <w:r>
        <w:t>Consulté le 14</w:t>
      </w:r>
      <w:r w:rsidR="00056DCD">
        <w:t> octobre </w:t>
      </w:r>
      <w:r>
        <w:t xml:space="preserve">2022. </w:t>
      </w:r>
      <w:hyperlink r:id="rId433">
        <w:r>
          <w:rPr>
            <w:rStyle w:val="Lienhypertexte"/>
          </w:rPr>
          <w:t>https://fr.wikipedia.org/w/index.php?title=La_Relativit%C3%A9&amp;oldid=197771496</w:t>
        </w:r>
      </w:hyperlink>
      <w:r>
        <w:t>.</w:t>
      </w:r>
    </w:p>
    <w:p w14:paraId="7F75FD18" w14:textId="527CED0D" w:rsidR="00065317" w:rsidRDefault="005C7BF7" w:rsidP="00652D41">
      <w:pPr>
        <w:pStyle w:val="Corpsdetexte"/>
        <w:ind w:left="567" w:hanging="567"/>
      </w:pPr>
      <w:r w:rsidRPr="00EC2D6E">
        <w:rPr>
          <w:lang w:val="en-CA"/>
        </w:rPr>
        <w:t>———. 2022</w:t>
      </w:r>
      <w:r w:rsidR="00707A95">
        <w:rPr>
          <w:lang w:val="en-CA"/>
        </w:rPr>
        <w:t>d</w:t>
      </w:r>
      <w:r w:rsidRPr="00EC2D6E">
        <w:rPr>
          <w:lang w:val="en-CA"/>
        </w:rPr>
        <w:t xml:space="preserve">. « Penny ». Dans </w:t>
      </w:r>
      <w:r w:rsidRPr="00EC2D6E">
        <w:rPr>
          <w:i/>
          <w:iCs/>
          <w:lang w:val="en-CA"/>
        </w:rPr>
        <w:t>Wikipédia</w:t>
      </w:r>
      <w:r w:rsidRPr="00EC2D6E">
        <w:rPr>
          <w:lang w:val="en-CA"/>
        </w:rPr>
        <w:t xml:space="preserve">. San Francisco, US-CA : Wikipédia. </w:t>
      </w:r>
      <w:r>
        <w:t>Consulté le 8</w:t>
      </w:r>
      <w:r w:rsidR="00056DCD">
        <w:t> décembre </w:t>
      </w:r>
      <w:r>
        <w:t xml:space="preserve">2022. </w:t>
      </w:r>
      <w:hyperlink r:id="rId434">
        <w:r>
          <w:rPr>
            <w:rStyle w:val="Lienhypertexte"/>
          </w:rPr>
          <w:t>https://fr.wikipedia.org/w/index.php?title=Penny&amp;oldid=199318252</w:t>
        </w:r>
      </w:hyperlink>
      <w:r>
        <w:t>.</w:t>
      </w:r>
    </w:p>
    <w:p w14:paraId="6C7B6F43" w14:textId="136896F3" w:rsidR="00065317" w:rsidRDefault="005C7BF7" w:rsidP="00652D41">
      <w:pPr>
        <w:pStyle w:val="Corpsdetexte"/>
        <w:ind w:left="567" w:hanging="567"/>
      </w:pPr>
      <w:r w:rsidRPr="00EC2D6E">
        <w:rPr>
          <w:lang w:val="en-CA"/>
        </w:rPr>
        <w:t xml:space="preserve">———. 2023a. « Schöningen spears ». Dans </w:t>
      </w:r>
      <w:r w:rsidRPr="00EC2D6E">
        <w:rPr>
          <w:i/>
          <w:iCs/>
          <w:lang w:val="en-CA"/>
        </w:rPr>
        <w:t>Wikipédia</w:t>
      </w:r>
      <w:r w:rsidRPr="00EC2D6E">
        <w:rPr>
          <w:lang w:val="en-CA"/>
        </w:rPr>
        <w:t xml:space="preserve">. San Francisco, US-CA : Wikipédia. </w:t>
      </w:r>
      <w:r>
        <w:t>Consulté le 6</w:t>
      </w:r>
      <w:r w:rsidR="00056DCD">
        <w:t> mars </w:t>
      </w:r>
      <w:r>
        <w:t xml:space="preserve">2023. </w:t>
      </w:r>
      <w:hyperlink r:id="rId435">
        <w:r>
          <w:rPr>
            <w:rStyle w:val="Lienhypertexte"/>
          </w:rPr>
          <w:t>https://en.wikipedia.org/w/index.php?title=Sch%C3%B6ningen_spears&amp;oldid=1143301875</w:t>
        </w:r>
      </w:hyperlink>
      <w:r>
        <w:t>.</w:t>
      </w:r>
    </w:p>
    <w:p w14:paraId="56684CC2" w14:textId="2794E579" w:rsidR="00065317" w:rsidRDefault="005C7BF7" w:rsidP="00652D41">
      <w:pPr>
        <w:pStyle w:val="Corpsdetexte"/>
        <w:ind w:left="567" w:hanging="567"/>
      </w:pPr>
      <w:r w:rsidRPr="00EC2D6E">
        <w:rPr>
          <w:lang w:val="en-CA"/>
        </w:rPr>
        <w:t xml:space="preserve">———. 2023b. « Georges Amoudruz ». Dans </w:t>
      </w:r>
      <w:r w:rsidRPr="00EC2D6E">
        <w:rPr>
          <w:i/>
          <w:iCs/>
          <w:lang w:val="en-CA"/>
        </w:rPr>
        <w:t>Wikipédia</w:t>
      </w:r>
      <w:r w:rsidRPr="00EC2D6E">
        <w:rPr>
          <w:lang w:val="en-CA"/>
        </w:rPr>
        <w:t xml:space="preserve">. San Francisco, US-CA : Wikipédia. </w:t>
      </w:r>
      <w:r>
        <w:t>Consulté le 10</w:t>
      </w:r>
      <w:r w:rsidR="00056DCD">
        <w:t> mars </w:t>
      </w:r>
      <w:r>
        <w:t xml:space="preserve">2023. </w:t>
      </w:r>
      <w:hyperlink r:id="rId436">
        <w:r>
          <w:rPr>
            <w:rStyle w:val="Lienhypertexte"/>
          </w:rPr>
          <w:t>https://fr.wikipedia.org/w/index.php?title=Georges_Amoudruz&amp;oldid=202151566</w:t>
        </w:r>
      </w:hyperlink>
      <w:r>
        <w:t>.</w:t>
      </w:r>
    </w:p>
    <w:p w14:paraId="7A558C35" w14:textId="4B169C26" w:rsidR="00065317" w:rsidRDefault="005C7BF7" w:rsidP="00652D41">
      <w:pPr>
        <w:pStyle w:val="Corpsdetexte"/>
        <w:ind w:left="567" w:hanging="567"/>
      </w:pPr>
      <w:r w:rsidRPr="00EC2D6E">
        <w:rPr>
          <w:lang w:val="en-CA"/>
        </w:rPr>
        <w:t xml:space="preserve">———. 2023c. « Oka ». Dans </w:t>
      </w:r>
      <w:r w:rsidRPr="00EC2D6E">
        <w:rPr>
          <w:i/>
          <w:iCs/>
          <w:lang w:val="en-CA"/>
        </w:rPr>
        <w:t>Wiktionary</w:t>
      </w:r>
      <w:r w:rsidR="002068C0">
        <w:rPr>
          <w:lang w:val="en-CA"/>
        </w:rPr>
        <w:t>.</w:t>
      </w:r>
      <w:r w:rsidRPr="00EC2D6E">
        <w:rPr>
          <w:lang w:val="en-CA"/>
        </w:rPr>
        <w:t xml:space="preserve"> San Francisco, US-CA : Wikipédia. </w:t>
      </w:r>
      <w:r>
        <w:t>Consulté le 8</w:t>
      </w:r>
      <w:r w:rsidR="00056DCD">
        <w:t> avril </w:t>
      </w:r>
      <w:r>
        <w:t xml:space="preserve">2023. </w:t>
      </w:r>
      <w:hyperlink r:id="rId437">
        <w:r>
          <w:rPr>
            <w:rStyle w:val="Lienhypertexte"/>
          </w:rPr>
          <w:t>https://en.wiktionary.org/w/index.php?title=oka&amp;oldid=72628696</w:t>
        </w:r>
      </w:hyperlink>
      <w:r>
        <w:t>.</w:t>
      </w:r>
    </w:p>
    <w:p w14:paraId="3EF0D660" w14:textId="39D858FA" w:rsidR="00065317" w:rsidRDefault="005C7BF7" w:rsidP="00652D41">
      <w:pPr>
        <w:pStyle w:val="Corpsdetexte"/>
        <w:ind w:left="567" w:hanging="567"/>
      </w:pPr>
      <w:r>
        <w:t xml:space="preserve">———. 2023d. « Trois Glorieuses ». Dans </w:t>
      </w:r>
      <w:r>
        <w:rPr>
          <w:i/>
          <w:iCs/>
        </w:rPr>
        <w:t>Wikipédia</w:t>
      </w:r>
      <w:r>
        <w:t xml:space="preserve">. </w:t>
      </w:r>
      <w:r w:rsidRPr="00EC2D6E">
        <w:rPr>
          <w:lang w:val="en-CA"/>
        </w:rPr>
        <w:t xml:space="preserve">San Francisco, US-CA : Wikipédia. </w:t>
      </w:r>
      <w:r>
        <w:t>Consulté le 17</w:t>
      </w:r>
      <w:r w:rsidR="00056DCD">
        <w:t> avril </w:t>
      </w:r>
      <w:r>
        <w:t xml:space="preserve">2023. </w:t>
      </w:r>
      <w:hyperlink r:id="rId438">
        <w:r>
          <w:rPr>
            <w:rStyle w:val="Lienhypertexte"/>
          </w:rPr>
          <w:t>https://fr.wikipedia.org/w/index.php?title=Trois_Glorieuses&amp;oldid=203438591</w:t>
        </w:r>
      </w:hyperlink>
      <w:r>
        <w:t>.</w:t>
      </w:r>
    </w:p>
    <w:p w14:paraId="385CE3F0" w14:textId="3A972C29" w:rsidR="00065317" w:rsidRDefault="005C7BF7" w:rsidP="00652D41">
      <w:pPr>
        <w:pStyle w:val="Corpsdetexte"/>
        <w:ind w:left="567" w:hanging="567"/>
      </w:pPr>
      <w:r w:rsidRPr="00EC2D6E">
        <w:rPr>
          <w:lang w:val="en-CA"/>
        </w:rPr>
        <w:t xml:space="preserve">———. 2023e. « Groschen ». Dans </w:t>
      </w:r>
      <w:r w:rsidRPr="00EC2D6E">
        <w:rPr>
          <w:i/>
          <w:iCs/>
          <w:lang w:val="en-CA"/>
        </w:rPr>
        <w:t>Wikipedia</w:t>
      </w:r>
      <w:r w:rsidRPr="00EC2D6E">
        <w:rPr>
          <w:lang w:val="en-CA"/>
        </w:rPr>
        <w:t xml:space="preserve">. San Francisco, US-CA : Wikipédia. </w:t>
      </w:r>
      <w:r>
        <w:t>Consulté le 6</w:t>
      </w:r>
      <w:r w:rsidR="00056DCD">
        <w:t> mai </w:t>
      </w:r>
      <w:r>
        <w:t xml:space="preserve">2023. </w:t>
      </w:r>
      <w:hyperlink r:id="rId439">
        <w:r>
          <w:rPr>
            <w:rStyle w:val="Lienhypertexte"/>
          </w:rPr>
          <w:t>https://en.wikipedia.org/w/index.php?title=Groschen&amp;oldid=1153418826</w:t>
        </w:r>
      </w:hyperlink>
      <w:r>
        <w:t>.</w:t>
      </w:r>
    </w:p>
    <w:p w14:paraId="5EA13777" w14:textId="79D02C1B" w:rsidR="00065317" w:rsidRDefault="005C7BF7" w:rsidP="00652D41">
      <w:pPr>
        <w:pStyle w:val="Corpsdetexte"/>
        <w:ind w:left="567" w:hanging="567"/>
      </w:pPr>
      <w:r>
        <w:t xml:space="preserve">Winckelmann, Johann Joachim. (1755) 2005. </w:t>
      </w:r>
      <w:r>
        <w:rPr>
          <w:i/>
          <w:iCs/>
        </w:rPr>
        <w:t>Pensées sur l</w:t>
      </w:r>
      <w:r w:rsidR="00E84B0E">
        <w:rPr>
          <w:i/>
          <w:iCs/>
        </w:rPr>
        <w:t>’</w:t>
      </w:r>
      <w:r>
        <w:rPr>
          <w:i/>
          <w:iCs/>
        </w:rPr>
        <w:t xml:space="preserve">imitation des </w:t>
      </w:r>
      <w:r w:rsidR="00C012B4">
        <w:rPr>
          <w:i/>
          <w:iCs/>
        </w:rPr>
        <w:t>œ</w:t>
      </w:r>
      <w:r>
        <w:rPr>
          <w:i/>
          <w:iCs/>
        </w:rPr>
        <w:t>uvres grecques en peinture et en sculpture</w:t>
      </w:r>
      <w:r>
        <w:t>. Traduit par Laure Cahen-Maurel. Le dix-huitième</w:t>
      </w:r>
      <w:r w:rsidR="00056DCD">
        <w:t> siècle </w:t>
      </w:r>
      <w:r>
        <w:t>– entre les lumières et l</w:t>
      </w:r>
      <w:r w:rsidR="00E84B0E">
        <w:t>’</w:t>
      </w:r>
      <w:r>
        <w:t xml:space="preserve">incendie. Paris, FR-IDF : Allia. </w:t>
      </w:r>
      <w:hyperlink r:id="rId440">
        <w:r>
          <w:rPr>
            <w:rStyle w:val="Lienhypertexte"/>
          </w:rPr>
          <w:t>https://www.editions-allia.com/fr/livre/91/pensees-sur-limitation-des-uvres-grecques-en-peinture-et-en-sculpture</w:t>
        </w:r>
      </w:hyperlink>
      <w:r>
        <w:t>.</w:t>
      </w:r>
    </w:p>
    <w:p w14:paraId="69D9C2CB" w14:textId="66D04C02" w:rsidR="00065317" w:rsidRPr="00EC2D6E" w:rsidRDefault="005C7BF7" w:rsidP="00652D41">
      <w:pPr>
        <w:pStyle w:val="Corpsdetexte"/>
        <w:ind w:left="567" w:hanging="567"/>
        <w:rPr>
          <w:lang w:val="en-CA"/>
        </w:rPr>
      </w:pPr>
      <w:r w:rsidRPr="00EC2D6E">
        <w:rPr>
          <w:lang w:val="en-CA"/>
        </w:rPr>
        <w:t>World Wide Web Consortium (W3C). 2021. « Translations of W3C Technical Reports ». World Wide Web Consortium (W3C). 8</w:t>
      </w:r>
      <w:r w:rsidR="00056DCD">
        <w:rPr>
          <w:lang w:val="en-CA"/>
        </w:rPr>
        <w:t> mars </w:t>
      </w:r>
      <w:r w:rsidRPr="00EC2D6E">
        <w:rPr>
          <w:lang w:val="en-CA"/>
        </w:rPr>
        <w:t xml:space="preserve">2021. </w:t>
      </w:r>
      <w:hyperlink r:id="rId441">
        <w:r w:rsidRPr="00EC2D6E">
          <w:rPr>
            <w:rStyle w:val="Lienhypertexte"/>
            <w:lang w:val="en-CA"/>
          </w:rPr>
          <w:t>https://www.w3.org/Translations/</w:t>
        </w:r>
      </w:hyperlink>
      <w:r w:rsidRPr="00EC2D6E">
        <w:rPr>
          <w:lang w:val="en-CA"/>
        </w:rPr>
        <w:t>.</w:t>
      </w:r>
    </w:p>
    <w:p w14:paraId="6212DB88" w14:textId="38C10F4F" w:rsidR="00065317" w:rsidRDefault="005C7BF7" w:rsidP="00652D41">
      <w:pPr>
        <w:pStyle w:val="Corpsdetexte"/>
        <w:ind w:left="567" w:hanging="567"/>
      </w:pPr>
      <w:r w:rsidRPr="00EC2D6E">
        <w:rPr>
          <w:lang w:val="en-CA"/>
        </w:rPr>
        <w:t>XML Working Group. 2016. « Extensible Markup Language (XML) ». World Wide Web Consortium (W3C). 11</w:t>
      </w:r>
      <w:r w:rsidR="00056DCD">
        <w:rPr>
          <w:lang w:val="en-CA"/>
        </w:rPr>
        <w:t> octobre </w:t>
      </w:r>
      <w:r w:rsidRPr="00EC2D6E">
        <w:rPr>
          <w:lang w:val="en-CA"/>
        </w:rPr>
        <w:t xml:space="preserve">2016. </w:t>
      </w:r>
      <w:hyperlink r:id="rId442">
        <w:r>
          <w:rPr>
            <w:rStyle w:val="Lienhypertexte"/>
          </w:rPr>
          <w:t>https://www.w3.org/XML/</w:t>
        </w:r>
      </w:hyperlink>
      <w:r>
        <w:t>.</w:t>
      </w:r>
    </w:p>
    <w:p w14:paraId="5517D364" w14:textId="77777777" w:rsidR="00FA2C22" w:rsidRDefault="00FA2C22">
      <w:pPr>
        <w:spacing w:after="0"/>
        <w:rPr>
          <w:rFonts w:eastAsiaTheme="majorEastAsia" w:cstheme="majorBidi"/>
          <w:b/>
          <w:bCs/>
          <w:color w:val="000000"/>
          <w:sz w:val="32"/>
          <w:szCs w:val="32"/>
        </w:rPr>
      </w:pPr>
      <w:bookmarkStart w:id="606" w:name="mentions-de-source-des-figures"/>
      <w:r>
        <w:br w:type="page"/>
      </w:r>
    </w:p>
    <w:p w14:paraId="087CDEEE" w14:textId="28475F18" w:rsidR="00065317" w:rsidRDefault="005C7BF7" w:rsidP="00C2235A">
      <w:pPr>
        <w:pStyle w:val="Titre2"/>
      </w:pPr>
      <w:bookmarkStart w:id="607" w:name="_Toc154048987"/>
      <w:r>
        <w:lastRenderedPageBreak/>
        <w:t xml:space="preserve">Mentions de source </w:t>
      </w:r>
      <w:r w:rsidRPr="00C2235A">
        <w:t>des</w:t>
      </w:r>
      <w:r>
        <w:t xml:space="preserve"> figures</w:t>
      </w:r>
      <w:bookmarkEnd w:id="607"/>
    </w:p>
    <w:p w14:paraId="398100DE" w14:textId="77777777" w:rsidR="00065317" w:rsidRDefault="005C7BF7">
      <w:pPr>
        <w:pStyle w:val="FirstParagraph"/>
      </w:pPr>
      <w:r>
        <w:t>Figures 1-6 :</w:t>
      </w:r>
    </w:p>
    <w:p w14:paraId="250B052A" w14:textId="59C0BB34" w:rsidR="00065317" w:rsidRDefault="005C7BF7">
      <w:pPr>
        <w:numPr>
          <w:ilvl w:val="0"/>
          <w:numId w:val="307"/>
        </w:numPr>
      </w:pPr>
      <w:r>
        <w:rPr>
          <w:i/>
          <w:iCs/>
        </w:rPr>
        <w:t>Bibliothèques logicielles diagrams.net</w:t>
      </w:r>
      <w:r>
        <w:t>, © Réseau canadien d</w:t>
      </w:r>
      <w:r w:rsidR="00E84B0E">
        <w:t>’</w:t>
      </w:r>
      <w:r>
        <w:t>information sur le patrimoine 2021</w:t>
      </w:r>
    </w:p>
    <w:p w14:paraId="32D1DECC" w14:textId="77777777" w:rsidR="00065317" w:rsidRDefault="005C7BF7">
      <w:pPr>
        <w:pStyle w:val="FirstParagraph"/>
      </w:pPr>
      <w:r>
        <w:t>Figure 2 :</w:t>
      </w:r>
    </w:p>
    <w:p w14:paraId="385CF6FA" w14:textId="77777777" w:rsidR="00065317" w:rsidRPr="00EC2D6E" w:rsidRDefault="005C7BF7">
      <w:pPr>
        <w:numPr>
          <w:ilvl w:val="0"/>
          <w:numId w:val="308"/>
        </w:numPr>
        <w:rPr>
          <w:lang w:val="en-CA"/>
        </w:rPr>
      </w:pPr>
      <w:r w:rsidRPr="00EC2D6E">
        <w:rPr>
          <w:i/>
          <w:iCs/>
          <w:lang w:val="en-CA"/>
        </w:rPr>
        <w:t>Johann Joachim Winckelmann</w:t>
      </w:r>
      <w:r w:rsidRPr="00EC2D6E">
        <w:rPr>
          <w:lang w:val="en-CA"/>
        </w:rPr>
        <w:t>, © Wikimedia Commons CC BY-SA 4.0</w:t>
      </w:r>
    </w:p>
    <w:p w14:paraId="617B9781" w14:textId="77777777" w:rsidR="00065317" w:rsidRPr="00EC2D6E" w:rsidRDefault="005C7BF7">
      <w:pPr>
        <w:numPr>
          <w:ilvl w:val="0"/>
          <w:numId w:val="308"/>
        </w:numPr>
        <w:rPr>
          <w:lang w:val="en-CA"/>
        </w:rPr>
      </w:pPr>
      <w:r w:rsidRPr="00EC2D6E">
        <w:rPr>
          <w:i/>
          <w:iCs/>
          <w:lang w:val="en-CA"/>
        </w:rPr>
        <w:t>Laocoön</w:t>
      </w:r>
      <w:r w:rsidRPr="00EC2D6E">
        <w:rPr>
          <w:lang w:val="en-CA"/>
        </w:rPr>
        <w:t>, © Wikimedia Commons CC BY-SA 4.0</w:t>
      </w:r>
    </w:p>
    <w:p w14:paraId="5D702307" w14:textId="77777777" w:rsidR="00065317" w:rsidRDefault="005C7BF7">
      <w:pPr>
        <w:pStyle w:val="FirstParagraph"/>
      </w:pPr>
      <w:r>
        <w:t>Figure 3 :</w:t>
      </w:r>
    </w:p>
    <w:p w14:paraId="31FCA45A" w14:textId="51DA8D36" w:rsidR="00065317" w:rsidRDefault="005C7BF7">
      <w:pPr>
        <w:numPr>
          <w:ilvl w:val="0"/>
          <w:numId w:val="309"/>
        </w:numPr>
      </w:pPr>
      <w:r>
        <w:t>Icônes de statues par Smashicons - Flaticon, © Freepik Company S.L. 2022</w:t>
      </w:r>
    </w:p>
    <w:p w14:paraId="4439DE3F" w14:textId="486829DB" w:rsidR="00065317" w:rsidRDefault="005C7BF7">
      <w:pPr>
        <w:numPr>
          <w:ilvl w:val="0"/>
          <w:numId w:val="309"/>
        </w:numPr>
      </w:pPr>
      <w:r>
        <w:t>Icône du créateur romain inconnu par Freepik - Flaticon, © Freepik Company S.L. 2022</w:t>
      </w:r>
    </w:p>
    <w:p w14:paraId="7B0FF0A6" w14:textId="728D5043" w:rsidR="00065317" w:rsidRPr="00EC2D6E" w:rsidRDefault="005C7BF7">
      <w:pPr>
        <w:numPr>
          <w:ilvl w:val="0"/>
          <w:numId w:val="309"/>
        </w:numPr>
        <w:rPr>
          <w:lang w:val="en-CA"/>
        </w:rPr>
      </w:pPr>
      <w:r w:rsidRPr="00EC2D6E">
        <w:rPr>
          <w:lang w:val="en-CA"/>
        </w:rPr>
        <w:t>Icône de Winckelmann par Freepik - Flaticon, © Freepik Company S.L.</w:t>
      </w:r>
      <w:r w:rsidR="00505D73">
        <w:rPr>
          <w:lang w:val="en-CA"/>
        </w:rPr>
        <w:t xml:space="preserve"> </w:t>
      </w:r>
      <w:r w:rsidRPr="00EC2D6E">
        <w:rPr>
          <w:lang w:val="en-CA"/>
        </w:rPr>
        <w:t>2022</w:t>
      </w:r>
    </w:p>
    <w:p w14:paraId="2D90015F" w14:textId="1B0DF49D" w:rsidR="00065317" w:rsidRDefault="005C7BF7">
      <w:pPr>
        <w:numPr>
          <w:ilvl w:val="0"/>
          <w:numId w:val="309"/>
        </w:numPr>
      </w:pPr>
      <w:r>
        <w:t>Icône de la mère de Winckelmann par max.icons - Flaticon, © Freepik Company S.L. 2022</w:t>
      </w:r>
      <w:bookmarkEnd w:id="604"/>
      <w:bookmarkEnd w:id="606"/>
    </w:p>
    <w:sectPr w:rsidR="00065317" w:rsidSect="00F3506A">
      <w:headerReference w:type="default" r:id="rId443"/>
      <w:pgSz w:w="12240" w:h="15840"/>
      <w:pgMar w:top="720" w:right="720" w:bottom="720" w:left="720" w:header="0" w:footer="0" w:gutter="0"/>
      <w:pgNumType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84880" w14:textId="77777777" w:rsidR="00D16E74" w:rsidRDefault="00D16E74">
      <w:pPr>
        <w:spacing w:after="0"/>
      </w:pPr>
      <w:r>
        <w:separator/>
      </w:r>
    </w:p>
  </w:endnote>
  <w:endnote w:type="continuationSeparator" w:id="0">
    <w:p w14:paraId="3F425073" w14:textId="77777777" w:rsidR="00D16E74" w:rsidRDefault="00D16E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5043"/>
      <w:docPartObj>
        <w:docPartGallery w:val="Page Numbers (Bottom of Page)"/>
        <w:docPartUnique/>
      </w:docPartObj>
    </w:sdtPr>
    <w:sdtEndPr>
      <w:rPr>
        <w:noProof/>
      </w:rPr>
    </w:sdtEndPr>
    <w:sdtContent>
      <w:p w14:paraId="10955B95" w14:textId="59612B8B" w:rsidR="00F3506A" w:rsidRDefault="00F3506A">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08EEEB03" w14:textId="77777777" w:rsidR="00F3506A" w:rsidRDefault="00F350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D1DBC" w14:textId="77777777" w:rsidR="00D16E74" w:rsidRDefault="00D16E74">
      <w:r>
        <w:separator/>
      </w:r>
    </w:p>
  </w:footnote>
  <w:footnote w:type="continuationSeparator" w:id="0">
    <w:p w14:paraId="4983BABD" w14:textId="77777777" w:rsidR="00D16E74" w:rsidRDefault="00D16E74">
      <w:r>
        <w:continuationSeparator/>
      </w:r>
    </w:p>
  </w:footnote>
  <w:footnote w:id="1">
    <w:p w14:paraId="0BCC8834" w14:textId="6E07B6B1" w:rsidR="0047759F" w:rsidRPr="0047759F" w:rsidRDefault="0047759F">
      <w:pPr>
        <w:pStyle w:val="Notedebasdepage"/>
        <w:rPr>
          <w:sz w:val="20"/>
          <w:szCs w:val="20"/>
          <w:lang w:val="fr-CA"/>
        </w:rPr>
      </w:pPr>
      <w:r w:rsidRPr="0047759F">
        <w:rPr>
          <w:rStyle w:val="Appelnotedebasdep"/>
          <w:sz w:val="20"/>
          <w:szCs w:val="20"/>
        </w:rPr>
        <w:footnoteRef/>
      </w:r>
      <w:r w:rsidRPr="0047759F">
        <w:rPr>
          <w:sz w:val="20"/>
          <w:szCs w:val="20"/>
        </w:rPr>
        <w:t xml:space="preserve"> Les statuts de l’ICOM fournissent une définition du terme « musée » à l’adresse </w:t>
      </w:r>
      <w:hyperlink r:id="rId1" w:anchor="2">
        <w:r w:rsidRPr="0047759F">
          <w:rPr>
            <w:rStyle w:val="Lienhypertexte"/>
            <w:sz w:val="20"/>
            <w:szCs w:val="20"/>
          </w:rPr>
          <w:t>http://icom.museum/statutes.html#2</w:t>
        </w:r>
      </w:hyperlink>
      <w:r w:rsidRPr="0047759F">
        <w:rPr>
          <w:sz w:val="20"/>
          <w:szCs w:val="20"/>
        </w:rPr>
        <w:t>(page non accessible).</w:t>
      </w:r>
    </w:p>
  </w:footnote>
  <w:footnote w:id="2">
    <w:p w14:paraId="6953A10E" w14:textId="0FEFF01E" w:rsidR="0047759F" w:rsidRPr="0047759F" w:rsidRDefault="0047759F">
      <w:pPr>
        <w:pStyle w:val="Notedebasdepage"/>
        <w:rPr>
          <w:lang w:val="fr-CA"/>
        </w:rPr>
      </w:pPr>
      <w:r w:rsidRPr="0047759F">
        <w:rPr>
          <w:rStyle w:val="Appelnotedebasdep"/>
          <w:sz w:val="20"/>
          <w:szCs w:val="20"/>
        </w:rPr>
        <w:footnoteRef/>
      </w:r>
      <w:r w:rsidRPr="0047759F">
        <w:rPr>
          <w:sz w:val="20"/>
          <w:szCs w:val="20"/>
        </w:rPr>
        <w:t xml:space="preserve"> Le Domaine d’application pratique du </w:t>
      </w:r>
      <w:r w:rsidR="00C8288F">
        <w:rPr>
          <w:sz w:val="20"/>
          <w:szCs w:val="20"/>
        </w:rPr>
        <w:t>CIDOC CRM</w:t>
      </w:r>
      <w:r w:rsidRPr="0047759F">
        <w:rPr>
          <w:sz w:val="20"/>
          <w:szCs w:val="20"/>
        </w:rPr>
        <w:t xml:space="preserve">, y compris une liste des normes de documentation muséales pertinentes, est discuté plus en détail sur le site Web du </w:t>
      </w:r>
      <w:r w:rsidR="00C8288F">
        <w:rPr>
          <w:sz w:val="20"/>
          <w:szCs w:val="20"/>
        </w:rPr>
        <w:t>CIDOC CRM</w:t>
      </w:r>
      <w:r w:rsidRPr="0047759F">
        <w:rPr>
          <w:sz w:val="20"/>
          <w:szCs w:val="20"/>
        </w:rPr>
        <w:t xml:space="preserve"> à l’adresse </w:t>
      </w:r>
      <w:hyperlink r:id="rId2">
        <w:r w:rsidRPr="0047759F">
          <w:rPr>
            <w:rStyle w:val="Lienhypertexte"/>
            <w:sz w:val="20"/>
            <w:szCs w:val="20"/>
          </w:rPr>
          <w:t>http://cidoc.ics.forth.gr/scope.html</w:t>
        </w:r>
      </w:hyperlink>
      <w:r w:rsidRPr="0047759F">
        <w:rPr>
          <w:sz w:val="20"/>
          <w:szCs w:val="20"/>
        </w:rPr>
        <w:t>(page non accessible).</w:t>
      </w:r>
    </w:p>
  </w:footnote>
  <w:footnote w:id="3">
    <w:p w14:paraId="4A76AA9F" w14:textId="0C00A1E7" w:rsidR="0047759F" w:rsidRPr="0047759F" w:rsidRDefault="0047759F" w:rsidP="0047759F">
      <w:pPr>
        <w:pStyle w:val="FirstParagraph"/>
        <w:rPr>
          <w:sz w:val="20"/>
          <w:szCs w:val="20"/>
        </w:rPr>
      </w:pPr>
      <w:r w:rsidRPr="0047759F">
        <w:rPr>
          <w:rStyle w:val="Appelnotedebasdep"/>
          <w:sz w:val="20"/>
          <w:szCs w:val="20"/>
        </w:rPr>
        <w:footnoteRef/>
      </w:r>
      <w:r w:rsidRPr="0047759F">
        <w:rPr>
          <w:sz w:val="20"/>
          <w:szCs w:val="20"/>
        </w:rPr>
        <w:t xml:space="preserve"> Plus d’informations au sujet du Resource Description Framework (RDF) sont disponibles au </w:t>
      </w:r>
      <w:hyperlink r:id="rId3">
        <w:r w:rsidRPr="0047759F">
          <w:rPr>
            <w:rStyle w:val="Lienhypertexte"/>
            <w:sz w:val="20"/>
            <w:szCs w:val="20"/>
          </w:rPr>
          <w:t>http://www.w3.org/RDF/</w:t>
        </w:r>
      </w:hyperlink>
      <w:r w:rsidRPr="0047759F">
        <w:rPr>
          <w:sz w:val="20"/>
          <w:szCs w:val="20"/>
        </w:rPr>
        <w:t>.</w:t>
      </w:r>
    </w:p>
  </w:footnote>
  <w:footnote w:id="4">
    <w:p w14:paraId="2CF819E6" w14:textId="2BB8E7E4" w:rsidR="001F00AF" w:rsidRPr="001F00AF" w:rsidRDefault="001F00AF">
      <w:pPr>
        <w:pStyle w:val="Notedebasdepage"/>
        <w:rPr>
          <w:lang w:val="fr-CA"/>
        </w:rPr>
      </w:pPr>
      <w:r>
        <w:rPr>
          <w:rStyle w:val="Appelnotedebasdep"/>
        </w:rPr>
        <w:footnoteRef/>
      </w:r>
      <w:r>
        <w:t xml:space="preserve"> </w:t>
      </w:r>
      <w:r w:rsidRPr="001F00AF">
        <w:rPr>
          <w:sz w:val="20"/>
          <w:szCs w:val="20"/>
        </w:rPr>
        <w:t>Nicola Guarino définit une ontologie formelle comme la spécification d’un ensemble de concepts nommés et utilisés pour déterminer par approximation et pour décrire une part de la réalité, spécification à laquelle s’ajoute une théorie logique du premier ordre précisant la signification prévue de ces mêmes concepts nommés.</w:t>
      </w:r>
    </w:p>
  </w:footnote>
  <w:footnote w:id="5">
    <w:p w14:paraId="68D59912" w14:textId="2D85087E" w:rsidR="001F00AF" w:rsidRPr="001F00AF" w:rsidRDefault="001F00AF">
      <w:pPr>
        <w:pStyle w:val="Notedebasdepage"/>
        <w:rPr>
          <w:sz w:val="20"/>
          <w:szCs w:val="20"/>
          <w:lang w:val="fr-CA"/>
        </w:rPr>
      </w:pPr>
      <w:r w:rsidRPr="001F00AF">
        <w:rPr>
          <w:rStyle w:val="Appelnotedebasdep"/>
          <w:sz w:val="20"/>
          <w:szCs w:val="20"/>
        </w:rPr>
        <w:footnoteRef/>
      </w:r>
      <w:r w:rsidRPr="001F00AF">
        <w:rPr>
          <w:sz w:val="20"/>
          <w:szCs w:val="20"/>
        </w:rPr>
        <w:t xml:space="preserve"> Les lecteurs intéressés par les sciences informatiques, la logique, la syntaxe et la sémantique formelles utilisées par le </w:t>
      </w:r>
      <w:r w:rsidR="00C8288F">
        <w:rPr>
          <w:sz w:val="20"/>
          <w:szCs w:val="20"/>
        </w:rPr>
        <w:t>CIDOC CRM</w:t>
      </w:r>
      <w:r w:rsidRPr="001F00AF">
        <w:rPr>
          <w:sz w:val="20"/>
          <w:szCs w:val="20"/>
        </w:rPr>
        <w:t xml:space="preserve"> peuvent consulter (Meghini &amp; </w:t>
      </w:r>
      <w:r w:rsidR="003C7A4A">
        <w:rPr>
          <w:sz w:val="20"/>
          <w:szCs w:val="20"/>
        </w:rPr>
        <w:t>Doerr</w:t>
      </w:r>
      <w:r w:rsidRPr="001F00AF">
        <w:rPr>
          <w:sz w:val="20"/>
          <w:szCs w:val="20"/>
        </w:rPr>
        <w:t xml:space="preserve"> 2018) qui examine les aspects computationnels de l’ontologie.</w:t>
      </w:r>
    </w:p>
  </w:footnote>
  <w:footnote w:id="6">
    <w:p w14:paraId="444850AC" w14:textId="6C7D947B" w:rsidR="001F00AF" w:rsidRPr="001F00AF" w:rsidRDefault="001F00AF" w:rsidP="001F00AF">
      <w:pPr>
        <w:pStyle w:val="Corpsdetexte"/>
      </w:pPr>
      <w:r w:rsidRPr="00CA5429">
        <w:rPr>
          <w:rStyle w:val="Appelnotedebasdep"/>
          <w:sz w:val="20"/>
          <w:szCs w:val="20"/>
        </w:rPr>
        <w:footnoteRef/>
      </w:r>
      <w:r w:rsidRPr="00CA5429">
        <w:rPr>
          <w:sz w:val="20"/>
          <w:szCs w:val="20"/>
        </w:rPr>
        <w:t xml:space="preserve"> L’URI</w:t>
      </w:r>
      <w:r w:rsidRPr="001F00AF">
        <w:rPr>
          <w:sz w:val="20"/>
          <w:szCs w:val="20"/>
        </w:rPr>
        <w:t xml:space="preserve"> (instance de </w:t>
      </w:r>
      <w:r w:rsidRPr="001F00AF">
        <w:rPr>
          <w:rStyle w:val="VerbatimChar"/>
          <w:sz w:val="20"/>
          <w:szCs w:val="20"/>
        </w:rPr>
        <w:t>E41_Appellation</w:t>
      </w:r>
      <w:r w:rsidRPr="001F00AF">
        <w:rPr>
          <w:sz w:val="20"/>
          <w:szCs w:val="20"/>
        </w:rPr>
        <w:t>) de la Library of Congress pour le pharaon Toutânkhamon.</w:t>
      </w:r>
    </w:p>
  </w:footnote>
  <w:footnote w:id="7">
    <w:p w14:paraId="488BD928" w14:textId="03EA967A" w:rsidR="001F00AF" w:rsidRPr="001F00AF" w:rsidRDefault="001F00AF">
      <w:pPr>
        <w:pStyle w:val="Notedebasdepage"/>
        <w:rPr>
          <w:sz w:val="20"/>
          <w:szCs w:val="20"/>
          <w:lang w:val="fr-CA"/>
        </w:rPr>
      </w:pPr>
      <w:r w:rsidRPr="001F00AF">
        <w:rPr>
          <w:rStyle w:val="Appelnotedebasdep"/>
          <w:sz w:val="20"/>
          <w:szCs w:val="20"/>
        </w:rPr>
        <w:footnoteRef/>
      </w:r>
      <w:r w:rsidRPr="001F00AF">
        <w:rPr>
          <w:sz w:val="20"/>
          <w:szCs w:val="20"/>
        </w:rPr>
        <w:t xml:space="preserve"> Les énoncés se trouvant dans une BC peuvent entrer en contradiction avec la quantification ontologique des propriétés sans que cette BC ne soit pour autant dysfonctionnelle ou invalidée. Une telle situation pourrait survenir soit parce que des propriétés sont inconnues, soit parce qu’il est raisonnable pour l’institution ou personne responsable du maintien de penser que des valeurs alternatives sont possibles pour des propriétés dotées d’une cardinalité limitée.</w:t>
      </w:r>
    </w:p>
  </w:footnote>
  <w:footnote w:id="8">
    <w:p w14:paraId="50036D7F" w14:textId="3E8B539A" w:rsidR="00AC5E6E" w:rsidRPr="00AC5E6E" w:rsidRDefault="00AC5E6E">
      <w:pPr>
        <w:pStyle w:val="Notedebasdepage"/>
        <w:rPr>
          <w:sz w:val="20"/>
          <w:szCs w:val="20"/>
          <w:lang w:val="fr-CA"/>
        </w:rPr>
      </w:pPr>
      <w:r w:rsidRPr="00AC5E6E">
        <w:rPr>
          <w:rStyle w:val="Appelnotedebasdep"/>
          <w:sz w:val="20"/>
          <w:szCs w:val="20"/>
        </w:rPr>
        <w:footnoteRef/>
      </w:r>
      <w:r w:rsidRPr="00AC5E6E">
        <w:rPr>
          <w:sz w:val="20"/>
          <w:szCs w:val="20"/>
        </w:rPr>
        <w:t xml:space="preserve"> Cela s’applique aux applications du domaine du </w:t>
      </w:r>
      <w:r w:rsidR="00C8288F">
        <w:rPr>
          <w:sz w:val="20"/>
          <w:szCs w:val="20"/>
        </w:rPr>
        <w:t>CIDOC CRM</w:t>
      </w:r>
      <w:r w:rsidRPr="00AC5E6E">
        <w:rPr>
          <w:sz w:val="20"/>
          <w:szCs w:val="20"/>
        </w:rPr>
        <w:t xml:space="preserve"> qui sont de nature non</w:t>
      </w:r>
      <w:r>
        <w:rPr>
          <w:sz w:val="20"/>
          <w:szCs w:val="20"/>
        </w:rPr>
        <w:t xml:space="preserve"> </w:t>
      </w:r>
      <w:r w:rsidRPr="00AC5E6E">
        <w:rPr>
          <w:sz w:val="20"/>
          <w:szCs w:val="20"/>
        </w:rPr>
        <w:t>relativiste, mais ne s’applique pas strictement, par exemple, aux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E933" w14:textId="77777777" w:rsidR="00F3506A" w:rsidRDefault="00F3506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7400C1FE"/>
    <w:lvl w:ilvl="0">
      <w:numFmt w:val="bullet"/>
      <w:lvlText w:val="•"/>
      <w:lvlJc w:val="left"/>
      <w:pPr>
        <w:ind w:left="720" w:hanging="480"/>
      </w:pPr>
    </w:lvl>
    <w:lvl w:ilvl="1">
      <w:start w:val="1"/>
      <w:numFmt w:val="bullet"/>
      <w:lvlText w:val="o"/>
      <w:lvlJc w:val="left"/>
      <w:pPr>
        <w:ind w:left="1320" w:hanging="360"/>
      </w:pPr>
      <w:rPr>
        <w:rFonts w:ascii="Courier New" w:hAnsi="Courier New" w:cs="Courier New" w:hint="default"/>
      </w:r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01"/>
    <w:multiLevelType w:val="multilevel"/>
    <w:tmpl w:val="3F6ED840"/>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01B94854"/>
    <w:multiLevelType w:val="multilevel"/>
    <w:tmpl w:val="3F6ED840"/>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C442C08"/>
    <w:multiLevelType w:val="multilevel"/>
    <w:tmpl w:val="3F6ED840"/>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4" w15:restartNumberingAfterBreak="0">
    <w:nsid w:val="1FF77A0F"/>
    <w:multiLevelType w:val="hybridMultilevel"/>
    <w:tmpl w:val="E08E2102"/>
    <w:lvl w:ilvl="0" w:tplc="1009000F">
      <w:start w:val="1"/>
      <w:numFmt w:val="decimal"/>
      <w:lvlText w:val="%1."/>
      <w:lvlJc w:val="left"/>
      <w:pPr>
        <w:ind w:left="960" w:hanging="360"/>
      </w:pPr>
    </w:lvl>
    <w:lvl w:ilvl="1" w:tplc="10090019" w:tentative="1">
      <w:start w:val="1"/>
      <w:numFmt w:val="lowerLetter"/>
      <w:lvlText w:val="%2."/>
      <w:lvlJc w:val="left"/>
      <w:pPr>
        <w:ind w:left="1680" w:hanging="360"/>
      </w:pPr>
    </w:lvl>
    <w:lvl w:ilvl="2" w:tplc="1009001B" w:tentative="1">
      <w:start w:val="1"/>
      <w:numFmt w:val="lowerRoman"/>
      <w:lvlText w:val="%3."/>
      <w:lvlJc w:val="right"/>
      <w:pPr>
        <w:ind w:left="2400" w:hanging="180"/>
      </w:pPr>
    </w:lvl>
    <w:lvl w:ilvl="3" w:tplc="1009000F" w:tentative="1">
      <w:start w:val="1"/>
      <w:numFmt w:val="decimal"/>
      <w:lvlText w:val="%4."/>
      <w:lvlJc w:val="left"/>
      <w:pPr>
        <w:ind w:left="3120" w:hanging="360"/>
      </w:pPr>
    </w:lvl>
    <w:lvl w:ilvl="4" w:tplc="10090019" w:tentative="1">
      <w:start w:val="1"/>
      <w:numFmt w:val="lowerLetter"/>
      <w:lvlText w:val="%5."/>
      <w:lvlJc w:val="left"/>
      <w:pPr>
        <w:ind w:left="3840" w:hanging="360"/>
      </w:pPr>
    </w:lvl>
    <w:lvl w:ilvl="5" w:tplc="1009001B" w:tentative="1">
      <w:start w:val="1"/>
      <w:numFmt w:val="lowerRoman"/>
      <w:lvlText w:val="%6."/>
      <w:lvlJc w:val="right"/>
      <w:pPr>
        <w:ind w:left="4560" w:hanging="180"/>
      </w:pPr>
    </w:lvl>
    <w:lvl w:ilvl="6" w:tplc="1009000F" w:tentative="1">
      <w:start w:val="1"/>
      <w:numFmt w:val="decimal"/>
      <w:lvlText w:val="%7."/>
      <w:lvlJc w:val="left"/>
      <w:pPr>
        <w:ind w:left="5280" w:hanging="360"/>
      </w:pPr>
    </w:lvl>
    <w:lvl w:ilvl="7" w:tplc="10090019" w:tentative="1">
      <w:start w:val="1"/>
      <w:numFmt w:val="lowerLetter"/>
      <w:lvlText w:val="%8."/>
      <w:lvlJc w:val="left"/>
      <w:pPr>
        <w:ind w:left="6000" w:hanging="360"/>
      </w:pPr>
    </w:lvl>
    <w:lvl w:ilvl="8" w:tplc="1009001B" w:tentative="1">
      <w:start w:val="1"/>
      <w:numFmt w:val="lowerRoman"/>
      <w:lvlText w:val="%9."/>
      <w:lvlJc w:val="right"/>
      <w:pPr>
        <w:ind w:left="6720" w:hanging="180"/>
      </w:pPr>
    </w:lvl>
  </w:abstractNum>
  <w:abstractNum w:abstractNumId="5" w15:restartNumberingAfterBreak="0">
    <w:nsid w:val="27077EAF"/>
    <w:multiLevelType w:val="hybridMultilevel"/>
    <w:tmpl w:val="5DEEFE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0002DA"/>
    <w:multiLevelType w:val="hybridMultilevel"/>
    <w:tmpl w:val="47EC7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59F40FE"/>
    <w:multiLevelType w:val="multilevel"/>
    <w:tmpl w:val="4FF245E2"/>
    <w:lvl w:ilvl="0">
      <w:start w:val="1"/>
      <w:numFmt w:val="bullet"/>
      <w:lvlText w:val="o"/>
      <w:lvlJc w:val="left"/>
      <w:pPr>
        <w:ind w:left="720" w:hanging="480"/>
      </w:pPr>
      <w:rPr>
        <w:rFonts w:ascii="Courier New" w:hAnsi="Courier New" w:cs="Courier New"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8" w15:restartNumberingAfterBreak="0">
    <w:nsid w:val="3B920DB5"/>
    <w:multiLevelType w:val="multilevel"/>
    <w:tmpl w:val="3F6ED840"/>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 w15:restartNumberingAfterBreak="0">
    <w:nsid w:val="56D74C80"/>
    <w:multiLevelType w:val="multilevel"/>
    <w:tmpl w:val="C8585B72"/>
    <w:lvl w:ilvl="0">
      <w:start w:val="1"/>
      <w:numFmt w:val="bullet"/>
      <w:lvlText w:val="o"/>
      <w:lvlJc w:val="left"/>
      <w:pPr>
        <w:ind w:left="720" w:hanging="480"/>
      </w:pPr>
      <w:rPr>
        <w:rFonts w:ascii="Courier New" w:hAnsi="Courier New" w:cs="Courier New"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4349786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063799">
    <w:abstractNumId w:val="0"/>
  </w:num>
  <w:num w:numId="3" w16cid:durableId="1952126881">
    <w:abstractNumId w:val="0"/>
  </w:num>
  <w:num w:numId="4" w16cid:durableId="1724594770">
    <w:abstractNumId w:val="0"/>
  </w:num>
  <w:num w:numId="5" w16cid:durableId="330840230">
    <w:abstractNumId w:val="0"/>
  </w:num>
  <w:num w:numId="6" w16cid:durableId="286739740">
    <w:abstractNumId w:val="0"/>
  </w:num>
  <w:num w:numId="7" w16cid:durableId="1817183724">
    <w:abstractNumId w:val="0"/>
  </w:num>
  <w:num w:numId="8" w16cid:durableId="430592790">
    <w:abstractNumId w:val="0"/>
  </w:num>
  <w:num w:numId="9" w16cid:durableId="2062821719">
    <w:abstractNumId w:val="0"/>
  </w:num>
  <w:num w:numId="10" w16cid:durableId="962226536">
    <w:abstractNumId w:val="0"/>
  </w:num>
  <w:num w:numId="11" w16cid:durableId="523710728">
    <w:abstractNumId w:val="0"/>
  </w:num>
  <w:num w:numId="12" w16cid:durableId="426198869">
    <w:abstractNumId w:val="0"/>
  </w:num>
  <w:num w:numId="13" w16cid:durableId="796216604">
    <w:abstractNumId w:val="0"/>
  </w:num>
  <w:num w:numId="14" w16cid:durableId="547491177">
    <w:abstractNumId w:val="0"/>
  </w:num>
  <w:num w:numId="15" w16cid:durableId="1341614985">
    <w:abstractNumId w:val="0"/>
  </w:num>
  <w:num w:numId="16" w16cid:durableId="700863306">
    <w:abstractNumId w:val="0"/>
  </w:num>
  <w:num w:numId="17" w16cid:durableId="506601510">
    <w:abstractNumId w:val="0"/>
  </w:num>
  <w:num w:numId="18" w16cid:durableId="268392930">
    <w:abstractNumId w:val="0"/>
  </w:num>
  <w:num w:numId="19" w16cid:durableId="501286040">
    <w:abstractNumId w:val="0"/>
  </w:num>
  <w:num w:numId="20" w16cid:durableId="1811239551">
    <w:abstractNumId w:val="0"/>
  </w:num>
  <w:num w:numId="21" w16cid:durableId="1775517905">
    <w:abstractNumId w:val="0"/>
  </w:num>
  <w:num w:numId="22" w16cid:durableId="2143500329">
    <w:abstractNumId w:val="0"/>
  </w:num>
  <w:num w:numId="23" w16cid:durableId="952203142">
    <w:abstractNumId w:val="0"/>
  </w:num>
  <w:num w:numId="24" w16cid:durableId="1022823553">
    <w:abstractNumId w:val="0"/>
  </w:num>
  <w:num w:numId="25" w16cid:durableId="1449736930">
    <w:abstractNumId w:val="0"/>
  </w:num>
  <w:num w:numId="26" w16cid:durableId="736320425">
    <w:abstractNumId w:val="0"/>
  </w:num>
  <w:num w:numId="27" w16cid:durableId="1921404483">
    <w:abstractNumId w:val="0"/>
  </w:num>
  <w:num w:numId="28" w16cid:durableId="876502360">
    <w:abstractNumId w:val="0"/>
  </w:num>
  <w:num w:numId="29" w16cid:durableId="1839072957">
    <w:abstractNumId w:val="0"/>
  </w:num>
  <w:num w:numId="30" w16cid:durableId="1454903481">
    <w:abstractNumId w:val="0"/>
  </w:num>
  <w:num w:numId="31" w16cid:durableId="1453012416">
    <w:abstractNumId w:val="0"/>
  </w:num>
  <w:num w:numId="32" w16cid:durableId="1762489825">
    <w:abstractNumId w:val="0"/>
  </w:num>
  <w:num w:numId="33" w16cid:durableId="24986826">
    <w:abstractNumId w:val="0"/>
  </w:num>
  <w:num w:numId="34" w16cid:durableId="872964605">
    <w:abstractNumId w:val="0"/>
  </w:num>
  <w:num w:numId="35" w16cid:durableId="1073310426">
    <w:abstractNumId w:val="0"/>
  </w:num>
  <w:num w:numId="36" w16cid:durableId="865827329">
    <w:abstractNumId w:val="0"/>
  </w:num>
  <w:num w:numId="37" w16cid:durableId="905724729">
    <w:abstractNumId w:val="0"/>
  </w:num>
  <w:num w:numId="38" w16cid:durableId="1826311718">
    <w:abstractNumId w:val="0"/>
  </w:num>
  <w:num w:numId="39" w16cid:durableId="235020017">
    <w:abstractNumId w:val="0"/>
  </w:num>
  <w:num w:numId="40" w16cid:durableId="1354724280">
    <w:abstractNumId w:val="0"/>
  </w:num>
  <w:num w:numId="41" w16cid:durableId="765998900">
    <w:abstractNumId w:val="0"/>
  </w:num>
  <w:num w:numId="42" w16cid:durableId="479469599">
    <w:abstractNumId w:val="0"/>
  </w:num>
  <w:num w:numId="43" w16cid:durableId="399715002">
    <w:abstractNumId w:val="0"/>
  </w:num>
  <w:num w:numId="44" w16cid:durableId="1095370773">
    <w:abstractNumId w:val="0"/>
  </w:num>
  <w:num w:numId="45" w16cid:durableId="1666544404">
    <w:abstractNumId w:val="0"/>
  </w:num>
  <w:num w:numId="46" w16cid:durableId="2083136214">
    <w:abstractNumId w:val="0"/>
  </w:num>
  <w:num w:numId="47" w16cid:durableId="378208704">
    <w:abstractNumId w:val="0"/>
  </w:num>
  <w:num w:numId="48" w16cid:durableId="1515539291">
    <w:abstractNumId w:val="0"/>
  </w:num>
  <w:num w:numId="49" w16cid:durableId="1158112050">
    <w:abstractNumId w:val="0"/>
  </w:num>
  <w:num w:numId="50" w16cid:durableId="380057316">
    <w:abstractNumId w:val="0"/>
  </w:num>
  <w:num w:numId="51" w16cid:durableId="689141194">
    <w:abstractNumId w:val="0"/>
  </w:num>
  <w:num w:numId="52" w16cid:durableId="1321153374">
    <w:abstractNumId w:val="0"/>
  </w:num>
  <w:num w:numId="53" w16cid:durableId="1560631228">
    <w:abstractNumId w:val="0"/>
  </w:num>
  <w:num w:numId="54" w16cid:durableId="1393653632">
    <w:abstractNumId w:val="0"/>
  </w:num>
  <w:num w:numId="55" w16cid:durableId="435174361">
    <w:abstractNumId w:val="0"/>
  </w:num>
  <w:num w:numId="56" w16cid:durableId="2061971884">
    <w:abstractNumId w:val="0"/>
  </w:num>
  <w:num w:numId="57" w16cid:durableId="1648784512">
    <w:abstractNumId w:val="0"/>
  </w:num>
  <w:num w:numId="58" w16cid:durableId="1177379250">
    <w:abstractNumId w:val="0"/>
  </w:num>
  <w:num w:numId="59" w16cid:durableId="350181584">
    <w:abstractNumId w:val="0"/>
  </w:num>
  <w:num w:numId="60" w16cid:durableId="231700012">
    <w:abstractNumId w:val="0"/>
  </w:num>
  <w:num w:numId="61" w16cid:durableId="49505141">
    <w:abstractNumId w:val="0"/>
  </w:num>
  <w:num w:numId="62" w16cid:durableId="1932272703">
    <w:abstractNumId w:val="0"/>
  </w:num>
  <w:num w:numId="63" w16cid:durableId="13894489">
    <w:abstractNumId w:val="0"/>
  </w:num>
  <w:num w:numId="64" w16cid:durableId="1049377301">
    <w:abstractNumId w:val="0"/>
  </w:num>
  <w:num w:numId="65" w16cid:durableId="560025736">
    <w:abstractNumId w:val="0"/>
  </w:num>
  <w:num w:numId="66" w16cid:durableId="1332681023">
    <w:abstractNumId w:val="0"/>
  </w:num>
  <w:num w:numId="67" w16cid:durableId="1943486894">
    <w:abstractNumId w:val="0"/>
  </w:num>
  <w:num w:numId="68" w16cid:durableId="1196649405">
    <w:abstractNumId w:val="0"/>
  </w:num>
  <w:num w:numId="69" w16cid:durableId="397678390">
    <w:abstractNumId w:val="0"/>
  </w:num>
  <w:num w:numId="70" w16cid:durableId="139925120">
    <w:abstractNumId w:val="0"/>
  </w:num>
  <w:num w:numId="71" w16cid:durableId="1517772416">
    <w:abstractNumId w:val="0"/>
  </w:num>
  <w:num w:numId="72" w16cid:durableId="2016958870">
    <w:abstractNumId w:val="0"/>
  </w:num>
  <w:num w:numId="73" w16cid:durableId="889850617">
    <w:abstractNumId w:val="0"/>
  </w:num>
  <w:num w:numId="74" w16cid:durableId="1067537724">
    <w:abstractNumId w:val="0"/>
  </w:num>
  <w:num w:numId="75" w16cid:durableId="176383594">
    <w:abstractNumId w:val="0"/>
  </w:num>
  <w:num w:numId="76" w16cid:durableId="468598944">
    <w:abstractNumId w:val="0"/>
  </w:num>
  <w:num w:numId="77" w16cid:durableId="912424732">
    <w:abstractNumId w:val="0"/>
  </w:num>
  <w:num w:numId="78" w16cid:durableId="905410077">
    <w:abstractNumId w:val="0"/>
  </w:num>
  <w:num w:numId="79" w16cid:durableId="1369722536">
    <w:abstractNumId w:val="0"/>
  </w:num>
  <w:num w:numId="80" w16cid:durableId="1930044263">
    <w:abstractNumId w:val="0"/>
  </w:num>
  <w:num w:numId="81" w16cid:durableId="826357168">
    <w:abstractNumId w:val="0"/>
  </w:num>
  <w:num w:numId="82" w16cid:durableId="938370156">
    <w:abstractNumId w:val="0"/>
  </w:num>
  <w:num w:numId="83" w16cid:durableId="447549238">
    <w:abstractNumId w:val="0"/>
  </w:num>
  <w:num w:numId="84" w16cid:durableId="2128814129">
    <w:abstractNumId w:val="0"/>
  </w:num>
  <w:num w:numId="85" w16cid:durableId="1298686636">
    <w:abstractNumId w:val="0"/>
  </w:num>
  <w:num w:numId="86" w16cid:durableId="927932586">
    <w:abstractNumId w:val="0"/>
  </w:num>
  <w:num w:numId="87" w16cid:durableId="1255943975">
    <w:abstractNumId w:val="0"/>
  </w:num>
  <w:num w:numId="88" w16cid:durableId="55278030">
    <w:abstractNumId w:val="0"/>
  </w:num>
  <w:num w:numId="89" w16cid:durableId="1343244256">
    <w:abstractNumId w:val="0"/>
  </w:num>
  <w:num w:numId="90" w16cid:durableId="1609390879">
    <w:abstractNumId w:val="0"/>
  </w:num>
  <w:num w:numId="91" w16cid:durableId="2011104242">
    <w:abstractNumId w:val="0"/>
  </w:num>
  <w:num w:numId="92" w16cid:durableId="2009091930">
    <w:abstractNumId w:val="0"/>
  </w:num>
  <w:num w:numId="93" w16cid:durableId="1881742845">
    <w:abstractNumId w:val="0"/>
  </w:num>
  <w:num w:numId="94" w16cid:durableId="1219442230">
    <w:abstractNumId w:val="0"/>
  </w:num>
  <w:num w:numId="95" w16cid:durableId="690226497">
    <w:abstractNumId w:val="0"/>
  </w:num>
  <w:num w:numId="96" w16cid:durableId="24528897">
    <w:abstractNumId w:val="0"/>
  </w:num>
  <w:num w:numId="97" w16cid:durableId="560673274">
    <w:abstractNumId w:val="0"/>
  </w:num>
  <w:num w:numId="98" w16cid:durableId="618686152">
    <w:abstractNumId w:val="0"/>
  </w:num>
  <w:num w:numId="99" w16cid:durableId="1993173173">
    <w:abstractNumId w:val="0"/>
  </w:num>
  <w:num w:numId="100" w16cid:durableId="1805735298">
    <w:abstractNumId w:val="0"/>
  </w:num>
  <w:num w:numId="101" w16cid:durableId="1589464678">
    <w:abstractNumId w:val="0"/>
  </w:num>
  <w:num w:numId="102" w16cid:durableId="1700013447">
    <w:abstractNumId w:val="0"/>
  </w:num>
  <w:num w:numId="103" w16cid:durableId="100803441">
    <w:abstractNumId w:val="0"/>
  </w:num>
  <w:num w:numId="104" w16cid:durableId="2003503134">
    <w:abstractNumId w:val="0"/>
  </w:num>
  <w:num w:numId="105" w16cid:durableId="655305744">
    <w:abstractNumId w:val="0"/>
  </w:num>
  <w:num w:numId="106" w16cid:durableId="1448230235">
    <w:abstractNumId w:val="0"/>
  </w:num>
  <w:num w:numId="107" w16cid:durableId="1480537267">
    <w:abstractNumId w:val="0"/>
  </w:num>
  <w:num w:numId="108" w16cid:durableId="262156740">
    <w:abstractNumId w:val="0"/>
  </w:num>
  <w:num w:numId="109" w16cid:durableId="1020592188">
    <w:abstractNumId w:val="0"/>
  </w:num>
  <w:num w:numId="110" w16cid:durableId="2070567047">
    <w:abstractNumId w:val="0"/>
  </w:num>
  <w:num w:numId="111" w16cid:durableId="649137801">
    <w:abstractNumId w:val="0"/>
  </w:num>
  <w:num w:numId="112" w16cid:durableId="1990328395">
    <w:abstractNumId w:val="0"/>
  </w:num>
  <w:num w:numId="113" w16cid:durableId="8260019">
    <w:abstractNumId w:val="0"/>
  </w:num>
  <w:num w:numId="114" w16cid:durableId="1518273031">
    <w:abstractNumId w:val="0"/>
  </w:num>
  <w:num w:numId="115" w16cid:durableId="1522013724">
    <w:abstractNumId w:val="0"/>
  </w:num>
  <w:num w:numId="116" w16cid:durableId="415322237">
    <w:abstractNumId w:val="0"/>
  </w:num>
  <w:num w:numId="117" w16cid:durableId="597099376">
    <w:abstractNumId w:val="0"/>
  </w:num>
  <w:num w:numId="118" w16cid:durableId="1294215759">
    <w:abstractNumId w:val="0"/>
  </w:num>
  <w:num w:numId="119" w16cid:durableId="1227842325">
    <w:abstractNumId w:val="0"/>
  </w:num>
  <w:num w:numId="120" w16cid:durableId="118576948">
    <w:abstractNumId w:val="0"/>
  </w:num>
  <w:num w:numId="121" w16cid:durableId="1647588639">
    <w:abstractNumId w:val="0"/>
  </w:num>
  <w:num w:numId="122" w16cid:durableId="2015523180">
    <w:abstractNumId w:val="0"/>
  </w:num>
  <w:num w:numId="123" w16cid:durableId="1308165944">
    <w:abstractNumId w:val="0"/>
  </w:num>
  <w:num w:numId="124" w16cid:durableId="1434549939">
    <w:abstractNumId w:val="0"/>
  </w:num>
  <w:num w:numId="125" w16cid:durableId="1786651602">
    <w:abstractNumId w:val="0"/>
  </w:num>
  <w:num w:numId="126" w16cid:durableId="1008754911">
    <w:abstractNumId w:val="0"/>
  </w:num>
  <w:num w:numId="127" w16cid:durableId="474757080">
    <w:abstractNumId w:val="0"/>
  </w:num>
  <w:num w:numId="128" w16cid:durableId="4796446">
    <w:abstractNumId w:val="0"/>
  </w:num>
  <w:num w:numId="129" w16cid:durableId="574825563">
    <w:abstractNumId w:val="0"/>
  </w:num>
  <w:num w:numId="130" w16cid:durableId="878786932">
    <w:abstractNumId w:val="0"/>
  </w:num>
  <w:num w:numId="131" w16cid:durableId="206455183">
    <w:abstractNumId w:val="0"/>
  </w:num>
  <w:num w:numId="132" w16cid:durableId="1424259423">
    <w:abstractNumId w:val="0"/>
  </w:num>
  <w:num w:numId="133" w16cid:durableId="645668647">
    <w:abstractNumId w:val="0"/>
  </w:num>
  <w:num w:numId="134" w16cid:durableId="548809586">
    <w:abstractNumId w:val="0"/>
  </w:num>
  <w:num w:numId="135" w16cid:durableId="16200938">
    <w:abstractNumId w:val="0"/>
  </w:num>
  <w:num w:numId="136" w16cid:durableId="1293949618">
    <w:abstractNumId w:val="0"/>
  </w:num>
  <w:num w:numId="137" w16cid:durableId="847981211">
    <w:abstractNumId w:val="0"/>
  </w:num>
  <w:num w:numId="138" w16cid:durableId="852495268">
    <w:abstractNumId w:val="0"/>
  </w:num>
  <w:num w:numId="139" w16cid:durableId="858659857">
    <w:abstractNumId w:val="0"/>
  </w:num>
  <w:num w:numId="140" w16cid:durableId="1822962991">
    <w:abstractNumId w:val="0"/>
  </w:num>
  <w:num w:numId="141" w16cid:durableId="1460152638">
    <w:abstractNumId w:val="0"/>
  </w:num>
  <w:num w:numId="142" w16cid:durableId="866723904">
    <w:abstractNumId w:val="0"/>
  </w:num>
  <w:num w:numId="143" w16cid:durableId="1542984181">
    <w:abstractNumId w:val="0"/>
  </w:num>
  <w:num w:numId="144" w16cid:durableId="179468980">
    <w:abstractNumId w:val="0"/>
  </w:num>
  <w:num w:numId="145" w16cid:durableId="1376000019">
    <w:abstractNumId w:val="0"/>
  </w:num>
  <w:num w:numId="146" w16cid:durableId="159276689">
    <w:abstractNumId w:val="0"/>
  </w:num>
  <w:num w:numId="147" w16cid:durableId="475149427">
    <w:abstractNumId w:val="0"/>
  </w:num>
  <w:num w:numId="148" w16cid:durableId="117533856">
    <w:abstractNumId w:val="0"/>
  </w:num>
  <w:num w:numId="149" w16cid:durableId="871842618">
    <w:abstractNumId w:val="0"/>
  </w:num>
  <w:num w:numId="150" w16cid:durableId="353965941">
    <w:abstractNumId w:val="0"/>
  </w:num>
  <w:num w:numId="151" w16cid:durableId="611671664">
    <w:abstractNumId w:val="0"/>
  </w:num>
  <w:num w:numId="152" w16cid:durableId="433013748">
    <w:abstractNumId w:val="0"/>
  </w:num>
  <w:num w:numId="153" w16cid:durableId="1774588878">
    <w:abstractNumId w:val="0"/>
  </w:num>
  <w:num w:numId="154" w16cid:durableId="1507403727">
    <w:abstractNumId w:val="0"/>
  </w:num>
  <w:num w:numId="155" w16cid:durableId="538972944">
    <w:abstractNumId w:val="0"/>
  </w:num>
  <w:num w:numId="156" w16cid:durableId="1086807815">
    <w:abstractNumId w:val="0"/>
  </w:num>
  <w:num w:numId="157" w16cid:durableId="297879955">
    <w:abstractNumId w:val="0"/>
  </w:num>
  <w:num w:numId="158" w16cid:durableId="586841216">
    <w:abstractNumId w:val="0"/>
  </w:num>
  <w:num w:numId="159" w16cid:durableId="1265571915">
    <w:abstractNumId w:val="0"/>
  </w:num>
  <w:num w:numId="160" w16cid:durableId="1791166864">
    <w:abstractNumId w:val="0"/>
  </w:num>
  <w:num w:numId="161" w16cid:durableId="1918636929">
    <w:abstractNumId w:val="0"/>
  </w:num>
  <w:num w:numId="162" w16cid:durableId="1937051419">
    <w:abstractNumId w:val="0"/>
  </w:num>
  <w:num w:numId="163" w16cid:durableId="2046445923">
    <w:abstractNumId w:val="0"/>
  </w:num>
  <w:num w:numId="164" w16cid:durableId="1238974237">
    <w:abstractNumId w:val="0"/>
  </w:num>
  <w:num w:numId="165" w16cid:durableId="563486540">
    <w:abstractNumId w:val="0"/>
  </w:num>
  <w:num w:numId="166" w16cid:durableId="903955622">
    <w:abstractNumId w:val="0"/>
  </w:num>
  <w:num w:numId="167" w16cid:durableId="1703432272">
    <w:abstractNumId w:val="0"/>
  </w:num>
  <w:num w:numId="168" w16cid:durableId="858587255">
    <w:abstractNumId w:val="0"/>
  </w:num>
  <w:num w:numId="169" w16cid:durableId="182519695">
    <w:abstractNumId w:val="0"/>
  </w:num>
  <w:num w:numId="170" w16cid:durableId="1268270865">
    <w:abstractNumId w:val="0"/>
  </w:num>
  <w:num w:numId="171" w16cid:durableId="997458793">
    <w:abstractNumId w:val="0"/>
  </w:num>
  <w:num w:numId="172" w16cid:durableId="1287853495">
    <w:abstractNumId w:val="0"/>
  </w:num>
  <w:num w:numId="173" w16cid:durableId="862136380">
    <w:abstractNumId w:val="0"/>
  </w:num>
  <w:num w:numId="174" w16cid:durableId="1769232278">
    <w:abstractNumId w:val="0"/>
  </w:num>
  <w:num w:numId="175" w16cid:durableId="1050568895">
    <w:abstractNumId w:val="0"/>
  </w:num>
  <w:num w:numId="176" w16cid:durableId="1518081418">
    <w:abstractNumId w:val="0"/>
  </w:num>
  <w:num w:numId="177" w16cid:durableId="1766925500">
    <w:abstractNumId w:val="0"/>
  </w:num>
  <w:num w:numId="178" w16cid:durableId="1520660111">
    <w:abstractNumId w:val="0"/>
  </w:num>
  <w:num w:numId="179" w16cid:durableId="518394018">
    <w:abstractNumId w:val="0"/>
  </w:num>
  <w:num w:numId="180" w16cid:durableId="493254581">
    <w:abstractNumId w:val="0"/>
  </w:num>
  <w:num w:numId="181" w16cid:durableId="1016689513">
    <w:abstractNumId w:val="0"/>
  </w:num>
  <w:num w:numId="182" w16cid:durableId="998923816">
    <w:abstractNumId w:val="0"/>
  </w:num>
  <w:num w:numId="183" w16cid:durableId="1602031952">
    <w:abstractNumId w:val="0"/>
  </w:num>
  <w:num w:numId="184" w16cid:durableId="1944141476">
    <w:abstractNumId w:val="0"/>
  </w:num>
  <w:num w:numId="185" w16cid:durableId="2049328410">
    <w:abstractNumId w:val="0"/>
  </w:num>
  <w:num w:numId="186" w16cid:durableId="1403868436">
    <w:abstractNumId w:val="0"/>
  </w:num>
  <w:num w:numId="187" w16cid:durableId="1373841631">
    <w:abstractNumId w:val="0"/>
  </w:num>
  <w:num w:numId="188" w16cid:durableId="1275212882">
    <w:abstractNumId w:val="0"/>
  </w:num>
  <w:num w:numId="189" w16cid:durableId="736439644">
    <w:abstractNumId w:val="0"/>
  </w:num>
  <w:num w:numId="190" w16cid:durableId="686103748">
    <w:abstractNumId w:val="0"/>
  </w:num>
  <w:num w:numId="191" w16cid:durableId="1697579780">
    <w:abstractNumId w:val="0"/>
  </w:num>
  <w:num w:numId="192" w16cid:durableId="652025721">
    <w:abstractNumId w:val="0"/>
  </w:num>
  <w:num w:numId="193" w16cid:durableId="681779064">
    <w:abstractNumId w:val="0"/>
  </w:num>
  <w:num w:numId="194" w16cid:durableId="1866671657">
    <w:abstractNumId w:val="0"/>
  </w:num>
  <w:num w:numId="195" w16cid:durableId="95176900">
    <w:abstractNumId w:val="0"/>
  </w:num>
  <w:num w:numId="196" w16cid:durableId="2048479789">
    <w:abstractNumId w:val="0"/>
  </w:num>
  <w:num w:numId="197" w16cid:durableId="641081868">
    <w:abstractNumId w:val="0"/>
  </w:num>
  <w:num w:numId="198" w16cid:durableId="1525509230">
    <w:abstractNumId w:val="0"/>
  </w:num>
  <w:num w:numId="199" w16cid:durableId="1253272274">
    <w:abstractNumId w:val="0"/>
  </w:num>
  <w:num w:numId="200" w16cid:durableId="1063681421">
    <w:abstractNumId w:val="0"/>
  </w:num>
  <w:num w:numId="201" w16cid:durableId="2140030266">
    <w:abstractNumId w:val="0"/>
  </w:num>
  <w:num w:numId="202" w16cid:durableId="886070332">
    <w:abstractNumId w:val="0"/>
  </w:num>
  <w:num w:numId="203" w16cid:durableId="1150437335">
    <w:abstractNumId w:val="0"/>
  </w:num>
  <w:num w:numId="204" w16cid:durableId="1283610737">
    <w:abstractNumId w:val="0"/>
  </w:num>
  <w:num w:numId="205" w16cid:durableId="2146970790">
    <w:abstractNumId w:val="0"/>
  </w:num>
  <w:num w:numId="206" w16cid:durableId="514614163">
    <w:abstractNumId w:val="0"/>
  </w:num>
  <w:num w:numId="207" w16cid:durableId="1505435070">
    <w:abstractNumId w:val="0"/>
  </w:num>
  <w:num w:numId="208" w16cid:durableId="2071463518">
    <w:abstractNumId w:val="0"/>
  </w:num>
  <w:num w:numId="209" w16cid:durableId="1556428836">
    <w:abstractNumId w:val="0"/>
  </w:num>
  <w:num w:numId="210" w16cid:durableId="1734425294">
    <w:abstractNumId w:val="0"/>
  </w:num>
  <w:num w:numId="211" w16cid:durableId="1869829019">
    <w:abstractNumId w:val="0"/>
  </w:num>
  <w:num w:numId="212" w16cid:durableId="762266673">
    <w:abstractNumId w:val="0"/>
  </w:num>
  <w:num w:numId="213" w16cid:durableId="2129423778">
    <w:abstractNumId w:val="0"/>
  </w:num>
  <w:num w:numId="214" w16cid:durableId="659113982">
    <w:abstractNumId w:val="0"/>
  </w:num>
  <w:num w:numId="215" w16cid:durableId="1882932644">
    <w:abstractNumId w:val="0"/>
  </w:num>
  <w:num w:numId="216" w16cid:durableId="785736734">
    <w:abstractNumId w:val="0"/>
  </w:num>
  <w:num w:numId="217" w16cid:durableId="244265782">
    <w:abstractNumId w:val="0"/>
  </w:num>
  <w:num w:numId="218" w16cid:durableId="1820419728">
    <w:abstractNumId w:val="0"/>
  </w:num>
  <w:num w:numId="219" w16cid:durableId="1616133782">
    <w:abstractNumId w:val="0"/>
  </w:num>
  <w:num w:numId="220" w16cid:durableId="1249995829">
    <w:abstractNumId w:val="0"/>
  </w:num>
  <w:num w:numId="221" w16cid:durableId="218328776">
    <w:abstractNumId w:val="0"/>
  </w:num>
  <w:num w:numId="222" w16cid:durableId="2048020471">
    <w:abstractNumId w:val="0"/>
  </w:num>
  <w:num w:numId="223" w16cid:durableId="1791895069">
    <w:abstractNumId w:val="0"/>
  </w:num>
  <w:num w:numId="224" w16cid:durableId="2139446225">
    <w:abstractNumId w:val="0"/>
  </w:num>
  <w:num w:numId="225" w16cid:durableId="495196494">
    <w:abstractNumId w:val="0"/>
  </w:num>
  <w:num w:numId="226" w16cid:durableId="492575534">
    <w:abstractNumId w:val="0"/>
  </w:num>
  <w:num w:numId="227" w16cid:durableId="1693071574">
    <w:abstractNumId w:val="0"/>
  </w:num>
  <w:num w:numId="228" w16cid:durableId="866059669">
    <w:abstractNumId w:val="0"/>
  </w:num>
  <w:num w:numId="229" w16cid:durableId="1613510224">
    <w:abstractNumId w:val="0"/>
  </w:num>
  <w:num w:numId="230" w16cid:durableId="722294651">
    <w:abstractNumId w:val="0"/>
  </w:num>
  <w:num w:numId="231" w16cid:durableId="43257545">
    <w:abstractNumId w:val="0"/>
  </w:num>
  <w:num w:numId="232" w16cid:durableId="140389258">
    <w:abstractNumId w:val="0"/>
  </w:num>
  <w:num w:numId="233" w16cid:durableId="1005673832">
    <w:abstractNumId w:val="0"/>
  </w:num>
  <w:num w:numId="234" w16cid:durableId="527370887">
    <w:abstractNumId w:val="0"/>
  </w:num>
  <w:num w:numId="235" w16cid:durableId="1740862749">
    <w:abstractNumId w:val="0"/>
  </w:num>
  <w:num w:numId="236" w16cid:durableId="1333607352">
    <w:abstractNumId w:val="0"/>
  </w:num>
  <w:num w:numId="237" w16cid:durableId="99490098">
    <w:abstractNumId w:val="0"/>
  </w:num>
  <w:num w:numId="238" w16cid:durableId="1770353704">
    <w:abstractNumId w:val="0"/>
  </w:num>
  <w:num w:numId="239" w16cid:durableId="119763820">
    <w:abstractNumId w:val="0"/>
  </w:num>
  <w:num w:numId="240" w16cid:durableId="2039356902">
    <w:abstractNumId w:val="0"/>
  </w:num>
  <w:num w:numId="241" w16cid:durableId="7106457">
    <w:abstractNumId w:val="0"/>
  </w:num>
  <w:num w:numId="242" w16cid:durableId="1880819585">
    <w:abstractNumId w:val="0"/>
  </w:num>
  <w:num w:numId="243" w16cid:durableId="1151797456">
    <w:abstractNumId w:val="0"/>
  </w:num>
  <w:num w:numId="244" w16cid:durableId="2028435595">
    <w:abstractNumId w:val="0"/>
  </w:num>
  <w:num w:numId="245" w16cid:durableId="36592193">
    <w:abstractNumId w:val="0"/>
  </w:num>
  <w:num w:numId="246" w16cid:durableId="255014900">
    <w:abstractNumId w:val="0"/>
  </w:num>
  <w:num w:numId="247" w16cid:durableId="985596586">
    <w:abstractNumId w:val="0"/>
  </w:num>
  <w:num w:numId="248" w16cid:durableId="696468288">
    <w:abstractNumId w:val="0"/>
  </w:num>
  <w:num w:numId="249" w16cid:durableId="2070228934">
    <w:abstractNumId w:val="0"/>
  </w:num>
  <w:num w:numId="250" w16cid:durableId="1604680885">
    <w:abstractNumId w:val="0"/>
  </w:num>
  <w:num w:numId="251" w16cid:durableId="416488488">
    <w:abstractNumId w:val="0"/>
  </w:num>
  <w:num w:numId="252" w16cid:durableId="314191020">
    <w:abstractNumId w:val="0"/>
  </w:num>
  <w:num w:numId="253" w16cid:durableId="618298457">
    <w:abstractNumId w:val="0"/>
  </w:num>
  <w:num w:numId="254" w16cid:durableId="2104690134">
    <w:abstractNumId w:val="0"/>
  </w:num>
  <w:num w:numId="255" w16cid:durableId="368648123">
    <w:abstractNumId w:val="0"/>
  </w:num>
  <w:num w:numId="256" w16cid:durableId="437482070">
    <w:abstractNumId w:val="0"/>
  </w:num>
  <w:num w:numId="257" w16cid:durableId="85155917">
    <w:abstractNumId w:val="0"/>
  </w:num>
  <w:num w:numId="258" w16cid:durableId="1644306930">
    <w:abstractNumId w:val="0"/>
  </w:num>
  <w:num w:numId="259" w16cid:durableId="731075907">
    <w:abstractNumId w:val="0"/>
  </w:num>
  <w:num w:numId="260" w16cid:durableId="1944728189">
    <w:abstractNumId w:val="0"/>
  </w:num>
  <w:num w:numId="261" w16cid:durableId="166749315">
    <w:abstractNumId w:val="0"/>
  </w:num>
  <w:num w:numId="262" w16cid:durableId="1258638473">
    <w:abstractNumId w:val="0"/>
  </w:num>
  <w:num w:numId="263" w16cid:durableId="340015086">
    <w:abstractNumId w:val="0"/>
  </w:num>
  <w:num w:numId="264" w16cid:durableId="1246498859">
    <w:abstractNumId w:val="0"/>
  </w:num>
  <w:num w:numId="265" w16cid:durableId="972948733">
    <w:abstractNumId w:val="0"/>
  </w:num>
  <w:num w:numId="266" w16cid:durableId="224074065">
    <w:abstractNumId w:val="0"/>
  </w:num>
  <w:num w:numId="267" w16cid:durableId="230845228">
    <w:abstractNumId w:val="0"/>
  </w:num>
  <w:num w:numId="268" w16cid:durableId="1681079454">
    <w:abstractNumId w:val="0"/>
  </w:num>
  <w:num w:numId="269" w16cid:durableId="420688368">
    <w:abstractNumId w:val="0"/>
  </w:num>
  <w:num w:numId="270" w16cid:durableId="1719822253">
    <w:abstractNumId w:val="0"/>
  </w:num>
  <w:num w:numId="271" w16cid:durableId="127210558">
    <w:abstractNumId w:val="0"/>
  </w:num>
  <w:num w:numId="272" w16cid:durableId="1111780129">
    <w:abstractNumId w:val="0"/>
  </w:num>
  <w:num w:numId="273" w16cid:durableId="1121192723">
    <w:abstractNumId w:val="0"/>
  </w:num>
  <w:num w:numId="274" w16cid:durableId="682899406">
    <w:abstractNumId w:val="0"/>
  </w:num>
  <w:num w:numId="275" w16cid:durableId="551234312">
    <w:abstractNumId w:val="0"/>
  </w:num>
  <w:num w:numId="276" w16cid:durableId="565729852">
    <w:abstractNumId w:val="0"/>
  </w:num>
  <w:num w:numId="277" w16cid:durableId="1557277413">
    <w:abstractNumId w:val="0"/>
  </w:num>
  <w:num w:numId="278" w16cid:durableId="939142286">
    <w:abstractNumId w:val="0"/>
  </w:num>
  <w:num w:numId="279" w16cid:durableId="158086452">
    <w:abstractNumId w:val="0"/>
  </w:num>
  <w:num w:numId="280" w16cid:durableId="176775047">
    <w:abstractNumId w:val="0"/>
  </w:num>
  <w:num w:numId="281" w16cid:durableId="764572680">
    <w:abstractNumId w:val="0"/>
  </w:num>
  <w:num w:numId="282" w16cid:durableId="282856673">
    <w:abstractNumId w:val="0"/>
  </w:num>
  <w:num w:numId="283" w16cid:durableId="1247302763">
    <w:abstractNumId w:val="0"/>
  </w:num>
  <w:num w:numId="284" w16cid:durableId="1987860145">
    <w:abstractNumId w:val="0"/>
  </w:num>
  <w:num w:numId="285" w16cid:durableId="902789464">
    <w:abstractNumId w:val="0"/>
  </w:num>
  <w:num w:numId="286" w16cid:durableId="1788112005">
    <w:abstractNumId w:val="0"/>
  </w:num>
  <w:num w:numId="287" w16cid:durableId="1207332690">
    <w:abstractNumId w:val="0"/>
  </w:num>
  <w:num w:numId="288" w16cid:durableId="715932365">
    <w:abstractNumId w:val="0"/>
  </w:num>
  <w:num w:numId="289" w16cid:durableId="2107310275">
    <w:abstractNumId w:val="0"/>
  </w:num>
  <w:num w:numId="290" w16cid:durableId="771515876">
    <w:abstractNumId w:val="0"/>
  </w:num>
  <w:num w:numId="291" w16cid:durableId="399252150">
    <w:abstractNumId w:val="0"/>
  </w:num>
  <w:num w:numId="292" w16cid:durableId="529346009">
    <w:abstractNumId w:val="0"/>
  </w:num>
  <w:num w:numId="293" w16cid:durableId="2138183405">
    <w:abstractNumId w:val="0"/>
  </w:num>
  <w:num w:numId="294" w16cid:durableId="2091534966">
    <w:abstractNumId w:val="0"/>
  </w:num>
  <w:num w:numId="295" w16cid:durableId="1461613292">
    <w:abstractNumId w:val="0"/>
  </w:num>
  <w:num w:numId="296" w16cid:durableId="1746144932">
    <w:abstractNumId w:val="0"/>
  </w:num>
  <w:num w:numId="297" w16cid:durableId="1811245730">
    <w:abstractNumId w:val="0"/>
  </w:num>
  <w:num w:numId="298" w16cid:durableId="1138033952">
    <w:abstractNumId w:val="0"/>
  </w:num>
  <w:num w:numId="299" w16cid:durableId="1804299984">
    <w:abstractNumId w:val="0"/>
  </w:num>
  <w:num w:numId="300" w16cid:durableId="1384675185">
    <w:abstractNumId w:val="0"/>
  </w:num>
  <w:num w:numId="301" w16cid:durableId="465244156">
    <w:abstractNumId w:val="0"/>
  </w:num>
  <w:num w:numId="302" w16cid:durableId="352918679">
    <w:abstractNumId w:val="0"/>
  </w:num>
  <w:num w:numId="303" w16cid:durableId="1839494716">
    <w:abstractNumId w:val="0"/>
  </w:num>
  <w:num w:numId="304" w16cid:durableId="1141465684">
    <w:abstractNumId w:val="0"/>
  </w:num>
  <w:num w:numId="305" w16cid:durableId="598413484">
    <w:abstractNumId w:val="0"/>
  </w:num>
  <w:num w:numId="306" w16cid:durableId="491604584">
    <w:abstractNumId w:val="0"/>
  </w:num>
  <w:num w:numId="307" w16cid:durableId="1611400147">
    <w:abstractNumId w:val="0"/>
  </w:num>
  <w:num w:numId="308" w16cid:durableId="1384407673">
    <w:abstractNumId w:val="0"/>
  </w:num>
  <w:num w:numId="309" w16cid:durableId="1879779424">
    <w:abstractNumId w:val="0"/>
  </w:num>
  <w:num w:numId="310" w16cid:durableId="21443024">
    <w:abstractNumId w:val="7"/>
  </w:num>
  <w:num w:numId="311" w16cid:durableId="485904755">
    <w:abstractNumId w:val="9"/>
  </w:num>
  <w:num w:numId="312" w16cid:durableId="1926918986">
    <w:abstractNumId w:val="8"/>
  </w:num>
  <w:num w:numId="313" w16cid:durableId="240986407">
    <w:abstractNumId w:val="2"/>
  </w:num>
  <w:num w:numId="314" w16cid:durableId="584341646">
    <w:abstractNumId w:val="3"/>
  </w:num>
  <w:num w:numId="315" w16cid:durableId="1526822917">
    <w:abstractNumId w:val="5"/>
  </w:num>
  <w:num w:numId="316" w16cid:durableId="1999265251">
    <w:abstractNumId w:val="4"/>
  </w:num>
  <w:num w:numId="317" w16cid:durableId="613290142">
    <w:abstractNumId w:val="6"/>
  </w:num>
  <w:numIdMacAtCleanup w:val="3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autoHyphenation/>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17"/>
    <w:rsid w:val="000041DB"/>
    <w:rsid w:val="00013D55"/>
    <w:rsid w:val="0002103D"/>
    <w:rsid w:val="00021E92"/>
    <w:rsid w:val="00041658"/>
    <w:rsid w:val="00056DCD"/>
    <w:rsid w:val="000603A4"/>
    <w:rsid w:val="0006331C"/>
    <w:rsid w:val="00065317"/>
    <w:rsid w:val="0006653B"/>
    <w:rsid w:val="000768F3"/>
    <w:rsid w:val="0007778E"/>
    <w:rsid w:val="00090DE7"/>
    <w:rsid w:val="000C28E9"/>
    <w:rsid w:val="000C2E60"/>
    <w:rsid w:val="000C5B66"/>
    <w:rsid w:val="000E44D0"/>
    <w:rsid w:val="000E52E8"/>
    <w:rsid w:val="00110C5D"/>
    <w:rsid w:val="001155E9"/>
    <w:rsid w:val="0014074C"/>
    <w:rsid w:val="00144B23"/>
    <w:rsid w:val="001458EA"/>
    <w:rsid w:val="00155590"/>
    <w:rsid w:val="00155A51"/>
    <w:rsid w:val="00155B8E"/>
    <w:rsid w:val="00156F1E"/>
    <w:rsid w:val="00194B26"/>
    <w:rsid w:val="001A5982"/>
    <w:rsid w:val="001B7C4A"/>
    <w:rsid w:val="001C1490"/>
    <w:rsid w:val="001F00AF"/>
    <w:rsid w:val="001F7F70"/>
    <w:rsid w:val="002068C0"/>
    <w:rsid w:val="0023381C"/>
    <w:rsid w:val="0023577F"/>
    <w:rsid w:val="00241DFB"/>
    <w:rsid w:val="0024325A"/>
    <w:rsid w:val="0028642C"/>
    <w:rsid w:val="002D31B1"/>
    <w:rsid w:val="002E3458"/>
    <w:rsid w:val="00303C54"/>
    <w:rsid w:val="003107D9"/>
    <w:rsid w:val="003259C9"/>
    <w:rsid w:val="003367A8"/>
    <w:rsid w:val="003645DF"/>
    <w:rsid w:val="003773B9"/>
    <w:rsid w:val="003C7A4A"/>
    <w:rsid w:val="003D3C4F"/>
    <w:rsid w:val="003E6361"/>
    <w:rsid w:val="003F44C6"/>
    <w:rsid w:val="003F7E4B"/>
    <w:rsid w:val="0043739F"/>
    <w:rsid w:val="00473D76"/>
    <w:rsid w:val="0047759F"/>
    <w:rsid w:val="00484B0E"/>
    <w:rsid w:val="004979D4"/>
    <w:rsid w:val="004E5EA3"/>
    <w:rsid w:val="004E68D5"/>
    <w:rsid w:val="0050358F"/>
    <w:rsid w:val="0050375F"/>
    <w:rsid w:val="00504558"/>
    <w:rsid w:val="00505D73"/>
    <w:rsid w:val="00511D83"/>
    <w:rsid w:val="00523021"/>
    <w:rsid w:val="00525C80"/>
    <w:rsid w:val="005607FD"/>
    <w:rsid w:val="005620D6"/>
    <w:rsid w:val="005759AD"/>
    <w:rsid w:val="005A0795"/>
    <w:rsid w:val="005C4361"/>
    <w:rsid w:val="005C7BF7"/>
    <w:rsid w:val="005D00A8"/>
    <w:rsid w:val="005D35B3"/>
    <w:rsid w:val="005E22F1"/>
    <w:rsid w:val="005E488E"/>
    <w:rsid w:val="005E51FD"/>
    <w:rsid w:val="006036D9"/>
    <w:rsid w:val="00627690"/>
    <w:rsid w:val="00640408"/>
    <w:rsid w:val="006504BB"/>
    <w:rsid w:val="00652D41"/>
    <w:rsid w:val="0069769A"/>
    <w:rsid w:val="006B536C"/>
    <w:rsid w:val="006C36BC"/>
    <w:rsid w:val="006E6C31"/>
    <w:rsid w:val="00707A95"/>
    <w:rsid w:val="00714434"/>
    <w:rsid w:val="00724F8E"/>
    <w:rsid w:val="00733C22"/>
    <w:rsid w:val="00745580"/>
    <w:rsid w:val="00756859"/>
    <w:rsid w:val="00784AE7"/>
    <w:rsid w:val="007A212E"/>
    <w:rsid w:val="007A45AC"/>
    <w:rsid w:val="007B20F2"/>
    <w:rsid w:val="007E705B"/>
    <w:rsid w:val="007F3F36"/>
    <w:rsid w:val="007F43A3"/>
    <w:rsid w:val="00806228"/>
    <w:rsid w:val="008072E5"/>
    <w:rsid w:val="00820F07"/>
    <w:rsid w:val="00823F91"/>
    <w:rsid w:val="00826CB0"/>
    <w:rsid w:val="00830B9D"/>
    <w:rsid w:val="00834C26"/>
    <w:rsid w:val="00847208"/>
    <w:rsid w:val="0084721C"/>
    <w:rsid w:val="00860E3E"/>
    <w:rsid w:val="00861E15"/>
    <w:rsid w:val="00861E1B"/>
    <w:rsid w:val="00876FA1"/>
    <w:rsid w:val="008A0320"/>
    <w:rsid w:val="008A1385"/>
    <w:rsid w:val="008B044A"/>
    <w:rsid w:val="008B10DC"/>
    <w:rsid w:val="008B430C"/>
    <w:rsid w:val="008B5EE5"/>
    <w:rsid w:val="008D39EE"/>
    <w:rsid w:val="008D582B"/>
    <w:rsid w:val="008E0906"/>
    <w:rsid w:val="008E4E37"/>
    <w:rsid w:val="00912EC8"/>
    <w:rsid w:val="00914F34"/>
    <w:rsid w:val="00915533"/>
    <w:rsid w:val="00916E12"/>
    <w:rsid w:val="00925267"/>
    <w:rsid w:val="0094375D"/>
    <w:rsid w:val="0095094B"/>
    <w:rsid w:val="0095098E"/>
    <w:rsid w:val="009741EE"/>
    <w:rsid w:val="00982737"/>
    <w:rsid w:val="00985450"/>
    <w:rsid w:val="009A1E3D"/>
    <w:rsid w:val="009A5B0E"/>
    <w:rsid w:val="009C62B3"/>
    <w:rsid w:val="009E23E3"/>
    <w:rsid w:val="009E315A"/>
    <w:rsid w:val="009F0F64"/>
    <w:rsid w:val="00A162DC"/>
    <w:rsid w:val="00A162E5"/>
    <w:rsid w:val="00A26D53"/>
    <w:rsid w:val="00A4150E"/>
    <w:rsid w:val="00A4401A"/>
    <w:rsid w:val="00A46FB1"/>
    <w:rsid w:val="00A54209"/>
    <w:rsid w:val="00A577E0"/>
    <w:rsid w:val="00A81E78"/>
    <w:rsid w:val="00A84B19"/>
    <w:rsid w:val="00A95C7F"/>
    <w:rsid w:val="00AA48C9"/>
    <w:rsid w:val="00AB469F"/>
    <w:rsid w:val="00AC3D70"/>
    <w:rsid w:val="00AC5E6E"/>
    <w:rsid w:val="00AD0D6D"/>
    <w:rsid w:val="00AE2FF5"/>
    <w:rsid w:val="00AF2585"/>
    <w:rsid w:val="00AF51A3"/>
    <w:rsid w:val="00B050F5"/>
    <w:rsid w:val="00B07C0D"/>
    <w:rsid w:val="00B12560"/>
    <w:rsid w:val="00B40400"/>
    <w:rsid w:val="00BA335B"/>
    <w:rsid w:val="00BF7EA3"/>
    <w:rsid w:val="00C012B4"/>
    <w:rsid w:val="00C1746C"/>
    <w:rsid w:val="00C2235A"/>
    <w:rsid w:val="00C37040"/>
    <w:rsid w:val="00C413F4"/>
    <w:rsid w:val="00C424A5"/>
    <w:rsid w:val="00C42A84"/>
    <w:rsid w:val="00C71289"/>
    <w:rsid w:val="00C738AA"/>
    <w:rsid w:val="00C8288F"/>
    <w:rsid w:val="00C86352"/>
    <w:rsid w:val="00C97359"/>
    <w:rsid w:val="00CA5429"/>
    <w:rsid w:val="00CA5512"/>
    <w:rsid w:val="00CA5F1E"/>
    <w:rsid w:val="00CF0FD9"/>
    <w:rsid w:val="00D16E74"/>
    <w:rsid w:val="00D41D26"/>
    <w:rsid w:val="00D54C28"/>
    <w:rsid w:val="00D746C9"/>
    <w:rsid w:val="00D75C2D"/>
    <w:rsid w:val="00D9384C"/>
    <w:rsid w:val="00D93D69"/>
    <w:rsid w:val="00DA2F1F"/>
    <w:rsid w:val="00DC4B51"/>
    <w:rsid w:val="00DD1219"/>
    <w:rsid w:val="00DE2D62"/>
    <w:rsid w:val="00DE6C24"/>
    <w:rsid w:val="00DF0D31"/>
    <w:rsid w:val="00DF4815"/>
    <w:rsid w:val="00DF70D7"/>
    <w:rsid w:val="00E13763"/>
    <w:rsid w:val="00E22D0C"/>
    <w:rsid w:val="00E34F91"/>
    <w:rsid w:val="00E434DB"/>
    <w:rsid w:val="00E46F6B"/>
    <w:rsid w:val="00E6427C"/>
    <w:rsid w:val="00E84B0E"/>
    <w:rsid w:val="00E94F2C"/>
    <w:rsid w:val="00EB3960"/>
    <w:rsid w:val="00EC2D6E"/>
    <w:rsid w:val="00ED0DFB"/>
    <w:rsid w:val="00ED5D84"/>
    <w:rsid w:val="00F0144B"/>
    <w:rsid w:val="00F02C72"/>
    <w:rsid w:val="00F3506A"/>
    <w:rsid w:val="00F52177"/>
    <w:rsid w:val="00F52E2A"/>
    <w:rsid w:val="00F54917"/>
    <w:rsid w:val="00F56611"/>
    <w:rsid w:val="00F71ECF"/>
    <w:rsid w:val="00F86224"/>
    <w:rsid w:val="00F9213D"/>
    <w:rsid w:val="00F93A46"/>
    <w:rsid w:val="00FA2C22"/>
    <w:rsid w:val="00FA7B58"/>
    <w:rsid w:val="00FB109E"/>
    <w:rsid w:val="00FC2E07"/>
    <w:rsid w:val="00FF047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E4905"/>
  <w15:docId w15:val="{DD9F3BF6-D0E9-458F-9450-C01995ADE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 w:eastAsia="en-US" w:bidi="ar-SA"/>
      </w:rPr>
    </w:rPrDefault>
    <w:pPrDefault>
      <w:pPr>
        <w:suppressAutoHyphens/>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pPr>
  </w:style>
  <w:style w:type="paragraph" w:styleId="Titre1">
    <w:name w:val="heading 1"/>
    <w:basedOn w:val="Normal"/>
    <w:next w:val="Corpsdetexte"/>
    <w:uiPriority w:val="9"/>
    <w:qFormat/>
    <w:rsid w:val="004D0128"/>
    <w:pPr>
      <w:keepNext/>
      <w:keepLines/>
      <w:spacing w:before="480" w:after="0"/>
      <w:outlineLvl w:val="0"/>
    </w:pPr>
    <w:rPr>
      <w:rFonts w:eastAsiaTheme="majorEastAsia" w:cstheme="majorBidi"/>
      <w:b/>
      <w:bCs/>
      <w:color w:val="000000"/>
      <w:sz w:val="36"/>
      <w:szCs w:val="36"/>
    </w:rPr>
  </w:style>
  <w:style w:type="paragraph" w:styleId="Titre2">
    <w:name w:val="heading 2"/>
    <w:basedOn w:val="Normal"/>
    <w:next w:val="Corpsdetexte"/>
    <w:uiPriority w:val="9"/>
    <w:unhideWhenUsed/>
    <w:qFormat/>
    <w:rsid w:val="004D0128"/>
    <w:pPr>
      <w:keepNext/>
      <w:keepLines/>
      <w:spacing w:before="200" w:after="0"/>
      <w:outlineLvl w:val="1"/>
    </w:pPr>
    <w:rPr>
      <w:rFonts w:eastAsiaTheme="majorEastAsia" w:cstheme="majorBidi"/>
      <w:b/>
      <w:bCs/>
      <w:color w:val="000000"/>
      <w:sz w:val="32"/>
      <w:szCs w:val="32"/>
    </w:rPr>
  </w:style>
  <w:style w:type="paragraph" w:styleId="Titre3">
    <w:name w:val="heading 3"/>
    <w:basedOn w:val="Normal"/>
    <w:next w:val="Corpsdetexte"/>
    <w:uiPriority w:val="9"/>
    <w:unhideWhenUsed/>
    <w:qFormat/>
    <w:rsid w:val="004D0128"/>
    <w:pPr>
      <w:keepNext/>
      <w:keepLines/>
      <w:spacing w:before="200" w:after="0"/>
      <w:outlineLvl w:val="2"/>
    </w:pPr>
    <w:rPr>
      <w:rFonts w:eastAsiaTheme="majorEastAsia" w:cstheme="majorBidi"/>
      <w:b/>
      <w:bCs/>
      <w:color w:val="000000"/>
      <w:sz w:val="28"/>
      <w:szCs w:val="28"/>
    </w:rPr>
  </w:style>
  <w:style w:type="paragraph" w:styleId="Titre4">
    <w:name w:val="heading 4"/>
    <w:basedOn w:val="Normal"/>
    <w:next w:val="Corpsdetexte"/>
    <w:uiPriority w:val="9"/>
    <w:unhideWhenUsed/>
    <w:qFormat/>
    <w:rsid w:val="004D0128"/>
    <w:pPr>
      <w:keepNext/>
      <w:keepLines/>
      <w:spacing w:before="200" w:after="0"/>
      <w:outlineLvl w:val="3"/>
    </w:pPr>
    <w:rPr>
      <w:rFonts w:eastAsiaTheme="majorEastAsia" w:cstheme="majorBidi"/>
      <w:b/>
      <w:i/>
      <w:color w:val="000000"/>
    </w:rPr>
  </w:style>
  <w:style w:type="paragraph" w:styleId="Titre5">
    <w:name w:val="heading 5"/>
    <w:basedOn w:val="Normal"/>
    <w:next w:val="Corpsdetexte"/>
    <w:uiPriority w:val="9"/>
    <w:unhideWhenUsed/>
    <w:qFormat/>
    <w:rsid w:val="004D0128"/>
    <w:pPr>
      <w:keepNext/>
      <w:keepLines/>
      <w:spacing w:before="200" w:after="0"/>
      <w:outlineLvl w:val="4"/>
    </w:pPr>
    <w:rPr>
      <w:rFonts w:eastAsiaTheme="majorEastAsia" w:cstheme="majorBidi"/>
      <w:b/>
      <w:bCs/>
      <w:iCs/>
      <w:color w:val="000000"/>
    </w:rPr>
  </w:style>
  <w:style w:type="paragraph" w:styleId="Titre6">
    <w:name w:val="heading 6"/>
    <w:basedOn w:val="Normal"/>
    <w:next w:val="Corpsdetexte"/>
    <w:uiPriority w:val="9"/>
    <w:unhideWhenUsed/>
    <w:qFormat/>
    <w:rsid w:val="0090172C"/>
    <w:pPr>
      <w:keepNext/>
      <w:keepLines/>
      <w:spacing w:before="200" w:after="0"/>
      <w:outlineLvl w:val="5"/>
    </w:pPr>
    <w:rPr>
      <w:rFonts w:eastAsiaTheme="majorEastAsia" w:cstheme="majorBidi"/>
      <w:color w:val="000000"/>
    </w:rPr>
  </w:style>
  <w:style w:type="paragraph" w:styleId="Titre7">
    <w:name w:val="heading 7"/>
    <w:basedOn w:val="Normal"/>
    <w:next w:val="Corpsdetexte"/>
    <w:uiPriority w:val="9"/>
    <w:unhideWhenUsed/>
    <w:qFormat/>
    <w:rsid w:val="0090172C"/>
    <w:pPr>
      <w:keepNext/>
      <w:keepLines/>
      <w:spacing w:before="200" w:after="0"/>
      <w:outlineLvl w:val="6"/>
    </w:pPr>
    <w:rPr>
      <w:rFonts w:eastAsiaTheme="majorEastAsia" w:cstheme="majorBidi"/>
      <w:color w:val="000000"/>
    </w:rPr>
  </w:style>
  <w:style w:type="paragraph" w:styleId="Titre8">
    <w:name w:val="heading 8"/>
    <w:basedOn w:val="Normal"/>
    <w:next w:val="Corpsdetexte"/>
    <w:uiPriority w:val="9"/>
    <w:unhideWhenUsed/>
    <w:qFormat/>
    <w:rsid w:val="0090172C"/>
    <w:pPr>
      <w:keepNext/>
      <w:keepLines/>
      <w:spacing w:before="200" w:after="0"/>
      <w:outlineLvl w:val="7"/>
    </w:pPr>
    <w:rPr>
      <w:rFonts w:eastAsiaTheme="majorEastAsia" w:cstheme="majorBidi"/>
      <w:color w:val="000000"/>
    </w:rPr>
  </w:style>
  <w:style w:type="paragraph" w:styleId="Titre9">
    <w:name w:val="heading 9"/>
    <w:basedOn w:val="Normal"/>
    <w:next w:val="Corpsdetexte"/>
    <w:uiPriority w:val="9"/>
    <w:unhideWhenUsed/>
    <w:qFormat/>
    <w:rsid w:val="0090172C"/>
    <w:pPr>
      <w:keepNext/>
      <w:keepLines/>
      <w:spacing w:before="200" w:after="0"/>
      <w:outlineLvl w:val="8"/>
    </w:pPr>
    <w:rPr>
      <w:rFonts w:eastAsiaTheme="majorEastAsia" w:cstheme="majorBid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gendeCar">
    <w:name w:val="Légende Car"/>
    <w:basedOn w:val="Policepardfaut"/>
    <w:link w:val="Lgende"/>
    <w:qFormat/>
  </w:style>
  <w:style w:type="character" w:customStyle="1" w:styleId="VerbatimChar">
    <w:name w:val="Verbatim Char"/>
    <w:basedOn w:val="LgendeCar"/>
    <w:qFormat/>
    <w:rsid w:val="005D00A8"/>
    <w:rPr>
      <w:rFonts w:ascii="Consolas" w:hAnsi="Consolas"/>
      <w:sz w:val="22"/>
      <w:shd w:val="clear" w:color="auto" w:fill="EAEEF3"/>
    </w:rPr>
  </w:style>
  <w:style w:type="character" w:customStyle="1" w:styleId="SectionNumber">
    <w:name w:val="Section Number"/>
    <w:basedOn w:val="LgendeCar"/>
    <w:qFormat/>
  </w:style>
  <w:style w:type="character" w:customStyle="1" w:styleId="FootnoteCharacters">
    <w:name w:val="Footnote Characters"/>
    <w:basedOn w:val="LgendeCar"/>
    <w:qFormat/>
    <w:rPr>
      <w:vertAlign w:val="superscript"/>
    </w:rPr>
  </w:style>
  <w:style w:type="character" w:styleId="Appelnotedebasdep">
    <w:name w:val="footnote reference"/>
    <w:rPr>
      <w:vertAlign w:val="superscript"/>
    </w:rPr>
  </w:style>
  <w:style w:type="character" w:styleId="Lienhypertexte">
    <w:name w:val="Hyperlink"/>
    <w:basedOn w:val="LgendeCar"/>
    <w:uiPriority w:val="99"/>
    <w:rPr>
      <w:color w:val="4F81BD" w:themeColor="accent1"/>
    </w:rPr>
  </w:style>
  <w:style w:type="character" w:styleId="Appeldenotedefin">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link w:val="CorpsdetexteCar"/>
    <w:qFormat/>
    <w:rsid w:val="0090172C"/>
    <w:pPr>
      <w:spacing w:before="180" w:after="180"/>
    </w:pPr>
  </w:style>
  <w:style w:type="paragraph" w:styleId="Liste">
    <w:name w:val="List"/>
    <w:basedOn w:val="Corpsdetexte"/>
    <w:rPr>
      <w:rFonts w:cs="Arial Unicode MS"/>
    </w:rPr>
  </w:style>
  <w:style w:type="paragraph" w:styleId="Lgende">
    <w:name w:val="caption"/>
    <w:basedOn w:val="Normal"/>
    <w:link w:val="LgendeCar"/>
    <w:qFormat/>
    <w:pPr>
      <w:spacing w:after="120"/>
    </w:pPr>
    <w:rPr>
      <w:i/>
    </w:rPr>
  </w:style>
  <w:style w:type="paragraph" w:customStyle="1" w:styleId="Index">
    <w:name w:val="Index"/>
    <w:basedOn w:val="Normal"/>
    <w:qFormat/>
    <w:pPr>
      <w:suppressLineNumbers/>
    </w:pPr>
    <w:rPr>
      <w:rFonts w:cs="Arial Unicode MS"/>
    </w:rPr>
  </w:style>
  <w:style w:type="paragraph" w:customStyle="1" w:styleId="FirstParagraph">
    <w:name w:val="First Paragraph"/>
    <w:basedOn w:val="Corpsdetexte"/>
    <w:next w:val="Corpsdetexte"/>
    <w:qFormat/>
  </w:style>
  <w:style w:type="paragraph" w:customStyle="1" w:styleId="Compact">
    <w:name w:val="Compact"/>
    <w:basedOn w:val="Corpsdetexte"/>
    <w:qFormat/>
    <w:pPr>
      <w:spacing w:before="36" w:after="36"/>
    </w:pPr>
  </w:style>
  <w:style w:type="paragraph" w:styleId="Titre">
    <w:name w:val="Title"/>
    <w:basedOn w:val="Normal"/>
    <w:next w:val="Corpsdetexte"/>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ous-titre">
    <w:name w:val="Subtitle"/>
    <w:basedOn w:val="Titre"/>
    <w:next w:val="Corpsdetexte"/>
    <w:qFormat/>
    <w:pPr>
      <w:spacing w:before="240"/>
    </w:pPr>
    <w:rPr>
      <w:sz w:val="30"/>
      <w:szCs w:val="30"/>
    </w:rPr>
  </w:style>
  <w:style w:type="paragraph" w:customStyle="1" w:styleId="Author">
    <w:name w:val="Author"/>
    <w:next w:val="Corpsdetexte"/>
    <w:qFormat/>
    <w:pPr>
      <w:keepNext/>
      <w:keepLines/>
      <w:spacing w:after="200"/>
      <w:jc w:val="center"/>
    </w:pPr>
  </w:style>
  <w:style w:type="paragraph" w:styleId="Date">
    <w:name w:val="Date"/>
    <w:next w:val="Corpsdetexte"/>
    <w:qFormat/>
    <w:pPr>
      <w:keepNext/>
      <w:keepLines/>
      <w:spacing w:after="200"/>
      <w:jc w:val="center"/>
    </w:pPr>
  </w:style>
  <w:style w:type="paragraph" w:customStyle="1" w:styleId="Abstract">
    <w:name w:val="Abstract"/>
    <w:basedOn w:val="Normal"/>
    <w:next w:val="Corpsdetexte"/>
    <w:qFormat/>
    <w:pPr>
      <w:keepNext/>
      <w:keepLines/>
      <w:spacing w:before="300" w:after="300"/>
    </w:pPr>
    <w:rPr>
      <w:sz w:val="20"/>
      <w:szCs w:val="20"/>
    </w:rPr>
  </w:style>
  <w:style w:type="paragraph" w:styleId="Bibliographie">
    <w:name w:val="Bibliography"/>
    <w:basedOn w:val="Normal"/>
    <w:qFormat/>
  </w:style>
  <w:style w:type="paragraph" w:styleId="Normalcentr">
    <w:name w:val="Block Text"/>
    <w:basedOn w:val="Corpsdetexte"/>
    <w:next w:val="Corpsdetexte"/>
    <w:uiPriority w:val="9"/>
    <w:unhideWhenUsed/>
    <w:qFormat/>
    <w:rsid w:val="001228DA"/>
    <w:pPr>
      <w:spacing w:before="100" w:after="100"/>
      <w:ind w:left="480" w:right="480"/>
    </w:pPr>
    <w:rPr>
      <w:sz w:val="22"/>
    </w:rPr>
  </w:style>
  <w:style w:type="paragraph" w:styleId="Notedebasdepage">
    <w:name w:val="footnote text"/>
    <w:basedOn w:val="Normal"/>
    <w:uiPriority w:val="9"/>
    <w:unhideWhenUsed/>
    <w:qFormat/>
  </w:style>
  <w:style w:type="paragraph" w:customStyle="1" w:styleId="DefinitionTerm">
    <w:name w:val="Definition Term"/>
    <w:basedOn w:val="Normal"/>
    <w:next w:val="Definition"/>
    <w:qFormat/>
    <w:pPr>
      <w:keepNext/>
      <w:keepLines/>
      <w:spacing w:after="0"/>
    </w:pPr>
    <w:rPr>
      <w:b/>
    </w:rPr>
  </w:style>
  <w:style w:type="paragraph" w:customStyle="1" w:styleId="Definition">
    <w:name w:val="Definition"/>
    <w:basedOn w:val="Normal"/>
    <w:qFormat/>
  </w:style>
  <w:style w:type="paragraph" w:customStyle="1" w:styleId="TableCaption">
    <w:name w:val="Table Caption"/>
    <w:basedOn w:val="Lgende"/>
    <w:qFormat/>
    <w:pPr>
      <w:keepNext/>
    </w:pPr>
  </w:style>
  <w:style w:type="paragraph" w:customStyle="1" w:styleId="ImageCaption">
    <w:name w:val="Image Caption"/>
    <w:basedOn w:val="Lgende"/>
    <w:qFormat/>
  </w:style>
  <w:style w:type="paragraph" w:customStyle="1" w:styleId="Figure">
    <w:name w:val="Figure"/>
    <w:basedOn w:val="Normal"/>
    <w:qFormat/>
  </w:style>
  <w:style w:type="paragraph" w:customStyle="1" w:styleId="CaptionedFigure">
    <w:name w:val="Captioned Figure"/>
    <w:basedOn w:val="Figure"/>
    <w:qFormat/>
    <w:pPr>
      <w:keepNext/>
    </w:pPr>
  </w:style>
  <w:style w:type="paragraph" w:styleId="Titreindex">
    <w:name w:val="index heading"/>
    <w:basedOn w:val="Heading"/>
  </w:style>
  <w:style w:type="paragraph" w:styleId="En-ttedetabledesmatires">
    <w:name w:val="TOC Heading"/>
    <w:basedOn w:val="Titre1"/>
    <w:next w:val="Corpsdetexte"/>
    <w:uiPriority w:val="39"/>
    <w:unhideWhenUsed/>
    <w:qFormat/>
    <w:rsid w:val="0090172C"/>
    <w:pPr>
      <w:spacing w:before="240" w:line="259" w:lineRule="auto"/>
      <w:outlineLvl w:val="9"/>
    </w:pPr>
    <w:rPr>
      <w:b w:val="0"/>
      <w:bCs w:val="0"/>
      <w:color w:val="000000" w:themeColor="text1"/>
    </w:rPr>
  </w:style>
  <w:style w:type="table" w:customStyle="1" w:styleId="Table">
    <w:name w:val="Table"/>
    <w:semiHidden/>
    <w:unhideWhenUsed/>
    <w:qFormat/>
    <w:rsid w:val="00820F26"/>
    <w:tblPr>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CellMar>
        <w:top w:w="108" w:type="dxa"/>
        <w:left w:w="108" w:type="dxa"/>
        <w:bottom w:w="108" w:type="dxa"/>
        <w:right w:w="108" w:type="dxa"/>
      </w:tblCellMar>
    </w:tblPr>
    <w:tcPr>
      <w:shd w:val="clear" w:color="auto" w:fill="auto"/>
    </w:tcPr>
    <w:tblStylePr w:type="firstRow">
      <w:tblPr/>
      <w:tcPr>
        <w:tcBorders>
          <w:bottom w:val="single" w:sz="0" w:space="0" w:color="auto"/>
        </w:tcBorders>
        <w:vAlign w:val="bottom"/>
      </w:tcPr>
    </w:tblStylePr>
  </w:style>
  <w:style w:type="paragraph" w:customStyle="1" w:styleId="SourceCode">
    <w:name w:val="Source Code"/>
    <w:basedOn w:val="Corpsdetexte"/>
    <w:link w:val="SourceCodeChar"/>
    <w:qFormat/>
    <w:rsid w:val="005D00A8"/>
    <w:rPr>
      <w:rFonts w:ascii="Consolas" w:hAnsi="Consolas"/>
      <w:color w:val="000000"/>
      <w:sz w:val="22"/>
      <w:szCs w:val="22"/>
      <w:shd w:val="clear" w:color="auto" w:fill="EAEEF3"/>
    </w:rPr>
  </w:style>
  <w:style w:type="character" w:customStyle="1" w:styleId="CorpsdetexteCar">
    <w:name w:val="Corps de texte Car"/>
    <w:basedOn w:val="Policepardfaut"/>
    <w:link w:val="Corpsdetexte"/>
    <w:rsid w:val="0090172C"/>
  </w:style>
  <w:style w:type="character" w:customStyle="1" w:styleId="SourceCodeChar">
    <w:name w:val="Source Code Char"/>
    <w:basedOn w:val="CorpsdetexteCar"/>
    <w:link w:val="SourceCode"/>
    <w:rsid w:val="005D00A8"/>
    <w:rPr>
      <w:rFonts w:ascii="Consolas" w:hAnsi="Consolas"/>
      <w:color w:val="000000"/>
      <w:sz w:val="22"/>
      <w:szCs w:val="22"/>
    </w:rPr>
  </w:style>
  <w:style w:type="character" w:customStyle="1" w:styleId="KeywordTok">
    <w:name w:val="KeywordTok"/>
    <w:basedOn w:val="VerbatimChar"/>
    <w:rPr>
      <w:rFonts w:ascii="Consolas" w:hAnsi="Consolas"/>
      <w:b/>
      <w:color w:val="007020"/>
      <w:sz w:val="22"/>
      <w:shd w:val="clear" w:color="auto" w:fill="EAEEF3"/>
    </w:rPr>
  </w:style>
  <w:style w:type="character" w:customStyle="1" w:styleId="DataTypeTok">
    <w:name w:val="DataTypeTok"/>
    <w:basedOn w:val="VerbatimChar"/>
    <w:rPr>
      <w:rFonts w:ascii="Consolas" w:hAnsi="Consolas"/>
      <w:color w:val="902000"/>
      <w:sz w:val="22"/>
      <w:shd w:val="clear" w:color="auto" w:fill="EAEEF3"/>
    </w:rPr>
  </w:style>
  <w:style w:type="character" w:customStyle="1" w:styleId="DecValTok">
    <w:name w:val="DecValTok"/>
    <w:basedOn w:val="VerbatimChar"/>
    <w:rPr>
      <w:rFonts w:ascii="Consolas" w:hAnsi="Consolas"/>
      <w:color w:val="40A070"/>
      <w:sz w:val="22"/>
      <w:shd w:val="clear" w:color="auto" w:fill="EAEEF3"/>
    </w:rPr>
  </w:style>
  <w:style w:type="character" w:customStyle="1" w:styleId="BaseNTok">
    <w:name w:val="BaseNTok"/>
    <w:basedOn w:val="VerbatimChar"/>
    <w:rPr>
      <w:rFonts w:ascii="Consolas" w:hAnsi="Consolas"/>
      <w:color w:val="40A070"/>
      <w:sz w:val="22"/>
      <w:shd w:val="clear" w:color="auto" w:fill="EAEEF3"/>
    </w:rPr>
  </w:style>
  <w:style w:type="character" w:customStyle="1" w:styleId="FloatTok">
    <w:name w:val="FloatTok"/>
    <w:basedOn w:val="VerbatimChar"/>
    <w:rPr>
      <w:rFonts w:ascii="Consolas" w:hAnsi="Consolas"/>
      <w:color w:val="40A070"/>
      <w:sz w:val="22"/>
      <w:shd w:val="clear" w:color="auto" w:fill="EAEEF3"/>
    </w:rPr>
  </w:style>
  <w:style w:type="character" w:customStyle="1" w:styleId="ConstantTok">
    <w:name w:val="ConstantTok"/>
    <w:basedOn w:val="VerbatimChar"/>
    <w:rPr>
      <w:rFonts w:ascii="Consolas" w:hAnsi="Consolas"/>
      <w:color w:val="880000"/>
      <w:sz w:val="22"/>
      <w:shd w:val="clear" w:color="auto" w:fill="EAEEF3"/>
    </w:rPr>
  </w:style>
  <w:style w:type="character" w:customStyle="1" w:styleId="CharTok">
    <w:name w:val="CharTok"/>
    <w:basedOn w:val="VerbatimChar"/>
    <w:rPr>
      <w:rFonts w:ascii="Consolas" w:hAnsi="Consolas"/>
      <w:color w:val="4070A0"/>
      <w:sz w:val="22"/>
      <w:shd w:val="clear" w:color="auto" w:fill="EAEEF3"/>
    </w:rPr>
  </w:style>
  <w:style w:type="character" w:customStyle="1" w:styleId="SpecialCharTok">
    <w:name w:val="SpecialCharTok"/>
    <w:basedOn w:val="VerbatimChar"/>
    <w:rPr>
      <w:rFonts w:ascii="Consolas" w:hAnsi="Consolas"/>
      <w:color w:val="4070A0"/>
      <w:sz w:val="22"/>
      <w:shd w:val="clear" w:color="auto" w:fill="EAEEF3"/>
    </w:rPr>
  </w:style>
  <w:style w:type="character" w:customStyle="1" w:styleId="StringTok">
    <w:name w:val="StringTok"/>
    <w:basedOn w:val="VerbatimChar"/>
    <w:rPr>
      <w:rFonts w:ascii="Consolas" w:hAnsi="Consolas"/>
      <w:color w:val="4070A0"/>
      <w:sz w:val="22"/>
      <w:shd w:val="clear" w:color="auto" w:fill="EAEEF3"/>
    </w:rPr>
  </w:style>
  <w:style w:type="character" w:customStyle="1" w:styleId="VerbatimStringTok">
    <w:name w:val="VerbatimStringTok"/>
    <w:basedOn w:val="VerbatimChar"/>
    <w:rPr>
      <w:rFonts w:ascii="Consolas" w:hAnsi="Consolas"/>
      <w:color w:val="4070A0"/>
      <w:sz w:val="22"/>
      <w:shd w:val="clear" w:color="auto" w:fill="EAEEF3"/>
    </w:rPr>
  </w:style>
  <w:style w:type="character" w:customStyle="1" w:styleId="SpecialStringTok">
    <w:name w:val="SpecialStringTok"/>
    <w:basedOn w:val="VerbatimChar"/>
    <w:rPr>
      <w:rFonts w:ascii="Consolas" w:hAnsi="Consolas"/>
      <w:color w:val="BB6688"/>
      <w:sz w:val="22"/>
      <w:shd w:val="clear" w:color="auto" w:fill="EAEEF3"/>
    </w:rPr>
  </w:style>
  <w:style w:type="character" w:customStyle="1" w:styleId="ImportTok">
    <w:name w:val="ImportTok"/>
    <w:basedOn w:val="VerbatimChar"/>
    <w:rPr>
      <w:rFonts w:ascii="Consolas" w:hAnsi="Consolas"/>
      <w:sz w:val="22"/>
      <w:shd w:val="clear" w:color="auto" w:fill="EAEEF3"/>
    </w:rPr>
  </w:style>
  <w:style w:type="character" w:customStyle="1" w:styleId="CommentTok">
    <w:name w:val="CommentTok"/>
    <w:basedOn w:val="VerbatimChar"/>
    <w:rPr>
      <w:rFonts w:ascii="Consolas" w:hAnsi="Consolas"/>
      <w:i/>
      <w:color w:val="60A0B0"/>
      <w:sz w:val="22"/>
      <w:shd w:val="clear" w:color="auto" w:fill="EAEEF3"/>
    </w:rPr>
  </w:style>
  <w:style w:type="character" w:customStyle="1" w:styleId="DocumentationTok">
    <w:name w:val="DocumentationTok"/>
    <w:basedOn w:val="VerbatimChar"/>
    <w:rPr>
      <w:rFonts w:ascii="Consolas" w:hAnsi="Consolas"/>
      <w:i/>
      <w:color w:val="BA2121"/>
      <w:sz w:val="22"/>
      <w:shd w:val="clear" w:color="auto" w:fill="EAEEF3"/>
    </w:rPr>
  </w:style>
  <w:style w:type="character" w:customStyle="1" w:styleId="AnnotationTok">
    <w:name w:val="AnnotationTok"/>
    <w:basedOn w:val="VerbatimChar"/>
    <w:rPr>
      <w:rFonts w:ascii="Consolas" w:hAnsi="Consolas"/>
      <w:b/>
      <w:i/>
      <w:color w:val="60A0B0"/>
      <w:sz w:val="22"/>
      <w:shd w:val="clear" w:color="auto" w:fill="EAEEF3"/>
    </w:rPr>
  </w:style>
  <w:style w:type="character" w:customStyle="1" w:styleId="CommentVarTok">
    <w:name w:val="CommentVarTok"/>
    <w:basedOn w:val="VerbatimChar"/>
    <w:rPr>
      <w:rFonts w:ascii="Consolas" w:hAnsi="Consolas"/>
      <w:b/>
      <w:i/>
      <w:color w:val="60A0B0"/>
      <w:sz w:val="22"/>
      <w:shd w:val="clear" w:color="auto" w:fill="EAEEF3"/>
    </w:rPr>
  </w:style>
  <w:style w:type="character" w:customStyle="1" w:styleId="OtherTok">
    <w:name w:val="OtherTok"/>
    <w:basedOn w:val="VerbatimChar"/>
    <w:rPr>
      <w:rFonts w:ascii="Consolas" w:hAnsi="Consolas"/>
      <w:color w:val="007020"/>
      <w:sz w:val="22"/>
      <w:shd w:val="clear" w:color="auto" w:fill="EAEEF3"/>
    </w:rPr>
  </w:style>
  <w:style w:type="character" w:customStyle="1" w:styleId="FunctionTok">
    <w:name w:val="FunctionTok"/>
    <w:basedOn w:val="VerbatimChar"/>
    <w:rPr>
      <w:rFonts w:ascii="Consolas" w:hAnsi="Consolas"/>
      <w:color w:val="06287E"/>
      <w:sz w:val="22"/>
      <w:shd w:val="clear" w:color="auto" w:fill="EAEEF3"/>
    </w:rPr>
  </w:style>
  <w:style w:type="character" w:customStyle="1" w:styleId="VariableTok">
    <w:name w:val="VariableTok"/>
    <w:basedOn w:val="VerbatimChar"/>
    <w:rPr>
      <w:rFonts w:ascii="Consolas" w:hAnsi="Consolas"/>
      <w:color w:val="19177C"/>
      <w:sz w:val="22"/>
      <w:shd w:val="clear" w:color="auto" w:fill="EAEEF3"/>
    </w:rPr>
  </w:style>
  <w:style w:type="character" w:customStyle="1" w:styleId="ControlFlowTok">
    <w:name w:val="ControlFlowTok"/>
    <w:basedOn w:val="VerbatimChar"/>
    <w:rPr>
      <w:rFonts w:ascii="Consolas" w:hAnsi="Consolas"/>
      <w:b/>
      <w:color w:val="007020"/>
      <w:sz w:val="22"/>
      <w:shd w:val="clear" w:color="auto" w:fill="EAEEF3"/>
    </w:rPr>
  </w:style>
  <w:style w:type="character" w:customStyle="1" w:styleId="OperatorTok">
    <w:name w:val="OperatorTok"/>
    <w:basedOn w:val="VerbatimChar"/>
    <w:rPr>
      <w:rFonts w:ascii="Consolas" w:hAnsi="Consolas"/>
      <w:color w:val="666666"/>
      <w:sz w:val="22"/>
      <w:shd w:val="clear" w:color="auto" w:fill="EAEEF3"/>
    </w:rPr>
  </w:style>
  <w:style w:type="character" w:customStyle="1" w:styleId="BuiltInTok">
    <w:name w:val="BuiltInTok"/>
    <w:basedOn w:val="VerbatimChar"/>
    <w:rPr>
      <w:rFonts w:ascii="Consolas" w:hAnsi="Consolas"/>
      <w:sz w:val="22"/>
      <w:shd w:val="clear" w:color="auto" w:fill="EAEEF3"/>
    </w:rPr>
  </w:style>
  <w:style w:type="character" w:customStyle="1" w:styleId="ExtensionTok">
    <w:name w:val="ExtensionTok"/>
    <w:basedOn w:val="VerbatimChar"/>
    <w:rPr>
      <w:rFonts w:ascii="Consolas" w:hAnsi="Consolas"/>
      <w:sz w:val="22"/>
      <w:shd w:val="clear" w:color="auto" w:fill="EAEEF3"/>
    </w:rPr>
  </w:style>
  <w:style w:type="character" w:customStyle="1" w:styleId="PreprocessorTok">
    <w:name w:val="PreprocessorTok"/>
    <w:basedOn w:val="VerbatimChar"/>
    <w:rPr>
      <w:rFonts w:ascii="Consolas" w:hAnsi="Consolas"/>
      <w:color w:val="BC7A00"/>
      <w:sz w:val="22"/>
      <w:shd w:val="clear" w:color="auto" w:fill="EAEEF3"/>
    </w:rPr>
  </w:style>
  <w:style w:type="character" w:customStyle="1" w:styleId="AttributeTok">
    <w:name w:val="AttributeTok"/>
    <w:basedOn w:val="VerbatimChar"/>
    <w:rPr>
      <w:rFonts w:ascii="Consolas" w:hAnsi="Consolas"/>
      <w:color w:val="7D9029"/>
      <w:sz w:val="22"/>
      <w:shd w:val="clear" w:color="auto" w:fill="EAEEF3"/>
    </w:rPr>
  </w:style>
  <w:style w:type="character" w:customStyle="1" w:styleId="RegionMarkerTok">
    <w:name w:val="RegionMarkerTok"/>
    <w:basedOn w:val="VerbatimChar"/>
    <w:rPr>
      <w:rFonts w:ascii="Consolas" w:hAnsi="Consolas"/>
      <w:sz w:val="22"/>
      <w:shd w:val="clear" w:color="auto" w:fill="EAEEF3"/>
    </w:rPr>
  </w:style>
  <w:style w:type="character" w:customStyle="1" w:styleId="InformationTok">
    <w:name w:val="InformationTok"/>
    <w:basedOn w:val="VerbatimChar"/>
    <w:rPr>
      <w:rFonts w:ascii="Consolas" w:hAnsi="Consolas"/>
      <w:b/>
      <w:i/>
      <w:color w:val="60A0B0"/>
      <w:sz w:val="22"/>
      <w:shd w:val="clear" w:color="auto" w:fill="EAEEF3"/>
    </w:rPr>
  </w:style>
  <w:style w:type="character" w:customStyle="1" w:styleId="WarningTok">
    <w:name w:val="WarningTok"/>
    <w:basedOn w:val="VerbatimChar"/>
    <w:rPr>
      <w:rFonts w:ascii="Consolas" w:hAnsi="Consolas"/>
      <w:b/>
      <w:i/>
      <w:color w:val="60A0B0"/>
      <w:sz w:val="22"/>
      <w:shd w:val="clear" w:color="auto" w:fill="EAEEF3"/>
    </w:rPr>
  </w:style>
  <w:style w:type="character" w:customStyle="1" w:styleId="AlertTok">
    <w:name w:val="AlertTok"/>
    <w:basedOn w:val="VerbatimChar"/>
    <w:rPr>
      <w:rFonts w:ascii="Consolas" w:hAnsi="Consolas"/>
      <w:b/>
      <w:color w:val="FF0000"/>
      <w:sz w:val="22"/>
      <w:shd w:val="clear" w:color="auto" w:fill="EAEEF3"/>
    </w:rPr>
  </w:style>
  <w:style w:type="character" w:customStyle="1" w:styleId="ErrorTok">
    <w:name w:val="ErrorTok"/>
    <w:basedOn w:val="VerbatimChar"/>
    <w:rPr>
      <w:rFonts w:ascii="Consolas" w:hAnsi="Consolas"/>
      <w:b/>
      <w:color w:val="FF0000"/>
      <w:sz w:val="22"/>
      <w:shd w:val="clear" w:color="auto" w:fill="EAEEF3"/>
    </w:rPr>
  </w:style>
  <w:style w:type="character" w:customStyle="1" w:styleId="NormalTok">
    <w:name w:val="NormalTok"/>
    <w:basedOn w:val="VerbatimChar"/>
    <w:rPr>
      <w:rFonts w:ascii="Consolas" w:hAnsi="Consolas"/>
      <w:sz w:val="22"/>
      <w:shd w:val="clear" w:color="auto" w:fill="EAEEF3"/>
    </w:rPr>
  </w:style>
  <w:style w:type="paragraph" w:styleId="TM1">
    <w:name w:val="toc 1"/>
    <w:basedOn w:val="Normal"/>
    <w:next w:val="Normal"/>
    <w:autoRedefine/>
    <w:uiPriority w:val="39"/>
    <w:unhideWhenUsed/>
    <w:rsid w:val="001A5982"/>
    <w:pPr>
      <w:tabs>
        <w:tab w:val="right" w:leader="dot" w:pos="10790"/>
      </w:tabs>
      <w:spacing w:after="100"/>
    </w:pPr>
  </w:style>
  <w:style w:type="paragraph" w:styleId="TM2">
    <w:name w:val="toc 2"/>
    <w:basedOn w:val="Normal"/>
    <w:next w:val="Normal"/>
    <w:autoRedefine/>
    <w:uiPriority w:val="39"/>
    <w:unhideWhenUsed/>
    <w:rsid w:val="00DA2F1F"/>
    <w:pPr>
      <w:tabs>
        <w:tab w:val="right" w:leader="dot" w:pos="10790"/>
      </w:tabs>
      <w:spacing w:after="100"/>
      <w:ind w:left="240"/>
    </w:pPr>
  </w:style>
  <w:style w:type="paragraph" w:styleId="TM3">
    <w:name w:val="toc 3"/>
    <w:basedOn w:val="Normal"/>
    <w:next w:val="Normal"/>
    <w:autoRedefine/>
    <w:uiPriority w:val="39"/>
    <w:unhideWhenUsed/>
    <w:rsid w:val="00C424A5"/>
    <w:pPr>
      <w:tabs>
        <w:tab w:val="right" w:leader="dot" w:pos="10790"/>
      </w:tabs>
      <w:spacing w:after="100"/>
      <w:ind w:left="480"/>
    </w:pPr>
  </w:style>
  <w:style w:type="paragraph" w:styleId="TM4">
    <w:name w:val="toc 4"/>
    <w:basedOn w:val="Normal"/>
    <w:next w:val="Normal"/>
    <w:autoRedefine/>
    <w:uiPriority w:val="39"/>
    <w:unhideWhenUsed/>
    <w:rsid w:val="00861E1B"/>
    <w:pPr>
      <w:suppressAutoHyphens w:val="0"/>
      <w:spacing w:after="100" w:line="259" w:lineRule="auto"/>
      <w:ind w:left="660"/>
    </w:pPr>
    <w:rPr>
      <w:rFonts w:eastAsiaTheme="minorEastAsia"/>
      <w:kern w:val="2"/>
      <w:sz w:val="22"/>
      <w:szCs w:val="22"/>
      <w:lang w:val="en-CA" w:eastAsia="en-CA"/>
      <w14:ligatures w14:val="standardContextual"/>
    </w:rPr>
  </w:style>
  <w:style w:type="paragraph" w:styleId="TM5">
    <w:name w:val="toc 5"/>
    <w:basedOn w:val="Normal"/>
    <w:next w:val="Normal"/>
    <w:autoRedefine/>
    <w:uiPriority w:val="39"/>
    <w:unhideWhenUsed/>
    <w:rsid w:val="00861E1B"/>
    <w:pPr>
      <w:suppressAutoHyphens w:val="0"/>
      <w:spacing w:after="100" w:line="259" w:lineRule="auto"/>
      <w:ind w:left="880"/>
    </w:pPr>
    <w:rPr>
      <w:rFonts w:eastAsiaTheme="minorEastAsia"/>
      <w:kern w:val="2"/>
      <w:sz w:val="22"/>
      <w:szCs w:val="22"/>
      <w:lang w:val="en-CA" w:eastAsia="en-CA"/>
      <w14:ligatures w14:val="standardContextual"/>
    </w:rPr>
  </w:style>
  <w:style w:type="paragraph" w:styleId="TM6">
    <w:name w:val="toc 6"/>
    <w:basedOn w:val="Normal"/>
    <w:next w:val="Normal"/>
    <w:autoRedefine/>
    <w:uiPriority w:val="39"/>
    <w:unhideWhenUsed/>
    <w:rsid w:val="00861E1B"/>
    <w:pPr>
      <w:suppressAutoHyphens w:val="0"/>
      <w:spacing w:after="100" w:line="259" w:lineRule="auto"/>
      <w:ind w:left="1100"/>
    </w:pPr>
    <w:rPr>
      <w:rFonts w:eastAsiaTheme="minorEastAsia"/>
      <w:kern w:val="2"/>
      <w:sz w:val="22"/>
      <w:szCs w:val="22"/>
      <w:lang w:val="en-CA" w:eastAsia="en-CA"/>
      <w14:ligatures w14:val="standardContextual"/>
    </w:rPr>
  </w:style>
  <w:style w:type="paragraph" w:styleId="TM7">
    <w:name w:val="toc 7"/>
    <w:basedOn w:val="Normal"/>
    <w:next w:val="Normal"/>
    <w:autoRedefine/>
    <w:uiPriority w:val="39"/>
    <w:unhideWhenUsed/>
    <w:rsid w:val="00861E1B"/>
    <w:pPr>
      <w:suppressAutoHyphens w:val="0"/>
      <w:spacing w:after="100" w:line="259" w:lineRule="auto"/>
      <w:ind w:left="1320"/>
    </w:pPr>
    <w:rPr>
      <w:rFonts w:eastAsiaTheme="minorEastAsia"/>
      <w:kern w:val="2"/>
      <w:sz w:val="22"/>
      <w:szCs w:val="22"/>
      <w:lang w:val="en-CA" w:eastAsia="en-CA"/>
      <w14:ligatures w14:val="standardContextual"/>
    </w:rPr>
  </w:style>
  <w:style w:type="paragraph" w:styleId="TM8">
    <w:name w:val="toc 8"/>
    <w:basedOn w:val="Normal"/>
    <w:next w:val="Normal"/>
    <w:autoRedefine/>
    <w:uiPriority w:val="39"/>
    <w:unhideWhenUsed/>
    <w:rsid w:val="00861E1B"/>
    <w:pPr>
      <w:suppressAutoHyphens w:val="0"/>
      <w:spacing w:after="100" w:line="259" w:lineRule="auto"/>
      <w:ind w:left="1540"/>
    </w:pPr>
    <w:rPr>
      <w:rFonts w:eastAsiaTheme="minorEastAsia"/>
      <w:kern w:val="2"/>
      <w:sz w:val="22"/>
      <w:szCs w:val="22"/>
      <w:lang w:val="en-CA" w:eastAsia="en-CA"/>
      <w14:ligatures w14:val="standardContextual"/>
    </w:rPr>
  </w:style>
  <w:style w:type="paragraph" w:styleId="TM9">
    <w:name w:val="toc 9"/>
    <w:basedOn w:val="Normal"/>
    <w:next w:val="Normal"/>
    <w:autoRedefine/>
    <w:uiPriority w:val="39"/>
    <w:unhideWhenUsed/>
    <w:rsid w:val="00861E1B"/>
    <w:pPr>
      <w:suppressAutoHyphens w:val="0"/>
      <w:spacing w:after="100" w:line="259" w:lineRule="auto"/>
      <w:ind w:left="1760"/>
    </w:pPr>
    <w:rPr>
      <w:rFonts w:eastAsiaTheme="minorEastAsia"/>
      <w:kern w:val="2"/>
      <w:sz w:val="22"/>
      <w:szCs w:val="22"/>
      <w:lang w:val="en-CA" w:eastAsia="en-CA"/>
      <w14:ligatures w14:val="standardContextual"/>
    </w:rPr>
  </w:style>
  <w:style w:type="character" w:styleId="Mentionnonrsolue">
    <w:name w:val="Unresolved Mention"/>
    <w:basedOn w:val="Policepardfaut"/>
    <w:uiPriority w:val="99"/>
    <w:semiHidden/>
    <w:unhideWhenUsed/>
    <w:rsid w:val="00861E1B"/>
    <w:rPr>
      <w:color w:val="605E5C"/>
      <w:shd w:val="clear" w:color="auto" w:fill="E1DFDD"/>
    </w:rPr>
  </w:style>
  <w:style w:type="character" w:styleId="Lienhypertextesuivivisit">
    <w:name w:val="FollowedHyperlink"/>
    <w:basedOn w:val="Policepardfaut"/>
    <w:semiHidden/>
    <w:unhideWhenUsed/>
    <w:rsid w:val="001F7F70"/>
    <w:rPr>
      <w:color w:val="800080" w:themeColor="followedHyperlink"/>
      <w:u w:val="single"/>
    </w:rPr>
  </w:style>
  <w:style w:type="paragraph" w:styleId="En-tte">
    <w:name w:val="header"/>
    <w:basedOn w:val="Normal"/>
    <w:link w:val="En-tteCar"/>
    <w:unhideWhenUsed/>
    <w:rsid w:val="00F3506A"/>
    <w:pPr>
      <w:tabs>
        <w:tab w:val="center" w:pos="4680"/>
        <w:tab w:val="right" w:pos="9360"/>
      </w:tabs>
      <w:spacing w:after="0"/>
    </w:pPr>
  </w:style>
  <w:style w:type="character" w:customStyle="1" w:styleId="En-tteCar">
    <w:name w:val="En-tête Car"/>
    <w:basedOn w:val="Policepardfaut"/>
    <w:link w:val="En-tte"/>
    <w:rsid w:val="00F3506A"/>
  </w:style>
  <w:style w:type="paragraph" w:styleId="Pieddepage">
    <w:name w:val="footer"/>
    <w:basedOn w:val="Normal"/>
    <w:link w:val="PieddepageCar"/>
    <w:uiPriority w:val="99"/>
    <w:unhideWhenUsed/>
    <w:rsid w:val="00F3506A"/>
    <w:pPr>
      <w:tabs>
        <w:tab w:val="center" w:pos="4680"/>
        <w:tab w:val="right" w:pos="9360"/>
      </w:tabs>
      <w:spacing w:after="0"/>
    </w:pPr>
  </w:style>
  <w:style w:type="character" w:customStyle="1" w:styleId="PieddepageCar">
    <w:name w:val="Pied de page Car"/>
    <w:basedOn w:val="Policepardfaut"/>
    <w:link w:val="Pieddepage"/>
    <w:uiPriority w:val="99"/>
    <w:rsid w:val="00F3506A"/>
  </w:style>
  <w:style w:type="character" w:styleId="lev">
    <w:name w:val="Strong"/>
    <w:basedOn w:val="Policepardfaut"/>
    <w:uiPriority w:val="22"/>
    <w:qFormat/>
    <w:rsid w:val="00FA2C22"/>
    <w:rPr>
      <w:b/>
      <w:bCs/>
    </w:rPr>
  </w:style>
  <w:style w:type="paragraph" w:styleId="Rvision">
    <w:name w:val="Revision"/>
    <w:hidden/>
    <w:semiHidden/>
    <w:rsid w:val="005C7BF7"/>
    <w:pPr>
      <w:suppressAutoHyphens w:val="0"/>
    </w:pPr>
  </w:style>
  <w:style w:type="character" w:styleId="Marquedecommentaire">
    <w:name w:val="annotation reference"/>
    <w:basedOn w:val="Policepardfaut"/>
    <w:semiHidden/>
    <w:unhideWhenUsed/>
    <w:rsid w:val="005C7BF7"/>
    <w:rPr>
      <w:sz w:val="16"/>
      <w:szCs w:val="16"/>
    </w:rPr>
  </w:style>
  <w:style w:type="paragraph" w:styleId="Commentaire">
    <w:name w:val="annotation text"/>
    <w:basedOn w:val="Normal"/>
    <w:link w:val="CommentaireCar"/>
    <w:unhideWhenUsed/>
    <w:rsid w:val="005C7BF7"/>
    <w:rPr>
      <w:sz w:val="20"/>
      <w:szCs w:val="20"/>
    </w:rPr>
  </w:style>
  <w:style w:type="character" w:customStyle="1" w:styleId="CommentaireCar">
    <w:name w:val="Commentaire Car"/>
    <w:basedOn w:val="Policepardfaut"/>
    <w:link w:val="Commentaire"/>
    <w:rsid w:val="005C7BF7"/>
    <w:rPr>
      <w:sz w:val="20"/>
      <w:szCs w:val="20"/>
    </w:rPr>
  </w:style>
  <w:style w:type="paragraph" w:styleId="Objetducommentaire">
    <w:name w:val="annotation subject"/>
    <w:basedOn w:val="Commentaire"/>
    <w:next w:val="Commentaire"/>
    <w:link w:val="ObjetducommentaireCar"/>
    <w:semiHidden/>
    <w:unhideWhenUsed/>
    <w:rsid w:val="005C7BF7"/>
    <w:rPr>
      <w:b/>
      <w:bCs/>
    </w:rPr>
  </w:style>
  <w:style w:type="character" w:customStyle="1" w:styleId="ObjetducommentaireCar">
    <w:name w:val="Objet du commentaire Car"/>
    <w:basedOn w:val="CommentaireCar"/>
    <w:link w:val="Objetducommentaire"/>
    <w:semiHidden/>
    <w:rsid w:val="005C7BF7"/>
    <w:rPr>
      <w:b/>
      <w:bCs/>
      <w:sz w:val="20"/>
      <w:szCs w:val="20"/>
    </w:rPr>
  </w:style>
  <w:style w:type="paragraph" w:styleId="Paragraphedeliste">
    <w:name w:val="List Paragraph"/>
    <w:basedOn w:val="Normal"/>
    <w:rsid w:val="005C43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43215">
      <w:bodyDiv w:val="1"/>
      <w:marLeft w:val="0"/>
      <w:marRight w:val="0"/>
      <w:marTop w:val="0"/>
      <w:marBottom w:val="0"/>
      <w:divBdr>
        <w:top w:val="none" w:sz="0" w:space="0" w:color="auto"/>
        <w:left w:val="none" w:sz="0" w:space="0" w:color="auto"/>
        <w:bottom w:val="none" w:sz="0" w:space="0" w:color="auto"/>
        <w:right w:val="none" w:sz="0" w:space="0" w:color="auto"/>
      </w:divBdr>
    </w:div>
    <w:div w:id="364255210">
      <w:bodyDiv w:val="1"/>
      <w:marLeft w:val="0"/>
      <w:marRight w:val="0"/>
      <w:marTop w:val="0"/>
      <w:marBottom w:val="0"/>
      <w:divBdr>
        <w:top w:val="none" w:sz="0" w:space="0" w:color="auto"/>
        <w:left w:val="none" w:sz="0" w:space="0" w:color="auto"/>
        <w:bottom w:val="none" w:sz="0" w:space="0" w:color="auto"/>
        <w:right w:val="none" w:sz="0" w:space="0" w:color="auto"/>
      </w:divBdr>
    </w:div>
    <w:div w:id="1915579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tb.termiumplus.gc.ca/tpv2alpha/alpha-fra.html?lang=fra&amp;i=&amp;index=alt&amp;srchtxt=CATEGORIE%20REPETABLE" TargetMode="External"/><Relationship Id="rId299" Type="http://schemas.openxmlformats.org/officeDocument/2006/relationships/hyperlink" Target="https://fr.wikipedia.org/wiki/Alg%C3%A8bre_des_intervalles_d%27Allen" TargetMode="External"/><Relationship Id="rId21" Type="http://schemas.openxmlformats.org/officeDocument/2006/relationships/hyperlink" Target="https://fr.wikipedia.org/w/index.php?title=Langue_SVO&amp;oldid=176099662" TargetMode="External"/><Relationship Id="rId63" Type="http://schemas.openxmlformats.org/officeDocument/2006/relationships/hyperlink" Target="https://www.w3.org/OWL/" TargetMode="External"/><Relationship Id="rId159" Type="http://schemas.openxmlformats.org/officeDocument/2006/relationships/hyperlink" Target="https://www.btb.termiumplus.gc.ca/tpv2alpha/alpha-fra.html?lang=fra&amp;i=1&amp;srchtxt=MUSEUM+EXHIBIT&amp;codom2nd_wet=1" TargetMode="External"/><Relationship Id="rId324" Type="http://schemas.openxmlformats.org/officeDocument/2006/relationships/hyperlink" Target="https://data.nhm.ac.uk/object/e1bfb1ab-e94e-4e0a-a13c-bc54e03f22e5" TargetMode="External"/><Relationship Id="rId366" Type="http://schemas.openxmlformats.org/officeDocument/2006/relationships/hyperlink" Target="https://www.benaki.org//index.php?option=com_collections&amp;view=collection&amp;id=45&amp;Itemid=540&amp;lang=el" TargetMode="External"/><Relationship Id="rId170" Type="http://schemas.openxmlformats.org/officeDocument/2006/relationships/hyperlink" Target="https://portail.biblissima.fr/fr/ark:/43093/mdata4173039fff31678134d93fd0bd8ff41dd71226a8" TargetMode="External"/><Relationship Id="rId226" Type="http://schemas.openxmlformats.org/officeDocument/2006/relationships/hyperlink" Target="https://fr.wikipedia.org/w/index.php?title=Expositions_des_vestiges_arch%C3%A9ologiques_provenant_de_la_tombe_de_Tout%C3%A2nkhamon&amp;oldid=179392035" TargetMode="External"/><Relationship Id="rId433" Type="http://schemas.openxmlformats.org/officeDocument/2006/relationships/hyperlink" Target="https://fr.wikipedia.org/w/index.php?title=La_Relativit%C3%A9&amp;oldid=197771496" TargetMode="External"/><Relationship Id="rId268" Type="http://schemas.openxmlformats.org/officeDocument/2006/relationships/hyperlink" Target="https://fr.wikipedia.org/wiki/Alg%C3%A8bre_des_intervalles_d%27Allen" TargetMode="External"/><Relationship Id="rId32" Type="http://schemas.openxmlformats.org/officeDocument/2006/relationships/hyperlink" Target="https://www.btb.termiumplus.gc.ca/tpv2alpha/alpha-fra.html?lang=fra&amp;i=1&amp;srchtxt=normalization&amp;index=alt&amp;codom2nd_wet=1" TargetMode="External"/><Relationship Id="rId74" Type="http://schemas.openxmlformats.org/officeDocument/2006/relationships/hyperlink" Target="https://www.btb.termiumplus.gc.ca/tpv2alpha/alpha-fra.html?lang=fra&amp;i=1&amp;srchtxt=quantifier&amp;index=ent&amp;codom2nd_wet=1" TargetMode="External"/><Relationship Id="rId128" Type="http://schemas.openxmlformats.org/officeDocument/2006/relationships/hyperlink" Target="https://fr.wikipedia.org/w/index.php?title=Monotonie&amp;oldid=134697868" TargetMode="External"/><Relationship Id="rId335" Type="http://schemas.openxmlformats.org/officeDocument/2006/relationships/hyperlink" Target="http://www.newtonproject.ox.ac.uk/view/contexts/CNTX00002" TargetMode="External"/><Relationship Id="rId377" Type="http://schemas.openxmlformats.org/officeDocument/2006/relationships/hyperlink" Target="https://openlibrary.org/books/OL7063760M/The_palace_of_Minos" TargetMode="External"/><Relationship Id="rId5" Type="http://schemas.openxmlformats.org/officeDocument/2006/relationships/webSettings" Target="webSettings.xml"/><Relationship Id="rId181" Type="http://schemas.openxmlformats.org/officeDocument/2006/relationships/hyperlink" Target="http://lccn.loc.gov/sh85082387" TargetMode="External"/><Relationship Id="rId237" Type="http://schemas.openxmlformats.org/officeDocument/2006/relationships/hyperlink" Target="https://reliuredartdare.com/2021/09/batonnets-tranchefile-fabrication/" TargetMode="External"/><Relationship Id="rId402" Type="http://schemas.openxmlformats.org/officeDocument/2006/relationships/hyperlink" Target="https://www.btb.termiumplus.gc.ca/tpv2alpha/alpha-fra.html?lang=fra&amp;i=1&amp;srchtxt=fan-in&amp;index=ent&amp;codom2nd_wet=1" TargetMode="External"/><Relationship Id="rId279" Type="http://schemas.openxmlformats.org/officeDocument/2006/relationships/image" Target="media/image15.png"/><Relationship Id="rId444" Type="http://schemas.openxmlformats.org/officeDocument/2006/relationships/fontTable" Target="fontTable.xml"/><Relationship Id="rId43" Type="http://schemas.openxmlformats.org/officeDocument/2006/relationships/hyperlink" Target="https://www.lri.fr/~groz/documents/rapport.pdf" TargetMode="External"/><Relationship Id="rId139" Type="http://schemas.openxmlformats.org/officeDocument/2006/relationships/image" Target="media/image6.png"/><Relationship Id="rId290" Type="http://schemas.openxmlformats.org/officeDocument/2006/relationships/hyperlink" Target="https://en.wiktionary.org/w/index.php?title=oka&amp;oldid=72628696" TargetMode="External"/><Relationship Id="rId304" Type="http://schemas.openxmlformats.org/officeDocument/2006/relationships/image" Target="media/image22.png"/><Relationship Id="rId346" Type="http://schemas.openxmlformats.org/officeDocument/2006/relationships/hyperlink" Target="https://repository.library.georgetown.edu/handle/10822/552838" TargetMode="External"/><Relationship Id="rId388" Type="http://schemas.openxmlformats.org/officeDocument/2006/relationships/hyperlink" Target="https://vitrinelinguistique.oqlf.gouv.qc.ca/23433/la-grammaire/ladjectif/accord-de-ladjectif/cas-particuliers-daccord-de-ladjectif/accord-des-adjectifs-maximal-minimal-et-optimal" TargetMode="External"/><Relationship Id="rId85" Type="http://schemas.openxmlformats.org/officeDocument/2006/relationships/hyperlink" Target="https://www.btb.termiumplus.gc.ca/tpv2alpha/alpha-fra.html?lang=fra&amp;i=1&amp;srchtxt=fan-in&amp;index=ent&amp;codom2nd_wet=1" TargetMode="External"/><Relationship Id="rId150" Type="http://schemas.openxmlformats.org/officeDocument/2006/relationships/hyperlink" Target="https://vitrinelinguistique.oqlf.gouv.qc.ca/22247/le-vocabulaire/nuances-semantiques/difference-entre-procede-processus-et-procedure" TargetMode="External"/><Relationship Id="rId192" Type="http://schemas.openxmlformats.org/officeDocument/2006/relationships/hyperlink" Target="mailto:weasel@paveprime.com" TargetMode="External"/><Relationship Id="rId206" Type="http://schemas.openxmlformats.org/officeDocument/2006/relationships/hyperlink" Target="https://fr.wikipedia.org/w/index.php?title=%C3%89rostrate&amp;oldid=173548642" TargetMode="External"/><Relationship Id="rId413" Type="http://schemas.openxmlformats.org/officeDocument/2006/relationships/hyperlink" Target="https://www.btb.termiumplus.gc.ca/tpv2alpha/alpha-fra.html?lang=fra&amp;i=1&amp;srchtxt=land+use&amp;index=alt&amp;codom2nd_wet=1" TargetMode="External"/><Relationship Id="rId248" Type="http://schemas.openxmlformats.org/officeDocument/2006/relationships/hyperlink" Target="https://www.btb.termiumplus.gc.ca/tpv2alpha/alpha-fra.html?lang=fra&amp;i=1&amp;srchtxt=back+catalogue&amp;index=alt&amp;codom2nd_wet=1" TargetMode="External"/><Relationship Id="rId12" Type="http://schemas.openxmlformats.org/officeDocument/2006/relationships/hyperlink" Target="https://www.btb.termiumplus.gc.ca/tpv2alpha/alpha-fra.html?lang=fra&amp;i=1&amp;srchtxt=construct&amp;index=ent&amp;codom2nd_wet=1" TargetMode="External"/><Relationship Id="rId108" Type="http://schemas.openxmlformats.org/officeDocument/2006/relationships/hyperlink" Target="https://fr.wikipedia.org/w/index.php?title=Fan-out&amp;oldid=176479075" TargetMode="External"/><Relationship Id="rId315" Type="http://schemas.openxmlformats.org/officeDocument/2006/relationships/hyperlink" Target="https://www.nytimes.com/2001/11/30/business/enron-s-collapse-options-trend-toward-liquidation-not-company-reorganization.html" TargetMode="External"/><Relationship Id="rId357" Type="http://schemas.openxmlformats.org/officeDocument/2006/relationships/hyperlink" Target="https://ethos.bl.uk/OrderDetails.do?uin=uk.bl.ethos.279996" TargetMode="External"/><Relationship Id="rId54" Type="http://schemas.openxmlformats.org/officeDocument/2006/relationships/hyperlink" Target="https://www.btb.termiumplus.gc.ca/tpv2alpha/alpha-eng.html?lang=eng&amp;i=1&amp;srchtxt=INFORMATION+SYSTEM&amp;index=ent&amp;codom2nd_wet=1" TargetMode="External"/><Relationship Id="rId96" Type="http://schemas.openxmlformats.org/officeDocument/2006/relationships/hyperlink" Target="https://fr.wikipedia.org/w/index.php?title=Fan-out&amp;oldid=176479075" TargetMode="External"/><Relationship Id="rId161" Type="http://schemas.openxmlformats.org/officeDocument/2006/relationships/hyperlink" Target="https://essentiels.bnf.fr/fr/image/eff2e8b4-8e73-4800-91fb-7d277ca66a34-femme-devant-poele-7e-etat" TargetMode="External"/><Relationship Id="rId217"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399" Type="http://schemas.openxmlformats.org/officeDocument/2006/relationships/hyperlink" Target="https://www.btb.termiumplus.gc.ca/tpv2alpha/alpha-fra.html?lang=fra&amp;i=1&amp;srchtxt=contiguous&amp;codom2nd_wet=1" TargetMode="External"/><Relationship Id="rId259" Type="http://schemas.openxmlformats.org/officeDocument/2006/relationships/hyperlink" Target="https://impactalk.gr/en/stories-talk/maria-argyriadi-researcher-and-toys-collector-changed-benaki-museum" TargetMode="External"/><Relationship Id="rId424" Type="http://schemas.openxmlformats.org/officeDocument/2006/relationships/hyperlink" Target="https://fr.wikipedia.org/w/index.php?title=Fan-out&amp;oldid=176479075" TargetMode="External"/><Relationship Id="rId23" Type="http://schemas.openxmlformats.org/officeDocument/2006/relationships/hyperlink" Target="https://fr.wikipedia.org/w/index.php?title=Langue_SVO&amp;oldid=176099662" TargetMode="External"/><Relationship Id="rId119" Type="http://schemas.openxmlformats.org/officeDocument/2006/relationships/hyperlink" Target="https://fr.wikipedia.org/w/index.php?title=Fan-in&amp;oldid=176479056" TargetMode="External"/><Relationship Id="rId270" Type="http://schemas.openxmlformats.org/officeDocument/2006/relationships/image" Target="media/image10.png"/><Relationship Id="rId326" Type="http://schemas.openxmlformats.org/officeDocument/2006/relationships/hyperlink" Target="https://doi.org/10.1021/ed079p193" TargetMode="External"/><Relationship Id="rId65" Type="http://schemas.openxmlformats.org/officeDocument/2006/relationships/hyperlink" Target="https://www.w3.org/RDF/" TargetMode="External"/><Relationship Id="rId130" Type="http://schemas.openxmlformats.org/officeDocument/2006/relationships/hyperlink" Target="https://fr.wikipedia.org/w/index.php?title=Monotonie&amp;oldid=134697868" TargetMode="External"/><Relationship Id="rId368" Type="http://schemas.openxmlformats.org/officeDocument/2006/relationships/hyperlink" Target="http://www.yoyodesign.org/doc/w3c/swbp-vocab-pub/" TargetMode="External"/><Relationship Id="rId172" Type="http://schemas.openxmlformats.org/officeDocument/2006/relationships/hyperlink" Target="https://www.loc.gov/item/00279380435-ms" TargetMode="External"/><Relationship Id="rId228" Type="http://schemas.openxmlformats.org/officeDocument/2006/relationships/hyperlink" Target="https://www.moulinduverger.com/reliure-manuelle/roret-69.php" TargetMode="External"/><Relationship Id="rId435" Type="http://schemas.openxmlformats.org/officeDocument/2006/relationships/hyperlink" Target="https://en.wikipedia.org/w/index.php?title=Sch%C3%B6ningen_spears&amp;oldid=1143301875" TargetMode="External"/><Relationship Id="rId281" Type="http://schemas.openxmlformats.org/officeDocument/2006/relationships/hyperlink" Target="https://fr.wikipedia.org/wiki/Alg%C3%A8bre_des_intervalles_d%27Allen" TargetMode="External"/><Relationship Id="rId337" Type="http://schemas.openxmlformats.org/officeDocument/2006/relationships/hyperlink" Target="https://archive.archaeology.org/9705/newsbriefs/spears.html" TargetMode="External"/><Relationship Id="rId34" Type="http://schemas.openxmlformats.org/officeDocument/2006/relationships/hyperlink" Target="https://www.btb.termiumplus.gc.ca/tpv2alpha/alpha-fra.html?lang=fra&amp;i=1&amp;srchtxt=directed+graph&amp;index=alt&amp;codom2nd_wet=1" TargetMode="External"/><Relationship Id="rId76" Type="http://schemas.openxmlformats.org/officeDocument/2006/relationships/hyperlink" Target="https://www.btb.termiumplus.gc.ca/tpv2alpha/alpha-fra.html?lang=fra&amp;i=1&amp;srchtxt=cardinalit%C3%A9&amp;index=frt&amp;codom2nd_wet=1" TargetMode="External"/><Relationship Id="rId141" Type="http://schemas.openxmlformats.org/officeDocument/2006/relationships/hyperlink" Target="https://cidoc-crm.org/sites/default/files/cidoc_crm_version_6.2.pdf" TargetMode="External"/><Relationship Id="rId379" Type="http://schemas.openxmlformats.org/officeDocument/2006/relationships/hyperlink" Target="https://www.canada.ca/fr/institut-conservation/services/traitements-services-conservation/traitements-conservation.html" TargetMode="External"/><Relationship Id="rId7" Type="http://schemas.openxmlformats.org/officeDocument/2006/relationships/endnotes" Target="endnotes.xml"/><Relationship Id="rId183" Type="http://schemas.openxmlformats.org/officeDocument/2006/relationships/hyperlink" Target="https://upload.wikimedia.org/wikipedia/commons/c/c4/Maxwell%27sEquations.svg" TargetMode="External"/><Relationship Id="rId239" Type="http://schemas.openxmlformats.org/officeDocument/2006/relationships/hyperlink" Target="https://www.cbbag.ca/resources/Public/Book%20Arts%20ENG%20FRE%20Translation.pdf" TargetMode="External"/><Relationship Id="rId390" Type="http://schemas.openxmlformats.org/officeDocument/2006/relationships/hyperlink" Target="https://www.w3.org/RDF/" TargetMode="External"/><Relationship Id="rId404" Type="http://schemas.openxmlformats.org/officeDocument/2006/relationships/hyperlink" Target="https://www.btb.termiumplus.gc.ca/tpv2alpha/alpha-fra.html?lang=fra&amp;srchtxt=IDEATIONAL+CONTENT" TargetMode="External"/><Relationship Id="rId250" Type="http://schemas.openxmlformats.org/officeDocument/2006/relationships/hyperlink" Target="https://www.btb.termiumplus.gc.ca/tpv2alpha/alpha-fra.html?lang=fra&amp;i=1&amp;srchtxt=back+catalogue&amp;index=alt&amp;codom2nd_wet=1" TargetMode="External"/><Relationship Id="rId292" Type="http://schemas.openxmlformats.org/officeDocument/2006/relationships/image" Target="media/image16.png"/><Relationship Id="rId306" Type="http://schemas.openxmlformats.org/officeDocument/2006/relationships/hyperlink" Target="https://fr.wikipedia.org/wiki/Alg%C3%A8bre_des_intervalles_d%27Allen" TargetMode="External"/><Relationship Id="rId45" Type="http://schemas.openxmlformats.org/officeDocument/2006/relationships/hyperlink" Target="https://www.btb.termiumplus.gc.ca/tpv2alpha/alpha-fra.html?lang=fra&amp;i=1&amp;srchtxt=containment&amp;index=ent&amp;codom2nd_wet=1" TargetMode="External"/><Relationship Id="rId87" Type="http://schemas.openxmlformats.org/officeDocument/2006/relationships/hyperlink" Target="https://www.btb.termiumplus.gc.ca/tpv2alpha/alpha-fra.html?lang=fra&amp;i=&amp;index=alt&amp;srchtxt=CATEGORIE%20REPETABLE" TargetMode="External"/><Relationship Id="rId110" Type="http://schemas.openxmlformats.org/officeDocument/2006/relationships/hyperlink" Target="https://www.btb.termiumplus.gc.ca/tpv2alpha/alpha-fra.html?lang=fra&amp;i=1&amp;srchtxt=fan-in&amp;index=ent&amp;codom2nd_wet=1" TargetMode="External"/><Relationship Id="rId348" Type="http://schemas.openxmlformats.org/officeDocument/2006/relationships/hyperlink" Target="https://doi.org/10.1017/CBO9781107338784" TargetMode="External"/><Relationship Id="rId152" Type="http://schemas.openxmlformats.org/officeDocument/2006/relationships/hyperlink" Target="https://www.btb.termiumplus.gc.ca/tpv2alpha/alpha-fra.html?lang=fra&amp;i=1&amp;srchtxt=custody&amp;codom2nd_wet=1" TargetMode="External"/><Relationship Id="rId194" Type="http://schemas.openxmlformats.org/officeDocument/2006/relationships/hyperlink" Target="http://www.cidoc-crm.org/crmgeo/home-5" TargetMode="External"/><Relationship Id="rId208" Type="http://schemas.openxmlformats.org/officeDocument/2006/relationships/hyperlink" Target="https://www.cnrtl.fr/definition/p%C3%A9rissement" TargetMode="External"/><Relationship Id="rId415" Type="http://schemas.openxmlformats.org/officeDocument/2006/relationships/hyperlink" Target="https://impactalk.gr/en/stories-talk/maria-argyriadi-researcher-and-toys-collector-changed-benaki-museum" TargetMode="External"/><Relationship Id="rId261" Type="http://schemas.openxmlformats.org/officeDocument/2006/relationships/hyperlink" Target="https://utpictura18.univ-amu.fr/notice/4226-farinelli-amis-amigoni" TargetMode="External"/><Relationship Id="rId14" Type="http://schemas.openxmlformats.org/officeDocument/2006/relationships/hyperlink" Target="https://www.btb.termiumplus.gc.ca/tpv2alpha/alpha-fra.html?lang=fra&amp;i=1&amp;srchtxt=construct&amp;index=ent&amp;codom2nd_wet=1" TargetMode="External"/><Relationship Id="rId56" Type="http://schemas.openxmlformats.org/officeDocument/2006/relationships/hyperlink" Target="https://www.w3.org/TR/rdf-schema/" TargetMode="External"/><Relationship Id="rId317" Type="http://schemas.openxmlformats.org/officeDocument/2006/relationships/hyperlink" Target="http://www.cidoc-crm.org/frbroo/sites/default/files/FRBRoo_V2.4.pdf" TargetMode="External"/><Relationship Id="rId359" Type="http://schemas.openxmlformats.org/officeDocument/2006/relationships/hyperlink" Target="https://www.britannica.com/biography/Johann-Joachim-Winckelmann" TargetMode="External"/><Relationship Id="rId98" Type="http://schemas.openxmlformats.org/officeDocument/2006/relationships/hyperlink" Target="https://www.btb.termiumplus.gc.ca/tpv2alpha/alpha-fra.html?lang=fra&amp;i=1&amp;srchtxt=fan-in&amp;index=ent&amp;codom2nd_wet=1" TargetMode="External"/><Relationship Id="rId121" Type="http://schemas.openxmlformats.org/officeDocument/2006/relationships/hyperlink" Target="https://www.btb.termiumplus.gc.ca/tpv2alpha/alpha-fra.html?lang=fra&amp;i=&amp;index=alt&amp;srchtxt=CATEGORIE%20REPETABLE" TargetMode="External"/><Relationship Id="rId163" Type="http://schemas.openxmlformats.org/officeDocument/2006/relationships/hyperlink" Target="https://fr.wikipedia.org/w/index.php?title=Liste_des_gravures_de_Rembrandt&amp;oldid=180898582" TargetMode="External"/><Relationship Id="rId219" Type="http://schemas.openxmlformats.org/officeDocument/2006/relationships/hyperlink" Target="https://openlibrary.org/books/OL7063760M/The_palace_of_Minos" TargetMode="External"/><Relationship Id="rId370" Type="http://schemas.openxmlformats.org/officeDocument/2006/relationships/hyperlink" Target="http://www.cidoc-crm.org/crmgeo/home-5" TargetMode="External"/><Relationship Id="rId426" Type="http://schemas.openxmlformats.org/officeDocument/2006/relationships/hyperlink" Target="https://fr.wikipedia.org/wiki/Univers_du_discours" TargetMode="External"/><Relationship Id="rId230" Type="http://schemas.openxmlformats.org/officeDocument/2006/relationships/hyperlink" Target="https://reliuredartdare.com/2021/09/batonnets-tranchefile-fabrication/" TargetMode="External"/><Relationship Id="rId25" Type="http://schemas.openxmlformats.org/officeDocument/2006/relationships/hyperlink" Target="https://www.w3.org/RDF/" TargetMode="External"/><Relationship Id="rId67" Type="http://schemas.openxmlformats.org/officeDocument/2006/relationships/hyperlink" Target="https://www.w3.org/XML/" TargetMode="External"/><Relationship Id="rId272" Type="http://schemas.openxmlformats.org/officeDocument/2006/relationships/hyperlink" Target="https://fr.wikipedia.org/wiki/Alg%C3%A8bre_des_intervalles_d%27Allen" TargetMode="External"/><Relationship Id="rId328" Type="http://schemas.openxmlformats.org/officeDocument/2006/relationships/hyperlink" Target="https://doi.org/10.1080/00275514.1933.12020653" TargetMode="External"/><Relationship Id="rId132" Type="http://schemas.openxmlformats.org/officeDocument/2006/relationships/image" Target="media/image1.png"/><Relationship Id="rId174" Type="http://schemas.openxmlformats.org/officeDocument/2006/relationships/hyperlink" Target="https://www.moulinduverger.com/reliure-manuelle/roret-69.php" TargetMode="External"/><Relationship Id="rId381" Type="http://schemas.openxmlformats.org/officeDocument/2006/relationships/hyperlink" Target="https://www.moulinduverger.com/reliure-manuelle/roret-69.php" TargetMode="External"/><Relationship Id="rId241" Type="http://schemas.openxmlformats.org/officeDocument/2006/relationships/hyperlink" Target="https://fr.wikipedia.org/w/index.php?title=Penny&amp;oldid=199318252" TargetMode="External"/><Relationship Id="rId437" Type="http://schemas.openxmlformats.org/officeDocument/2006/relationships/hyperlink" Target="https://en.wiktionary.org/w/index.php?title=oka&amp;oldid=72628696" TargetMode="External"/><Relationship Id="rId36" Type="http://schemas.openxmlformats.org/officeDocument/2006/relationships/hyperlink" Target="https://www.btb.termiumplus.gc.ca/tpv2alpha/alpha-fra.html?lang=fra&amp;i=1&amp;srchtxt=join&amp;index=ent&amp;codom2nd_wet=1" TargetMode="External"/><Relationship Id="rId283" Type="http://schemas.openxmlformats.org/officeDocument/2006/relationships/hyperlink" Target="https://www.moulinduverger.com/reliure-manuelle/roret-69.php" TargetMode="External"/><Relationship Id="rId339" Type="http://schemas.openxmlformats.org/officeDocument/2006/relationships/hyperlink" Target="http://discovery.ucl.ac.uk/1350109/" TargetMode="External"/><Relationship Id="rId78" Type="http://schemas.openxmlformats.org/officeDocument/2006/relationships/hyperlink" Target="https://www.btb.termiumplus.gc.ca/tpv2alpha/alpha-fra.html?lang=fra&amp;i=&amp;index=alt&amp;srchtxt=CATEGORIE%20REPETABLE" TargetMode="External"/><Relationship Id="rId101" Type="http://schemas.openxmlformats.org/officeDocument/2006/relationships/hyperlink" Target="https://fr.wikipedia.org/w/index.php?title=Fan-in&amp;oldid=176479056" TargetMode="External"/><Relationship Id="rId143" Type="http://schemas.openxmlformats.org/officeDocument/2006/relationships/hyperlink" Target="https://fr.wikipedia.org/wiki/Univers_du_discours" TargetMode="External"/><Relationship Id="rId185" Type="http://schemas.openxmlformats.org/officeDocument/2006/relationships/hyperlink" Target="https://fr.wikipedia.org/w/index.php?title=United_Press_International&amp;oldid=182934531" TargetMode="External"/><Relationship Id="rId350" Type="http://schemas.openxmlformats.org/officeDocument/2006/relationships/hyperlink" Target="https://doi.org/10.2307/3100798" TargetMode="External"/><Relationship Id="rId406" Type="http://schemas.openxmlformats.org/officeDocument/2006/relationships/hyperlink" Target="https://www.btb.termiumplus.gc.ca/tpv2alpha/alpha-fra.html?lang=fra&amp;i=1&amp;srchtxt=join&amp;index=ent&amp;codom2nd_wet=1" TargetMode="External"/><Relationship Id="rId9" Type="http://schemas.openxmlformats.org/officeDocument/2006/relationships/footer" Target="footer1.xml"/><Relationship Id="rId210" Type="http://schemas.openxmlformats.org/officeDocument/2006/relationships/hyperlink" Target="https://www.btb.termiumplus.gc.ca/tpv2alpha/alpha-fra.html?lang=fra&amp;srchtxt=IDEATIONAL+CONTENT" TargetMode="External"/><Relationship Id="rId392" Type="http://schemas.openxmlformats.org/officeDocument/2006/relationships/hyperlink" Target="https://www.btb.termiumplus.gc.ca/tpv2alpha/alpha-fra.html?lang=fra&amp;i=1&amp;srchtxt=avant+J%C3%A9sus-christ&amp;codom2nd_wet=1" TargetMode="External"/><Relationship Id="rId252" Type="http://schemas.openxmlformats.org/officeDocument/2006/relationships/hyperlink" Target="https://fr.wikipedia.org/w/index.php?title=L%C3%A1szl%C3%B3_Moholy-Nagy&amp;oldid=192385234" TargetMode="External"/><Relationship Id="rId294" Type="http://schemas.openxmlformats.org/officeDocument/2006/relationships/hyperlink" Target="https://fr.wikipedia.org/wiki/Alg%C3%A8bre_des_intervalles_d%27Allen" TargetMode="External"/><Relationship Id="rId308" Type="http://schemas.openxmlformats.org/officeDocument/2006/relationships/hyperlink" Target="https://upload.wikimedia.org/wikipedia/commons/thumb/b/b5/Volkswagen_Type_1_(Auto_classique_St._Lazare_%2710).jpg/220px-Volkswagen_Type_1_(Auto_classique_St._Lazare_%2710).jpg" TargetMode="External"/><Relationship Id="rId47" Type="http://schemas.openxmlformats.org/officeDocument/2006/relationships/hyperlink" Target="https://www.lri.fr/~groz/documents/rapport.pdf" TargetMode="External"/><Relationship Id="rId89" Type="http://schemas.openxmlformats.org/officeDocument/2006/relationships/hyperlink" Target="https://fr.wikipedia.org/w/index.php?title=Fan-in&amp;oldid=176479056" TargetMode="External"/><Relationship Id="rId112" Type="http://schemas.openxmlformats.org/officeDocument/2006/relationships/hyperlink" Target="https://www.btb.termiumplus.gc.ca/tpv2alpha/alpha-fra.html?lang=fra&amp;i=&amp;index=alt&amp;srchtxt=CATEGORIE%20REPETABLE" TargetMode="External"/><Relationship Id="rId154" Type="http://schemas.openxmlformats.org/officeDocument/2006/relationships/hyperlink" Target="https://hermitagemuseum.org/wps/portal/hermitage/digital-collection/01.+Paintings/32730" TargetMode="External"/><Relationship Id="rId361" Type="http://schemas.openxmlformats.org/officeDocument/2006/relationships/hyperlink" Target="https://doi.org/10.4324/9781003006121" TargetMode="External"/><Relationship Id="rId196" Type="http://schemas.openxmlformats.org/officeDocument/2006/relationships/hyperlink" Target="https://vitrinelinguistique.oqlf.gouv.qc.ca/21242/la-typographie/nombres/ecriture-des-dates-et-des-heures-dans-les-lettres-et-les-textes-courants" TargetMode="External"/><Relationship Id="rId417" Type="http://schemas.openxmlformats.org/officeDocument/2006/relationships/hyperlink" Target="https://essentiels.bnf.fr/fr/image/eff2e8b4-8e73-4800-91fb-7d277ca66a34-femme-devant-poele-7e-etat" TargetMode="External"/><Relationship Id="rId16" Type="http://schemas.openxmlformats.org/officeDocument/2006/relationships/hyperlink" Target="http://www.opikanoba.org/tr/w3c/webarch/" TargetMode="External"/><Relationship Id="rId221" Type="http://schemas.openxmlformats.org/officeDocument/2006/relationships/hyperlink" Target="https://www.btb.termiumplus.gc.ca/tpv2alpha/alpha-fra.html?lang=fra&amp;i=1&amp;srchtxt=contiguous&amp;codom2nd_wet=1" TargetMode="External"/><Relationship Id="rId263" Type="http://schemas.openxmlformats.org/officeDocument/2006/relationships/hyperlink" Target="https://vitrinelinguistique.oqlf.gouv.qc.ca/23433/la-grammaire/ladjectif/accord-de-ladjectif/cas-particuliers-daccord-de-ladjectif/accord-des-adjectifs-maximal-minimal-et-optimal" TargetMode="External"/><Relationship Id="rId319" Type="http://schemas.openxmlformats.org/officeDocument/2006/relationships/hyperlink" Target="http://dx.doi.org/10.5040/9780571291168.00000104" TargetMode="External"/><Relationship Id="rId58" Type="http://schemas.openxmlformats.org/officeDocument/2006/relationships/hyperlink" Target="https://json-ld.org/" TargetMode="External"/><Relationship Id="rId123" Type="http://schemas.openxmlformats.org/officeDocument/2006/relationships/hyperlink" Target="http://gdt.oqlf.gouv.qc.ca/ficheOqlf.aspx?Id_Fiche=8366746" TargetMode="External"/><Relationship Id="rId330" Type="http://schemas.openxmlformats.org/officeDocument/2006/relationships/hyperlink" Target="https://doi.org/10.1007/3-540-45810-7_18" TargetMode="External"/><Relationship Id="rId165" Type="http://schemas.openxmlformats.org/officeDocument/2006/relationships/hyperlink" Target="https://portail.biblissima.fr/fr/ark:/43093/mdata4173039fff31678134d93fd0bd8ff41dd71226a8" TargetMode="External"/><Relationship Id="rId372" Type="http://schemas.openxmlformats.org/officeDocument/2006/relationships/hyperlink" Target="https://www.loc.gov/item/00279380435-ms" TargetMode="External"/><Relationship Id="rId428" Type="http://schemas.openxmlformats.org/officeDocument/2006/relationships/hyperlink" Target="https://fr.wikipedia.org/w/index.php?title=Liste_des_gravures_de_Rembrandt&amp;oldid=180898582" TargetMode="External"/><Relationship Id="rId232" Type="http://schemas.openxmlformats.org/officeDocument/2006/relationships/hyperlink" Target="https://www.cbbag.ca/resources/Public/Book%20Arts%20ENG%20FRE%20Translation.pdf" TargetMode="External"/><Relationship Id="rId274" Type="http://schemas.openxmlformats.org/officeDocument/2006/relationships/image" Target="media/image12.png"/><Relationship Id="rId27" Type="http://schemas.openxmlformats.org/officeDocument/2006/relationships/hyperlink" Target="https://www.btb.termiumplus.gc.ca/tpv2alpha/alpha-fra.html?lang=fra&amp;i=1&amp;srchtxt=construct&amp;index=ent&amp;codom2nd_wet=1" TargetMode="External"/><Relationship Id="rId69" Type="http://schemas.openxmlformats.org/officeDocument/2006/relationships/hyperlink" Target="https://www.w3.org/OWL/" TargetMode="External"/><Relationship Id="rId134" Type="http://schemas.openxmlformats.org/officeDocument/2006/relationships/image" Target="media/image3.png"/><Relationship Id="rId80" Type="http://schemas.openxmlformats.org/officeDocument/2006/relationships/hyperlink" Target="https://www.btb.termiumplus.gc.ca/tpv2alpha/alpha-fra.html?lang=fra&amp;i=1&amp;srchtxt=fan-out&amp;index=ent&amp;codom2nd_wet=1" TargetMode="External"/><Relationship Id="rId176" Type="http://schemas.openxmlformats.org/officeDocument/2006/relationships/hyperlink" Target="https://reliuredartdare.com/2021/09/batonnets-tranchefile-fabrication/" TargetMode="External"/><Relationship Id="rId341" Type="http://schemas.openxmlformats.org/officeDocument/2006/relationships/hyperlink" Target="https://doi.org/10.2307/499533" TargetMode="External"/><Relationship Id="rId383" Type="http://schemas.openxmlformats.org/officeDocument/2006/relationships/hyperlink" Target="https://doi.org/10.30861/9781407308814" TargetMode="External"/><Relationship Id="rId439" Type="http://schemas.openxmlformats.org/officeDocument/2006/relationships/hyperlink" Target="https://en.wikipedia.org/w/index.php?title=Groschen&amp;oldid=1153418826" TargetMode="External"/><Relationship Id="rId201" Type="http://schemas.openxmlformats.org/officeDocument/2006/relationships/hyperlink" Target="https://www.btb.termiumplus.gc.ca/tpv2alpha/alpha-fra.html?lang=fra&amp;srchtxt=temporal%20reasoning&amp;i=&amp;index=alt&amp;sg_kp_wet=921138&amp;fchrcrdnm=1" TargetMode="External"/><Relationship Id="rId243" Type="http://schemas.openxmlformats.org/officeDocument/2006/relationships/hyperlink" Target="https://fr.wikipedia.org/w/index.php?title=Trois_Glorieuses&amp;oldid=203438591" TargetMode="External"/><Relationship Id="rId285" Type="http://schemas.openxmlformats.org/officeDocument/2006/relationships/hyperlink" Target="https://reliuredartdare.com/2021/09/batonnets-tranchefile-fabrication/" TargetMode="External"/><Relationship Id="rId38" Type="http://schemas.openxmlformats.org/officeDocument/2006/relationships/hyperlink" Target="https://fr.wikipedia.org/w/index.php?title=Monotonie&amp;oldid=134697868" TargetMode="External"/><Relationship Id="rId103" Type="http://schemas.openxmlformats.org/officeDocument/2006/relationships/hyperlink" Target="https://www.btb.termiumplus.gc.ca/tpv2alpha/alpha-fra.html?lang=fra&amp;i=1&amp;srchtxt=fan-out&amp;index=ent&amp;codom2nd_wet=1" TargetMode="External"/><Relationship Id="rId310" Type="http://schemas.openxmlformats.org/officeDocument/2006/relationships/hyperlink" Target="https://fr.wikipedia.org/w/index.php?title=La_Relativit%C3%A9&amp;oldid=197771496" TargetMode="External"/><Relationship Id="rId91" Type="http://schemas.openxmlformats.org/officeDocument/2006/relationships/hyperlink" Target="https://www.btb.termiumplus.gc.ca/tpv2alpha/alpha-fra.html?lang=fra&amp;i=1&amp;srchtxt=fan-out&amp;index=ent&amp;codom2nd_wet=1" TargetMode="External"/><Relationship Id="rId145" Type="http://schemas.openxmlformats.org/officeDocument/2006/relationships/hyperlink" Target="http://www.cidoc-crm.org/crmgeo/home-5" TargetMode="External"/><Relationship Id="rId187" Type="http://schemas.openxmlformats.org/officeDocument/2006/relationships/hyperlink" Target="https://fr.wikipedia.org/w/index.php?title=Chrisme&amp;oldid=184249375" TargetMode="External"/><Relationship Id="rId352" Type="http://schemas.openxmlformats.org/officeDocument/2006/relationships/hyperlink" Target="https://doi.org/10.1002/div.4323" TargetMode="External"/><Relationship Id="rId394" Type="http://schemas.openxmlformats.org/officeDocument/2006/relationships/hyperlink" Target="https://www.btb.termiumplus.gc.ca/tpv2alpha/alpha-fra.html?lang=fra&amp;srchtxt=temporal%20reasoning&amp;i=&amp;index=alt&amp;sg_kp_wet=921138&amp;fchrcrdnm=1" TargetMode="External"/><Relationship Id="rId408" Type="http://schemas.openxmlformats.org/officeDocument/2006/relationships/hyperlink" Target="https://www.btb.termiumplus.gc.ca/tpv2alpha/alpha-fra.html?lang=fra&amp;i=1&amp;srchtxt=normalization&amp;index=alt&amp;codom2nd_wet=1" TargetMode="External"/><Relationship Id="rId212" Type="http://schemas.openxmlformats.org/officeDocument/2006/relationships/hyperlink" Target="https://en.wikipedia.org/w/index.php?title=Sch%C3%B6ningen_spears&amp;oldid=1143301875" TargetMode="External"/><Relationship Id="rId254" Type="http://schemas.openxmlformats.org/officeDocument/2006/relationships/hyperlink" Target="https://www.rct.uk/collection/2000811/the-coffin-of-king-george-vi-during-the-lying-in-state" TargetMode="External"/><Relationship Id="rId49" Type="http://schemas.openxmlformats.org/officeDocument/2006/relationships/hyperlink" Target="https://www.btb.termiumplus.gc.ca/tpv2alpha/alpha-fra.html?lang=fra&amp;i=1&amp;srchtxt=containment&amp;index=ent&amp;codom2nd_wet=1" TargetMode="External"/><Relationship Id="rId114" Type="http://schemas.openxmlformats.org/officeDocument/2006/relationships/hyperlink" Target="https://fr.wikipedia.org/w/index.php?title=Fan-in&amp;oldid=176479056" TargetMode="External"/><Relationship Id="rId296" Type="http://schemas.openxmlformats.org/officeDocument/2006/relationships/image" Target="media/image18.png"/><Relationship Id="rId60" Type="http://schemas.openxmlformats.org/officeDocument/2006/relationships/hyperlink" Target="https://json-ld.org/" TargetMode="External"/><Relationship Id="rId156" Type="http://schemas.openxmlformats.org/officeDocument/2006/relationships/hyperlink" Target="https://fr.wikipedia.org/w/index.php?title=Expositions_des_vestiges_arch%C3%A9ologiques_provenant_de_la_tombe_de_Tout%C3%A2nkhamon&amp;oldid=179392035" TargetMode="External"/><Relationship Id="rId198" Type="http://schemas.openxmlformats.org/officeDocument/2006/relationships/hyperlink" Target="https://www.btb.termiumplus.gc.ca/tpv2alpha/alpha-fra.html?lang=fra&amp;srchtxt=VIA&amp;i=&amp;index=ent&amp;sg_kp_wet=1323269&amp;fchrcrdnm=4" TargetMode="External"/><Relationship Id="rId321" Type="http://schemas.openxmlformats.org/officeDocument/2006/relationships/hyperlink" Target="https://doi.org/10.1017/S0068246213000123" TargetMode="External"/><Relationship Id="rId363" Type="http://schemas.openxmlformats.org/officeDocument/2006/relationships/hyperlink" Target="https://www.w3.org/OWL/" TargetMode="External"/><Relationship Id="rId419" Type="http://schemas.openxmlformats.org/officeDocument/2006/relationships/hyperlink" Target="https://fr.wikipedia.org/w/index.php?title=Extension_conservatrice&amp;oldid=143598511" TargetMode="External"/><Relationship Id="rId223" Type="http://schemas.openxmlformats.org/officeDocument/2006/relationships/hyperlink" Target="https://fr.wikipedia.org/w/index.php?title=Georges_Amoudruz&amp;oldid=202151566" TargetMode="External"/><Relationship Id="rId430" Type="http://schemas.openxmlformats.org/officeDocument/2006/relationships/hyperlink" Target="https://fr.wikipedia.org/w/index.php?title=Chrisme&amp;oldid=184249375" TargetMode="External"/><Relationship Id="rId18" Type="http://schemas.openxmlformats.org/officeDocument/2006/relationships/hyperlink" Target="http://www.yoyodesign.org/doc/w3c/swbp-vocab-pub/" TargetMode="External"/><Relationship Id="rId39" Type="http://schemas.openxmlformats.org/officeDocument/2006/relationships/hyperlink" Target="https://fr.wikipedia.org/w/index.php?title=Monotonie&amp;oldid=134697868" TargetMode="External"/><Relationship Id="rId265" Type="http://schemas.openxmlformats.org/officeDocument/2006/relationships/hyperlink" Target="https://vitrinelinguistique.oqlf.gouv.qc.ca/23433/la-grammaire/ladjectif/accord-de-ladjectif/cas-particuliers-daccord-de-ladjectif/accord-des-adjectifs-maximal-minimal-et-optimal" TargetMode="External"/><Relationship Id="rId286" Type="http://schemas.openxmlformats.org/officeDocument/2006/relationships/hyperlink" Target="https://www.cbbag.ca/resources/Public/Book%20Arts%20ENG%20FRE%20Translation.pdf" TargetMode="External"/><Relationship Id="rId50" Type="http://schemas.openxmlformats.org/officeDocument/2006/relationships/hyperlink" Target="https://www.btb.termiumplus.gc.ca/tpv2alpha/alpha-fra.html?lang=fra&amp;i=1&amp;srchtxt=merge&amp;index=ent&amp;codom2nd_wet=1" TargetMode="External"/><Relationship Id="rId104" Type="http://schemas.openxmlformats.org/officeDocument/2006/relationships/hyperlink" Target="https://www.btb.termiumplus.gc.ca/tpv2alpha/alpha-fra.html?lang=fra&amp;i=1&amp;srchtxt=fan-out&amp;index=ent&amp;codom2nd_wet=1" TargetMode="External"/><Relationship Id="rId125" Type="http://schemas.openxmlformats.org/officeDocument/2006/relationships/hyperlink" Target="https://www.w3.org/RDF/" TargetMode="External"/><Relationship Id="rId146" Type="http://schemas.openxmlformats.org/officeDocument/2006/relationships/hyperlink" Target="http://www.cidoc-crm.org/crmgeo/home-5" TargetMode="External"/><Relationship Id="rId167" Type="http://schemas.openxmlformats.org/officeDocument/2006/relationships/hyperlink" Target="https://www.loc.gov/item/00279380435-ms" TargetMode="External"/><Relationship Id="rId188"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311" Type="http://schemas.openxmlformats.org/officeDocument/2006/relationships/hyperlink" Target="http://archives2.getty.edu:8082/xtf/view?docId=ead/2003.M.46/2003.M.46.xml;chunk.id" TargetMode="External"/><Relationship Id="rId332" Type="http://schemas.openxmlformats.org/officeDocument/2006/relationships/hyperlink" Target="https://doi.org/10.1017/CBO9781139333580" TargetMode="External"/><Relationship Id="rId353" Type="http://schemas.openxmlformats.org/officeDocument/2006/relationships/hyperlink" Target="https://www.britannica.com/topic/adoration-of-the-shepherds-religious-motif" TargetMode="External"/><Relationship Id="rId374" Type="http://schemas.openxmlformats.org/officeDocument/2006/relationships/hyperlink" Target="https://collections.louvre.fr/en/ark:/53355/cl010062370" TargetMode="External"/><Relationship Id="rId395" Type="http://schemas.openxmlformats.org/officeDocument/2006/relationships/hyperlink" Target="https://www.btb.termiumplus.gc.ca/tpv2alpha/alpha-fra.html?lang=fra&amp;i=1&amp;srchtxt=back+catalogue&amp;index=alt&amp;codom2nd_wet=1" TargetMode="External"/><Relationship Id="rId409" Type="http://schemas.openxmlformats.org/officeDocument/2006/relationships/hyperlink" Target="https://www.btb.termiumplus.gc.ca/tpv2alpha/alpha-fra.html?lang=fra&amp;i=1&amp;srchtxt=primitive&amp;index=ent&amp;codom2nd_wet=1" TargetMode="External"/><Relationship Id="rId71" Type="http://schemas.openxmlformats.org/officeDocument/2006/relationships/hyperlink" Target="https://www.btb.termiumplus.gc.ca/tpv2alpha/alpha-eng.html?lang=eng&amp;i=1&amp;index=frt&amp;srchtxt=CONVENTION%20APPELLATION%20COURRIELS" TargetMode="External"/><Relationship Id="rId92" Type="http://schemas.openxmlformats.org/officeDocument/2006/relationships/hyperlink" Target="https://www.btb.termiumplus.gc.ca/tpv2alpha/alpha-fra.html?lang=fra&amp;i=1&amp;srchtxt=fan-out&amp;index=ent&amp;codom2nd_wet=1" TargetMode="External"/><Relationship Id="rId213" Type="http://schemas.openxmlformats.org/officeDocument/2006/relationships/hyperlink" Target="https://en.wikipedia.org/w/index.php?title=Sch%C3%B6ningen_spears&amp;oldid=1143301875" TargetMode="External"/><Relationship Id="rId234" Type="http://schemas.openxmlformats.org/officeDocument/2006/relationships/hyperlink" Target="https://www.moulinduverger.com/reliure-manuelle/roret-69.php" TargetMode="External"/><Relationship Id="rId420" Type="http://schemas.openxmlformats.org/officeDocument/2006/relationships/hyperlink" Target="https://fr.wikipedia.org/w/index.php?title=%C3%89rostrate&amp;oldid=173548642" TargetMode="External"/><Relationship Id="rId2" Type="http://schemas.openxmlformats.org/officeDocument/2006/relationships/numbering" Target="numbering.xml"/><Relationship Id="rId29" Type="http://schemas.openxmlformats.org/officeDocument/2006/relationships/hyperlink" Target="https://fr.wikipedia.org/w/index.php?title=Langue_SVO&amp;oldid=176099662" TargetMode="External"/><Relationship Id="rId255" Type="http://schemas.openxmlformats.org/officeDocument/2006/relationships/hyperlink" Target="http://www.emunch.no/N/full/No-MM_N0001-01.jpg" TargetMode="External"/><Relationship Id="rId276" Type="http://schemas.openxmlformats.org/officeDocument/2006/relationships/hyperlink" Target="https://fr.wikipedia.org/wiki/Alg%C3%A8bre_des_intervalles_d%27Allen" TargetMode="External"/><Relationship Id="rId297" Type="http://schemas.openxmlformats.org/officeDocument/2006/relationships/image" Target="media/image19.png"/><Relationship Id="rId441" Type="http://schemas.openxmlformats.org/officeDocument/2006/relationships/hyperlink" Target="https://www.w3.org/Translations/" TargetMode="External"/><Relationship Id="rId40" Type="http://schemas.openxmlformats.org/officeDocument/2006/relationships/hyperlink" Target="https://www.btb.termiumplus.gc.ca/tpv2alpha/alpha-fra.html?lang=fra&amp;i=1&amp;srchtxt=primitive&amp;index=ent&amp;codom2nd_wet=1" TargetMode="External"/><Relationship Id="rId115" Type="http://schemas.openxmlformats.org/officeDocument/2006/relationships/hyperlink" Target="https://www.btb.termiumplus.gc.ca/tpv2alpha/alpha-fra.html?lang=fra&amp;i=1&amp;srchtxt=fan-in&amp;index=ent&amp;codom2nd_wet=1" TargetMode="External"/><Relationship Id="rId136" Type="http://schemas.openxmlformats.org/officeDocument/2006/relationships/hyperlink" Target="https://www.editions-allia.com/fr/livre/91/pensees-sur-limitation-des-uvres-grecques-en-peinture-et-en-sculpture" TargetMode="External"/><Relationship Id="rId157" Type="http://schemas.openxmlformats.org/officeDocument/2006/relationships/hyperlink" Target="https://www.canada.ca/fr/institut-conservation/services/traitements-services-conservation/traitements-conservation.html" TargetMode="External"/><Relationship Id="rId178" Type="http://schemas.openxmlformats.org/officeDocument/2006/relationships/hyperlink" Target="https://www.cbbag.ca/resources/Public/Book%20Arts%20ENG%20FRE%20Translation.pdf" TargetMode="External"/><Relationship Id="rId301" Type="http://schemas.openxmlformats.org/officeDocument/2006/relationships/image" Target="media/image21.png"/><Relationship Id="rId322" Type="http://schemas.openxmlformats.org/officeDocument/2006/relationships/hyperlink" Target="https://www.ancient.eu/Battle_of_Agincourt/Casson" TargetMode="External"/><Relationship Id="rId343" Type="http://schemas.openxmlformats.org/officeDocument/2006/relationships/hyperlink" Target="https://www.musee-orsay.fr/fr/collections/catalogue-des-oeuvres/notice.html?no_cache=1&amp;nnumid=715" TargetMode="External"/><Relationship Id="rId364"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61" Type="http://schemas.openxmlformats.org/officeDocument/2006/relationships/hyperlink" Target="https://json-ld.org/" TargetMode="External"/><Relationship Id="rId82" Type="http://schemas.openxmlformats.org/officeDocument/2006/relationships/hyperlink" Target="https://www.btb.termiumplus.gc.ca/tpv2alpha/alpha-fra.html?lang=fra&amp;i=&amp;index=alt&amp;srchtxt=CATEGORIE%20REPETABLE" TargetMode="External"/><Relationship Id="rId199" Type="http://schemas.openxmlformats.org/officeDocument/2006/relationships/hyperlink" Target="https://www.btb.termiumplus.gc.ca/tpv2alpha/alpha-fra.html?lang=fra&amp;srchtxt=VIA&amp;i=&amp;index=ent&amp;sg_kp_wet=1323269&amp;fchrcrdnm=4" TargetMode="External"/><Relationship Id="rId203" Type="http://schemas.openxmlformats.org/officeDocument/2006/relationships/hyperlink" Target="https://www.btb.termiumplus.gc.ca/tpv2alpha/alpha-fra.html?lang=fra&amp;i=1&amp;srchtxt=avant+J%C3%A9sus-christ&amp;codom2nd_wet=1" TargetMode="External"/><Relationship Id="rId385" Type="http://schemas.openxmlformats.org/officeDocument/2006/relationships/hyperlink" Target="https://vitrinelinguistique.oqlf.gouv.qc.ca/21640/la-typographie/nombres/ecriture-des-dates" TargetMode="External"/><Relationship Id="rId19" Type="http://schemas.openxmlformats.org/officeDocument/2006/relationships/hyperlink" Target="https://www.w3.org/Translations/" TargetMode="External"/><Relationship Id="rId224" Type="http://schemas.openxmlformats.org/officeDocument/2006/relationships/hyperlink" Target="https://fr.wikipedia.org/w/index.php?title=Expositions_des_vestiges_arch%C3%A9ologiques_provenant_de_la_tombe_de_Tout%C3%A2nkhamon&amp;oldid=179392035" TargetMode="External"/><Relationship Id="rId245" Type="http://schemas.openxmlformats.org/officeDocument/2006/relationships/hyperlink" Target="https://www.btb.termiumplus.gc.ca/tpv2alpha/alpha-fra.html?lang=fra&amp;i=1&amp;srchtxt=back+catalogue&amp;index=alt&amp;codom2nd_wet=1" TargetMode="External"/><Relationship Id="rId266" Type="http://schemas.openxmlformats.org/officeDocument/2006/relationships/image" Target="media/image8.png"/><Relationship Id="rId287" Type="http://schemas.openxmlformats.org/officeDocument/2006/relationships/hyperlink" Target="https://www.cbbag.ca/resources/Public/Book%20Arts%20ENG%20FRE%20Translation.pdf" TargetMode="External"/><Relationship Id="rId410" Type="http://schemas.openxmlformats.org/officeDocument/2006/relationships/hyperlink" Target="https://www.btb.termiumplus.gc.ca/tpv2alpha/alpha-fra.html?lang=fra&amp;i=1&amp;srchtxt=quantifier&amp;index=ent&amp;codom2nd_wet=1" TargetMode="External"/><Relationship Id="rId431" Type="http://schemas.openxmlformats.org/officeDocument/2006/relationships/hyperlink" Target="https://fr.wikipedia.org/w/index.php?title=L%C3%A1szl%C3%B3_Moholy-Nagy&amp;oldid=192385234" TargetMode="External"/><Relationship Id="rId30" Type="http://schemas.openxmlformats.org/officeDocument/2006/relationships/hyperlink" Target="https://fr.wikipedia.org/w/index.php?title=Langue_SVO&amp;oldid=176099662" TargetMode="External"/><Relationship Id="rId105" Type="http://schemas.openxmlformats.org/officeDocument/2006/relationships/hyperlink" Target="https://www.btb.termiumplus.gc.ca/tpv2alpha/alpha-fra.html?lang=fra&amp;i=&amp;index=alt&amp;srchtxt=CATEGORIE%20REPETABLE" TargetMode="External"/><Relationship Id="rId126" Type="http://schemas.openxmlformats.org/officeDocument/2006/relationships/hyperlink" Target="https://fr.wikipedia.org/w/index.php?title=Extension_conservatrice&amp;oldid=143598511" TargetMode="External"/><Relationship Id="rId147" Type="http://schemas.openxmlformats.org/officeDocument/2006/relationships/hyperlink" Target="http://www.cidoc-crm.org/crmgeo/home-5" TargetMode="External"/><Relationship Id="rId168" Type="http://schemas.openxmlformats.org/officeDocument/2006/relationships/hyperlink" Target="https://www.loc.gov/item/00279380435-ms" TargetMode="External"/><Relationship Id="rId312" Type="http://schemas.openxmlformats.org/officeDocument/2006/relationships/hyperlink" Target="https://archives.yale.edu/repositories/12/archival_objects/1402266" TargetMode="External"/><Relationship Id="rId333" Type="http://schemas.openxmlformats.org/officeDocument/2006/relationships/hyperlink" Target="https://doi.org/10.4324/9781315249278" TargetMode="External"/><Relationship Id="rId354" Type="http://schemas.openxmlformats.org/officeDocument/2006/relationships/hyperlink" Target="https://hermitagemuseum.org/wps/portal/hermitage/digital-collection/01.+Paintings/32730" TargetMode="External"/><Relationship Id="rId51" Type="http://schemas.openxmlformats.org/officeDocument/2006/relationships/hyperlink" Target="https://www.btb.termiumplus.gc.ca/tpv2alpha/alpha-fra.html?lang=fra&amp;i=1&amp;srchtxt=merge&amp;index=ent&amp;codom2nd_wet=1" TargetMode="External"/><Relationship Id="rId72" Type="http://schemas.openxmlformats.org/officeDocument/2006/relationships/hyperlink" Target="https://www.btb.termiumplus.gc.ca/tpv2alpha/alpha-eng.html?lang=eng&amp;i=1&amp;index=frt&amp;srchtxt=CONVENTION%20APPELLATION%20COURRIELS" TargetMode="External"/><Relationship Id="rId93" Type="http://schemas.openxmlformats.org/officeDocument/2006/relationships/hyperlink" Target="https://www.btb.termiumplus.gc.ca/tpv2alpha/alpha-fra.html?lang=fra&amp;i=&amp;index=alt&amp;srchtxt=CATEGORIE%20REPETABLE" TargetMode="External"/><Relationship Id="rId189"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375" Type="http://schemas.openxmlformats.org/officeDocument/2006/relationships/hyperlink" Target="https://cidoc-crm.org/sites/default/files/cidoc_crm_version_6.2.pdf" TargetMode="External"/><Relationship Id="rId396" Type="http://schemas.openxmlformats.org/officeDocument/2006/relationships/hyperlink" Target="https://www.btb.termiumplus.gc.ca/tpv2alpha/alpha-fra.html?lang=fra&amp;i=1&amp;srchtxt=cardinalit%C3%A9&amp;index=frt&amp;codom2nd_wet=1" TargetMode="External"/><Relationship Id="rId3" Type="http://schemas.openxmlformats.org/officeDocument/2006/relationships/styles" Target="styles.xml"/><Relationship Id="rId214" Type="http://schemas.openxmlformats.org/officeDocument/2006/relationships/hyperlink" Target="https://en.wikipedia.org/w/index.php?title=Well-known_text_representation_of_geometry&amp;oldid=1105540049" TargetMode="External"/><Relationship Id="rId235" Type="http://schemas.openxmlformats.org/officeDocument/2006/relationships/hyperlink" Target="https://www.moulinduverger.com/reliure-manuelle/roret-69.php" TargetMode="External"/><Relationship Id="rId256" Type="http://schemas.openxmlformats.org/officeDocument/2006/relationships/hyperlink" Target="https://www.benaki.org//index.php?option=com_collections&amp;view=collection&amp;id=45&amp;Itemid=540&amp;lang=el" TargetMode="External"/><Relationship Id="rId277" Type="http://schemas.openxmlformats.org/officeDocument/2006/relationships/hyperlink" Target="https://fr.wikipedia.org/wiki/Alg%C3%A8bre_des_intervalles_d%27Allen" TargetMode="External"/><Relationship Id="rId298" Type="http://schemas.openxmlformats.org/officeDocument/2006/relationships/hyperlink" Target="https://fr.wikipedia.org/wiki/Alg%C3%A8bre_des_intervalles_d%27Allen" TargetMode="External"/><Relationship Id="rId400" Type="http://schemas.openxmlformats.org/officeDocument/2006/relationships/hyperlink" Target="https://www.btb.termiumplus.gc.ca/tpv2alpha/alpha-eng.html?lang=eng&amp;i=1&amp;index=frt&amp;srchtxt=CONVENTION%20APPELLATION%20COURRIELS" TargetMode="External"/><Relationship Id="rId421" Type="http://schemas.openxmlformats.org/officeDocument/2006/relationships/hyperlink" Target="https://fr.wikipedia.org/w/index.php?title=%E5%AE%89" TargetMode="External"/><Relationship Id="rId442" Type="http://schemas.openxmlformats.org/officeDocument/2006/relationships/hyperlink" Target="https://www.w3.org/XML/" TargetMode="External"/><Relationship Id="rId116" Type="http://schemas.openxmlformats.org/officeDocument/2006/relationships/hyperlink" Target="https://www.btb.termiumplus.gc.ca/tpv2alpha/alpha-fra.html?lang=fra&amp;i=1&amp;srchtxt=fan-in&amp;index=ent&amp;codom2nd_wet=1" TargetMode="External"/><Relationship Id="rId137" Type="http://schemas.openxmlformats.org/officeDocument/2006/relationships/image" Target="media/image4.png"/><Relationship Id="rId158" Type="http://schemas.openxmlformats.org/officeDocument/2006/relationships/hyperlink" Target="https://www.canada.ca/fr/institut-conservation/services/traitements-services-conservation/traitements-conservation.html" TargetMode="External"/><Relationship Id="rId302" Type="http://schemas.openxmlformats.org/officeDocument/2006/relationships/hyperlink" Target="https://fr.wikipedia.org/wiki/Alg%C3%A8bre_des_intervalles_d%27Allen" TargetMode="External"/><Relationship Id="rId323" Type="http://schemas.openxmlformats.org/officeDocument/2006/relationships/hyperlink" Target="https://doi.org/10.1177/030913330102500304" TargetMode="External"/><Relationship Id="rId344" Type="http://schemas.openxmlformats.org/officeDocument/2006/relationships/hyperlink" Target="http://www.ngv.vic.gov.au/explore/collection/work/3701/" TargetMode="External"/><Relationship Id="rId20" Type="http://schemas.openxmlformats.org/officeDocument/2006/relationships/hyperlink" Target="https://www.w3.org/Translations/" TargetMode="External"/><Relationship Id="rId41" Type="http://schemas.openxmlformats.org/officeDocument/2006/relationships/hyperlink" Target="https://www.btb.termiumplus.gc.ca/tpv2alpha/alpha-fra.html?lang=fra&amp;i=1&amp;srchtxt=primitive&amp;index=ent&amp;codom2nd_wet=1" TargetMode="External"/><Relationship Id="rId62" Type="http://schemas.openxmlformats.org/officeDocument/2006/relationships/hyperlink" Target="https://www.w3.org/OWL/" TargetMode="External"/><Relationship Id="rId83" Type="http://schemas.openxmlformats.org/officeDocument/2006/relationships/hyperlink" Target="https://fr.wikipedia.org/w/index.php?title=Fan-out&amp;oldid=176479075" TargetMode="External"/><Relationship Id="rId179" Type="http://schemas.openxmlformats.org/officeDocument/2006/relationships/hyperlink" Target="https://collections.louvre.fr/en/ark:/53355/cl010062370" TargetMode="External"/><Relationship Id="rId365"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386" Type="http://schemas.openxmlformats.org/officeDocument/2006/relationships/hyperlink" Target="https://vitrinelinguistique.oqlf.gouv.qc.ca/21242/la-typographie/nombres/ecriture-des-dates-et-des-heures-dans-les-lettres-et-les-textes-courants" TargetMode="External"/><Relationship Id="rId190" Type="http://schemas.openxmlformats.org/officeDocument/2006/relationships/hyperlink" Target="https://fr.wikipedia.org/w/index.php?title=%E5%AE%89" TargetMode="External"/><Relationship Id="rId204" Type="http://schemas.openxmlformats.org/officeDocument/2006/relationships/hyperlink" Target="https://www.btb.termiumplus.gc.ca/tpv2alpha/alpha-fra.html?lang=fra&amp;srchtxt=temporal%20reasoning&amp;i=&amp;index=alt&amp;sg_kp_wet=921138&amp;fchrcrdnm=1" TargetMode="External"/><Relationship Id="rId225" Type="http://schemas.openxmlformats.org/officeDocument/2006/relationships/hyperlink" Target="https://fr.wikipedia.org/w/index.php?title=Expositions_des_vestiges_arch%C3%A9ologiques_provenant_de_la_tombe_de_Tout%C3%A2nkhamon&amp;oldid=179392035" TargetMode="External"/><Relationship Id="rId246" Type="http://schemas.openxmlformats.org/officeDocument/2006/relationships/hyperlink" Target="https://cidoc-crm-fr.info/v7.1.2/proprietes/P96" TargetMode="External"/><Relationship Id="rId267" Type="http://schemas.openxmlformats.org/officeDocument/2006/relationships/image" Target="media/image9.png"/><Relationship Id="rId288" Type="http://schemas.openxmlformats.org/officeDocument/2006/relationships/hyperlink" Target="https://en.wikipedia.org/w/index.php?title=Groschen&amp;oldid=1153418826" TargetMode="External"/><Relationship Id="rId411" Type="http://schemas.openxmlformats.org/officeDocument/2006/relationships/hyperlink" Target="https://www.btb.termiumplus.gc.ca/tpv2alpha/alpha-fra.html?lang=fra&amp;i=&amp;index=alt&amp;srchtxt=CATEGORIE%20REPETABLE" TargetMode="External"/><Relationship Id="rId432" Type="http://schemas.openxmlformats.org/officeDocument/2006/relationships/hyperlink" Target="https://en.wikipedia.org/w/index.php?title=Well-known_text_representation_of_geometry&amp;oldid=1105540049" TargetMode="External"/><Relationship Id="rId106" Type="http://schemas.openxmlformats.org/officeDocument/2006/relationships/hyperlink" Target="https://www.btb.termiumplus.gc.ca/tpv2alpha/alpha-fra.html?lang=fra&amp;i=&amp;index=alt&amp;srchtxt=CATEGORIE%20REPETABLE" TargetMode="External"/><Relationship Id="rId127" Type="http://schemas.openxmlformats.org/officeDocument/2006/relationships/hyperlink" Target="https://fr.wikipedia.org/w/index.php?title=Extension_conservatrice&amp;oldid=143598511" TargetMode="External"/><Relationship Id="rId313" Type="http://schemas.openxmlformats.org/officeDocument/2006/relationships/hyperlink" Target="https://archives.yale.edu/repositories/12/archival_objects/1402266" TargetMode="External"/><Relationship Id="rId10" Type="http://schemas.openxmlformats.org/officeDocument/2006/relationships/hyperlink" Target="http://cidoc.mini.icom.museum/fr/" TargetMode="External"/><Relationship Id="rId31" Type="http://schemas.openxmlformats.org/officeDocument/2006/relationships/hyperlink" Target="https://fr.wikipedia.org/w/index.php?title=Langue_SVO&amp;oldid=176099662" TargetMode="External"/><Relationship Id="rId52" Type="http://schemas.openxmlformats.org/officeDocument/2006/relationships/hyperlink" Target="https://www.btb.termiumplus.gc.ca/tpv2alpha/alpha-fra.html?lang=fra&amp;i=1&amp;srchtxt=quantifier&amp;index=ent&amp;codom2nd_wet=1" TargetMode="External"/><Relationship Id="rId73" Type="http://schemas.openxmlformats.org/officeDocument/2006/relationships/hyperlink" Target="https://www.btb.termiumplus.gc.ca/tpv2alpha/alpha-fra.html?lang=fra&amp;i=1&amp;srchtxt=quantifier&amp;index=ent&amp;codom2nd_wet=1" TargetMode="External"/><Relationship Id="rId94" Type="http://schemas.openxmlformats.org/officeDocument/2006/relationships/hyperlink" Target="https://www.btb.termiumplus.gc.ca/tpv2alpha/alpha-fra.html?lang=fra&amp;i=&amp;index=alt&amp;srchtxt=CATEGORIE%20REPETABLE" TargetMode="External"/><Relationship Id="rId148" Type="http://schemas.openxmlformats.org/officeDocument/2006/relationships/hyperlink" Target="https://www.btb.termiumplus.gc.ca/tpv2alpha/alpha-fra.html?lang=fra&amp;i=1&amp;srchtxt=land+use&amp;index=alt&amp;codom2nd_wet=1" TargetMode="External"/><Relationship Id="rId169" Type="http://schemas.openxmlformats.org/officeDocument/2006/relationships/hyperlink" Target="https://portail.biblissima.fr/fr/ark:/43093/mdata4173039fff31678134d93fd0bd8ff41dd71226a8" TargetMode="External"/><Relationship Id="rId334" Type="http://schemas.openxmlformats.org/officeDocument/2006/relationships/hyperlink" Target="https://doi.org/10.1179/sic.2010.55.Supplement-2.56" TargetMode="External"/><Relationship Id="rId355" Type="http://schemas.openxmlformats.org/officeDocument/2006/relationships/hyperlink" Target="http://digitallibrary.un.org/record/478123" TargetMode="External"/><Relationship Id="rId376" Type="http://schemas.openxmlformats.org/officeDocument/2006/relationships/hyperlink" Target="http://cidoc-crm.org/sites/default/files/CIDOC%20CRM_v.7.1%20%5B8%20March%202021%5D.pdf" TargetMode="External"/><Relationship Id="rId397" Type="http://schemas.openxmlformats.org/officeDocument/2006/relationships/hyperlink" Target="https://www.btb.termiumplus.gc.ca/tpv2alpha/alpha-fra.html?lang=fra&amp;i=1&amp;srchtxt=construct&amp;index=ent&amp;codom2nd_wet=1" TargetMode="External"/><Relationship Id="rId4" Type="http://schemas.openxmlformats.org/officeDocument/2006/relationships/settings" Target="settings.xml"/><Relationship Id="rId180" Type="http://schemas.openxmlformats.org/officeDocument/2006/relationships/hyperlink" Target="https://collections.louvre.fr/en/ark:/53355/cl010062370" TargetMode="External"/><Relationship Id="rId215" Type="http://schemas.openxmlformats.org/officeDocument/2006/relationships/hyperlink" Target="https://en.wikipedia.org/w/index.php?title=Well-known_text_representation_of_geometry&amp;oldid=1105540049" TargetMode="External"/><Relationship Id="rId236" Type="http://schemas.openxmlformats.org/officeDocument/2006/relationships/hyperlink" Target="https://reliuredartdare.com/2021/09/batonnets-tranchefile-fabrication/" TargetMode="External"/><Relationship Id="rId257" Type="http://schemas.openxmlformats.org/officeDocument/2006/relationships/hyperlink" Target="https://www.benaki.org//index.php?option=com_collections&amp;view=collection&amp;id=45&amp;Itemid=540&amp;lang=el" TargetMode="External"/><Relationship Id="rId278" Type="http://schemas.openxmlformats.org/officeDocument/2006/relationships/image" Target="media/image14.png"/><Relationship Id="rId401" Type="http://schemas.openxmlformats.org/officeDocument/2006/relationships/hyperlink" Target="https://www.btb.termiumplus.gc.ca/tpv2alpha/alpha-fra.html?lang=fra&amp;i=1&amp;srchtxt=directed+graph&amp;index=alt&amp;codom2nd_wet=1" TargetMode="External"/><Relationship Id="rId422" Type="http://schemas.openxmlformats.org/officeDocument/2006/relationships/hyperlink" Target="https://fr.wikipedia.org/w/index.php?title=Langue_SVO&amp;oldid=176099662" TargetMode="External"/><Relationship Id="rId443" Type="http://schemas.openxmlformats.org/officeDocument/2006/relationships/header" Target="header1.xml"/><Relationship Id="rId303" Type="http://schemas.openxmlformats.org/officeDocument/2006/relationships/hyperlink" Target="https://fr.wikipedia.org/wiki/Alg%C3%A8bre_des_intervalles_d%27Allen" TargetMode="External"/><Relationship Id="rId42" Type="http://schemas.openxmlformats.org/officeDocument/2006/relationships/hyperlink" Target="https://www.lri.fr/~groz/documents/rapport.pdf" TargetMode="External"/><Relationship Id="rId84" Type="http://schemas.openxmlformats.org/officeDocument/2006/relationships/hyperlink" Target="https://fr.wikipedia.org/w/index.php?title=Fan-out&amp;oldid=176479075" TargetMode="External"/><Relationship Id="rId138" Type="http://schemas.openxmlformats.org/officeDocument/2006/relationships/image" Target="media/image5.png"/><Relationship Id="rId345" Type="http://schemas.openxmlformats.org/officeDocument/2006/relationships/hyperlink" Target="https://www.historical-museum.gr/eng/collections/view/nomismatikh-sullogh" TargetMode="External"/><Relationship Id="rId387" Type="http://schemas.openxmlformats.org/officeDocument/2006/relationships/hyperlink" Target="https://vitrinelinguistique.oqlf.gouv.qc.ca/22247/le-vocabulaire/nuances-semantiques/difference-entre-procede-processus-et-procedure" TargetMode="External"/><Relationship Id="rId191" Type="http://schemas.openxmlformats.org/officeDocument/2006/relationships/hyperlink" Target="https://fr.wikipedia.org/w/index.php?title=%E5%AE%89" TargetMode="External"/><Relationship Id="rId205" Type="http://schemas.openxmlformats.org/officeDocument/2006/relationships/hyperlink" Target="https://www.btb.termiumplus.gc.ca/tpv2alpha/alpha-fra.html?lang=fra&amp;srchtxt=temporal%20reasoning&amp;i=&amp;index=alt&amp;sg_kp_wet=921138&amp;fchrcrdnm=1" TargetMode="External"/><Relationship Id="rId247" Type="http://schemas.openxmlformats.org/officeDocument/2006/relationships/hyperlink" Target="https://www.btb.termiumplus.gc.ca/tpv2alpha/alpha-fra.html?lang=fra&amp;i=1&amp;srchtxt=back+catalogue&amp;index=alt&amp;codom2nd_wet=1" TargetMode="External"/><Relationship Id="rId412" Type="http://schemas.openxmlformats.org/officeDocument/2006/relationships/hyperlink" Target="https://www.btb.termiumplus.gc.ca/tpv2alpha/alpha-fra.html?lang=fra&amp;i=1&amp;srchtxt=custody&amp;codom2nd_wet=1" TargetMode="External"/><Relationship Id="rId107" Type="http://schemas.openxmlformats.org/officeDocument/2006/relationships/hyperlink" Target="https://fr.wikipedia.org/w/index.php?title=Fan-out&amp;oldid=176479075" TargetMode="External"/><Relationship Id="rId289" Type="http://schemas.openxmlformats.org/officeDocument/2006/relationships/hyperlink" Target="https://en.wikipedia.org/w/index.php?title=Groschen&amp;oldid=1153418826" TargetMode="External"/><Relationship Id="rId11" Type="http://schemas.openxmlformats.org/officeDocument/2006/relationships/hyperlink" Target="https://www.btb.termiumplus.gc.ca/tpv2alpha/alpha-fra.html?lang=fra&amp;i=1&amp;srchtxt=construct&amp;index=ent&amp;codom2nd_wet=1" TargetMode="External"/><Relationship Id="rId53" Type="http://schemas.openxmlformats.org/officeDocument/2006/relationships/hyperlink" Target="https://www.btb.termiumplus.gc.ca/tpv2alpha/alpha-fra.html?lang=fra&amp;i=1&amp;srchtxt=quantifier&amp;index=ent&amp;codom2nd_wet=1" TargetMode="External"/><Relationship Id="rId149" Type="http://schemas.openxmlformats.org/officeDocument/2006/relationships/hyperlink" Target="https://www.btb.termiumplus.gc.ca/tpv2alpha/alpha-fra.html?lang=fra&amp;i=1&amp;srchtxt=land+use&amp;index=alt&amp;codom2nd_wet=1" TargetMode="External"/><Relationship Id="rId314" Type="http://schemas.openxmlformats.org/officeDocument/2006/relationships/hyperlink" Target="https://doi.org/10.1145/182.358434" TargetMode="External"/><Relationship Id="rId356" Type="http://schemas.openxmlformats.org/officeDocument/2006/relationships/hyperlink" Target="https://youingreece.com/heraklion/venetian-walls" TargetMode="External"/><Relationship Id="rId398" Type="http://schemas.openxmlformats.org/officeDocument/2006/relationships/hyperlink" Target="https://www.btb.termiumplus.gc.ca/tpv2alpha/alpha-fra.html?lang=fra&amp;i=1&amp;srchtxt=containment&amp;index=ent&amp;codom2nd_wet=1" TargetMode="External"/><Relationship Id="rId95" Type="http://schemas.openxmlformats.org/officeDocument/2006/relationships/hyperlink" Target="https://fr.wikipedia.org/w/index.php?title=Fan-out&amp;oldid=176479075" TargetMode="External"/><Relationship Id="rId160" Type="http://schemas.openxmlformats.org/officeDocument/2006/relationships/hyperlink" Target="https://www.btb.termiumplus.gc.ca/tpv2alpha/alpha-fra.html?lang=fra&amp;i=1&amp;srchtxt=MUSEUM+EXHIBIT&amp;codom2nd_wet=1" TargetMode="External"/><Relationship Id="rId216" Type="http://schemas.openxmlformats.org/officeDocument/2006/relationships/hyperlink" Target="https://antidote.app/dictionnaires/fr/definitions/FRUAgAAAABGUgBDZAAAQ2QAAC0AAACDTm9thmFjdGFudICAgA%3D%3Dd707/RlLvh7cyNTY2N%2B%2BHt05vbQ%3D%3D/RlLvh7cyNTY2N%2B%2BHt05vbe%2BHt2FjdGFudO%2BHt2FjdGFudA%3D%3D" TargetMode="External"/><Relationship Id="rId423" Type="http://schemas.openxmlformats.org/officeDocument/2006/relationships/hyperlink" Target="https://fr.wikipedia.org/w/index.php?title=Fan-in&amp;oldid=176479056" TargetMode="External"/><Relationship Id="rId258" Type="http://schemas.openxmlformats.org/officeDocument/2006/relationships/hyperlink" Target="https://impactalk.gr/en/stories-talk/maria-argyriadi-researcher-and-toys-collector-changed-benaki-museum" TargetMode="External"/><Relationship Id="rId22" Type="http://schemas.openxmlformats.org/officeDocument/2006/relationships/hyperlink" Target="https://fr.wikipedia.org/w/index.php?title=Langue_SVO&amp;oldid=176099662" TargetMode="External"/><Relationship Id="rId64" Type="http://schemas.openxmlformats.org/officeDocument/2006/relationships/hyperlink" Target="https://www.w3.org/RDF/" TargetMode="External"/><Relationship Id="rId118" Type="http://schemas.openxmlformats.org/officeDocument/2006/relationships/hyperlink" Target="https://www.btb.termiumplus.gc.ca/tpv2alpha/alpha-fra.html?lang=fra&amp;i=&amp;index=alt&amp;srchtxt=CATEGORIE%20REPETABLE" TargetMode="External"/><Relationship Id="rId325" Type="http://schemas.openxmlformats.org/officeDocument/2006/relationships/hyperlink" Target="https://doi.org/10.1080/03007760802021093" TargetMode="External"/><Relationship Id="rId367" Type="http://schemas.openxmlformats.org/officeDocument/2006/relationships/hyperlink" Target="http://www.opikanoba.org/tr/w3c/webarch/" TargetMode="External"/><Relationship Id="rId171" Type="http://schemas.openxmlformats.org/officeDocument/2006/relationships/hyperlink" Target="https://www.loc.gov/item/00279380435-ms" TargetMode="External"/><Relationship Id="rId227" Type="http://schemas.openxmlformats.org/officeDocument/2006/relationships/hyperlink" Target="https://fr.wikipedia.org/w/index.php?title=Expositions_des_vestiges_arch%C3%A9ologiques_provenant_de_la_tombe_de_Tout%C3%A2nkhamon&amp;oldid=179392035" TargetMode="External"/><Relationship Id="rId269" Type="http://schemas.openxmlformats.org/officeDocument/2006/relationships/hyperlink" Target="https://fr.wikipedia.org/wiki/Alg%C3%A8bre_des_intervalles_d%27Allen" TargetMode="External"/><Relationship Id="rId434" Type="http://schemas.openxmlformats.org/officeDocument/2006/relationships/hyperlink" Target="https://fr.wikipedia.org/w/index.php?title=Penny&amp;oldid=199318252" TargetMode="External"/><Relationship Id="rId33" Type="http://schemas.openxmlformats.org/officeDocument/2006/relationships/hyperlink" Target="https://www.btb.termiumplus.gc.ca/tpv2alpha/alpha-fra.html?lang=fra&amp;i=1&amp;srchtxt=normalization&amp;index=alt&amp;codom2nd_wet=1" TargetMode="External"/><Relationship Id="rId129" Type="http://schemas.openxmlformats.org/officeDocument/2006/relationships/hyperlink" Target="https://fr.wikipedia.org/w/index.php?title=Monotonie&amp;oldid=134697868" TargetMode="External"/><Relationship Id="rId280" Type="http://schemas.openxmlformats.org/officeDocument/2006/relationships/hyperlink" Target="https://fr.wikipedia.org/wiki/Alg%C3%A8bre_des_intervalles_d%27Allen" TargetMode="External"/><Relationship Id="rId336" Type="http://schemas.openxmlformats.org/officeDocument/2006/relationships/hyperlink" Target="https://data.nhm.ac.uk/doi/10.5519/qd.thnwfxy8" TargetMode="External"/><Relationship Id="rId75" Type="http://schemas.openxmlformats.org/officeDocument/2006/relationships/hyperlink" Target="https://www.btb.termiumplus.gc.ca/tpv2alpha/alpha-fra.html?lang=fra&amp;i=1&amp;srchtxt=cardinalit%C3%A9&amp;index=frt&amp;codom2nd_wet=1" TargetMode="External"/><Relationship Id="rId140" Type="http://schemas.openxmlformats.org/officeDocument/2006/relationships/hyperlink" Target="https://cidoc-crm.org/sites/default/files/cidoc_crm_version_6.2.pdf" TargetMode="External"/><Relationship Id="rId182" Type="http://schemas.openxmlformats.org/officeDocument/2006/relationships/hyperlink" Target="http://lccn.loc.gov/sh85082387" TargetMode="External"/><Relationship Id="rId378" Type="http://schemas.openxmlformats.org/officeDocument/2006/relationships/hyperlink" Target="https://www.lri.fr/~groz/documents/rapport.pdf" TargetMode="External"/><Relationship Id="rId403" Type="http://schemas.openxmlformats.org/officeDocument/2006/relationships/hyperlink" Target="https://www.btb.termiumplus.gc.ca/tpv2alpha/alpha-fra.html?lang=fra&amp;i=1&amp;srchtxt=fan-out&amp;index=ent&amp;codom2nd_wet=1" TargetMode="External"/><Relationship Id="rId6" Type="http://schemas.openxmlformats.org/officeDocument/2006/relationships/footnotes" Target="footnotes.xml"/><Relationship Id="rId238" Type="http://schemas.openxmlformats.org/officeDocument/2006/relationships/hyperlink" Target="https://www.cbbag.ca/resources/Public/Book%20Arts%20ENG%20FRE%20Translation.pdf" TargetMode="External"/><Relationship Id="rId445" Type="http://schemas.openxmlformats.org/officeDocument/2006/relationships/theme" Target="theme/theme1.xml"/><Relationship Id="rId291" Type="http://schemas.openxmlformats.org/officeDocument/2006/relationships/hyperlink" Target="https://en.wiktionary.org/w/index.php?title=oka&amp;oldid=72628696" TargetMode="External"/><Relationship Id="rId305" Type="http://schemas.openxmlformats.org/officeDocument/2006/relationships/image" Target="media/image23.png"/><Relationship Id="rId347" Type="http://schemas.openxmlformats.org/officeDocument/2006/relationships/hyperlink" Target="https://www.panotis.gr/index.php/2016/06/29/the-holy-spirit-stressed-summit-of-crete/" TargetMode="External"/><Relationship Id="rId44" Type="http://schemas.openxmlformats.org/officeDocument/2006/relationships/hyperlink" Target="https://www.btb.termiumplus.gc.ca/tpv2alpha/alpha-fra.html?lang=fra&amp;i=1&amp;srchtxt=containment&amp;index=ent&amp;codom2nd_wet=1" TargetMode="External"/><Relationship Id="rId86" Type="http://schemas.openxmlformats.org/officeDocument/2006/relationships/hyperlink" Target="https://www.btb.termiumplus.gc.ca/tpv2alpha/alpha-fra.html?lang=fra&amp;i=1&amp;srchtxt=fan-in&amp;index=ent&amp;codom2nd_wet=1" TargetMode="External"/><Relationship Id="rId151" Type="http://schemas.openxmlformats.org/officeDocument/2006/relationships/hyperlink" Target="https://vitrinelinguistique.oqlf.gouv.qc.ca/22247/le-vocabulaire/nuances-semantiques/difference-entre-procede-processus-et-procedure" TargetMode="External"/><Relationship Id="rId389" Type="http://schemas.openxmlformats.org/officeDocument/2006/relationships/hyperlink" Target="https://www.w3.org/OWL/" TargetMode="External"/><Relationship Id="rId193" Type="http://schemas.openxmlformats.org/officeDocument/2006/relationships/hyperlink" Target="http://www.cidoc-crm.org/crmgeo/home-5" TargetMode="External"/><Relationship Id="rId207" Type="http://schemas.openxmlformats.org/officeDocument/2006/relationships/hyperlink" Target="https://fr.wikipedia.org/w/index.php?title=%C3%89rostrate&amp;oldid=173548642" TargetMode="External"/><Relationship Id="rId249" Type="http://schemas.openxmlformats.org/officeDocument/2006/relationships/hyperlink" Target="https://www.btb.termiumplus.gc.ca/tpv2alpha/alpha-fra.html?lang=fra&amp;i=1&amp;srchtxt=back+catalogue&amp;index=alt&amp;codom2nd_wet=1" TargetMode="External"/><Relationship Id="rId414" Type="http://schemas.openxmlformats.org/officeDocument/2006/relationships/hyperlink" Target="https://www.btb.termiumplus.gc.ca/tpv2alpha/alpha-fra.html?lang=fra&amp;i=1&amp;srchtxt=MUSEUM+EXHIBIT&amp;codom2nd_wet=1" TargetMode="External"/><Relationship Id="rId13" Type="http://schemas.openxmlformats.org/officeDocument/2006/relationships/hyperlink" Target="https://www.btb.termiumplus.gc.ca/tpv2alpha/alpha-fra.html?lang=fra&amp;i=1&amp;srchtxt=construct&amp;index=ent&amp;codom2nd_wet=1" TargetMode="External"/><Relationship Id="rId109" Type="http://schemas.openxmlformats.org/officeDocument/2006/relationships/hyperlink" Target="https://www.btb.termiumplus.gc.ca/tpv2alpha/alpha-fra.html?lang=fra&amp;i=1&amp;srchtxt=fan-in&amp;index=ent&amp;codom2nd_wet=1" TargetMode="External"/><Relationship Id="rId260" Type="http://schemas.openxmlformats.org/officeDocument/2006/relationships/hyperlink" Target="https://utpictura18.univ-amu.fr/notice/4226-farinelli-amis-amigoni" TargetMode="External"/><Relationship Id="rId316" Type="http://schemas.openxmlformats.org/officeDocument/2006/relationships/hyperlink" Target="https://doi.org/10.1016/j.jas.2006.03.010" TargetMode="External"/><Relationship Id="rId55" Type="http://schemas.openxmlformats.org/officeDocument/2006/relationships/hyperlink" Target="https://www.btb.termiumplus.gc.ca/tpv2alpha/alpha-eng.html?lang=eng&amp;i=1&amp;srchtxt=INFORMATION+SYSTEM&amp;index=ent&amp;codom2nd_wet=1" TargetMode="External"/><Relationship Id="rId97" Type="http://schemas.openxmlformats.org/officeDocument/2006/relationships/hyperlink" Target="https://www.btb.termiumplus.gc.ca/tpv2alpha/alpha-fra.html?lang=fra&amp;i=1&amp;srchtxt=fan-in&amp;index=ent&amp;codom2nd_wet=1" TargetMode="External"/><Relationship Id="rId120" Type="http://schemas.openxmlformats.org/officeDocument/2006/relationships/hyperlink" Target="https://fr.wikipedia.org/w/index.php?title=Fan-in&amp;oldid=176479056" TargetMode="External"/><Relationship Id="rId358" Type="http://schemas.openxmlformats.org/officeDocument/2006/relationships/hyperlink" Target="https://doi.org/doi:10.3200/CLUS.23.4.87-90" TargetMode="External"/><Relationship Id="rId162" Type="http://schemas.openxmlformats.org/officeDocument/2006/relationships/hyperlink" Target="https://essentiels.bnf.fr/fr/image/eff2e8b4-8e73-4800-91fb-7d277ca66a34-femme-devant-poele-7e-etat" TargetMode="External"/><Relationship Id="rId218" Type="http://schemas.openxmlformats.org/officeDocument/2006/relationships/hyperlink" Target="https://openlibrary.org/books/OL7063760M/The_palace_of_Minos" TargetMode="External"/><Relationship Id="rId425" Type="http://schemas.openxmlformats.org/officeDocument/2006/relationships/hyperlink" Target="https://fr.wikipedia.org/wiki/Alg%C3%A8bre_des_intervalles_d%27Allen" TargetMode="External"/><Relationship Id="rId271" Type="http://schemas.openxmlformats.org/officeDocument/2006/relationships/image" Target="media/image11.png"/><Relationship Id="rId24" Type="http://schemas.openxmlformats.org/officeDocument/2006/relationships/hyperlink" Target="https://fr.wikipedia.org/w/index.php?title=Langue_SVO&amp;oldid=176099662" TargetMode="External"/><Relationship Id="rId66" Type="http://schemas.openxmlformats.org/officeDocument/2006/relationships/hyperlink" Target="https://www.w3.org/XML/" TargetMode="External"/><Relationship Id="rId131" Type="http://schemas.openxmlformats.org/officeDocument/2006/relationships/hyperlink" Target="https://fr.wikipedia.org/w/index.php?title=Monotonie&amp;oldid=134697868" TargetMode="External"/><Relationship Id="rId327" Type="http://schemas.openxmlformats.org/officeDocument/2006/relationships/hyperlink" Target="https://doi.org/10.1016/j.euroecorev.2014.08.004" TargetMode="External"/><Relationship Id="rId369" Type="http://schemas.openxmlformats.org/officeDocument/2006/relationships/hyperlink" Target="https://www.cnrtl.fr/definition/p%C3%A9rissement" TargetMode="External"/><Relationship Id="rId173" Type="http://schemas.openxmlformats.org/officeDocument/2006/relationships/hyperlink" Target="https://www.moulinduverger.com/reliure-manuelle/roret-69.php" TargetMode="External"/><Relationship Id="rId229" Type="http://schemas.openxmlformats.org/officeDocument/2006/relationships/hyperlink" Target="https://www.moulinduverger.com/reliure-manuelle/roret-69.php" TargetMode="External"/><Relationship Id="rId380" Type="http://schemas.openxmlformats.org/officeDocument/2006/relationships/hyperlink" Target="https://json-ld.org/" TargetMode="External"/><Relationship Id="rId436" Type="http://schemas.openxmlformats.org/officeDocument/2006/relationships/hyperlink" Target="https://fr.wikipedia.org/w/index.php?title=Georges_Amoudruz&amp;oldid=202151566" TargetMode="External"/><Relationship Id="rId240" Type="http://schemas.openxmlformats.org/officeDocument/2006/relationships/hyperlink" Target="https://fr.wikipedia.org/w/index.php?title=Penny&amp;oldid=199318252" TargetMode="External"/><Relationship Id="rId35" Type="http://schemas.openxmlformats.org/officeDocument/2006/relationships/hyperlink" Target="https://www.btb.termiumplus.gc.ca/tpv2alpha/alpha-fra.html?lang=fra&amp;i=1&amp;srchtxt=directed+graph&amp;index=alt&amp;codom2nd_wet=1" TargetMode="External"/><Relationship Id="rId77" Type="http://schemas.openxmlformats.org/officeDocument/2006/relationships/hyperlink" Target="https://www.btb.termiumplus.gc.ca/tpv2alpha/alpha-fra.html?lang=fra&amp;i=&amp;index=alt&amp;srchtxt=CATEGORIE%20REPETABLE" TargetMode="External"/><Relationship Id="rId100" Type="http://schemas.openxmlformats.org/officeDocument/2006/relationships/hyperlink" Target="https://www.btb.termiumplus.gc.ca/tpv2alpha/alpha-fra.html?lang=fra&amp;i=&amp;index=alt&amp;srchtxt=CATEGORIE%20REPETABLE" TargetMode="External"/><Relationship Id="rId282" Type="http://schemas.openxmlformats.org/officeDocument/2006/relationships/hyperlink" Target="https://www.moulinduverger.com/reliure-manuelle/roret-69.php" TargetMode="External"/><Relationship Id="rId338" Type="http://schemas.openxmlformats.org/officeDocument/2006/relationships/hyperlink" Target="https://www.semanticscholar.org/paper/Radiocarbon-dating-of-the-Iceman-%C3%96tzi-with-mass-Kutschera/20d9b3be6466e3a6d51ddb213f9c982fdf949024" TargetMode="External"/><Relationship Id="rId8" Type="http://schemas.openxmlformats.org/officeDocument/2006/relationships/hyperlink" Target="https://collections.louvre.fr/en/ark:/53355/cl010062370" TargetMode="External"/><Relationship Id="rId142" Type="http://schemas.openxmlformats.org/officeDocument/2006/relationships/image" Target="media/image7.png"/><Relationship Id="rId184" Type="http://schemas.openxmlformats.org/officeDocument/2006/relationships/hyperlink" Target="https://fr.wikipedia.org/w/index.php?title=United_Press_International&amp;oldid=182934531" TargetMode="External"/><Relationship Id="rId391" Type="http://schemas.openxmlformats.org/officeDocument/2006/relationships/hyperlink" Target="https://www.cbbag.ca/resources/Public/Book%20Arts%20ENG%20FRE%20Translation.pdf" TargetMode="External"/><Relationship Id="rId405" Type="http://schemas.openxmlformats.org/officeDocument/2006/relationships/hyperlink" Target="https://www.btb.termiumplus.gc.ca/tpv2alpha/alpha-eng.html?lang=eng&amp;i=1&amp;srchtxt=INFORMATION+SYSTEM&amp;index=ent&amp;codom2nd_wet=1" TargetMode="External"/><Relationship Id="rId251" Type="http://schemas.openxmlformats.org/officeDocument/2006/relationships/hyperlink" Target="https://fr.wikipedia.org/w/index.php?title=L%C3%A1szl%C3%B3_Moholy-Nagy&amp;oldid=192385234" TargetMode="External"/><Relationship Id="rId46" Type="http://schemas.openxmlformats.org/officeDocument/2006/relationships/hyperlink" Target="https://www.lri.fr/~groz/documents/rapport.pdf" TargetMode="External"/><Relationship Id="rId293" Type="http://schemas.openxmlformats.org/officeDocument/2006/relationships/image" Target="media/image17.png"/><Relationship Id="rId307" Type="http://schemas.openxmlformats.org/officeDocument/2006/relationships/hyperlink" Target="https://fr.wikipedia.org/wiki/Alg%C3%A8bre_des_intervalles_d%27Allen" TargetMode="External"/><Relationship Id="rId349" Type="http://schemas.openxmlformats.org/officeDocument/2006/relationships/hyperlink" Target="https://doi.org/10.1111/AN.445" TargetMode="External"/><Relationship Id="rId88" Type="http://schemas.openxmlformats.org/officeDocument/2006/relationships/hyperlink" Target="https://www.btb.termiumplus.gc.ca/tpv2alpha/alpha-fra.html?lang=fra&amp;i=&amp;index=alt&amp;srchtxt=CATEGORIE%20REPETABLE" TargetMode="External"/><Relationship Id="rId111" Type="http://schemas.openxmlformats.org/officeDocument/2006/relationships/hyperlink" Target="https://www.btb.termiumplus.gc.ca/tpv2alpha/alpha-fra.html?lang=fra&amp;i=&amp;index=alt&amp;srchtxt=CATEGORIE%20REPETABLE" TargetMode="External"/><Relationship Id="rId153" Type="http://schemas.openxmlformats.org/officeDocument/2006/relationships/hyperlink" Target="https://www.btb.termiumplus.gc.ca/tpv2alpha/alpha-fra.html?lang=fra&amp;i=1&amp;srchtxt=custody&amp;codom2nd_wet=1" TargetMode="External"/><Relationship Id="rId195" Type="http://schemas.openxmlformats.org/officeDocument/2006/relationships/hyperlink" Target="http://www.cidoc-crm.org/crmgeo/home-5" TargetMode="External"/><Relationship Id="rId209" Type="http://schemas.openxmlformats.org/officeDocument/2006/relationships/hyperlink" Target="https://www.cnrtl.fr/definition/p%C3%A9rissement" TargetMode="External"/><Relationship Id="rId360" Type="http://schemas.openxmlformats.org/officeDocument/2006/relationships/hyperlink" Target="https://en.wikipedia.org/w/index.php?title=Et_in_Arcadia_ego&amp;oldid=1003943423" TargetMode="External"/><Relationship Id="rId416" Type="http://schemas.openxmlformats.org/officeDocument/2006/relationships/hyperlink" Target="https://utpictura18.univ-amu.fr/notice/4226-farinelli-amis-amigoni" TargetMode="External"/><Relationship Id="rId220" Type="http://schemas.openxmlformats.org/officeDocument/2006/relationships/hyperlink" Target="https://www.btb.termiumplus.gc.ca/tpv2alpha/alpha-fra.html?lang=fra&amp;i=1&amp;srchtxt=contiguous&amp;codom2nd_wet=1" TargetMode="External"/><Relationship Id="rId15" Type="http://schemas.openxmlformats.org/officeDocument/2006/relationships/hyperlink" Target="http://www.opikanoba.org/tr/w3c/webarch/" TargetMode="External"/><Relationship Id="rId57" Type="http://schemas.openxmlformats.org/officeDocument/2006/relationships/hyperlink" Target="https://www.w3.org/OWL/" TargetMode="External"/><Relationship Id="rId262" Type="http://schemas.openxmlformats.org/officeDocument/2006/relationships/hyperlink" Target="https://vitrinelinguistique.oqlf.gouv.qc.ca/23433/la-grammaire/ladjectif/accord-de-ladjectif/cas-particuliers-daccord-de-ladjectif/accord-des-adjectifs-maximal-minimal-et-optimal" TargetMode="External"/><Relationship Id="rId318" Type="http://schemas.openxmlformats.org/officeDocument/2006/relationships/hyperlink" Target="https://www.benaki.org//index.php?option=com_collections&amp;view=collection&amp;id=45&amp;Itemid=540&amp;lang=en" TargetMode="External"/><Relationship Id="rId99" Type="http://schemas.openxmlformats.org/officeDocument/2006/relationships/hyperlink" Target="https://www.btb.termiumplus.gc.ca/tpv2alpha/alpha-fra.html?lang=fra&amp;i=&amp;index=alt&amp;srchtxt=CATEGORIE%20REPETABLE" TargetMode="External"/><Relationship Id="rId122" Type="http://schemas.openxmlformats.org/officeDocument/2006/relationships/hyperlink" Target="https://www.btb.termiumplus.gc.ca/tpv2alpha/alpha-fra.html?lang=fra&amp;i=&amp;index=alt&amp;srchtxt=CATEGORIE%20REPETABLE" TargetMode="External"/><Relationship Id="rId164" Type="http://schemas.openxmlformats.org/officeDocument/2006/relationships/hyperlink" Target="https://fr.wikipedia.org/w/index.php?title=Liste_des_gravures_de_Rembrandt&amp;oldid=180898582" TargetMode="External"/><Relationship Id="rId371" Type="http://schemas.openxmlformats.org/officeDocument/2006/relationships/hyperlink" Target="https://portail.biblissima.fr/fr/ark:/43093/mdata4173039fff31678134d93fd0bd8ff41dd71226a8" TargetMode="External"/><Relationship Id="rId427" Type="http://schemas.openxmlformats.org/officeDocument/2006/relationships/hyperlink" Target="https://fr.wikipedia.org/w/index.php?title=Expositions_des_vestiges_arch%C3%A9ologiques_provenant_de_la_tombe_de_Tout%C3%A2nkhamon&amp;oldid=179392035" TargetMode="External"/><Relationship Id="rId26" Type="http://schemas.openxmlformats.org/officeDocument/2006/relationships/hyperlink" Target="https://www.btb.termiumplus.gc.ca/tpv2alpha/alpha-fra.html?lang=fra&amp;i=1&amp;srchtxt=construct&amp;index=ent&amp;codom2nd_wet=1" TargetMode="External"/><Relationship Id="rId231" Type="http://schemas.openxmlformats.org/officeDocument/2006/relationships/hyperlink" Target="https://reliuredartdare.com/2021/09/batonnets-tranchefile-fabrication/" TargetMode="External"/><Relationship Id="rId273" Type="http://schemas.openxmlformats.org/officeDocument/2006/relationships/hyperlink" Target="https://fr.wikipedia.org/wiki/Alg%C3%A8bre_des_intervalles_d%27Allen" TargetMode="External"/><Relationship Id="rId329" Type="http://schemas.openxmlformats.org/officeDocument/2006/relationships/hyperlink" Target="https://doi.org/10.1609/aimag.v24i3.1720" TargetMode="External"/><Relationship Id="rId68" Type="http://schemas.openxmlformats.org/officeDocument/2006/relationships/hyperlink" Target="https://www.w3.org/OWL/" TargetMode="External"/><Relationship Id="rId133" Type="http://schemas.openxmlformats.org/officeDocument/2006/relationships/image" Target="media/image2.png"/><Relationship Id="rId175" Type="http://schemas.openxmlformats.org/officeDocument/2006/relationships/hyperlink" Target="https://reliuredartdare.com/2021/09/batonnets-tranchefile-fabrication/" TargetMode="External"/><Relationship Id="rId340" Type="http://schemas.openxmlformats.org/officeDocument/2006/relationships/hyperlink" Target="https://doi.org/10.1504/IJMSO.2018.098393" TargetMode="External"/><Relationship Id="rId200" Type="http://schemas.openxmlformats.org/officeDocument/2006/relationships/hyperlink" Target="https://www.btb.termiumplus.gc.ca/tpv2alpha/alpha-fra.html?lang=fra&amp;srchtxt=temporal%20reasoning&amp;i=&amp;index=alt&amp;sg_kp_wet=921138&amp;fchrcrdnm=1" TargetMode="External"/><Relationship Id="rId382" Type="http://schemas.openxmlformats.org/officeDocument/2006/relationships/hyperlink" Target="https://reliuredartdare.com/2021/09/batonnets-tranchefile-fabrication/" TargetMode="External"/><Relationship Id="rId438" Type="http://schemas.openxmlformats.org/officeDocument/2006/relationships/hyperlink" Target="https://fr.wikipedia.org/w/index.php?title=Trois_Glorieuses&amp;oldid=203438591" TargetMode="External"/><Relationship Id="rId242" Type="http://schemas.openxmlformats.org/officeDocument/2006/relationships/hyperlink" Target="https://fr.wikipedia.org/w/index.php?title=Trois_Glorieuses&amp;oldid=203438591" TargetMode="External"/><Relationship Id="rId284" Type="http://schemas.openxmlformats.org/officeDocument/2006/relationships/hyperlink" Target="https://reliuredartdare.com/2021/09/batonnets-tranchefile-fabrication/" TargetMode="External"/><Relationship Id="rId37" Type="http://schemas.openxmlformats.org/officeDocument/2006/relationships/hyperlink" Target="https://www.btb.termiumplus.gc.ca/tpv2alpha/alpha-fra.html?lang=fra&amp;i=1&amp;srchtxt=join&amp;index=ent&amp;codom2nd_wet=1" TargetMode="External"/><Relationship Id="rId79" Type="http://schemas.openxmlformats.org/officeDocument/2006/relationships/hyperlink" Target="https://www.btb.termiumplus.gc.ca/tpv2alpha/alpha-fra.html?lang=fra&amp;i=1&amp;srchtxt=fan-out&amp;index=ent&amp;codom2nd_wet=1" TargetMode="External"/><Relationship Id="rId102" Type="http://schemas.openxmlformats.org/officeDocument/2006/relationships/hyperlink" Target="https://fr.wikipedia.org/w/index.php?title=Fan-in&amp;oldid=176479056" TargetMode="External"/><Relationship Id="rId144" Type="http://schemas.openxmlformats.org/officeDocument/2006/relationships/hyperlink" Target="https://fr.wikipedia.org/wiki/Univers_du_discours" TargetMode="External"/><Relationship Id="rId90" Type="http://schemas.openxmlformats.org/officeDocument/2006/relationships/hyperlink" Target="https://fr.wikipedia.org/w/index.php?title=Fan-in&amp;oldid=176479056" TargetMode="External"/><Relationship Id="rId186" Type="http://schemas.openxmlformats.org/officeDocument/2006/relationships/hyperlink" Target="https://fr.wikipedia.org/w/index.php?title=Chrisme&amp;oldid=184249375" TargetMode="External"/><Relationship Id="rId351" Type="http://schemas.openxmlformats.org/officeDocument/2006/relationships/hyperlink" Target="https://www.mentalfloss.com/article/85007/how-michael-jackson-bought-publishing-rights-beatles-catalogue" TargetMode="External"/><Relationship Id="rId393" Type="http://schemas.openxmlformats.org/officeDocument/2006/relationships/hyperlink" Target="https://www.btb.termiumplus.gc.ca/tpv2alpha/alpha-fra.html?lang=fra&amp;srchtxt=VIA&amp;i=&amp;index=ent&amp;sg_kp_wet=1323269&amp;fchrcrdnm=4" TargetMode="External"/><Relationship Id="rId407" Type="http://schemas.openxmlformats.org/officeDocument/2006/relationships/hyperlink" Target="https://www.btb.termiumplus.gc.ca/tpv2alpha/alpha-fra.html?lang=fra&amp;i=1&amp;srchtxt=merge&amp;index=ent&amp;codom2nd_wet=1" TargetMode="External"/><Relationship Id="rId211" Type="http://schemas.openxmlformats.org/officeDocument/2006/relationships/hyperlink" Target="https://www.btb.termiumplus.gc.ca/tpv2alpha/alpha-fra.html?lang=fra&amp;srchtxt=IDEATIONAL+CONTENT" TargetMode="External"/><Relationship Id="rId253" Type="http://schemas.openxmlformats.org/officeDocument/2006/relationships/hyperlink" Target="https://www.rct.uk/collection/2000811/the-coffin-of-king-george-vi-during-the-lying-in-state" TargetMode="External"/><Relationship Id="rId295" Type="http://schemas.openxmlformats.org/officeDocument/2006/relationships/hyperlink" Target="https://fr.wikipedia.org/wiki/Alg%C3%A8bre_des_intervalles_d%27Allen" TargetMode="External"/><Relationship Id="rId309" Type="http://schemas.openxmlformats.org/officeDocument/2006/relationships/hyperlink" Target="https://fr.wikipedia.org/w/index.php?title=La_Relativit%C3%A9&amp;oldid=197771496" TargetMode="External"/><Relationship Id="rId48" Type="http://schemas.openxmlformats.org/officeDocument/2006/relationships/hyperlink" Target="https://www.btb.termiumplus.gc.ca/tpv2alpha/alpha-fra.html?lang=fra&amp;i=1&amp;srchtxt=containment&amp;index=ent&amp;codom2nd_wet=1" TargetMode="External"/><Relationship Id="rId113" Type="http://schemas.openxmlformats.org/officeDocument/2006/relationships/hyperlink" Target="https://fr.wikipedia.org/w/index.php?title=Fan-in&amp;oldid=176479056" TargetMode="External"/><Relationship Id="rId320" Type="http://schemas.openxmlformats.org/officeDocument/2006/relationships/hyperlink" Target="https://www.history.com/this-day-in-history/berlin-wall-built" TargetMode="External"/><Relationship Id="rId155" Type="http://schemas.openxmlformats.org/officeDocument/2006/relationships/hyperlink" Target="https://fr.wikipedia.org/w/index.php?title=Expositions_des_vestiges_arch%C3%A9ologiques_provenant_de_la_tombe_de_Tout%C3%A2nkhamon&amp;oldid=179392035" TargetMode="External"/><Relationship Id="rId197" Type="http://schemas.openxmlformats.org/officeDocument/2006/relationships/hyperlink" Target="https://vitrinelinguistique.oqlf.gouv.qc.ca/21242/la-typographie/nombres/ecriture-des-dates-et-des-heures-dans-les-lettres-et-les-textes-courants" TargetMode="External"/><Relationship Id="rId362" Type="http://schemas.openxmlformats.org/officeDocument/2006/relationships/hyperlink" Target="https://www.w3.org/RDF/" TargetMode="External"/><Relationship Id="rId418" Type="http://schemas.openxmlformats.org/officeDocument/2006/relationships/hyperlink" Target="https://fr.wikipedia.org/w/index.php?title=Monotonie&amp;oldid=134697868" TargetMode="External"/><Relationship Id="rId222" Type="http://schemas.openxmlformats.org/officeDocument/2006/relationships/hyperlink" Target="https://fr.wikipedia.org/w/index.php?title=Georges_Amoudruz&amp;oldid=202151566" TargetMode="External"/><Relationship Id="rId264" Type="http://schemas.openxmlformats.org/officeDocument/2006/relationships/hyperlink" Target="https://vitrinelinguistique.oqlf.gouv.qc.ca/23433/la-grammaire/ladjectif/accord-de-ladjectif/cas-particuliers-daccord-de-ladjectif/accord-des-adjectifs-maximal-minimal-et-optimal" TargetMode="External"/><Relationship Id="rId17" Type="http://schemas.openxmlformats.org/officeDocument/2006/relationships/hyperlink" Target="http://www.yoyodesign.org/doc/w3c/swbp-vocab-pub/" TargetMode="External"/><Relationship Id="rId59" Type="http://schemas.openxmlformats.org/officeDocument/2006/relationships/hyperlink" Target="https://www.w3.org/XML/" TargetMode="External"/><Relationship Id="rId124" Type="http://schemas.openxmlformats.org/officeDocument/2006/relationships/hyperlink" Target="http://gdt.oqlf.gouv.qc.ca/ficheOqlf.aspx?Id_Fiche=8366746" TargetMode="External"/><Relationship Id="rId70" Type="http://schemas.openxmlformats.org/officeDocument/2006/relationships/hyperlink" Target="https://www.w3.org/OWL/" TargetMode="External"/><Relationship Id="rId166" Type="http://schemas.openxmlformats.org/officeDocument/2006/relationships/hyperlink" Target="https://portail.biblissima.fr/fr/ark:/43093/mdata4173039fff31678134d93fd0bd8ff41dd71226a8" TargetMode="External"/><Relationship Id="rId331" Type="http://schemas.openxmlformats.org/officeDocument/2006/relationships/hyperlink" Target="https://doi.org/10.1007/978-3-642-12842-4_37" TargetMode="External"/><Relationship Id="rId373" Type="http://schemas.openxmlformats.org/officeDocument/2006/relationships/hyperlink" Target="http://cidoc.mini.icom.museum/fr/" TargetMode="External"/><Relationship Id="rId429" Type="http://schemas.openxmlformats.org/officeDocument/2006/relationships/hyperlink" Target="https://fr.wikipedia.org/w/index.php?title=United_Press_International&amp;oldid=182934531" TargetMode="External"/><Relationship Id="rId1" Type="http://schemas.openxmlformats.org/officeDocument/2006/relationships/customXml" Target="../customXml/item1.xml"/><Relationship Id="rId233" Type="http://schemas.openxmlformats.org/officeDocument/2006/relationships/hyperlink" Target="https://www.cbbag.ca/resources/Public/Book%20Arts%20ENG%20FRE%20Translation.pdf" TargetMode="External"/><Relationship Id="rId440" Type="http://schemas.openxmlformats.org/officeDocument/2006/relationships/hyperlink" Target="https://www.editions-allia.com/fr/livre/91/pensees-sur-limitation-des-uvres-grecques-en-peinture-et-en-sculpture" TargetMode="External"/><Relationship Id="rId28" Type="http://schemas.openxmlformats.org/officeDocument/2006/relationships/hyperlink" Target="https://fr.wikipedia.org/w/index.php?title=Langue_SVO&amp;oldid=176099662" TargetMode="External"/><Relationship Id="rId275" Type="http://schemas.openxmlformats.org/officeDocument/2006/relationships/image" Target="media/image13.png"/><Relationship Id="rId300" Type="http://schemas.openxmlformats.org/officeDocument/2006/relationships/image" Target="media/image20.png"/><Relationship Id="rId81" Type="http://schemas.openxmlformats.org/officeDocument/2006/relationships/hyperlink" Target="https://www.btb.termiumplus.gc.ca/tpv2alpha/alpha-fra.html?lang=fra&amp;i=&amp;index=alt&amp;srchtxt=CATEGORIE%20REPETABLE" TargetMode="External"/><Relationship Id="rId135" Type="http://schemas.openxmlformats.org/officeDocument/2006/relationships/hyperlink" Target="https://www.editions-allia.com/fr/livre/91/pensees-sur-limitation-des-uvres-grecques-en-peinture-et-en-sculpture" TargetMode="External"/><Relationship Id="rId177" Type="http://schemas.openxmlformats.org/officeDocument/2006/relationships/hyperlink" Target="https://www.cbbag.ca/resources/Public/Book%20Arts%20ENG%20FRE%20Translation.pdf" TargetMode="External"/><Relationship Id="rId342" Type="http://schemas.openxmlformats.org/officeDocument/2006/relationships/hyperlink" Target="https://www.heraklion.gr/en/municipality/city-hall//city-hall.html" TargetMode="External"/><Relationship Id="rId384" Type="http://schemas.openxmlformats.org/officeDocument/2006/relationships/hyperlink" Target="http://gdt.oqlf.gouv.qc.ca/ficheOqlf.aspx?Id_Fiche=8366746" TargetMode="External"/><Relationship Id="rId202" Type="http://schemas.openxmlformats.org/officeDocument/2006/relationships/hyperlink" Target="https://www.btb.termiumplus.gc.ca/tpv2alpha/alpha-fra.html?lang=fra&amp;i=1&amp;srchtxt=avant+J%C3%A9sus-christ&amp;codom2nd_wet=1" TargetMode="External"/><Relationship Id="rId244" Type="http://schemas.openxmlformats.org/officeDocument/2006/relationships/hyperlink" Target="https://www.btb.termiumplus.gc.ca/tpv2alpha/alpha-fra.html?lang=fra&amp;i=1&amp;srchtxt=back+catalogue&amp;index=alt&amp;codom2nd_wet=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3.org/RDF/" TargetMode="External"/><Relationship Id="rId2" Type="http://schemas.openxmlformats.org/officeDocument/2006/relationships/hyperlink" Target="http://cidoc.ics.forth.gr/scope.html" TargetMode="External"/><Relationship Id="rId1" Type="http://schemas.openxmlformats.org/officeDocument/2006/relationships/hyperlink" Target="http://icom.museum/statu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F194C-FD15-4702-84D3-0722196A7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377</Pages>
  <Words>124468</Words>
  <Characters>684575</Characters>
  <Application>Microsoft Office Word</Application>
  <DocSecurity>0</DocSecurity>
  <Lines>5704</Lines>
  <Paragraphs>1614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CIDOC CRM Version 7.1.2</vt:lpstr>
      <vt:lpstr>CIDOC CRM Version 7.1.2</vt:lpstr>
    </vt:vector>
  </TitlesOfParts>
  <Company/>
  <LinksUpToDate>false</LinksUpToDate>
  <CharactersWithSpaces>807429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CIDOC CRM Version 7.1.2</dc:title>
  <dc:creator>CIDOC CRM Special Interest Group</dc:creator>
  <cp:keywords/>
  <dc:description>Le CIDOC CRM est le standard quâ€™utilisent de nombreuses organisations pour lâ€™Ã©change et lâ€™intÃ©gration de jeux de donnÃ©es et de spÃ©cifications patrimoniales. Il est dÃ©veloppÃ© et maintenu Ã  jour exclusivement en anglais par le CRM SIG, un sous-groupe du Conseil international des musÃ©es (ICOM). Ceci est une traduction en franÃ§ais dÃ©veloppÃ©e par la Traduction en franÃ§ais du CIDOC CRM, une initiative de traduction qui offre une version franÃ§aise Ã  jour et accessible ouvertement et gratuitement du standard CIDOC CRM et en dÃ©mocratise l'usage dans la communautÃ© patrimoniale francophone. Depuis la version 7.1, les entitÃ©s ayant subi des changements substantiels incluent, E4_PÃ©riode, E10_Transfert_de_la_garde, E16_Mesurage, E36_EntitÃ©_visuelle, E53_Lieu, E79_Ajout_dâ€™Ã©lÃ©ment, P39_a_mesurÃ© (a_Ã©tÃ©_mesurÃ©_par), P43_a_pour_dimension (est_la_dimension_de), P110_a_augmentÃ© (a_Ã©tÃ©_augmentÃ©_par), P139_a_pour_forme_alternative (est_la_forme_alternative_de), P173_commence_avant_ou_au_moment_de_la_fin_de (se_termine_aprÃ¨s_ou_au_moment_du_dÃ©but_de), P175_commence_avant_ou_au_moment_du_dÃ©but_de (commence_aprÃ¨s_ou_au_moment_du_dÃ©but_de), P182_se_termine_avant_ou_au_moment_du_dÃ©but_de (commence_aprÃ¨s_ou_au_moment_de_la_fin_de), P183_se_termine_avant_le_dÃ©but_de (commence_aprÃ¨s_la_fin_de) et P189_approxime (est_approximÃ©_par) ------ The CIDOC CRM is the standard used by many heritage organizations for the exchange and integration of museum collection datasets and specifications. It is developed and maintained exclusively in English by the CRM SIG, a subgroup of the International Council of Museums (ICOM). This is an official translation developed by the Traduction en franÃ§ais du CIDOC CRM, an initiative offering an open, up-to-date, and free French version of the CIDOC CRM standard, and democratizing its use in the francophone heritage community. Since version 7.1, entities having undergone substantial changes include, E4_Period, E10_Transfer_of_Custody, E16_Measurement, E36_Visual_Item, E53_Place, E79_Part_Addition, P39_meas</dc:description>
  <cp:lastModifiedBy>Philippe Michon (il, lui | he, him)</cp:lastModifiedBy>
  <cp:revision>15</cp:revision>
  <dcterms:created xsi:type="dcterms:W3CDTF">2023-12-21T15:49:00Z</dcterms:created>
  <dcterms:modified xsi:type="dcterms:W3CDTF">2024-01-08T20:45:00Z</dcterms:modified>
  <dc:language>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ributor">
    <vt:lpwstr/>
  </property>
  <property fmtid="{D5CDD505-2E9C-101B-9397-08002B2CF9AE}" pid="3" name="date">
    <vt:lpwstr>2023-10</vt:lpwstr>
  </property>
  <property fmtid="{D5CDD505-2E9C-101B-9397-08002B2CF9AE}" pid="4" name="language">
    <vt:lpwstr>fr</vt:lpwstr>
  </property>
  <property fmtid="{D5CDD505-2E9C-101B-9397-08002B2CF9AE}" pid="5" name="rights">
    <vt:lpwstr>© Traduction en français du CIDOC CRM, 2023 © Gouvernement du Canada, Réseau canadien d’information sur le patrimoine, 2023</vt:lpwstr>
  </property>
  <property fmtid="{D5CDD505-2E9C-101B-9397-08002B2CF9AE}" pid="6" name="MSIP_Label_adb4b7a6-9caa-4b32-95da-d5cfefd952da_Enabled">
    <vt:lpwstr>true</vt:lpwstr>
  </property>
  <property fmtid="{D5CDD505-2E9C-101B-9397-08002B2CF9AE}" pid="7" name="MSIP_Label_adb4b7a6-9caa-4b32-95da-d5cfefd952da_SetDate">
    <vt:lpwstr>2023-12-06T21:57:17Z</vt:lpwstr>
  </property>
  <property fmtid="{D5CDD505-2E9C-101B-9397-08002B2CF9AE}" pid="8" name="MSIP_Label_adb4b7a6-9caa-4b32-95da-d5cfefd952da_Method">
    <vt:lpwstr>Standard</vt:lpwstr>
  </property>
  <property fmtid="{D5CDD505-2E9C-101B-9397-08002B2CF9AE}" pid="9" name="MSIP_Label_adb4b7a6-9caa-4b32-95da-d5cfefd952da_Name">
    <vt:lpwstr>Unclassified</vt:lpwstr>
  </property>
  <property fmtid="{D5CDD505-2E9C-101B-9397-08002B2CF9AE}" pid="10" name="MSIP_Label_adb4b7a6-9caa-4b32-95da-d5cfefd952da_SiteId">
    <vt:lpwstr>7969f40a-ef10-4cad-a9c2-ea2ca603743a</vt:lpwstr>
  </property>
  <property fmtid="{D5CDD505-2E9C-101B-9397-08002B2CF9AE}" pid="11" name="MSIP_Label_adb4b7a6-9caa-4b32-95da-d5cfefd952da_ActionId">
    <vt:lpwstr>0d2f7783-466e-448b-b675-f0e7e5b1c287</vt:lpwstr>
  </property>
  <property fmtid="{D5CDD505-2E9C-101B-9397-08002B2CF9AE}" pid="12" name="MSIP_Label_adb4b7a6-9caa-4b32-95da-d5cfefd952da_ContentBits">
    <vt:lpwstr>0</vt:lpwstr>
  </property>
</Properties>
</file>