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Background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Need good real examples of transfer of custody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HW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Get examples from Getty Provenance Index of transfers of custody.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Outcome: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GB did this and proposes: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Proposal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Example 1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The transfer of custody of the work described s as “Von der Velden ein Ufer an der See” from Johann Matthäus von Merian to the Auction House Heldevier (Jacob) for the purpose of sale, ca. 1716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908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90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Document</w:t>
        <w:tab/>
        <w:t xml:space="preserve">Sale Catalog D-A8, Lot 0017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Artist Name(s)</w:t>
        <w:tab/>
        <w:t xml:space="preserve">VELDE (Dutch)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from catalog: der Velden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Object Title/Description</w:t>
        <w:tab/>
        <w:t xml:space="preserve">Von der Velden ein Ufer an der See.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Object Type</w:t>
        <w:tab/>
        <w:t xml:space="preserve">Gemälde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Transaction</w:t>
        <w:tab/>
        <w:t xml:space="preserve">Unbekannt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Sale Date</w:t>
        <w:tab/>
        <w:t xml:space="preserve">1716, dates unknown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Auction House</w:t>
        <w:tab/>
        <w:t xml:space="preserve">Heldevier (Jacob)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Sale Location</w:t>
        <w:tab/>
        <w:t xml:space="preserve">Frankfurt, Germany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Sale Price</w:t>
        <w:tab/>
        <w:t xml:space="preserve">60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Seller(s)</w:t>
        <w:tab/>
        <w:t xml:space="preserve">Merian, Johann Matthäus von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from catalog: van Merian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Lugt Number</w:t>
        <w:tab/>
        <w:t xml:space="preserve">231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See Also</w:t>
        <w:tab/>
        <w:t xml:space="preserve">Sale Description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</w:t>
        <w:tab/>
        <w:t xml:space="preserve">Art Sales Catalogues Online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Example 2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Document Knoedler Stock Book 8, Page 209, Row 54, Stock No. A2320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Artist Name(s) GAINSBOROUGH, THOMAS (British)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from stock book: T. Gainsborough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Object Title/Description Mrs Fitzherbert / J. Horace Harding Coll. Lot 60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Subject Portrait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Object Type Painting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Material/Dimensions 24 3/4 x 29 3/4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Transaction Sold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Entry Date 1941 Mar 1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Sale Date 1941 Mar 3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Purchase Price 11000 dollars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Sale Price 12100 dollars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Seller(s) Parke-Bernet Galleries (New York, NY, USA)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from catalog: Parke-Bernet Galleries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Buyer(s) Legion of Honor (no street address, San Francisco, CA, USA)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from catalog: California Palace of the Legion of Hono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Previous Owner(s) Harding, J. Horace [from stock book: J. Horace Harding]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Present Location San Francisco, CA, USA. California Palace of the Legion of Honor, 1941.19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3274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32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The transfer of custody of the painting Mrs. Fitzherbert to the art dealer Knoedler from Parke-Bernet Galleries (New York, NY, USA) ca. March 1941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