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53"/>
        <w:tblW w:w="11335" w:type="dxa"/>
        <w:tblLayout w:type="fixed"/>
        <w:tblLook w:val="04A0" w:firstRow="1" w:lastRow="0" w:firstColumn="1" w:lastColumn="0" w:noHBand="0" w:noVBand="1"/>
      </w:tblPr>
      <w:tblGrid>
        <w:gridCol w:w="988"/>
        <w:gridCol w:w="2268"/>
        <w:gridCol w:w="1417"/>
        <w:gridCol w:w="1134"/>
        <w:gridCol w:w="5528"/>
      </w:tblGrid>
      <w:tr w:rsidR="009B298E" w:rsidTr="009B298E">
        <w:tc>
          <w:tcPr>
            <w:tcW w:w="988" w:type="dxa"/>
          </w:tcPr>
          <w:p w:rsidR="009B298E" w:rsidRDefault="009B298E" w:rsidP="009B298E"/>
        </w:tc>
        <w:tc>
          <w:tcPr>
            <w:tcW w:w="2268" w:type="dxa"/>
          </w:tcPr>
          <w:p w:rsidR="009B298E" w:rsidRDefault="009B298E" w:rsidP="009B298E">
            <w:r>
              <w:t>From (email)</w:t>
            </w:r>
          </w:p>
        </w:tc>
        <w:tc>
          <w:tcPr>
            <w:tcW w:w="1417" w:type="dxa"/>
          </w:tcPr>
          <w:p w:rsidR="009B298E" w:rsidRDefault="009B298E" w:rsidP="009B298E">
            <w:r>
              <w:t>date</w:t>
            </w:r>
          </w:p>
        </w:tc>
        <w:tc>
          <w:tcPr>
            <w:tcW w:w="1134" w:type="dxa"/>
          </w:tcPr>
          <w:p w:rsidR="009B298E" w:rsidRDefault="009B298E" w:rsidP="009B298E">
            <w:r>
              <w:t>Selection</w:t>
            </w:r>
          </w:p>
        </w:tc>
        <w:tc>
          <w:tcPr>
            <w:tcW w:w="5528" w:type="dxa"/>
          </w:tcPr>
          <w:p w:rsidR="009B298E" w:rsidRDefault="009B298E" w:rsidP="009B298E">
            <w:r>
              <w:t>Comment</w:t>
            </w:r>
          </w:p>
        </w:tc>
      </w:tr>
      <w:tr w:rsidR="009B298E" w:rsidTr="009B298E">
        <w:tc>
          <w:tcPr>
            <w:tcW w:w="988" w:type="dxa"/>
          </w:tcPr>
          <w:p w:rsidR="009B298E" w:rsidRPr="00633E5D" w:rsidRDefault="009B298E" w:rsidP="009B298E">
            <w:pPr>
              <w:rPr>
                <w:rFonts w:asciiTheme="majorHAnsi" w:hAnsiTheme="majorHAnsi"/>
              </w:rPr>
            </w:pPr>
            <w:r>
              <w:rPr>
                <w:rFonts w:asciiTheme="majorHAnsi" w:hAnsiTheme="majorHAnsi"/>
              </w:rPr>
              <w:t>1</w:t>
            </w:r>
          </w:p>
        </w:tc>
        <w:tc>
          <w:tcPr>
            <w:tcW w:w="2268" w:type="dxa"/>
          </w:tcPr>
          <w:p w:rsidR="009B298E" w:rsidRPr="00633E5D" w:rsidRDefault="009B298E" w:rsidP="009B298E">
            <w:pPr>
              <w:rPr>
                <w:rFonts w:asciiTheme="majorHAnsi" w:hAnsiTheme="majorHAnsi"/>
              </w:rPr>
            </w:pPr>
            <w:hyperlink r:id="rId6" w:history="1">
              <w:r w:rsidRPr="00633E5D">
                <w:rPr>
                  <w:rStyle w:val="Hyperlink"/>
                  <w:rFonts w:asciiTheme="majorHAnsi" w:eastAsia="Times New Roman" w:hAnsiTheme="majorHAnsi" w:cs="Arial"/>
                </w:rPr>
                <w:t>Philip.Carlisle@HistoricEngland.org.uk</w:t>
              </w:r>
            </w:hyperlink>
          </w:p>
        </w:tc>
        <w:tc>
          <w:tcPr>
            <w:tcW w:w="1417" w:type="dxa"/>
          </w:tcPr>
          <w:p w:rsidR="009B298E" w:rsidRDefault="009B298E" w:rsidP="009B298E">
            <w:r>
              <w:t>4/1/2018</w:t>
            </w:r>
          </w:p>
        </w:tc>
        <w:tc>
          <w:tcPr>
            <w:tcW w:w="1134" w:type="dxa"/>
          </w:tcPr>
          <w:p w:rsidR="009B298E" w:rsidRDefault="009B298E" w:rsidP="009B298E">
            <w: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Default="009B298E" w:rsidP="009B298E">
            <w:r>
              <w:t>2</w:t>
            </w:r>
          </w:p>
        </w:tc>
        <w:tc>
          <w:tcPr>
            <w:tcW w:w="2268" w:type="dxa"/>
          </w:tcPr>
          <w:p w:rsidR="009B298E" w:rsidRPr="00633E5D" w:rsidRDefault="009B298E" w:rsidP="009B298E">
            <w:pPr>
              <w:rPr>
                <w:rFonts w:asciiTheme="majorHAnsi" w:hAnsiTheme="majorHAnsi"/>
              </w:rPr>
            </w:pPr>
            <w:hyperlink r:id="rId7" w:history="1">
              <w:r w:rsidRPr="004B650C">
                <w:rPr>
                  <w:rStyle w:val="Hyperlink"/>
                </w:rPr>
                <w:t>jim.salmons@factminers.org</w:t>
              </w:r>
            </w:hyperlink>
          </w:p>
        </w:tc>
        <w:tc>
          <w:tcPr>
            <w:tcW w:w="1417" w:type="dxa"/>
          </w:tcPr>
          <w:p w:rsidR="009B298E" w:rsidRDefault="009B298E" w:rsidP="009B298E">
            <w:r>
              <w:t>4/1/2018</w:t>
            </w:r>
          </w:p>
        </w:tc>
        <w:tc>
          <w:tcPr>
            <w:tcW w:w="1134" w:type="dxa"/>
          </w:tcPr>
          <w:p w:rsidR="009B298E" w:rsidRDefault="009B298E" w:rsidP="009B298E">
            <w:r w:rsidRPr="00633E5D">
              <w:rPr>
                <w:rFonts w:ascii="Times New Roman" w:eastAsia="Times New Roman" w:hAnsi="Times New Roman" w:cs="Times New Roman"/>
                <w:sz w:val="24"/>
                <w:szCs w:val="24"/>
              </w:rP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Pr="00633E5D" w:rsidRDefault="009B298E" w:rsidP="009B298E">
            <w:r>
              <w:t>3</w:t>
            </w:r>
          </w:p>
        </w:tc>
        <w:tc>
          <w:tcPr>
            <w:tcW w:w="2268" w:type="dxa"/>
          </w:tcPr>
          <w:p w:rsidR="009B298E" w:rsidRDefault="009B298E" w:rsidP="009B298E">
            <w:r w:rsidRPr="00633E5D">
              <w:t>richard@light.demon.co.uk</w:t>
            </w:r>
          </w:p>
        </w:tc>
        <w:tc>
          <w:tcPr>
            <w:tcW w:w="1417" w:type="dxa"/>
          </w:tcPr>
          <w:p w:rsidR="009B298E" w:rsidRDefault="009B298E" w:rsidP="009B298E">
            <w:r>
              <w:t>4/1/2018</w:t>
            </w:r>
          </w:p>
        </w:tc>
        <w:tc>
          <w:tcPr>
            <w:tcW w:w="1134" w:type="dxa"/>
          </w:tcPr>
          <w:p w:rsidR="009B298E" w:rsidRPr="00633E5D"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528" w:type="dxa"/>
          </w:tcPr>
          <w:p w:rsidR="009B298E" w:rsidRPr="009B298E" w:rsidRDefault="009B298E" w:rsidP="009B298E">
            <w:pPr>
              <w:rPr>
                <w:sz w:val="18"/>
                <w:szCs w:val="18"/>
              </w:rPr>
            </w:pPr>
            <w:r w:rsidRPr="009B298E">
              <w:rPr>
                <w:sz w:val="18"/>
                <w:szCs w:val="18"/>
              </w:rPr>
              <w:t xml:space="preserve">Forgive me if I'm commenting out of turn, </w:t>
            </w:r>
            <w:proofErr w:type="spellStart"/>
            <w:r w:rsidRPr="009B298E">
              <w:rPr>
                <w:sz w:val="18"/>
                <w:szCs w:val="18"/>
              </w:rPr>
              <w:t>through</w:t>
            </w:r>
            <w:proofErr w:type="spellEnd"/>
            <w:r w:rsidRPr="009B298E">
              <w:rPr>
                <w:sz w:val="18"/>
                <w:szCs w:val="18"/>
              </w:rPr>
              <w:t xml:space="preserve"> not having been involved in a discussion, but I thought that our convention is to express it as simply "P73 has translation (is translation of)" in the CRM definition text, and: </w:t>
            </w:r>
            <w:r w:rsidRPr="009B298E">
              <w:rPr>
                <w:sz w:val="18"/>
                <w:szCs w:val="18"/>
              </w:rPr>
              <w:br/>
              <w:t>P73 has translation =&gt; P73i is translation of</w:t>
            </w:r>
            <w:r w:rsidRPr="009B298E">
              <w:rPr>
                <w:sz w:val="18"/>
                <w:szCs w:val="18"/>
              </w:rPr>
              <w:br/>
              <w:t>in the RDF instantiation of the CRM.</w:t>
            </w:r>
          </w:p>
        </w:tc>
      </w:tr>
      <w:tr w:rsidR="009B298E" w:rsidTr="009B298E">
        <w:tc>
          <w:tcPr>
            <w:tcW w:w="988" w:type="dxa"/>
          </w:tcPr>
          <w:p w:rsidR="009B298E" w:rsidRPr="00633E5D" w:rsidRDefault="009B298E" w:rsidP="009B298E">
            <w:r>
              <w:t>4</w:t>
            </w:r>
          </w:p>
        </w:tc>
        <w:tc>
          <w:tcPr>
            <w:tcW w:w="2268" w:type="dxa"/>
          </w:tcPr>
          <w:p w:rsidR="009B298E" w:rsidRPr="00633E5D" w:rsidRDefault="009B298E" w:rsidP="009B298E">
            <w:r w:rsidRPr="00633E5D">
              <w:t>c.e.s.ore@iln.uio.no</w:t>
            </w:r>
          </w:p>
        </w:tc>
        <w:tc>
          <w:tcPr>
            <w:tcW w:w="1417" w:type="dxa"/>
          </w:tcPr>
          <w:p w:rsidR="009B298E" w:rsidRDefault="009B298E" w:rsidP="009B298E">
            <w:r>
              <w:t>4/1/2018</w:t>
            </w:r>
          </w:p>
        </w:tc>
        <w:tc>
          <w:tcPr>
            <w:tcW w:w="1134" w:type="dxa"/>
          </w:tcPr>
          <w:p w:rsidR="009B298E"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Pr="00633E5D" w:rsidRDefault="009B298E" w:rsidP="009B298E">
            <w:r>
              <w:t>5</w:t>
            </w:r>
          </w:p>
        </w:tc>
        <w:tc>
          <w:tcPr>
            <w:tcW w:w="2268" w:type="dxa"/>
          </w:tcPr>
          <w:p w:rsidR="009B298E" w:rsidRPr="00633E5D" w:rsidRDefault="009B298E" w:rsidP="009B298E">
            <w:r w:rsidRPr="00633E5D">
              <w:t>p.m.van.leusen@rug.nl</w:t>
            </w:r>
          </w:p>
        </w:tc>
        <w:tc>
          <w:tcPr>
            <w:tcW w:w="1417" w:type="dxa"/>
          </w:tcPr>
          <w:p w:rsidR="009B298E" w:rsidRDefault="009B298E" w:rsidP="009B298E">
            <w:r>
              <w:t>4/1/2018</w:t>
            </w:r>
          </w:p>
        </w:tc>
        <w:tc>
          <w:tcPr>
            <w:tcW w:w="1134" w:type="dxa"/>
          </w:tcPr>
          <w:p w:rsidR="009B298E"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Pr="009B298E" w:rsidRDefault="009B298E" w:rsidP="009B298E">
            <w:r>
              <w:t>6</w:t>
            </w:r>
          </w:p>
        </w:tc>
        <w:tc>
          <w:tcPr>
            <w:tcW w:w="2268" w:type="dxa"/>
          </w:tcPr>
          <w:p w:rsidR="009B298E" w:rsidRPr="00633E5D" w:rsidRDefault="009B298E" w:rsidP="009B298E">
            <w:r w:rsidRPr="009B298E">
              <w:t>RSanderson@getty.edu</w:t>
            </w:r>
          </w:p>
        </w:tc>
        <w:tc>
          <w:tcPr>
            <w:tcW w:w="1417" w:type="dxa"/>
          </w:tcPr>
          <w:p w:rsidR="009B298E" w:rsidRDefault="009B298E" w:rsidP="009B298E">
            <w:r>
              <w:t>4/1/2018</w:t>
            </w:r>
          </w:p>
        </w:tc>
        <w:tc>
          <w:tcPr>
            <w:tcW w:w="1134" w:type="dxa"/>
          </w:tcPr>
          <w:p w:rsidR="009B298E"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Pr="009B298E" w:rsidRDefault="009B298E" w:rsidP="009B298E">
            <w:r>
              <w:t>7</w:t>
            </w:r>
          </w:p>
        </w:tc>
        <w:tc>
          <w:tcPr>
            <w:tcW w:w="2268" w:type="dxa"/>
          </w:tcPr>
          <w:p w:rsidR="009B298E" w:rsidRPr="009B298E" w:rsidRDefault="009B298E" w:rsidP="009B298E">
            <w:r w:rsidRPr="009B298E">
              <w:t>smiragli@uwm.edu</w:t>
            </w:r>
          </w:p>
        </w:tc>
        <w:tc>
          <w:tcPr>
            <w:tcW w:w="1417" w:type="dxa"/>
          </w:tcPr>
          <w:p w:rsidR="009B298E" w:rsidRDefault="009B298E" w:rsidP="009B298E">
            <w:r>
              <w:t>4/1/2018</w:t>
            </w:r>
          </w:p>
        </w:tc>
        <w:tc>
          <w:tcPr>
            <w:tcW w:w="1134" w:type="dxa"/>
          </w:tcPr>
          <w:p w:rsidR="009B298E"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Pr="009B298E" w:rsidRDefault="009B298E" w:rsidP="009B298E">
            <w:r>
              <w:t>8</w:t>
            </w:r>
          </w:p>
        </w:tc>
        <w:tc>
          <w:tcPr>
            <w:tcW w:w="2268" w:type="dxa"/>
          </w:tcPr>
          <w:p w:rsidR="009B298E" w:rsidRPr="009B298E" w:rsidRDefault="009B298E" w:rsidP="009B298E">
            <w:r w:rsidRPr="009B298E">
              <w:t>lister@oeide.no</w:t>
            </w:r>
          </w:p>
        </w:tc>
        <w:tc>
          <w:tcPr>
            <w:tcW w:w="1417" w:type="dxa"/>
          </w:tcPr>
          <w:p w:rsidR="009B298E" w:rsidRDefault="009B298E" w:rsidP="009B298E">
            <w:r>
              <w:t>4/1/2018</w:t>
            </w:r>
          </w:p>
        </w:tc>
        <w:tc>
          <w:tcPr>
            <w:tcW w:w="1134" w:type="dxa"/>
          </w:tcPr>
          <w:p w:rsidR="009B298E"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5528" w:type="dxa"/>
          </w:tcPr>
          <w:p w:rsidR="009B298E" w:rsidRPr="009B298E" w:rsidRDefault="009B298E" w:rsidP="009B298E">
            <w:pPr>
              <w:rPr>
                <w:sz w:val="18"/>
                <w:szCs w:val="18"/>
              </w:rPr>
            </w:pPr>
            <w:r w:rsidRPr="009B298E">
              <w:rPr>
                <w:sz w:val="18"/>
                <w:szCs w:val="18"/>
              </w:rPr>
              <w:t>-</w:t>
            </w:r>
          </w:p>
        </w:tc>
      </w:tr>
      <w:tr w:rsidR="009B298E" w:rsidTr="009B298E">
        <w:tc>
          <w:tcPr>
            <w:tcW w:w="988" w:type="dxa"/>
          </w:tcPr>
          <w:p w:rsidR="009B298E" w:rsidRPr="009B298E" w:rsidRDefault="009B298E" w:rsidP="009B298E">
            <w:r>
              <w:t>9</w:t>
            </w:r>
          </w:p>
        </w:tc>
        <w:tc>
          <w:tcPr>
            <w:tcW w:w="2268" w:type="dxa"/>
          </w:tcPr>
          <w:p w:rsidR="009B298E" w:rsidRPr="009B298E" w:rsidRDefault="009B298E" w:rsidP="009B298E">
            <w:r w:rsidRPr="009B298E">
              <w:t>patrick.le-boeuf@bnf.fr</w:t>
            </w:r>
          </w:p>
        </w:tc>
        <w:tc>
          <w:tcPr>
            <w:tcW w:w="1417" w:type="dxa"/>
          </w:tcPr>
          <w:p w:rsidR="009B298E" w:rsidRDefault="009B298E" w:rsidP="009B298E">
            <w:r>
              <w:t>5/1/2018</w:t>
            </w:r>
          </w:p>
        </w:tc>
        <w:tc>
          <w:tcPr>
            <w:tcW w:w="1134" w:type="dxa"/>
          </w:tcPr>
          <w:p w:rsidR="009B298E" w:rsidRDefault="009B298E" w:rsidP="009B298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528" w:type="dxa"/>
          </w:tcPr>
          <w:p w:rsidR="009B298E" w:rsidRPr="009B298E" w:rsidRDefault="009B298E" w:rsidP="009B298E">
            <w:pPr>
              <w:rPr>
                <w:sz w:val="18"/>
                <w:szCs w:val="18"/>
              </w:rPr>
            </w:pPr>
            <w:r w:rsidRPr="009B298E">
              <w:rPr>
                <w:sz w:val="18"/>
                <w:szCs w:val="18"/>
              </w:rPr>
              <w:t>In my opinion, A and B are not just two alternative labels for one property, between which we have to choose; they actually correspond to two distinct properties.</w:t>
            </w:r>
            <w:r w:rsidRPr="009B298E">
              <w:rPr>
                <w:sz w:val="18"/>
                <w:szCs w:val="18"/>
              </w:rPr>
              <w:br/>
              <w:t xml:space="preserve">A corresponds to the most common case, in which we know precisely which is the "original" text, and which is the "translated" one. </w:t>
            </w:r>
            <w:proofErr w:type="gramStart"/>
            <w:r w:rsidRPr="009B298E">
              <w:rPr>
                <w:sz w:val="18"/>
                <w:szCs w:val="18"/>
              </w:rPr>
              <w:t xml:space="preserve">But B corresponds to a different situation, in which all we know is that two texts convey the same conceptual content and that most probably one is the translation of the other, but we do not know precisely which, either for lack of historical knowledge (you may find examples in the IFLA list of Anonymous Classics, &lt; </w:t>
            </w:r>
            <w:hyperlink r:id="rId8" w:history="1">
              <w:r w:rsidRPr="009B298E">
                <w:rPr>
                  <w:sz w:val="18"/>
                  <w:szCs w:val="18"/>
                </w:rPr>
                <w:t>https://www.ifla.org/files/assets/cataloguing/pubs/anonymous-classics_2004.pdf</w:t>
              </w:r>
            </w:hyperlink>
            <w:r w:rsidRPr="009B298E">
              <w:rPr>
                <w:sz w:val="18"/>
                <w:szCs w:val="18"/>
              </w:rPr>
              <w:t>&gt;), or because there is a political or legal motivation for regarding various linguistic expressions of a given content as perfectly equivalent (official texts of multilingual countries, such as Switzerland, or Canada; or supranational organizations, such as the European Union, IFLA, or ISO).</w:t>
            </w:r>
            <w:r w:rsidRPr="009B298E">
              <w:rPr>
                <w:sz w:val="18"/>
                <w:szCs w:val="18"/>
              </w:rPr>
              <w:br/>
              <w:t>I leave it to Martin to decide whether we should have two distinct properties or not:</w:t>
            </w:r>
            <w:r w:rsidRPr="009B298E">
              <w:rPr>
                <w:sz w:val="18"/>
                <w:szCs w:val="18"/>
              </w:rPr>
              <w:br/>
              <w:t>- P73 has translation (is translation of) / P73i is translation of (has translation) [a shortcut for a "long path" through an event that can be instantiated]</w:t>
            </w:r>
            <w:r w:rsidRPr="009B298E">
              <w:rPr>
                <w:sz w:val="18"/>
                <w:szCs w:val="18"/>
              </w:rPr>
              <w:br/>
              <w:t xml:space="preserve">- </w:t>
            </w:r>
            <w:proofErr w:type="spellStart"/>
            <w:r w:rsidRPr="009B298E">
              <w:rPr>
                <w:sz w:val="18"/>
                <w:szCs w:val="18"/>
              </w:rPr>
              <w:t>Pn</w:t>
            </w:r>
            <w:proofErr w:type="spellEnd"/>
            <w:r w:rsidRPr="009B298E">
              <w:rPr>
                <w:sz w:val="18"/>
                <w:szCs w:val="18"/>
              </w:rPr>
              <w:t xml:space="preserve"> has other equivalent linguistic rendition [a symmetric property, and definitely not a shortcut: it is impossible to instantiate the translation activity; it has necessarily existed, but we don't know whether it happened from domain to range or from range to domain].</w:t>
            </w:r>
            <w:proofErr w:type="gramEnd"/>
          </w:p>
        </w:tc>
      </w:tr>
    </w:tbl>
    <w:p w:rsidR="00633E5D" w:rsidRDefault="00633E5D" w:rsidP="009B298E"/>
    <w:p w:rsidR="00633E5D" w:rsidRDefault="00633E5D" w:rsidP="009B298E">
      <w:bookmarkStart w:id="0" w:name="_GoBack"/>
    </w:p>
    <w:p w:rsidR="00633E5D" w:rsidRPr="00633E5D" w:rsidRDefault="00633E5D" w:rsidP="009B298E">
      <w:r>
        <w:t xml:space="preserve"> </w:t>
      </w:r>
    </w:p>
    <w:bookmarkEnd w:id="0"/>
    <w:p w:rsidR="00633E5D" w:rsidRPr="00633E5D" w:rsidRDefault="00633E5D" w:rsidP="009B298E"/>
    <w:sectPr w:rsidR="00633E5D" w:rsidRPr="00633E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9AE" w:rsidRDefault="002869AE" w:rsidP="009B298E">
      <w:pPr>
        <w:spacing w:after="0" w:line="240" w:lineRule="auto"/>
      </w:pPr>
      <w:r>
        <w:separator/>
      </w:r>
    </w:p>
  </w:endnote>
  <w:endnote w:type="continuationSeparator" w:id="0">
    <w:p w:rsidR="002869AE" w:rsidRDefault="002869AE" w:rsidP="009B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9AE" w:rsidRDefault="002869AE" w:rsidP="009B298E">
      <w:pPr>
        <w:spacing w:after="0" w:line="240" w:lineRule="auto"/>
      </w:pPr>
      <w:r>
        <w:separator/>
      </w:r>
    </w:p>
  </w:footnote>
  <w:footnote w:type="continuationSeparator" w:id="0">
    <w:p w:rsidR="002869AE" w:rsidRDefault="002869AE" w:rsidP="009B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8E" w:rsidRDefault="009B298E">
    <w:pPr>
      <w:pStyle w:val="Header"/>
    </w:pPr>
    <w:r>
      <w:t>Outcome of voting by email for the order of the labels of the inverse property</w:t>
    </w:r>
  </w:p>
  <w:p w:rsidR="009B298E" w:rsidRDefault="009B298E">
    <w:pPr>
      <w:pStyle w:val="Header"/>
    </w:pPr>
    <w:r>
      <w:t>The voting has been initiated by Martin on 4/1/2018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D2"/>
    <w:rsid w:val="002869AE"/>
    <w:rsid w:val="002909E5"/>
    <w:rsid w:val="00633E5D"/>
    <w:rsid w:val="009B298E"/>
    <w:rsid w:val="00EA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2153"/>
  <w15:chartTrackingRefBased/>
  <w15:docId w15:val="{17810B71-133B-4955-8AE4-7EDB442A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3E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3E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E5D"/>
    <w:rPr>
      <w:color w:val="0000FF"/>
      <w:u w:val="single"/>
    </w:rPr>
  </w:style>
  <w:style w:type="character" w:customStyle="1" w:styleId="Heading1Char">
    <w:name w:val="Heading 1 Char"/>
    <w:basedOn w:val="DefaultParagraphFont"/>
    <w:link w:val="Heading1"/>
    <w:uiPriority w:val="9"/>
    <w:rsid w:val="00633E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3E5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3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98E"/>
  </w:style>
  <w:style w:type="paragraph" w:styleId="Footer">
    <w:name w:val="footer"/>
    <w:basedOn w:val="Normal"/>
    <w:link w:val="FooterChar"/>
    <w:uiPriority w:val="99"/>
    <w:unhideWhenUsed/>
    <w:rsid w:val="009B2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09973">
      <w:bodyDiv w:val="1"/>
      <w:marLeft w:val="0"/>
      <w:marRight w:val="0"/>
      <w:marTop w:val="0"/>
      <w:marBottom w:val="0"/>
      <w:divBdr>
        <w:top w:val="none" w:sz="0" w:space="0" w:color="auto"/>
        <w:left w:val="none" w:sz="0" w:space="0" w:color="auto"/>
        <w:bottom w:val="none" w:sz="0" w:space="0" w:color="auto"/>
        <w:right w:val="none" w:sz="0" w:space="0" w:color="auto"/>
      </w:divBdr>
      <w:divsChild>
        <w:div w:id="1047948430">
          <w:marLeft w:val="0"/>
          <w:marRight w:val="0"/>
          <w:marTop w:val="0"/>
          <w:marBottom w:val="0"/>
          <w:divBdr>
            <w:top w:val="none" w:sz="0" w:space="0" w:color="auto"/>
            <w:left w:val="none" w:sz="0" w:space="0" w:color="auto"/>
            <w:bottom w:val="none" w:sz="0" w:space="0" w:color="auto"/>
            <w:right w:val="none" w:sz="0" w:space="0" w:color="auto"/>
          </w:divBdr>
        </w:div>
      </w:divsChild>
    </w:div>
    <w:div w:id="188941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la.org/files/assets/cataloguing/pubs/anonymous-classics_2004.pdf" TargetMode="External"/><Relationship Id="rId3" Type="http://schemas.openxmlformats.org/officeDocument/2006/relationships/webSettings" Target="webSettings.xml"/><Relationship Id="rId7" Type="http://schemas.openxmlformats.org/officeDocument/2006/relationships/hyperlink" Target="mailto:jim.salmons@factmine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lip.Carlisle@HistoricEngland.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2018-01-10T15:23:00Z</dcterms:created>
  <dcterms:modified xsi:type="dcterms:W3CDTF">2018-01-10T15:40:00Z</dcterms:modified>
</cp:coreProperties>
</file>