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67" w:rsidRDefault="00FB1D67" w:rsidP="00FB1D67">
      <w:pPr>
        <w:pStyle w:val="Heading2"/>
      </w:pPr>
      <w:bookmarkStart w:id="0" w:name="_Toc60077196"/>
      <w:r w:rsidRPr="00944A12">
        <w:t>484</w:t>
      </w:r>
      <w:r>
        <w:t>:</w:t>
      </w:r>
      <w:r w:rsidRPr="00944A12">
        <w:t xml:space="preserve"> </w:t>
      </w:r>
      <w:r>
        <w:t>7.0 preparation –missing examples</w:t>
      </w:r>
      <w:bookmarkEnd w:id="0"/>
    </w:p>
    <w:p w:rsidR="00FB1D67" w:rsidRDefault="00FB1D67" w:rsidP="00FB1D67">
      <w:r>
        <w:t xml:space="preserve">The sig reviewed the examples proposed for the following temporal properties: </w:t>
      </w:r>
    </w:p>
    <w:p w:rsidR="00FB1D67" w:rsidRDefault="00FB1D67" w:rsidP="00FB1D67">
      <w:r>
        <w:t xml:space="preserve">P174 starts before the end of (ends after the start of), P183 ends before the start of (starts after the end of), P196 defines (is defined by). </w:t>
      </w:r>
    </w:p>
    <w:p w:rsidR="00FB1D67" w:rsidRDefault="00FB1D67" w:rsidP="00FB1D67">
      <w:pPr>
        <w:pStyle w:val="Heading3"/>
      </w:pPr>
      <w:bookmarkStart w:id="1" w:name="_Toc60077197"/>
      <w:r>
        <w:t>P174 starts before the end of (ends after the start of)</w:t>
      </w:r>
      <w:bookmarkEnd w:id="1"/>
    </w:p>
    <w:p w:rsidR="00FB1D67" w:rsidRDefault="00FB1D67" w:rsidP="00FB1D67">
      <w:r>
        <w:t xml:space="preserve">The sig did some minor editing, and voted on accepting the example below: </w:t>
      </w:r>
    </w:p>
    <w:p w:rsidR="00FB1D67" w:rsidRPr="00502188" w:rsidRDefault="00FB1D67" w:rsidP="00FB1D67">
      <w:pPr>
        <w:spacing w:line="256" w:lineRule="auto"/>
        <w:rPr>
          <w:rFonts w:ascii="Calibri" w:eastAsia="Calibri" w:hAnsi="Calibri" w:cs="Calibri"/>
        </w:rPr>
      </w:pPr>
      <w:r w:rsidRPr="0037782C">
        <w:rPr>
          <w:rFonts w:ascii="Calibri" w:eastAsia="Calibri" w:hAnsi="Calibri" w:cs="Calibri"/>
          <w:color w:val="538135" w:themeColor="accent6" w:themeShade="BF"/>
        </w:rPr>
        <w:t xml:space="preserve">The settling activity of the city of Assur (Ashur) (E7) </w:t>
      </w:r>
      <w:r w:rsidRPr="0037782C">
        <w:rPr>
          <w:rFonts w:ascii="Calibri" w:eastAsia="Calibri" w:hAnsi="Calibri" w:cs="Calibri"/>
          <w:i/>
          <w:iCs/>
          <w:color w:val="538135" w:themeColor="accent6" w:themeShade="BF"/>
        </w:rPr>
        <w:t>P174 starts before the end of</w:t>
      </w:r>
      <w:r w:rsidRPr="0037782C">
        <w:rPr>
          <w:rFonts w:ascii="Calibri" w:eastAsia="Calibri" w:hAnsi="Calibri" w:cs="Calibri"/>
          <w:color w:val="538135" w:themeColor="accent6" w:themeShade="BF"/>
        </w:rPr>
        <w:t xml:space="preserve"> The Tenth Dynasty of Egypt. (E4) [There are some 200 - 300 </w:t>
      </w:r>
      <w:proofErr w:type="gramStart"/>
      <w:r w:rsidRPr="0037782C">
        <w:rPr>
          <w:rFonts w:ascii="Calibri" w:eastAsia="Calibri" w:hAnsi="Calibri" w:cs="Calibri"/>
          <w:color w:val="538135" w:themeColor="accent6" w:themeShade="BF"/>
        </w:rPr>
        <w:t>years</w:t>
      </w:r>
      <w:proofErr w:type="gramEnd"/>
      <w:r w:rsidRPr="0037782C">
        <w:rPr>
          <w:rFonts w:ascii="Calibri" w:eastAsia="Calibri" w:hAnsi="Calibri" w:cs="Calibri"/>
          <w:color w:val="538135" w:themeColor="accent6" w:themeShade="BF"/>
        </w:rPr>
        <w:t xml:space="preserve"> differences in the chronology of the First Intermediate Period, and Assur is dated to "about 2500 BC”]</w:t>
      </w:r>
    </w:p>
    <w:p w:rsidR="00FB1D67" w:rsidRDefault="00FB1D67" w:rsidP="00FB1D67">
      <w:pPr>
        <w:spacing w:after="0"/>
      </w:pPr>
      <w:r>
        <w:t>In favor: 7</w:t>
      </w:r>
    </w:p>
    <w:p w:rsidR="00FB1D67" w:rsidRDefault="00FB1D67" w:rsidP="00FB1D67">
      <w:pPr>
        <w:spacing w:after="0"/>
      </w:pPr>
      <w:r>
        <w:t>Against: 0</w:t>
      </w:r>
    </w:p>
    <w:p w:rsidR="00FB1D67" w:rsidRDefault="00FB1D67" w:rsidP="00FB1D67">
      <w:r>
        <w:t xml:space="preserve">Outcome: the example will appear on the CIDOC CRM v7.1 as is. </w:t>
      </w:r>
      <w:r w:rsidRPr="00502188">
        <w:rPr>
          <w:u w:val="single"/>
        </w:rPr>
        <w:t>References must be added</w:t>
      </w:r>
      <w:r>
        <w:t xml:space="preserve">. </w:t>
      </w:r>
    </w:p>
    <w:p w:rsidR="00FB1D67" w:rsidRDefault="00FB1D67" w:rsidP="00FB1D67">
      <w:pPr>
        <w:pStyle w:val="Heading3"/>
      </w:pPr>
      <w:bookmarkStart w:id="2" w:name="_Toc60077198"/>
      <w:r>
        <w:t>P183 ends before the start of (starts after the end of)</w:t>
      </w:r>
      <w:bookmarkEnd w:id="2"/>
    </w:p>
    <w:p w:rsidR="00FB1D67" w:rsidRDefault="00FB1D67" w:rsidP="00FB1D67">
      <w:pPr>
        <w:spacing w:after="120" w:line="276" w:lineRule="auto"/>
      </w:pPr>
      <w:r>
        <w:t>MD proposed the following example</w:t>
      </w:r>
    </w:p>
    <w:p w:rsidR="00FB1D67" w:rsidRDefault="00FB1D67" w:rsidP="00FB1D67">
      <w:pPr>
        <w:spacing w:after="120" w:line="276" w:lineRule="auto"/>
        <w:rPr>
          <w:rFonts w:ascii="Calibri" w:hAnsi="Calibri" w:cs="Calibri"/>
        </w:rPr>
      </w:pPr>
      <w:r w:rsidRPr="00A24712">
        <w:rPr>
          <w:rFonts w:ascii="Calibri" w:hAnsi="Calibri" w:cs="Calibri"/>
        </w:rPr>
        <w:t>Troy VII</w:t>
      </w:r>
      <w:r w:rsidRPr="00A24712">
        <w:rPr>
          <w:rFonts w:ascii="Calibri" w:hAnsi="Calibri" w:cs="Calibri"/>
          <w:i/>
          <w:iCs/>
        </w:rPr>
        <w:t xml:space="preserve"> (E7) P183 ends before the start of </w:t>
      </w:r>
      <w:r w:rsidRPr="00A24712">
        <w:rPr>
          <w:rFonts w:ascii="Calibri" w:hAnsi="Calibri" w:cs="Calibri"/>
        </w:rPr>
        <w:t>Troy VIII (E7) [uninhabited for some 200 years]</w:t>
      </w:r>
    </w:p>
    <w:p w:rsidR="00FB1D67" w:rsidRDefault="00FB1D67" w:rsidP="00FB1D67">
      <w:pPr>
        <w:spacing w:after="120" w:line="276" w:lineRule="auto"/>
        <w:rPr>
          <w:rFonts w:ascii="Calibri" w:hAnsi="Calibri" w:cs="Calibri"/>
        </w:rPr>
      </w:pPr>
      <w:r>
        <w:rPr>
          <w:rFonts w:ascii="Calibri" w:hAnsi="Calibri" w:cs="Calibri"/>
        </w:rPr>
        <w:t>Before voting, the sig discussed on whether Troy VII/</w:t>
      </w:r>
      <w:r w:rsidRPr="00A24712">
        <w:rPr>
          <w:rFonts w:ascii="Calibri" w:hAnsi="Calibri" w:cs="Calibri"/>
        </w:rPr>
        <w:t xml:space="preserve"> </w:t>
      </w:r>
      <w:r>
        <w:rPr>
          <w:rFonts w:ascii="Calibri" w:hAnsi="Calibri" w:cs="Calibri"/>
        </w:rPr>
        <w:t xml:space="preserve">Troy VIII should be an instance of E7 Activity or E4 Period. </w:t>
      </w:r>
    </w:p>
    <w:p w:rsidR="00FB1D67" w:rsidRDefault="00FB1D67" w:rsidP="00FB1D67">
      <w:pPr>
        <w:spacing w:after="120" w:line="276" w:lineRule="auto"/>
        <w:rPr>
          <w:rFonts w:ascii="Calibri" w:hAnsi="Calibri" w:cs="Calibri"/>
        </w:rPr>
      </w:pPr>
      <w:r>
        <w:rPr>
          <w:rFonts w:ascii="Calibri" w:hAnsi="Calibri" w:cs="Calibri"/>
        </w:rPr>
        <w:t>CEO, GB: argued that if it was an activity, then it would have been carried out by an actor -we can’t say that of periods, nor of Troy VII/Troy VIII.</w:t>
      </w:r>
    </w:p>
    <w:p w:rsidR="00FB1D67" w:rsidRDefault="00FB1D67" w:rsidP="00FB1D67">
      <w:pPr>
        <w:spacing w:after="120" w:line="276" w:lineRule="auto"/>
        <w:rPr>
          <w:rFonts w:ascii="Calibri" w:hAnsi="Calibri" w:cs="Calibri"/>
        </w:rPr>
      </w:pPr>
      <w:r>
        <w:rPr>
          <w:rFonts w:ascii="Calibri" w:hAnsi="Calibri" w:cs="Calibri"/>
        </w:rPr>
        <w:t xml:space="preserve">MD: argued that Troy VII/Troy VIII would be defined by the actions of the people that lived in it. The specialization for periods is different than that. </w:t>
      </w:r>
    </w:p>
    <w:p w:rsidR="00FB1D67" w:rsidRDefault="00FB1D67" w:rsidP="00FB1D67">
      <w:pPr>
        <w:spacing w:after="120" w:line="276" w:lineRule="auto"/>
        <w:rPr>
          <w:rFonts w:ascii="Calibri" w:hAnsi="Calibri" w:cs="Calibri"/>
        </w:rPr>
      </w:pPr>
      <w:r w:rsidRPr="001F745C">
        <w:rPr>
          <w:rFonts w:ascii="Calibri" w:hAnsi="Calibri" w:cs="Calibri"/>
          <w:b/>
          <w:bCs/>
        </w:rPr>
        <w:t>PROPOSAL</w:t>
      </w:r>
      <w:r>
        <w:rPr>
          <w:rFonts w:ascii="Calibri" w:hAnsi="Calibri" w:cs="Calibri"/>
        </w:rPr>
        <w:t xml:space="preserve">: </w:t>
      </w:r>
    </w:p>
    <w:p w:rsidR="00FB1D67" w:rsidRDefault="00FB1D67" w:rsidP="00FB1D67">
      <w:pPr>
        <w:spacing w:after="120" w:line="276" w:lineRule="auto"/>
        <w:rPr>
          <w:rFonts w:ascii="Calibri" w:hAnsi="Calibri" w:cs="Calibri"/>
        </w:rPr>
      </w:pPr>
      <w:r>
        <w:rPr>
          <w:rFonts w:ascii="Calibri" w:hAnsi="Calibri" w:cs="Calibri"/>
        </w:rPr>
        <w:t xml:space="preserve">Since it has no bearing on the example, the vote should be split into two decisions: </w:t>
      </w:r>
    </w:p>
    <w:p w:rsidR="00FB1D67" w:rsidRDefault="00FB1D67" w:rsidP="00FB1D67">
      <w:pPr>
        <w:pStyle w:val="ListParagraph"/>
        <w:numPr>
          <w:ilvl w:val="0"/>
          <w:numId w:val="2"/>
        </w:numPr>
        <w:spacing w:after="120" w:line="276" w:lineRule="auto"/>
        <w:rPr>
          <w:rFonts w:ascii="Calibri" w:hAnsi="Calibri" w:cs="Calibri"/>
        </w:rPr>
      </w:pPr>
      <w:r>
        <w:rPr>
          <w:rFonts w:ascii="Calibri" w:hAnsi="Calibri" w:cs="Calibri"/>
        </w:rPr>
        <w:t>accepting the example -or not</w:t>
      </w:r>
    </w:p>
    <w:p w:rsidR="00FB1D67" w:rsidRPr="00A24712" w:rsidRDefault="00FB1D67" w:rsidP="00FB1D67">
      <w:pPr>
        <w:pStyle w:val="ListParagraph"/>
        <w:numPr>
          <w:ilvl w:val="0"/>
          <w:numId w:val="2"/>
        </w:numPr>
        <w:spacing w:after="120" w:line="276" w:lineRule="auto"/>
        <w:rPr>
          <w:rFonts w:ascii="Calibri" w:hAnsi="Calibri" w:cs="Calibri"/>
        </w:rPr>
      </w:pPr>
      <w:r>
        <w:rPr>
          <w:rFonts w:ascii="Calibri" w:hAnsi="Calibri" w:cs="Calibri"/>
        </w:rPr>
        <w:t>deciding over the label of the class: make Troy VII/Troy VIII an instance of E7 Activity or E4 Period?</w:t>
      </w:r>
    </w:p>
    <w:p w:rsidR="00FB1D67" w:rsidRPr="00A24712" w:rsidRDefault="00FB1D67" w:rsidP="00FB1D67">
      <w:pPr>
        <w:spacing w:after="120" w:line="276" w:lineRule="auto"/>
        <w:rPr>
          <w:rFonts w:ascii="Calibri" w:hAnsi="Calibri" w:cs="Calibri"/>
        </w:rPr>
      </w:pPr>
      <w:r w:rsidRPr="00561C6C">
        <w:rPr>
          <w:rFonts w:ascii="Calibri" w:hAnsi="Calibri" w:cs="Calibri"/>
          <w:b/>
          <w:bCs/>
        </w:rPr>
        <w:t>VOTE</w:t>
      </w:r>
      <w:r>
        <w:rPr>
          <w:rFonts w:ascii="Calibri" w:hAnsi="Calibri" w:cs="Calibri"/>
        </w:rPr>
        <w:t xml:space="preserve"> on accepting the example: </w:t>
      </w:r>
    </w:p>
    <w:p w:rsidR="00FB1D67" w:rsidRDefault="00FB1D67" w:rsidP="00FB1D67">
      <w:pPr>
        <w:spacing w:after="0"/>
      </w:pPr>
      <w:r>
        <w:t>In favor: 7</w:t>
      </w:r>
    </w:p>
    <w:p w:rsidR="00FB1D67" w:rsidRDefault="00FB1D67" w:rsidP="00FB1D67">
      <w:pPr>
        <w:spacing w:after="0"/>
      </w:pPr>
      <w:r>
        <w:t>Against: 0</w:t>
      </w:r>
    </w:p>
    <w:p w:rsidR="00FB1D67" w:rsidRDefault="00FB1D67" w:rsidP="00FB1D67">
      <w:r w:rsidRPr="00561C6C">
        <w:rPr>
          <w:u w:val="single"/>
        </w:rPr>
        <w:t>Outcome</w:t>
      </w:r>
      <w:r>
        <w:t xml:space="preserve">: the example will appear on the CIDOC CRM v7.1 as is. </w:t>
      </w:r>
      <w:r w:rsidRPr="00502188">
        <w:rPr>
          <w:u w:val="single"/>
        </w:rPr>
        <w:t>References must be added</w:t>
      </w:r>
      <w:r>
        <w:t xml:space="preserve">. </w:t>
      </w:r>
    </w:p>
    <w:p w:rsidR="00FB1D67" w:rsidRPr="00A24712" w:rsidRDefault="00FB1D67" w:rsidP="00FB1D67">
      <w:pPr>
        <w:spacing w:after="120" w:line="276" w:lineRule="auto"/>
        <w:rPr>
          <w:rFonts w:ascii="Calibri" w:hAnsi="Calibri" w:cs="Calibri"/>
        </w:rPr>
      </w:pPr>
      <w:r w:rsidRPr="00561C6C">
        <w:rPr>
          <w:rFonts w:ascii="Calibri" w:hAnsi="Calibri" w:cs="Calibri"/>
          <w:b/>
          <w:bCs/>
        </w:rPr>
        <w:t>VOTE</w:t>
      </w:r>
      <w:r>
        <w:rPr>
          <w:rFonts w:ascii="Calibri" w:hAnsi="Calibri" w:cs="Calibri"/>
        </w:rPr>
        <w:t xml:space="preserve"> on the label of the class for Troy VII/Troy VIII: </w:t>
      </w:r>
    </w:p>
    <w:p w:rsidR="00FB1D67" w:rsidRDefault="00FB1D67" w:rsidP="00FB1D67">
      <w:pPr>
        <w:spacing w:after="0"/>
      </w:pPr>
      <w:r>
        <w:t>E4 Period: 2</w:t>
      </w:r>
    </w:p>
    <w:p w:rsidR="00FB1D67" w:rsidRDefault="00FB1D67" w:rsidP="00FB1D67">
      <w:pPr>
        <w:spacing w:after="0"/>
      </w:pPr>
      <w:r>
        <w:t>E7 Activity: 4</w:t>
      </w:r>
    </w:p>
    <w:p w:rsidR="00FB1D67" w:rsidRDefault="00FB1D67" w:rsidP="00FB1D67">
      <w:pPr>
        <w:spacing w:after="120" w:line="276" w:lineRule="auto"/>
      </w:pPr>
      <w:r w:rsidRPr="00561C6C">
        <w:rPr>
          <w:u w:val="single"/>
        </w:rPr>
        <w:t>Outcome</w:t>
      </w:r>
      <w:r>
        <w:t xml:space="preserve">: Since there is no strong majority, MD argued that the example should appear with the more generic label (E4 Period) in CIDOC CRM v7.1 and the discussion regarding the interpretation of periods </w:t>
      </w:r>
      <w:r>
        <w:lastRenderedPageBreak/>
        <w:t xml:space="preserve">(as settlements and administration of the communities involved) in the CRM be carried over to a new issue. Everyone was in agreement. </w:t>
      </w:r>
      <w:r w:rsidR="0037782C">
        <w:t>Thus the accepted example for P183 is</w:t>
      </w:r>
    </w:p>
    <w:p w:rsidR="0037782C" w:rsidRDefault="0037782C" w:rsidP="00FB1D67">
      <w:pPr>
        <w:spacing w:after="120" w:line="276" w:lineRule="auto"/>
      </w:pPr>
      <w:r w:rsidRPr="0037782C">
        <w:rPr>
          <w:rFonts w:ascii="Calibri" w:hAnsi="Calibri" w:cs="Calibri"/>
          <w:color w:val="538135" w:themeColor="accent6" w:themeShade="BF"/>
        </w:rPr>
        <w:t>Troy VII</w:t>
      </w:r>
      <w:r w:rsidRPr="0037782C">
        <w:rPr>
          <w:rFonts w:ascii="Calibri" w:hAnsi="Calibri" w:cs="Calibri"/>
          <w:i/>
          <w:iCs/>
          <w:color w:val="538135" w:themeColor="accent6" w:themeShade="BF"/>
        </w:rPr>
        <w:t xml:space="preserve"> (E</w:t>
      </w:r>
      <w:r w:rsidRPr="0037782C">
        <w:rPr>
          <w:rFonts w:ascii="Calibri" w:hAnsi="Calibri" w:cs="Calibri"/>
          <w:i/>
          <w:iCs/>
          <w:color w:val="538135" w:themeColor="accent6" w:themeShade="BF"/>
        </w:rPr>
        <w:t>4</w:t>
      </w:r>
      <w:r w:rsidRPr="0037782C">
        <w:rPr>
          <w:rFonts w:ascii="Calibri" w:hAnsi="Calibri" w:cs="Calibri"/>
          <w:i/>
          <w:iCs/>
          <w:color w:val="538135" w:themeColor="accent6" w:themeShade="BF"/>
        </w:rPr>
        <w:t xml:space="preserve">) P183 ends before the start of </w:t>
      </w:r>
      <w:r w:rsidRPr="0037782C">
        <w:rPr>
          <w:rFonts w:ascii="Calibri" w:hAnsi="Calibri" w:cs="Calibri"/>
          <w:color w:val="538135" w:themeColor="accent6" w:themeShade="BF"/>
        </w:rPr>
        <w:t>Troy VIII (E</w:t>
      </w:r>
      <w:r w:rsidRPr="0037782C">
        <w:rPr>
          <w:rFonts w:ascii="Calibri" w:hAnsi="Calibri" w:cs="Calibri"/>
          <w:color w:val="538135" w:themeColor="accent6" w:themeShade="BF"/>
        </w:rPr>
        <w:t>4</w:t>
      </w:r>
      <w:r w:rsidRPr="0037782C">
        <w:rPr>
          <w:rFonts w:ascii="Calibri" w:hAnsi="Calibri" w:cs="Calibri"/>
          <w:color w:val="538135" w:themeColor="accent6" w:themeShade="BF"/>
        </w:rPr>
        <w:t>) [uninhabited for some 200 years]</w:t>
      </w:r>
    </w:p>
    <w:p w:rsidR="00FB1D67" w:rsidRDefault="00FB1D67" w:rsidP="00FB1D67">
      <w:pPr>
        <w:pStyle w:val="Heading3"/>
      </w:pPr>
      <w:bookmarkStart w:id="3" w:name="_Toc60077199"/>
      <w:r>
        <w:t>P196 defines (is defined by)</w:t>
      </w:r>
      <w:bookmarkEnd w:id="3"/>
    </w:p>
    <w:p w:rsidR="00FB1D67" w:rsidRDefault="00FB1D67" w:rsidP="00FB1D67">
      <w:r>
        <w:t>The sig reviewed</w:t>
      </w:r>
      <w:r w:rsidR="0005018E">
        <w:t xml:space="preserve"> and </w:t>
      </w:r>
      <w:proofErr w:type="gramStart"/>
      <w:r w:rsidR="0005018E">
        <w:t xml:space="preserve">accepted </w:t>
      </w:r>
      <w:r>
        <w:t xml:space="preserve"> the</w:t>
      </w:r>
      <w:proofErr w:type="gramEnd"/>
      <w:r>
        <w:t xml:space="preserve"> example provided by </w:t>
      </w:r>
      <w:proofErr w:type="spellStart"/>
      <w:r>
        <w:t>SdS</w:t>
      </w:r>
      <w:proofErr w:type="spellEnd"/>
      <w:r>
        <w:t xml:space="preserve">: </w:t>
      </w:r>
    </w:p>
    <w:p w:rsidR="00FB1D67" w:rsidRPr="0005018E" w:rsidRDefault="00FB1D67" w:rsidP="00FB1D67">
      <w:pPr>
        <w:rPr>
          <w:color w:val="538135" w:themeColor="accent6" w:themeShade="BF"/>
        </w:rPr>
      </w:pPr>
      <w:r w:rsidRPr="0005018E">
        <w:rPr>
          <w:color w:val="538135" w:themeColor="accent6" w:themeShade="BF"/>
        </w:rPr>
        <w:t xml:space="preserve">H.M.S. </w:t>
      </w:r>
      <w:proofErr w:type="spellStart"/>
      <w:r w:rsidRPr="0005018E">
        <w:rPr>
          <w:color w:val="538135" w:themeColor="accent6" w:themeShade="BF"/>
        </w:rPr>
        <w:t>Temeraire</w:t>
      </w:r>
      <w:proofErr w:type="spellEnd"/>
      <w:r w:rsidRPr="0005018E">
        <w:rPr>
          <w:color w:val="538135" w:themeColor="accent6" w:themeShade="BF"/>
        </w:rPr>
        <w:t xml:space="preserve"> (E22) </w:t>
      </w:r>
      <w:r w:rsidRPr="0005018E">
        <w:rPr>
          <w:i/>
          <w:iCs/>
          <w:color w:val="538135" w:themeColor="accent6" w:themeShade="BF"/>
        </w:rPr>
        <w:t>defines</w:t>
      </w:r>
      <w:r w:rsidRPr="0005018E">
        <w:rPr>
          <w:color w:val="538135" w:themeColor="accent6" w:themeShade="BF"/>
        </w:rPr>
        <w:t xml:space="preserve"> the </w:t>
      </w:r>
      <w:proofErr w:type="spellStart"/>
      <w:r w:rsidRPr="0005018E">
        <w:rPr>
          <w:color w:val="538135" w:themeColor="accent6" w:themeShade="BF"/>
        </w:rPr>
        <w:t>spacetime</w:t>
      </w:r>
      <w:proofErr w:type="spellEnd"/>
      <w:r w:rsidRPr="0005018E">
        <w:rPr>
          <w:color w:val="538135" w:themeColor="accent6" w:themeShade="BF"/>
        </w:rPr>
        <w:t xml:space="preserve"> volume of H.M.S. </w:t>
      </w:r>
      <w:proofErr w:type="spellStart"/>
      <w:r w:rsidRPr="0005018E">
        <w:rPr>
          <w:color w:val="538135" w:themeColor="accent6" w:themeShade="BF"/>
        </w:rPr>
        <w:t>Temeraire</w:t>
      </w:r>
      <w:proofErr w:type="spellEnd"/>
      <w:r w:rsidRPr="0005018E">
        <w:rPr>
          <w:color w:val="538135" w:themeColor="accent6" w:themeShade="BF"/>
        </w:rPr>
        <w:t xml:space="preserve"> [it was built, during 1798, in Chatham and destroyed, during 1838, in Rotherhithe] (Willis 2010)</w:t>
      </w:r>
    </w:p>
    <w:p w:rsidR="00FB1D67" w:rsidRDefault="00FB1D67" w:rsidP="00FB1D67">
      <w:r>
        <w:t xml:space="preserve">Willis, S. (2010). </w:t>
      </w:r>
      <w:r w:rsidRPr="003859F0">
        <w:rPr>
          <w:i/>
          <w:iCs/>
        </w:rPr>
        <w:t xml:space="preserve">The “Fighting </w:t>
      </w:r>
      <w:proofErr w:type="spellStart"/>
      <w:r w:rsidRPr="003859F0">
        <w:rPr>
          <w:i/>
          <w:iCs/>
        </w:rPr>
        <w:t>Temeraire</w:t>
      </w:r>
      <w:proofErr w:type="spellEnd"/>
      <w:r w:rsidRPr="003859F0">
        <w:rPr>
          <w:i/>
          <w:iCs/>
        </w:rPr>
        <w:t>”: legend of Trafalgar</w:t>
      </w:r>
      <w:r>
        <w:t xml:space="preserve">. London: </w:t>
      </w:r>
      <w:proofErr w:type="spellStart"/>
      <w:r>
        <w:t>Quercus</w:t>
      </w:r>
      <w:proofErr w:type="spellEnd"/>
      <w:r>
        <w:t>.</w:t>
      </w:r>
    </w:p>
    <w:p w:rsidR="009653F3" w:rsidRDefault="00FB1D67" w:rsidP="009653F3">
      <w:r>
        <w:t xml:space="preserve">The sig </w:t>
      </w:r>
      <w:proofErr w:type="spellStart"/>
      <w:r>
        <w:t>reviewed</w:t>
      </w:r>
      <w:r w:rsidR="00951809">
        <w:t>and</w:t>
      </w:r>
      <w:proofErr w:type="spellEnd"/>
      <w:r w:rsidR="00951809">
        <w:t xml:space="preserve"> </w:t>
      </w:r>
      <w:proofErr w:type="gramStart"/>
      <w:r w:rsidR="00951809">
        <w:t xml:space="preserve">accepted </w:t>
      </w:r>
      <w:r>
        <w:t xml:space="preserve"> the</w:t>
      </w:r>
      <w:proofErr w:type="gramEnd"/>
      <w:r w:rsidR="009653F3">
        <w:t xml:space="preserve"> example provided by MD and LH for </w:t>
      </w:r>
      <w:r w:rsidR="009653F3">
        <w:t xml:space="preserve"> P196 defines (is defined by) [D: E18 Physical Thing, R: E92 </w:t>
      </w:r>
      <w:proofErr w:type="spellStart"/>
      <w:r w:rsidR="009653F3">
        <w:t>Spacetime</w:t>
      </w:r>
      <w:proofErr w:type="spellEnd"/>
      <w:r w:rsidR="009653F3">
        <w:t xml:space="preserve"> Volume] (HW: LH), which incorporated previous feedback, did some editorial changes and voted on accepting it. </w:t>
      </w:r>
    </w:p>
    <w:p w:rsidR="009653F3" w:rsidRPr="0037782C" w:rsidRDefault="009653F3" w:rsidP="0037782C">
      <w:pPr>
        <w:rPr>
          <w:color w:val="538135" w:themeColor="accent6" w:themeShade="BF"/>
        </w:rPr>
      </w:pPr>
      <w:r w:rsidRPr="0037782C">
        <w:rPr>
          <w:color w:val="538135" w:themeColor="accent6" w:themeShade="BF"/>
        </w:rPr>
        <w:t xml:space="preserve">The Saint Titus reliquary (E22) </w:t>
      </w:r>
      <w:r w:rsidRPr="0037782C">
        <w:rPr>
          <w:i/>
          <w:iCs/>
          <w:color w:val="538135" w:themeColor="accent6" w:themeShade="BF"/>
        </w:rPr>
        <w:t xml:space="preserve">defines </w:t>
      </w:r>
      <w:r w:rsidRPr="0037782C">
        <w:rPr>
          <w:color w:val="538135" w:themeColor="accent6" w:themeShade="BF"/>
        </w:rPr>
        <w:t xml:space="preserve">the </w:t>
      </w:r>
      <w:proofErr w:type="spellStart"/>
      <w:r w:rsidRPr="0037782C">
        <w:rPr>
          <w:color w:val="538135" w:themeColor="accent6" w:themeShade="BF"/>
        </w:rPr>
        <w:t>Spacetime</w:t>
      </w:r>
      <w:proofErr w:type="spellEnd"/>
      <w:r w:rsidRPr="0037782C">
        <w:rPr>
          <w:color w:val="538135" w:themeColor="accent6" w:themeShade="BF"/>
        </w:rPr>
        <w:t xml:space="preserve"> Volume of the Saint Titus reliquary (E92) [the reliquary has been produced by the workshop of the </w:t>
      </w:r>
      <w:proofErr w:type="spellStart"/>
      <w:r w:rsidRPr="0037782C">
        <w:rPr>
          <w:color w:val="538135" w:themeColor="accent6" w:themeShade="BF"/>
        </w:rPr>
        <w:t>Vogiatzis</w:t>
      </w:r>
      <w:proofErr w:type="spellEnd"/>
      <w:r w:rsidRPr="0037782C">
        <w:rPr>
          <w:color w:val="538135" w:themeColor="accent6" w:themeShade="BF"/>
        </w:rPr>
        <w:t xml:space="preserve"> brothers located at </w:t>
      </w:r>
      <w:proofErr w:type="spellStart"/>
      <w:r w:rsidRPr="0037782C">
        <w:rPr>
          <w:color w:val="538135" w:themeColor="accent6" w:themeShade="BF"/>
        </w:rPr>
        <w:t>Monastiraki</w:t>
      </w:r>
      <w:proofErr w:type="spellEnd"/>
      <w:r w:rsidRPr="0037782C">
        <w:rPr>
          <w:color w:val="538135" w:themeColor="accent6" w:themeShade="BF"/>
        </w:rPr>
        <w:t xml:space="preserve">, Athens, in 1966 as container for the skull of Saint Titus, which was placed into it at that time and has since then continued to fall within the container's </w:t>
      </w:r>
      <w:proofErr w:type="spellStart"/>
      <w:r w:rsidRPr="0037782C">
        <w:rPr>
          <w:color w:val="538135" w:themeColor="accent6" w:themeShade="BF"/>
        </w:rPr>
        <w:t>spacetime</w:t>
      </w:r>
      <w:proofErr w:type="spellEnd"/>
      <w:r w:rsidRPr="0037782C">
        <w:rPr>
          <w:color w:val="538135" w:themeColor="accent6" w:themeShade="BF"/>
        </w:rPr>
        <w:t xml:space="preserve"> volume. The reliquary with the skull has been kept in the Saint Titus Church in Heraklion, Crete since 1966] (</w:t>
      </w:r>
      <w:proofErr w:type="spellStart"/>
      <w:r w:rsidRPr="0037782C">
        <w:rPr>
          <w:color w:val="538135" w:themeColor="accent6" w:themeShade="BF"/>
        </w:rPr>
        <w:t>Fisher&amp;Garvey</w:t>
      </w:r>
      <w:proofErr w:type="spellEnd"/>
      <w:r w:rsidRPr="0037782C">
        <w:rPr>
          <w:color w:val="538135" w:themeColor="accent6" w:themeShade="BF"/>
        </w:rPr>
        <w:t xml:space="preserve"> 2010)</w:t>
      </w:r>
    </w:p>
    <w:p w:rsidR="00FB1D67" w:rsidRDefault="00FB1D67" w:rsidP="00FB1D67">
      <w:pPr>
        <w:rPr>
          <w:b/>
          <w:bCs/>
        </w:rPr>
      </w:pPr>
      <w:r>
        <w:rPr>
          <w:b/>
          <w:bCs/>
        </w:rPr>
        <w:t xml:space="preserve">DECISION: </w:t>
      </w:r>
    </w:p>
    <w:p w:rsidR="00FB1D67" w:rsidRDefault="00FB1D67" w:rsidP="00FB1D67">
      <w:pPr>
        <w:pStyle w:val="ListParagraph"/>
        <w:numPr>
          <w:ilvl w:val="0"/>
          <w:numId w:val="1"/>
        </w:numPr>
      </w:pPr>
      <w:bookmarkStart w:id="4" w:name="_GoBack"/>
      <w:bookmarkEnd w:id="4"/>
      <w:r>
        <w:rPr>
          <w:b/>
          <w:bCs/>
        </w:rPr>
        <w:t>The following p</w:t>
      </w:r>
      <w:r w:rsidRPr="00944A12">
        <w:rPr>
          <w:b/>
          <w:bCs/>
        </w:rPr>
        <w:t>roperties</w:t>
      </w:r>
      <w:r>
        <w:t xml:space="preserve"> </w:t>
      </w:r>
      <w:r w:rsidRPr="00944A12">
        <w:rPr>
          <w:b/>
          <w:bCs/>
        </w:rPr>
        <w:t>still lack examples</w:t>
      </w:r>
      <w:r>
        <w:t xml:space="preserve">. Sig members are kindly asked to contribute to the discussion. Given the overlap between Issues 484 and 339, the discussion of any examples that may turn up, will be part of issue </w:t>
      </w:r>
      <w:r w:rsidRPr="001D68D2">
        <w:rPr>
          <w:b/>
          <w:bCs/>
        </w:rPr>
        <w:t>339</w:t>
      </w:r>
      <w:r>
        <w:t xml:space="preserve">. Examples from archaeology involving relative chronology would probably serve best. </w:t>
      </w:r>
    </w:p>
    <w:p w:rsidR="00FB1D67" w:rsidRDefault="00FB1D67" w:rsidP="00FB1D67">
      <w:pPr>
        <w:pStyle w:val="ListParagraph"/>
        <w:numPr>
          <w:ilvl w:val="1"/>
          <w:numId w:val="1"/>
        </w:numPr>
      </w:pPr>
      <w:r w:rsidRPr="00944A12">
        <w:rPr>
          <w:b/>
          <w:bCs/>
        </w:rPr>
        <w:t>P175</w:t>
      </w:r>
      <w:r>
        <w:t xml:space="preserve"> starts before or with the start of (starts after or with the start of), </w:t>
      </w:r>
    </w:p>
    <w:p w:rsidR="00FB1D67" w:rsidRDefault="00FB1D67" w:rsidP="00FB1D67">
      <w:pPr>
        <w:pStyle w:val="ListParagraph"/>
        <w:numPr>
          <w:ilvl w:val="1"/>
          <w:numId w:val="1"/>
        </w:numPr>
      </w:pPr>
      <w:r w:rsidRPr="00944A12">
        <w:rPr>
          <w:b/>
          <w:bCs/>
        </w:rPr>
        <w:t>P176</w:t>
      </w:r>
      <w:r>
        <w:t xml:space="preserve"> starts before the start of (starts after the start of), </w:t>
      </w:r>
    </w:p>
    <w:p w:rsidR="00FB1D67" w:rsidRDefault="00FB1D67" w:rsidP="00FB1D67">
      <w:pPr>
        <w:pStyle w:val="ListParagraph"/>
        <w:numPr>
          <w:ilvl w:val="1"/>
          <w:numId w:val="1"/>
        </w:numPr>
      </w:pPr>
      <w:r w:rsidRPr="00944A12">
        <w:rPr>
          <w:b/>
          <w:bCs/>
        </w:rPr>
        <w:t>P182</w:t>
      </w:r>
      <w:r>
        <w:t xml:space="preserve"> ends before or with the start of (starts after or with the end of), </w:t>
      </w:r>
    </w:p>
    <w:p w:rsidR="00FB1D67" w:rsidRDefault="00FB1D67" w:rsidP="00FB1D67">
      <w:pPr>
        <w:pStyle w:val="ListParagraph"/>
        <w:numPr>
          <w:ilvl w:val="1"/>
          <w:numId w:val="1"/>
        </w:numPr>
      </w:pPr>
      <w:r w:rsidRPr="00944A12">
        <w:rPr>
          <w:b/>
          <w:bCs/>
        </w:rPr>
        <w:t>P184</w:t>
      </w:r>
      <w:r>
        <w:t xml:space="preserve"> ends before or with the end of (ends after the end of), </w:t>
      </w:r>
    </w:p>
    <w:p w:rsidR="00FB1D67" w:rsidRDefault="00FB1D67" w:rsidP="00FB1D67">
      <w:pPr>
        <w:pStyle w:val="ListParagraph"/>
        <w:numPr>
          <w:ilvl w:val="1"/>
          <w:numId w:val="1"/>
        </w:numPr>
      </w:pPr>
      <w:r w:rsidRPr="00944A12">
        <w:rPr>
          <w:b/>
          <w:bCs/>
        </w:rPr>
        <w:t>P185</w:t>
      </w:r>
      <w:r>
        <w:t xml:space="preserve"> ends before the end of (ends after the end of).</w:t>
      </w:r>
    </w:p>
    <w:p w:rsidR="00FB1D67" w:rsidRDefault="00FB1D67" w:rsidP="00FB1D67">
      <w:pPr>
        <w:pStyle w:val="ListParagraph"/>
        <w:numPr>
          <w:ilvl w:val="0"/>
          <w:numId w:val="1"/>
        </w:numPr>
      </w:pPr>
      <w:r>
        <w:t xml:space="preserve">Start a </w:t>
      </w:r>
      <w:hyperlink w:anchor="_NEW_ISSUE:_How" w:history="1">
        <w:r w:rsidRPr="004E2039">
          <w:rPr>
            <w:rStyle w:val="Hyperlink"/>
          </w:rPr>
          <w:t>new issue</w:t>
        </w:r>
      </w:hyperlink>
      <w:r>
        <w:t xml:space="preserve"> on the </w:t>
      </w:r>
      <w:r w:rsidRPr="00561C6C">
        <w:rPr>
          <w:b/>
          <w:bCs/>
        </w:rPr>
        <w:t>interpretation of periods in the CRM (settlements and administrations of the communities involved)</w:t>
      </w:r>
      <w:r>
        <w:t xml:space="preserve">. MD and AK are assigned the task to do some research on the interpretation of periods. </w:t>
      </w:r>
    </w:p>
    <w:p w:rsidR="0037782C" w:rsidRDefault="0037782C" w:rsidP="0037782C">
      <w:pPr>
        <w:pStyle w:val="Heading2"/>
      </w:pPr>
      <w:bookmarkStart w:id="5" w:name="_Toc60077226"/>
      <w:r>
        <w:t>484: 7.0 preparation –missing examples</w:t>
      </w:r>
      <w:bookmarkEnd w:id="5"/>
    </w:p>
    <w:p w:rsidR="0037782C" w:rsidRPr="00170CE0" w:rsidRDefault="0037782C" w:rsidP="0037782C">
      <w:r>
        <w:t xml:space="preserve">The examples for E9 Move and its properties were discussed again. MD suggested that we shouldn’t be talking about THE Tutankhamun Exhibition, because there have been more than one such events. That said, the packing and moving of the exhibitions mentioned in the examples might not come with references, but are restricted by actual dates between the end of one exhibition and the beginning of the next. The actual move must fall between the two dates. </w:t>
      </w:r>
    </w:p>
    <w:p w:rsidR="0037782C" w:rsidRPr="00170CE0" w:rsidRDefault="0037782C" w:rsidP="0037782C">
      <w:r w:rsidRPr="00170CE0">
        <w:rPr>
          <w:b/>
          <w:bCs/>
        </w:rPr>
        <w:t>E9 Move:</w:t>
      </w:r>
    </w:p>
    <w:p w:rsidR="0037782C" w:rsidRPr="0037782C" w:rsidRDefault="0037782C" w:rsidP="0037782C">
      <w:pPr>
        <w:rPr>
          <w:color w:val="538135" w:themeColor="accent6" w:themeShade="BF"/>
        </w:rPr>
      </w:pPr>
      <w:r w:rsidRPr="0037782C">
        <w:rPr>
          <w:color w:val="538135" w:themeColor="accent6" w:themeShade="BF"/>
        </w:rPr>
        <w:t>The movement of the exhibition "Tutankhamun: Treasures of the Golden Pharaoh" between Sept 15 and Nov 2 2019</w:t>
      </w:r>
    </w:p>
    <w:p w:rsidR="0037782C" w:rsidRPr="00170CE0" w:rsidRDefault="0037782C" w:rsidP="0037782C">
      <w:r w:rsidRPr="00170CE0">
        <w:rPr>
          <w:b/>
          <w:bCs/>
        </w:rPr>
        <w:lastRenderedPageBreak/>
        <w:t>P26</w:t>
      </w:r>
      <w:r>
        <w:rPr>
          <w:b/>
          <w:bCs/>
        </w:rPr>
        <w:t xml:space="preserve"> moved to: </w:t>
      </w:r>
    </w:p>
    <w:p w:rsidR="0037782C" w:rsidRPr="0037782C" w:rsidRDefault="0037782C" w:rsidP="0037782C">
      <w:pPr>
        <w:rPr>
          <w:color w:val="538135" w:themeColor="accent6" w:themeShade="BF"/>
        </w:rPr>
      </w:pPr>
      <w:r w:rsidRPr="0037782C">
        <w:rPr>
          <w:color w:val="538135" w:themeColor="accent6" w:themeShade="BF"/>
        </w:rPr>
        <w:t xml:space="preserve">The movement of the exhibition "Tutankhamun: Treasures of the Golden Pharaoh" between Sept 15 and Nov 2 2019 (E9) </w:t>
      </w:r>
      <w:r w:rsidRPr="0037782C">
        <w:rPr>
          <w:i/>
          <w:iCs/>
          <w:color w:val="538135" w:themeColor="accent6" w:themeShade="BF"/>
        </w:rPr>
        <w:t>moved to</w:t>
      </w:r>
      <w:r w:rsidRPr="0037782C">
        <w:rPr>
          <w:color w:val="538135" w:themeColor="accent6" w:themeShade="BF"/>
        </w:rPr>
        <w:t xml:space="preserve"> the Saatchi Gallery London (E53)</w:t>
      </w:r>
    </w:p>
    <w:p w:rsidR="0037782C" w:rsidRPr="00170CE0" w:rsidRDefault="0037782C" w:rsidP="0037782C">
      <w:r w:rsidRPr="00170CE0">
        <w:rPr>
          <w:b/>
          <w:bCs/>
        </w:rPr>
        <w:t>P27</w:t>
      </w:r>
      <w:r>
        <w:rPr>
          <w:b/>
          <w:bCs/>
        </w:rPr>
        <w:t xml:space="preserve"> moved from:</w:t>
      </w:r>
    </w:p>
    <w:p w:rsidR="0037782C" w:rsidRPr="0037782C" w:rsidRDefault="0037782C" w:rsidP="0037782C">
      <w:pPr>
        <w:rPr>
          <w:color w:val="538135" w:themeColor="accent6" w:themeShade="BF"/>
        </w:rPr>
      </w:pPr>
      <w:r w:rsidRPr="0037782C">
        <w:rPr>
          <w:color w:val="538135" w:themeColor="accent6" w:themeShade="BF"/>
        </w:rPr>
        <w:t xml:space="preserve">The movement of the exhibition "Tutankhamun: Treasures of the Golden Pharaoh" between Sept 15 and Nov 2 2019 (E9) </w:t>
      </w:r>
      <w:r w:rsidRPr="0037782C">
        <w:rPr>
          <w:i/>
          <w:iCs/>
          <w:color w:val="538135" w:themeColor="accent6" w:themeShade="BF"/>
        </w:rPr>
        <w:t>moved from</w:t>
      </w:r>
      <w:r w:rsidRPr="0037782C">
        <w:rPr>
          <w:color w:val="538135" w:themeColor="accent6" w:themeShade="BF"/>
        </w:rPr>
        <w:t xml:space="preserve"> Paris, Grande Halle de la </w:t>
      </w:r>
      <w:proofErr w:type="spellStart"/>
      <w:r w:rsidRPr="0037782C">
        <w:rPr>
          <w:color w:val="538135" w:themeColor="accent6" w:themeShade="BF"/>
        </w:rPr>
        <w:t>Villette</w:t>
      </w:r>
      <w:proofErr w:type="spellEnd"/>
      <w:r w:rsidRPr="0037782C">
        <w:rPr>
          <w:color w:val="538135" w:themeColor="accent6" w:themeShade="BF"/>
        </w:rPr>
        <w:t xml:space="preserve"> (E53)</w:t>
      </w:r>
    </w:p>
    <w:p w:rsidR="0037782C" w:rsidRPr="00101758" w:rsidRDefault="0037782C" w:rsidP="0037782C">
      <w:pPr>
        <w:rPr>
          <w:b/>
          <w:bCs/>
        </w:rPr>
      </w:pPr>
      <w:r w:rsidRPr="00101758">
        <w:rPr>
          <w:b/>
          <w:bCs/>
        </w:rPr>
        <w:t xml:space="preserve">DISCUSSION: </w:t>
      </w:r>
    </w:p>
    <w:p w:rsidR="0037782C" w:rsidRPr="00170CE0" w:rsidRDefault="0037782C" w:rsidP="0037782C">
      <w:r>
        <w:t xml:space="preserve">Maybe there is a catalog of the exhibition that could be used to document the example. </w:t>
      </w:r>
    </w:p>
    <w:p w:rsidR="0037782C" w:rsidRDefault="0037782C" w:rsidP="0037782C">
      <w:r w:rsidRPr="00101758">
        <w:rPr>
          <w:b/>
          <w:bCs/>
        </w:rPr>
        <w:t>VOTE</w:t>
      </w:r>
      <w:r>
        <w:t>: A vote was called on whether to accept these examples for E9 and P26, P27.</w:t>
      </w:r>
    </w:p>
    <w:p w:rsidR="0037782C" w:rsidRPr="00170CE0" w:rsidRDefault="0037782C" w:rsidP="0037782C">
      <w:r w:rsidRPr="00170CE0">
        <w:t>In favor: 8</w:t>
      </w:r>
    </w:p>
    <w:p w:rsidR="0037782C" w:rsidRPr="00170CE0" w:rsidRDefault="0037782C" w:rsidP="0037782C">
      <w:r w:rsidRPr="00170CE0">
        <w:t>Against: none</w:t>
      </w:r>
    </w:p>
    <w:p w:rsidR="0037782C" w:rsidRPr="00170CE0" w:rsidRDefault="0037782C" w:rsidP="0037782C">
      <w:r w:rsidRPr="00170CE0">
        <w:rPr>
          <w:b/>
          <w:bCs/>
        </w:rPr>
        <w:t>Decision</w:t>
      </w:r>
      <w:r w:rsidRPr="00170CE0">
        <w:t xml:space="preserve">: </w:t>
      </w:r>
      <w:r>
        <w:t>T</w:t>
      </w:r>
      <w:r w:rsidRPr="00170CE0">
        <w:t xml:space="preserve">he examples </w:t>
      </w:r>
      <w:r>
        <w:t xml:space="preserve">will be added to </w:t>
      </w:r>
      <w:r w:rsidRPr="00170CE0">
        <w:t xml:space="preserve">the definition of E9, P26, </w:t>
      </w:r>
      <w:r>
        <w:t xml:space="preserve">and </w:t>
      </w:r>
      <w:r w:rsidRPr="00170CE0">
        <w:t>P27</w:t>
      </w:r>
      <w:r>
        <w:t xml:space="preserve">, respectively. </w:t>
      </w:r>
    </w:p>
    <w:p w:rsidR="006C16C1" w:rsidRDefault="00951809"/>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872D7"/>
    <w:multiLevelType w:val="multilevel"/>
    <w:tmpl w:val="0464F340"/>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lvl>
    <w:lvl w:ilvl="2">
      <w:start w:val="1500"/>
      <w:numFmt w:val="bullet"/>
      <w:lvlText w:val=""/>
      <w:lvlJc w:val="left"/>
      <w:pPr>
        <w:ind w:left="2160" w:hanging="360"/>
      </w:pPr>
      <w:rPr>
        <w:rFonts w:ascii="Symbol" w:eastAsiaTheme="minorHAnsi" w:hAnsi="Symbol" w:cstheme="minorBidi"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BB32A9"/>
    <w:multiLevelType w:val="hybridMultilevel"/>
    <w:tmpl w:val="17625E86"/>
    <w:lvl w:ilvl="0" w:tplc="A8B808FA">
      <w:start w:val="1"/>
      <w:numFmt w:val="low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26AE"/>
    <w:multiLevelType w:val="hybridMultilevel"/>
    <w:tmpl w:val="B9D6CC40"/>
    <w:lvl w:ilvl="0" w:tplc="70B696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D4"/>
    <w:rsid w:val="0005018E"/>
    <w:rsid w:val="001436EF"/>
    <w:rsid w:val="002C79A6"/>
    <w:rsid w:val="0037782C"/>
    <w:rsid w:val="005F6ED4"/>
    <w:rsid w:val="0090101A"/>
    <w:rsid w:val="00951809"/>
    <w:rsid w:val="009653F3"/>
    <w:rsid w:val="009B784C"/>
    <w:rsid w:val="00B6317B"/>
    <w:rsid w:val="00FB1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0D5"/>
  <w15:chartTrackingRefBased/>
  <w15:docId w15:val="{D9FFD635-5D99-4962-B34E-62AEEF57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67"/>
  </w:style>
  <w:style w:type="paragraph" w:styleId="Heading2">
    <w:name w:val="heading 2"/>
    <w:basedOn w:val="Normal"/>
    <w:next w:val="Normal"/>
    <w:link w:val="Heading2Char"/>
    <w:uiPriority w:val="9"/>
    <w:unhideWhenUsed/>
    <w:qFormat/>
    <w:rsid w:val="00FB1D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B1D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D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B1D6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B1D67"/>
    <w:rPr>
      <w:color w:val="0563C1" w:themeColor="hyperlink"/>
      <w:u w:val="single"/>
    </w:rPr>
  </w:style>
  <w:style w:type="paragraph" w:styleId="ListParagraph">
    <w:name w:val="List Paragraph"/>
    <w:basedOn w:val="Normal"/>
    <w:uiPriority w:val="34"/>
    <w:qFormat/>
    <w:rsid w:val="00FB1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8</cp:revision>
  <dcterms:created xsi:type="dcterms:W3CDTF">2021-01-07T15:00:00Z</dcterms:created>
  <dcterms:modified xsi:type="dcterms:W3CDTF">2021-01-07T16:30:00Z</dcterms:modified>
</cp:coreProperties>
</file>