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7EB8" w14:textId="77777777" w:rsidR="00DE0A46" w:rsidRDefault="00DE0A46" w:rsidP="00DE0A46">
      <w:pPr>
        <w:pStyle w:val="Heading3"/>
        <w:spacing w:line="276" w:lineRule="auto"/>
      </w:pPr>
      <w:bookmarkStart w:id="0" w:name="_Toc208138430"/>
      <w:r>
        <w:t>Issue 685: FOL statements for LRMoo</w:t>
      </w:r>
      <w:bookmarkEnd w:id="0"/>
      <w:r>
        <w:t xml:space="preserve"> </w:t>
      </w:r>
    </w:p>
    <w:p w14:paraId="32B03023" w14:textId="77777777" w:rsidR="00DE0A46" w:rsidRDefault="00DE0A46" w:rsidP="00DE0A46">
      <w:pPr>
        <w:spacing w:line="276" w:lineRule="auto"/>
      </w:pPr>
      <w:r>
        <w:t xml:space="preserve">PR walked the SIG through the problems with the FOL the LRMoo group and WS &amp; CEO identified with the proposed FOL expressions for the LRMoo properties. The slide-deck of her presentation can be found </w:t>
      </w:r>
      <w:hyperlink r:id="rId5" w:history="1">
        <w:r w:rsidRPr="006849C6">
          <w:rPr>
            <w:rStyle w:val="Hyperlink"/>
          </w:rPr>
          <w:t>here</w:t>
        </w:r>
      </w:hyperlink>
      <w:r>
        <w:t xml:space="preserve">. The list of the proposed FOL can be found </w:t>
      </w:r>
      <w:hyperlink r:id="rId6" w:history="1">
        <w:r w:rsidRPr="004B018E">
          <w:rPr>
            <w:rStyle w:val="Hyperlink"/>
          </w:rPr>
          <w:t>here</w:t>
        </w:r>
      </w:hyperlink>
      <w:r>
        <w:t>.</w:t>
      </w:r>
    </w:p>
    <w:p w14:paraId="2C3379A5" w14:textId="77777777" w:rsidR="00DE0A46" w:rsidRDefault="00DE0A46" w:rsidP="00DE0A46">
      <w:pPr>
        <w:spacing w:line="276" w:lineRule="auto"/>
      </w:pPr>
      <w:r>
        <w:t xml:space="preserve">The topics brought to the SIG’s attention involve: </w:t>
      </w:r>
    </w:p>
    <w:p w14:paraId="4DCE7AFE" w14:textId="77777777" w:rsidR="00DE0A46" w:rsidRDefault="00DE0A46" w:rsidP="00DE0A46">
      <w:pPr>
        <w:pStyle w:val="ListParagraph"/>
        <w:numPr>
          <w:ilvl w:val="0"/>
          <w:numId w:val="1"/>
        </w:numPr>
        <w:spacing w:line="276" w:lineRule="auto"/>
      </w:pPr>
      <w:r>
        <w:t xml:space="preserve">The full path that </w:t>
      </w:r>
      <w:hyperlink w:anchor="_R8_combines:" w:history="1">
        <w:r w:rsidRPr="00E46C44">
          <w:rPr>
            <w:rStyle w:val="Hyperlink"/>
          </w:rPr>
          <w:t>R8 combines</w:t>
        </w:r>
      </w:hyperlink>
      <w:r>
        <w:t xml:space="preserve"> is a shortcut of</w:t>
      </w:r>
    </w:p>
    <w:p w14:paraId="05514A21" w14:textId="77777777" w:rsidR="00DE0A46" w:rsidRDefault="00DE0A46" w:rsidP="00DE0A46">
      <w:pPr>
        <w:pStyle w:val="ListParagraph"/>
        <w:numPr>
          <w:ilvl w:val="0"/>
          <w:numId w:val="1"/>
        </w:numPr>
        <w:spacing w:line="276" w:lineRule="auto"/>
      </w:pPr>
      <w:r>
        <w:t xml:space="preserve">The full path that </w:t>
      </w:r>
      <w:hyperlink w:anchor="_R36_uses_script" w:history="1">
        <w:r w:rsidRPr="00710674">
          <w:rPr>
            <w:rStyle w:val="Hyperlink"/>
          </w:rPr>
          <w:t>R36 uses script conversion</w:t>
        </w:r>
      </w:hyperlink>
      <w:r>
        <w:t xml:space="preserve"> is a shortcut of</w:t>
      </w:r>
    </w:p>
    <w:p w14:paraId="1A957E07" w14:textId="77777777" w:rsidR="00DE0A46" w:rsidRDefault="00DE0A46" w:rsidP="00DE0A46">
      <w:pPr>
        <w:pStyle w:val="ListParagraph"/>
        <w:numPr>
          <w:ilvl w:val="0"/>
          <w:numId w:val="1"/>
        </w:numPr>
        <w:spacing w:line="276" w:lineRule="auto"/>
      </w:pPr>
      <w:r>
        <w:t xml:space="preserve">The inference concerning the </w:t>
      </w:r>
      <w:hyperlink w:anchor="_R70_has_dimension" w:history="1">
        <w:r w:rsidRPr="00710674">
          <w:rPr>
            <w:rStyle w:val="Hyperlink"/>
          </w:rPr>
          <w:t>dimension</w:t>
        </w:r>
      </w:hyperlink>
      <w:r>
        <w:t xml:space="preserve"> that an exemplar (F5 Item) of an F3 Manifestation can have</w:t>
      </w:r>
    </w:p>
    <w:p w14:paraId="74108232" w14:textId="77777777" w:rsidR="00DE0A46" w:rsidRDefault="00DE0A46" w:rsidP="00DE0A46">
      <w:pPr>
        <w:pStyle w:val="ListParagraph"/>
        <w:numPr>
          <w:ilvl w:val="0"/>
          <w:numId w:val="1"/>
        </w:numPr>
        <w:spacing w:line="276" w:lineRule="auto"/>
      </w:pPr>
      <w:r>
        <w:t xml:space="preserve">The inference holding between a </w:t>
      </w:r>
      <w:hyperlink w:anchor="_R78_has_alternate" w:history="1">
        <w:r w:rsidRPr="00710674">
          <w:rPr>
            <w:rStyle w:val="Hyperlink"/>
          </w:rPr>
          <w:t>R78 has alternate</w:t>
        </w:r>
      </w:hyperlink>
      <w:r>
        <w:t xml:space="preserve"> and two instances of F3 Manifestation that R4 embody the same instance of F2 Expression</w:t>
      </w:r>
    </w:p>
    <w:p w14:paraId="385FA616" w14:textId="77777777" w:rsidR="00DE0A46" w:rsidRDefault="00DE0A46" w:rsidP="00DE0A46">
      <w:pPr>
        <w:pStyle w:val="ListParagraph"/>
        <w:numPr>
          <w:ilvl w:val="0"/>
          <w:numId w:val="1"/>
        </w:numPr>
        <w:spacing w:line="276" w:lineRule="auto"/>
      </w:pPr>
      <w:r>
        <w:t xml:space="preserve">The conventions used FOL expressions, namely: </w:t>
      </w:r>
    </w:p>
    <w:p w14:paraId="48735F73" w14:textId="77777777" w:rsidR="00DE0A46" w:rsidRDefault="00DE0A46" w:rsidP="00DE0A46">
      <w:pPr>
        <w:pStyle w:val="ListParagraph"/>
        <w:numPr>
          <w:ilvl w:val="1"/>
          <w:numId w:val="1"/>
        </w:numPr>
        <w:spacing w:line="276" w:lineRule="auto"/>
      </w:pPr>
      <w:r>
        <w:t xml:space="preserve">For </w:t>
      </w:r>
      <w:hyperlink w:anchor="_Conventions_for_declaring" w:history="1">
        <w:r w:rsidRPr="005D564A">
          <w:rPr>
            <w:rStyle w:val="Hyperlink"/>
          </w:rPr>
          <w:t>declaring complex FOL axioms</w:t>
        </w:r>
      </w:hyperlink>
      <w:r>
        <w:t xml:space="preserve"> (and whether classes should be declared and in what style)</w:t>
      </w:r>
    </w:p>
    <w:p w14:paraId="0D21A73B" w14:textId="77777777" w:rsidR="00DE0A46" w:rsidRDefault="00DE0A46" w:rsidP="00DE0A46">
      <w:pPr>
        <w:pStyle w:val="ListParagraph"/>
        <w:numPr>
          <w:ilvl w:val="1"/>
          <w:numId w:val="1"/>
        </w:numPr>
        <w:spacing w:line="276" w:lineRule="auto"/>
      </w:pPr>
      <w:r>
        <w:t xml:space="preserve">Introducing a </w:t>
      </w:r>
      <w:hyperlink w:anchor="_Generic_statement_disallowing" w:history="1">
        <w:r w:rsidRPr="005D564A">
          <w:rPr>
            <w:rStyle w:val="Hyperlink"/>
          </w:rPr>
          <w:t>generic statement</w:t>
        </w:r>
      </w:hyperlink>
      <w:r>
        <w:t xml:space="preserve"> that disallows adding </w:t>
      </w:r>
      <w:r w:rsidRPr="00E46C44">
        <w:rPr>
          <w:i/>
        </w:rPr>
        <w:t>redundant FOL statements</w:t>
      </w:r>
      <w:r>
        <w:t xml:space="preserve"> (if a property is asymmetric, then it is also irreflexive)</w:t>
      </w:r>
    </w:p>
    <w:p w14:paraId="5F193DDA" w14:textId="77777777" w:rsidR="00DE0A46" w:rsidRDefault="00DE0A46" w:rsidP="00DE0A46">
      <w:pPr>
        <w:pStyle w:val="ListParagraph"/>
        <w:numPr>
          <w:ilvl w:val="1"/>
          <w:numId w:val="1"/>
        </w:numPr>
        <w:spacing w:line="276" w:lineRule="auto"/>
      </w:pPr>
      <w:hyperlink w:anchor="_Shortcut_properties_(header" w:history="1">
        <w:r w:rsidRPr="005D564A">
          <w:rPr>
            <w:rStyle w:val="Hyperlink"/>
          </w:rPr>
          <w:t>Headers</w:t>
        </w:r>
      </w:hyperlink>
      <w:r>
        <w:t xml:space="preserve"> applied to </w:t>
      </w:r>
      <w:r w:rsidRPr="00E46C44">
        <w:rPr>
          <w:i/>
        </w:rPr>
        <w:t>shortcut properties</w:t>
      </w:r>
      <w:r>
        <w:t xml:space="preserve"> and position thereof in property definitions</w:t>
      </w:r>
    </w:p>
    <w:p w14:paraId="6666AF9B" w14:textId="77777777" w:rsidR="00DE0A46" w:rsidRDefault="00DE0A46" w:rsidP="00DE0A46">
      <w:pPr>
        <w:pStyle w:val="ListParagraph"/>
        <w:numPr>
          <w:ilvl w:val="0"/>
          <w:numId w:val="1"/>
        </w:numPr>
        <w:spacing w:line="276" w:lineRule="auto"/>
      </w:pPr>
      <w:r>
        <w:t>Cleaning-up the document, fixing typos etc.</w:t>
      </w:r>
    </w:p>
    <w:p w14:paraId="0C6BBE3B" w14:textId="77777777" w:rsidR="00DE0A46" w:rsidRDefault="00DE0A46" w:rsidP="00DE0A46">
      <w:pPr>
        <w:spacing w:line="276" w:lineRule="auto"/>
      </w:pPr>
      <w:r>
        <w:t xml:space="preserve">The SIG agreed with PRs </w:t>
      </w:r>
      <w:proofErr w:type="gramStart"/>
      <w:r>
        <w:t>proposals,</w:t>
      </w:r>
      <w:proofErr w:type="gramEnd"/>
      <w:r>
        <w:t xml:space="preserve"> a summary of decisions can be found below: </w:t>
      </w:r>
    </w:p>
    <w:p w14:paraId="1C6D86A6" w14:textId="77777777" w:rsidR="00DE0A46" w:rsidRDefault="00DE0A46" w:rsidP="00DE0A46">
      <w:pPr>
        <w:pStyle w:val="Heading4"/>
        <w:spacing w:line="276" w:lineRule="auto"/>
      </w:pPr>
      <w:bookmarkStart w:id="1" w:name="_R8_combines:"/>
      <w:bookmarkEnd w:id="1"/>
      <w:r>
        <w:t xml:space="preserve">R8 combines: </w:t>
      </w:r>
    </w:p>
    <w:p w14:paraId="30D33E09" w14:textId="77777777" w:rsidR="00DE0A46" w:rsidRDefault="00DE0A46" w:rsidP="00DE0A46">
      <w:pPr>
        <w:spacing w:after="240" w:line="276" w:lineRule="auto"/>
      </w:pPr>
      <w:r>
        <w:t xml:space="preserve">The proposal was to declare F12 Nomen. R8 combines (is combined to form): F12 Nomen a subproperty of E89 Propositional Object. P148 has component (is component of): E89 Propositional Object, which would allow to dispense with the reference to E62 Strings (that break the full paths). </w:t>
      </w:r>
    </w:p>
    <w:p w14:paraId="32FFADCC" w14:textId="77777777" w:rsidR="00DE0A46" w:rsidRDefault="00DE0A46" w:rsidP="00DE0A46">
      <w:pPr>
        <w:spacing w:line="276" w:lineRule="auto"/>
      </w:pPr>
      <w:r>
        <w:t xml:space="preserve">An alternative is to define a new property in LRMoo (F12 Domain. </w:t>
      </w:r>
      <w:proofErr w:type="spellStart"/>
      <w:r>
        <w:t>Rxx</w:t>
      </w:r>
      <w:proofErr w:type="spellEnd"/>
      <w:r>
        <w:t xml:space="preserve"> has associated appellation (is associated appellation of): E41 Appellation), by means of which the model could explicitly refer to the string of the F12 Nomen qua E41 Appellation (which would then allow to talk about combinations of E41 Appellation that can be joined together to form a complex F12 Nomen). </w:t>
      </w:r>
    </w:p>
    <w:p w14:paraId="15BB2C60" w14:textId="77777777" w:rsidR="00DE0A46" w:rsidRPr="006849C6" w:rsidRDefault="00DE0A46" w:rsidP="00DE0A46">
      <w:pPr>
        <w:pStyle w:val="ListParagraph"/>
        <w:numPr>
          <w:ilvl w:val="0"/>
          <w:numId w:val="1"/>
        </w:numPr>
        <w:spacing w:after="240" w:line="276" w:lineRule="auto"/>
      </w:pPr>
      <w:r w:rsidRPr="00FF1B65">
        <w:t xml:space="preserve">F12(1). </w:t>
      </w:r>
      <w:proofErr w:type="spellStart"/>
      <w:r w:rsidRPr="00FF1B65">
        <w:t>Rxx</w:t>
      </w:r>
      <w:proofErr w:type="spellEnd"/>
      <w:r w:rsidRPr="00FF1B65">
        <w:t xml:space="preserve">: E41(1). P106: E41(2). </w:t>
      </w:r>
      <w:proofErr w:type="spellStart"/>
      <w:r w:rsidRPr="00FF1B65">
        <w:t>Rxxi</w:t>
      </w:r>
      <w:proofErr w:type="spellEnd"/>
      <w:r w:rsidRPr="00FF1B65">
        <w:t>: F12(2)</w:t>
      </w:r>
    </w:p>
    <w:p w14:paraId="48A21A5E" w14:textId="77777777" w:rsidR="00DE0A46" w:rsidRDefault="00DE0A46" w:rsidP="00DE0A46">
      <w:pPr>
        <w:spacing w:line="276" w:lineRule="auto"/>
      </w:pPr>
      <w:r w:rsidRPr="00FF1B65">
        <w:rPr>
          <w:b/>
        </w:rPr>
        <w:t>Decision</w:t>
      </w:r>
      <w:r>
        <w:t xml:space="preserve">: </w:t>
      </w:r>
    </w:p>
    <w:p w14:paraId="0DDA6A88" w14:textId="77777777" w:rsidR="00DE0A46" w:rsidRDefault="00DE0A46" w:rsidP="00DE0A46">
      <w:pPr>
        <w:pStyle w:val="ListParagraph"/>
        <w:numPr>
          <w:ilvl w:val="0"/>
          <w:numId w:val="1"/>
        </w:numPr>
        <w:spacing w:line="276" w:lineRule="auto"/>
      </w:pPr>
      <w:r>
        <w:t>The SIG approved declaring R8 combines a subproperty of P148 has component</w:t>
      </w:r>
    </w:p>
    <w:p w14:paraId="0F35A9D8" w14:textId="77777777" w:rsidR="00DE0A46" w:rsidRDefault="00DE0A46" w:rsidP="00DE0A46">
      <w:pPr>
        <w:pStyle w:val="ListParagraph"/>
        <w:numPr>
          <w:ilvl w:val="0"/>
          <w:numId w:val="1"/>
        </w:numPr>
        <w:spacing w:line="276" w:lineRule="auto"/>
      </w:pPr>
      <w:r>
        <w:t xml:space="preserve">HW: PR to propose a definition for the </w:t>
      </w:r>
      <w:proofErr w:type="spellStart"/>
      <w:r>
        <w:t>Rxx</w:t>
      </w:r>
      <w:proofErr w:type="spellEnd"/>
      <w:r>
        <w:t xml:space="preserve"> has associated appellation at the fall meeting, because it seems to better </w:t>
      </w:r>
      <w:proofErr w:type="gramStart"/>
      <w:r>
        <w:t>capture  the</w:t>
      </w:r>
      <w:proofErr w:type="gramEnd"/>
      <w:r>
        <w:t xml:space="preserve"> F12 Nomen to E41 Appellation connection. </w:t>
      </w:r>
    </w:p>
    <w:p w14:paraId="18C16D0F" w14:textId="77777777" w:rsidR="00DE0A46" w:rsidRDefault="00DE0A46" w:rsidP="00DE0A46">
      <w:pPr>
        <w:spacing w:line="276" w:lineRule="auto"/>
      </w:pPr>
    </w:p>
    <w:p w14:paraId="4F8184A8" w14:textId="77777777" w:rsidR="00DE0A46" w:rsidRDefault="00DE0A46" w:rsidP="00DE0A46">
      <w:pPr>
        <w:pStyle w:val="Heading4"/>
        <w:spacing w:line="276" w:lineRule="auto"/>
      </w:pPr>
      <w:bookmarkStart w:id="2" w:name="_R36_uses_script"/>
      <w:bookmarkEnd w:id="2"/>
      <w:r w:rsidRPr="00E46C44">
        <w:t>R36 uses script conversion</w:t>
      </w:r>
    </w:p>
    <w:p w14:paraId="36CB0151" w14:textId="77777777" w:rsidR="00DE0A46" w:rsidRPr="00E46C44" w:rsidRDefault="00DE0A46" w:rsidP="00DE0A46">
      <w:pPr>
        <w:spacing w:line="276" w:lineRule="auto"/>
      </w:pPr>
      <w:r>
        <w:t>Proposal to change:</w:t>
      </w:r>
    </w:p>
    <w:p w14:paraId="24FE4390" w14:textId="77777777" w:rsidR="00DE0A46" w:rsidRDefault="00DE0A46" w:rsidP="00DE0A46">
      <w:pPr>
        <w:pStyle w:val="ListParagraph"/>
        <w:numPr>
          <w:ilvl w:val="0"/>
          <w:numId w:val="1"/>
        </w:numPr>
        <w:spacing w:after="240" w:line="276" w:lineRule="auto"/>
      </w:pPr>
      <w:r w:rsidRPr="00E46C44">
        <w:t xml:space="preserve">F12 Nomen. </w:t>
      </w:r>
      <w:r w:rsidRPr="00E46C44">
        <w:rPr>
          <w:i/>
          <w:color w:val="FF0000"/>
        </w:rPr>
        <w:t>R17i was created by (created)</w:t>
      </w:r>
      <w:r w:rsidRPr="00E46C44">
        <w:t xml:space="preserve">: E65 Creation. </w:t>
      </w:r>
      <w:r w:rsidRPr="00E46C44">
        <w:rPr>
          <w:i/>
        </w:rPr>
        <w:t>P33 used specific technique (was used by)</w:t>
      </w:r>
      <w:r w:rsidRPr="00E46C44">
        <w:t>: E29 Design or Procedure</w:t>
      </w:r>
    </w:p>
    <w:p w14:paraId="4972BB8F" w14:textId="77777777" w:rsidR="00DE0A46" w:rsidRDefault="00DE0A46" w:rsidP="00DE0A46">
      <w:pPr>
        <w:keepNext/>
        <w:spacing w:line="276" w:lineRule="auto"/>
      </w:pPr>
      <w:r>
        <w:t>To:</w:t>
      </w:r>
    </w:p>
    <w:p w14:paraId="51924B65" w14:textId="77777777" w:rsidR="00DE0A46" w:rsidRDefault="00DE0A46" w:rsidP="00DE0A46">
      <w:pPr>
        <w:pStyle w:val="ListParagraph"/>
        <w:numPr>
          <w:ilvl w:val="0"/>
          <w:numId w:val="1"/>
        </w:numPr>
        <w:spacing w:after="240" w:line="276" w:lineRule="auto"/>
      </w:pPr>
      <w:r w:rsidRPr="00E46C44">
        <w:t xml:space="preserve">Shortcut of: F12 Nomen. </w:t>
      </w:r>
      <w:r w:rsidRPr="00E46C44">
        <w:rPr>
          <w:b/>
          <w:i/>
        </w:rPr>
        <w:t>P94i was created by (created)</w:t>
      </w:r>
      <w:r w:rsidRPr="00E46C44">
        <w:t xml:space="preserve">: E65 Creation. </w:t>
      </w:r>
      <w:r w:rsidRPr="00E46C44">
        <w:rPr>
          <w:i/>
        </w:rPr>
        <w:t>P33 used specific technique (was used by)</w:t>
      </w:r>
      <w:r w:rsidRPr="00E46C44">
        <w:t>: E29 Design or Procedure</w:t>
      </w:r>
    </w:p>
    <w:p w14:paraId="7463317D" w14:textId="77777777" w:rsidR="00DE0A46" w:rsidRDefault="00DE0A46" w:rsidP="00DE0A46">
      <w:pPr>
        <w:spacing w:after="240" w:line="276" w:lineRule="auto"/>
      </w:pPr>
      <w:r>
        <w:t>Because F12 Nomen is a subclass of E89 Propositional Object and is inconsistent with an F2 Expression (and an F28 Expression Creation –i.e., the domain and range of R17). P94 created (was created by) to be used instead.</w:t>
      </w:r>
    </w:p>
    <w:p w14:paraId="1C6E7369" w14:textId="77777777" w:rsidR="00DE0A46" w:rsidRDefault="00DE0A46" w:rsidP="00DE0A46">
      <w:pPr>
        <w:spacing w:after="240" w:line="276" w:lineRule="auto"/>
      </w:pPr>
      <w:r w:rsidRPr="00E46C44">
        <w:rPr>
          <w:b/>
        </w:rPr>
        <w:lastRenderedPageBreak/>
        <w:t>Decision</w:t>
      </w:r>
      <w:r>
        <w:t xml:space="preserve">: The SIG agreed to the proposal. </w:t>
      </w:r>
    </w:p>
    <w:p w14:paraId="544E454E" w14:textId="77777777" w:rsidR="00DE0A46" w:rsidRDefault="00DE0A46" w:rsidP="00DE0A46">
      <w:pPr>
        <w:pStyle w:val="Heading4"/>
        <w:spacing w:line="276" w:lineRule="auto"/>
      </w:pPr>
      <w:bookmarkStart w:id="3" w:name="_R70_has_dimension"/>
      <w:bookmarkEnd w:id="3"/>
      <w:r>
        <w:t xml:space="preserve">R70 has dimension </w:t>
      </w:r>
    </w:p>
    <w:p w14:paraId="59C5AA16" w14:textId="77777777" w:rsidR="00DE0A46" w:rsidRDefault="00DE0A46" w:rsidP="00DE0A46">
      <w:pPr>
        <w:spacing w:line="276" w:lineRule="auto"/>
      </w:pPr>
      <w:r>
        <w:t xml:space="preserve">Proposal to change the direction of the inference for the dimension of an F3 Manifestation, </w:t>
      </w:r>
    </w:p>
    <w:p w14:paraId="0F1AE549" w14:textId="77777777" w:rsidR="00DE0A46" w:rsidRDefault="00DE0A46" w:rsidP="00DE0A46">
      <w:pPr>
        <w:pStyle w:val="ListParagraph"/>
        <w:numPr>
          <w:ilvl w:val="0"/>
          <w:numId w:val="1"/>
        </w:numPr>
        <w:spacing w:after="240" w:line="276" w:lineRule="auto"/>
      </w:pPr>
      <w:r>
        <w:t xml:space="preserve">from </w:t>
      </w:r>
      <w:r w:rsidRPr="00E46C44">
        <w:t>R70(</w:t>
      </w:r>
      <w:proofErr w:type="spellStart"/>
      <w:proofErr w:type="gramStart"/>
      <w:r w:rsidRPr="00E46C44">
        <w:t>x,y</w:t>
      </w:r>
      <w:proofErr w:type="spellEnd"/>
      <w:proofErr w:type="gramEnd"/>
      <w:r w:rsidRPr="00E46C44">
        <w:t xml:space="preserve">) </w:t>
      </w:r>
      <w:r w:rsidRPr="00710674">
        <w:rPr>
          <w:rFonts w:ascii="Cambria Math" w:hAnsi="Cambria Math" w:cs="Cambria Math"/>
          <w:b/>
          <w:color w:val="FF0000"/>
        </w:rPr>
        <w:t>⇐</w:t>
      </w:r>
      <w:r w:rsidRPr="00710674">
        <w:rPr>
          <w:color w:val="FF0000"/>
        </w:rPr>
        <w:t xml:space="preserve"> </w:t>
      </w:r>
      <w:r w:rsidRPr="00E46C44">
        <w:t>(</w:t>
      </w:r>
      <w:r w:rsidRPr="00710674">
        <w:rPr>
          <w:rFonts w:ascii="Cambria Math" w:hAnsi="Cambria Math" w:cs="Cambria Math"/>
        </w:rPr>
        <w:t>∃</w:t>
      </w:r>
      <w:r w:rsidRPr="00E46C44">
        <w:t xml:space="preserve">z) [F5(z) </w:t>
      </w:r>
      <w:r w:rsidRPr="00710674">
        <w:rPr>
          <w:rFonts w:ascii="Cambria Math" w:hAnsi="Cambria Math" w:cs="Cambria Math"/>
        </w:rPr>
        <w:t>∧</w:t>
      </w:r>
      <w:r w:rsidRPr="00E46C44">
        <w:t xml:space="preserve"> R7i(</w:t>
      </w:r>
      <w:proofErr w:type="spellStart"/>
      <w:proofErr w:type="gramStart"/>
      <w:r w:rsidRPr="00E46C44">
        <w:t>x,z</w:t>
      </w:r>
      <w:proofErr w:type="spellEnd"/>
      <w:proofErr w:type="gramEnd"/>
      <w:r w:rsidRPr="00E46C44">
        <w:t xml:space="preserve">) </w:t>
      </w:r>
      <w:r w:rsidRPr="00710674">
        <w:rPr>
          <w:rFonts w:ascii="Cambria Math" w:hAnsi="Cambria Math" w:cs="Cambria Math"/>
        </w:rPr>
        <w:t>∧</w:t>
      </w:r>
      <w:r w:rsidRPr="00E46C44">
        <w:t xml:space="preserve"> P43(</w:t>
      </w:r>
      <w:proofErr w:type="spellStart"/>
      <w:proofErr w:type="gramStart"/>
      <w:r w:rsidRPr="00E46C44">
        <w:t>z,y</w:t>
      </w:r>
      <w:proofErr w:type="spellEnd"/>
      <w:proofErr w:type="gramEnd"/>
      <w:r w:rsidRPr="00E46C44">
        <w:t>)]</w:t>
      </w:r>
      <w:r>
        <w:t xml:space="preserve">, </w:t>
      </w:r>
    </w:p>
    <w:p w14:paraId="15DAEC73" w14:textId="77777777" w:rsidR="00DE0A46" w:rsidRPr="00710674" w:rsidRDefault="00DE0A46" w:rsidP="00DE0A46">
      <w:pPr>
        <w:pStyle w:val="ListParagraph"/>
        <w:numPr>
          <w:ilvl w:val="0"/>
          <w:numId w:val="1"/>
        </w:numPr>
        <w:spacing w:after="240" w:line="276" w:lineRule="auto"/>
        <w:rPr>
          <w:color w:val="000000"/>
        </w:rPr>
      </w:pPr>
      <w:r>
        <w:t xml:space="preserve">to </w:t>
      </w:r>
      <w:r w:rsidRPr="00710674">
        <w:rPr>
          <w:color w:val="000000"/>
        </w:rPr>
        <w:t>R70(</w:t>
      </w:r>
      <w:proofErr w:type="spellStart"/>
      <w:proofErr w:type="gramStart"/>
      <w:r w:rsidRPr="00710674">
        <w:rPr>
          <w:color w:val="000000"/>
        </w:rPr>
        <w:t>x,y</w:t>
      </w:r>
      <w:proofErr w:type="spellEnd"/>
      <w:proofErr w:type="gramEnd"/>
      <w:r w:rsidRPr="00710674">
        <w:rPr>
          <w:color w:val="000000"/>
        </w:rPr>
        <w:t xml:space="preserve">) </w:t>
      </w:r>
      <w:r w:rsidRPr="00710674">
        <w:rPr>
          <w:rFonts w:ascii="Cambria Math" w:hAnsi="Cambria Math" w:cs="Cambria Math"/>
          <w:b/>
          <w:color w:val="000000"/>
        </w:rPr>
        <w:t>⇒</w:t>
      </w:r>
      <w:r w:rsidRPr="00710674">
        <w:rPr>
          <w:color w:val="000000"/>
        </w:rPr>
        <w:t xml:space="preserve"> (</w:t>
      </w:r>
      <w:r w:rsidRPr="00710674">
        <w:rPr>
          <w:rFonts w:ascii="Cambria Math" w:hAnsi="Cambria Math" w:cs="Cambria Math"/>
          <w:color w:val="000000"/>
        </w:rPr>
        <w:t>∃</w:t>
      </w:r>
      <w:r w:rsidRPr="00710674">
        <w:rPr>
          <w:color w:val="000000"/>
        </w:rPr>
        <w:t xml:space="preserve">z) [F5(z) </w:t>
      </w:r>
      <w:r w:rsidRPr="00710674">
        <w:rPr>
          <w:rFonts w:ascii="Cambria Math" w:hAnsi="Cambria Math" w:cs="Cambria Math"/>
          <w:color w:val="000000"/>
        </w:rPr>
        <w:t>∧</w:t>
      </w:r>
      <w:r w:rsidRPr="00710674">
        <w:rPr>
          <w:color w:val="000000"/>
        </w:rPr>
        <w:t xml:space="preserve"> R7i(</w:t>
      </w:r>
      <w:proofErr w:type="spellStart"/>
      <w:proofErr w:type="gramStart"/>
      <w:r w:rsidRPr="00710674">
        <w:rPr>
          <w:color w:val="000000"/>
        </w:rPr>
        <w:t>x,z</w:t>
      </w:r>
      <w:proofErr w:type="spellEnd"/>
      <w:proofErr w:type="gramEnd"/>
      <w:r w:rsidRPr="00710674">
        <w:rPr>
          <w:color w:val="000000"/>
        </w:rPr>
        <w:t xml:space="preserve">) </w:t>
      </w:r>
      <w:r w:rsidRPr="00710674">
        <w:rPr>
          <w:rFonts w:ascii="Cambria Math" w:hAnsi="Cambria Math" w:cs="Cambria Math"/>
          <w:color w:val="000000"/>
        </w:rPr>
        <w:t>∧</w:t>
      </w:r>
      <w:r w:rsidRPr="00710674">
        <w:rPr>
          <w:color w:val="000000"/>
        </w:rPr>
        <w:t xml:space="preserve"> P43(</w:t>
      </w:r>
      <w:proofErr w:type="spellStart"/>
      <w:proofErr w:type="gramStart"/>
      <w:r w:rsidRPr="00710674">
        <w:rPr>
          <w:color w:val="000000"/>
        </w:rPr>
        <w:t>z,y</w:t>
      </w:r>
      <w:proofErr w:type="spellEnd"/>
      <w:proofErr w:type="gramEnd"/>
      <w:r w:rsidRPr="00710674">
        <w:rPr>
          <w:color w:val="000000"/>
        </w:rPr>
        <w:t xml:space="preserve">)], </w:t>
      </w:r>
    </w:p>
    <w:p w14:paraId="0AADC3D5" w14:textId="77777777" w:rsidR="00DE0A46" w:rsidRDefault="00DE0A46" w:rsidP="00DE0A46">
      <w:pPr>
        <w:spacing w:after="240" w:line="276" w:lineRule="auto"/>
        <w:rPr>
          <w:color w:val="000000"/>
        </w:rPr>
      </w:pPr>
      <w:r>
        <w:rPr>
          <w:color w:val="000000"/>
        </w:rPr>
        <w:t xml:space="preserve">on the grounds that the dimension of the item may change (for instance: a book might get rebound and as a result its height might be affected), but at some </w:t>
      </w:r>
      <w:proofErr w:type="gramStart"/>
      <w:r>
        <w:rPr>
          <w:color w:val="000000"/>
        </w:rPr>
        <w:t>point</w:t>
      </w:r>
      <w:proofErr w:type="gramEnd"/>
      <w:r>
        <w:rPr>
          <w:color w:val="000000"/>
        </w:rPr>
        <w:t xml:space="preserve"> in time, the F3 Manifestation that was R7i exemplified </w:t>
      </w:r>
      <w:proofErr w:type="gramStart"/>
      <w:r>
        <w:rPr>
          <w:color w:val="000000"/>
        </w:rPr>
        <w:t>by  an</w:t>
      </w:r>
      <w:proofErr w:type="gramEnd"/>
      <w:r>
        <w:rPr>
          <w:color w:val="000000"/>
        </w:rPr>
        <w:t xml:space="preserve"> F5 Item, had that particular dimension. So, it is OK to infer from an instance of a property R70 that the associated F5 had a particular dimension (and not the other way round). </w:t>
      </w:r>
    </w:p>
    <w:p w14:paraId="473E83DE" w14:textId="77777777" w:rsidR="00DE0A46" w:rsidRPr="00710674" w:rsidRDefault="00DE0A46" w:rsidP="00DE0A46">
      <w:pPr>
        <w:spacing w:after="240" w:line="276" w:lineRule="auto"/>
        <w:rPr>
          <w:color w:val="000000"/>
        </w:rPr>
      </w:pPr>
      <w:r w:rsidRPr="00710674">
        <w:rPr>
          <w:b/>
          <w:color w:val="000000"/>
        </w:rPr>
        <w:t>Decision</w:t>
      </w:r>
      <w:r>
        <w:rPr>
          <w:color w:val="000000"/>
        </w:rPr>
        <w:t>: the SIG accepted the proposal</w:t>
      </w:r>
    </w:p>
    <w:p w14:paraId="4455AC0C" w14:textId="77777777" w:rsidR="00DE0A46" w:rsidRDefault="00DE0A46" w:rsidP="00DE0A46">
      <w:pPr>
        <w:pStyle w:val="Heading4"/>
        <w:spacing w:line="276" w:lineRule="auto"/>
      </w:pPr>
      <w:bookmarkStart w:id="4" w:name="_R78_has_alternate"/>
      <w:bookmarkEnd w:id="4"/>
      <w:r w:rsidRPr="00E46C44">
        <w:t>R78 has alternate</w:t>
      </w:r>
    </w:p>
    <w:p w14:paraId="25B61E61" w14:textId="77777777" w:rsidR="00DE0A46" w:rsidRDefault="00DE0A46" w:rsidP="00DE0A46">
      <w:pPr>
        <w:spacing w:after="240" w:line="276" w:lineRule="auto"/>
      </w:pPr>
      <w:r>
        <w:t xml:space="preserve">Proposal to change the inference </w:t>
      </w:r>
    </w:p>
    <w:p w14:paraId="56B836CB" w14:textId="77777777" w:rsidR="00DE0A46" w:rsidRDefault="00DE0A46" w:rsidP="00DE0A46">
      <w:pPr>
        <w:pStyle w:val="ListParagraph"/>
        <w:numPr>
          <w:ilvl w:val="0"/>
          <w:numId w:val="1"/>
        </w:numPr>
        <w:spacing w:after="240" w:line="276" w:lineRule="auto"/>
      </w:pPr>
      <w:r>
        <w:t xml:space="preserve">from: </w:t>
      </w:r>
      <w:r w:rsidRPr="004A1A89">
        <w:t>R78(</w:t>
      </w:r>
      <w:proofErr w:type="spellStart"/>
      <w:proofErr w:type="gramStart"/>
      <w:r w:rsidRPr="004A1A89">
        <w:t>x,y</w:t>
      </w:r>
      <w:proofErr w:type="spellEnd"/>
      <w:proofErr w:type="gramEnd"/>
      <w:r w:rsidRPr="004A1A89">
        <w:t xml:space="preserve">) </w:t>
      </w:r>
      <w:r w:rsidRPr="004A1A89">
        <w:rPr>
          <w:rFonts w:ascii="Cambria Math" w:hAnsi="Cambria Math" w:cs="Cambria Math"/>
          <w:b/>
          <w:color w:val="FF0000"/>
        </w:rPr>
        <w:t>⇔</w:t>
      </w:r>
      <w:r w:rsidRPr="004A1A89">
        <w:t>(</w:t>
      </w:r>
      <w:r w:rsidRPr="004A1A89">
        <w:rPr>
          <w:rFonts w:ascii="Cambria Math" w:hAnsi="Cambria Math" w:cs="Cambria Math"/>
        </w:rPr>
        <w:t>∃</w:t>
      </w:r>
      <w:r w:rsidRPr="004A1A89">
        <w:t xml:space="preserve">z) [F2(z) </w:t>
      </w:r>
      <w:r w:rsidRPr="004A1A89">
        <w:rPr>
          <w:rFonts w:ascii="Cambria Math" w:hAnsi="Cambria Math" w:cs="Cambria Math"/>
        </w:rPr>
        <w:t>∧</w:t>
      </w:r>
      <w:r w:rsidRPr="004A1A89">
        <w:t xml:space="preserve"> R4(</w:t>
      </w:r>
      <w:proofErr w:type="spellStart"/>
      <w:proofErr w:type="gramStart"/>
      <w:r w:rsidRPr="004A1A89">
        <w:t>x,z</w:t>
      </w:r>
      <w:proofErr w:type="spellEnd"/>
      <w:proofErr w:type="gramEnd"/>
      <w:r w:rsidRPr="004A1A89">
        <w:t xml:space="preserve">) </w:t>
      </w:r>
      <w:r w:rsidRPr="004A1A89">
        <w:rPr>
          <w:rFonts w:ascii="Cambria Math" w:hAnsi="Cambria Math" w:cs="Cambria Math"/>
        </w:rPr>
        <w:t>∧</w:t>
      </w:r>
      <w:r w:rsidRPr="004A1A89">
        <w:t xml:space="preserve"> R4i(</w:t>
      </w:r>
      <w:proofErr w:type="spellStart"/>
      <w:proofErr w:type="gramStart"/>
      <w:r w:rsidRPr="004A1A89">
        <w:t>z,y</w:t>
      </w:r>
      <w:proofErr w:type="spellEnd"/>
      <w:proofErr w:type="gramEnd"/>
      <w:r w:rsidRPr="004A1A89">
        <w:t>)]</w:t>
      </w:r>
    </w:p>
    <w:p w14:paraId="741AF57D" w14:textId="77777777" w:rsidR="00DE0A46" w:rsidRPr="004A1A89" w:rsidRDefault="00DE0A46" w:rsidP="00DE0A46">
      <w:pPr>
        <w:pStyle w:val="ListParagraph"/>
        <w:numPr>
          <w:ilvl w:val="0"/>
          <w:numId w:val="1"/>
        </w:numPr>
        <w:spacing w:after="240" w:line="276" w:lineRule="auto"/>
      </w:pPr>
      <w:r>
        <w:t xml:space="preserve">to: </w:t>
      </w:r>
      <w:r>
        <w:rPr>
          <w:color w:val="000000"/>
        </w:rPr>
        <w:t>R78(</w:t>
      </w:r>
      <w:proofErr w:type="spellStart"/>
      <w:proofErr w:type="gramStart"/>
      <w:r>
        <w:rPr>
          <w:color w:val="000000"/>
        </w:rPr>
        <w:t>x,y</w:t>
      </w:r>
      <w:proofErr w:type="spellEnd"/>
      <w:proofErr w:type="gramEnd"/>
      <w:r>
        <w:rPr>
          <w:color w:val="000000"/>
        </w:rPr>
        <w:t xml:space="preserve">) </w:t>
      </w:r>
      <w:r w:rsidRPr="004A1A89">
        <w:rPr>
          <w:rFonts w:ascii="Cambria Math" w:hAnsi="Cambria Math" w:cs="Cambria Math"/>
          <w:b/>
          <w:color w:val="000000"/>
        </w:rPr>
        <w:t>⇒</w:t>
      </w:r>
      <w:r>
        <w:rPr>
          <w:color w:val="000000"/>
        </w:rPr>
        <w:t xml:space="preserve"> (</w:t>
      </w:r>
      <w:r>
        <w:rPr>
          <w:rFonts w:ascii="Cambria Math" w:hAnsi="Cambria Math" w:cs="Cambria Math"/>
          <w:color w:val="000000"/>
        </w:rPr>
        <w:t>∃</w:t>
      </w:r>
      <w:r>
        <w:rPr>
          <w:color w:val="000000"/>
        </w:rPr>
        <w:t xml:space="preserve">z) [F2(z) </w:t>
      </w:r>
      <w:r>
        <w:rPr>
          <w:rFonts w:ascii="Cambria Math" w:hAnsi="Cambria Math" w:cs="Cambria Math"/>
          <w:color w:val="000000"/>
        </w:rPr>
        <w:t>∧</w:t>
      </w:r>
      <w:r>
        <w:rPr>
          <w:color w:val="000000"/>
        </w:rPr>
        <w:t xml:space="preserve"> R4(</w:t>
      </w:r>
      <w:proofErr w:type="spellStart"/>
      <w:proofErr w:type="gramStart"/>
      <w:r>
        <w:rPr>
          <w:color w:val="000000"/>
        </w:rPr>
        <w:t>x,z</w:t>
      </w:r>
      <w:proofErr w:type="spellEnd"/>
      <w:proofErr w:type="gramEnd"/>
      <w:r>
        <w:rPr>
          <w:color w:val="000000"/>
        </w:rPr>
        <w:t xml:space="preserve">) </w:t>
      </w:r>
      <w:r>
        <w:rPr>
          <w:rFonts w:ascii="Cambria Math" w:hAnsi="Cambria Math" w:cs="Cambria Math"/>
          <w:color w:val="000000"/>
        </w:rPr>
        <w:t>∧</w:t>
      </w:r>
      <w:r>
        <w:rPr>
          <w:color w:val="000000"/>
        </w:rPr>
        <w:t xml:space="preserve"> R4i(</w:t>
      </w:r>
      <w:proofErr w:type="spellStart"/>
      <w:proofErr w:type="gramStart"/>
      <w:r>
        <w:rPr>
          <w:color w:val="000000"/>
        </w:rPr>
        <w:t>z,y</w:t>
      </w:r>
      <w:proofErr w:type="spellEnd"/>
      <w:proofErr w:type="gramEnd"/>
      <w:r>
        <w:rPr>
          <w:color w:val="000000"/>
        </w:rPr>
        <w:t xml:space="preserve">)], </w:t>
      </w:r>
    </w:p>
    <w:p w14:paraId="4948C441" w14:textId="77777777" w:rsidR="00DE0A46" w:rsidRDefault="00DE0A46" w:rsidP="00DE0A46">
      <w:pPr>
        <w:spacing w:after="240" w:line="276" w:lineRule="auto"/>
      </w:pPr>
      <w:r>
        <w:t xml:space="preserve">on the grounds that an alternate F3 Manifestation comes with a narrower interpretation than two different F3 Manifestations embodying the same instance of F2 Expression (much like a large print book and a regular print book are not just suitable alternate manifestations of the same expression, they serve different purposes to begin with) </w:t>
      </w:r>
    </w:p>
    <w:p w14:paraId="079DD798" w14:textId="77777777" w:rsidR="00DE0A46" w:rsidRDefault="00DE0A46" w:rsidP="00DE0A46">
      <w:pPr>
        <w:pStyle w:val="Heading4"/>
        <w:spacing w:line="276" w:lineRule="auto"/>
      </w:pPr>
      <w:bookmarkStart w:id="5" w:name="_Conventions_for_declaring"/>
      <w:bookmarkEnd w:id="5"/>
      <w:r>
        <w:t>Conventions for declaring complex FOL axioms</w:t>
      </w:r>
    </w:p>
    <w:p w14:paraId="4D649DDC" w14:textId="77777777" w:rsidR="00DE0A46" w:rsidRDefault="00DE0A46" w:rsidP="00DE0A46">
      <w:pPr>
        <w:spacing w:after="240" w:line="276" w:lineRule="auto"/>
      </w:pPr>
      <w:r>
        <w:t>PR presented some alternative styles for expressing complex FOL statements (</w:t>
      </w:r>
      <w:proofErr w:type="spellStart"/>
      <w:r>
        <w:t>f.i</w:t>
      </w:r>
      <w:proofErr w:type="spellEnd"/>
      <w:r>
        <w:t xml:space="preserve">., full paths): </w:t>
      </w:r>
    </w:p>
    <w:p w14:paraId="2808F13E" w14:textId="77777777" w:rsidR="00DE0A46" w:rsidRPr="004A1A89" w:rsidRDefault="00DE0A46" w:rsidP="00DE0A46">
      <w:pPr>
        <w:spacing w:after="240" w:line="276" w:lineRule="auto"/>
        <w:rPr>
          <w:b/>
        </w:rPr>
      </w:pPr>
      <w:r w:rsidRPr="004A1A89">
        <w:rPr>
          <w:b/>
        </w:rPr>
        <w:t>R2i(</w:t>
      </w:r>
      <w:proofErr w:type="spellStart"/>
      <w:proofErr w:type="gramStart"/>
      <w:r w:rsidRPr="004A1A89">
        <w:rPr>
          <w:b/>
        </w:rPr>
        <w:t>x,y</w:t>
      </w:r>
      <w:proofErr w:type="spellEnd"/>
      <w:proofErr w:type="gramEnd"/>
      <w:r w:rsidRPr="004A1A89">
        <w:rPr>
          <w:b/>
        </w:rPr>
        <w:t xml:space="preserve">) </w:t>
      </w:r>
      <w:r w:rsidRPr="004A1A89">
        <w:rPr>
          <w:rFonts w:ascii="Cambria Math" w:hAnsi="Cambria Math" w:cs="Cambria Math"/>
          <w:b/>
        </w:rPr>
        <w:t>⇔</w:t>
      </w:r>
      <w:r w:rsidRPr="004A1A89">
        <w:rPr>
          <w:b/>
        </w:rPr>
        <w:t xml:space="preserve"> (</w:t>
      </w:r>
      <w:r w:rsidRPr="004A1A89">
        <w:rPr>
          <w:rFonts w:ascii="Cambria Math" w:hAnsi="Cambria Math" w:cs="Cambria Math"/>
          <w:b/>
        </w:rPr>
        <w:t>∃</w:t>
      </w:r>
      <w:proofErr w:type="spellStart"/>
      <w:r w:rsidRPr="004A1A89">
        <w:rPr>
          <w:b/>
        </w:rPr>
        <w:t>uzw</w:t>
      </w:r>
      <w:proofErr w:type="spellEnd"/>
      <w:r w:rsidRPr="004A1A89">
        <w:rPr>
          <w:b/>
        </w:rPr>
        <w:t xml:space="preserve">) [F2(u) </w:t>
      </w:r>
      <w:r w:rsidRPr="004A1A89">
        <w:rPr>
          <w:rFonts w:ascii="Cambria Math" w:hAnsi="Cambria Math" w:cs="Cambria Math"/>
          <w:b/>
        </w:rPr>
        <w:t>∧</w:t>
      </w:r>
      <w:r w:rsidRPr="004A1A89">
        <w:rPr>
          <w:b/>
        </w:rPr>
        <w:t xml:space="preserve"> R3(</w:t>
      </w:r>
      <w:proofErr w:type="spellStart"/>
      <w:proofErr w:type="gramStart"/>
      <w:r w:rsidRPr="004A1A89">
        <w:rPr>
          <w:b/>
        </w:rPr>
        <w:t>x,u</w:t>
      </w:r>
      <w:proofErr w:type="spellEnd"/>
      <w:proofErr w:type="gramEnd"/>
      <w:r w:rsidRPr="004A1A89">
        <w:rPr>
          <w:b/>
        </w:rPr>
        <w:t xml:space="preserve">) </w:t>
      </w:r>
      <w:r w:rsidRPr="004A1A89">
        <w:rPr>
          <w:rFonts w:ascii="Cambria Math" w:hAnsi="Cambria Math" w:cs="Cambria Math"/>
          <w:b/>
        </w:rPr>
        <w:t>∧</w:t>
      </w:r>
      <w:r w:rsidRPr="004A1A89">
        <w:rPr>
          <w:b/>
        </w:rPr>
        <w:t xml:space="preserve"> F28(z) </w:t>
      </w:r>
      <w:r w:rsidRPr="004A1A89">
        <w:rPr>
          <w:rFonts w:ascii="Cambria Math" w:hAnsi="Cambria Math" w:cs="Cambria Math"/>
          <w:b/>
        </w:rPr>
        <w:t>∧</w:t>
      </w:r>
      <w:r w:rsidRPr="004A1A89">
        <w:rPr>
          <w:b/>
        </w:rPr>
        <w:t xml:space="preserve"> P16i(</w:t>
      </w:r>
      <w:proofErr w:type="spellStart"/>
      <w:proofErr w:type="gramStart"/>
      <w:r w:rsidRPr="004A1A89">
        <w:rPr>
          <w:b/>
        </w:rPr>
        <w:t>u,z</w:t>
      </w:r>
      <w:proofErr w:type="spellEnd"/>
      <w:proofErr w:type="gramEnd"/>
      <w:r w:rsidRPr="004A1A89">
        <w:rPr>
          <w:b/>
        </w:rPr>
        <w:t xml:space="preserve">) </w:t>
      </w:r>
      <w:r w:rsidRPr="004A1A89">
        <w:rPr>
          <w:rFonts w:ascii="Cambria Math" w:hAnsi="Cambria Math" w:cs="Cambria Math"/>
          <w:b/>
        </w:rPr>
        <w:t>∧</w:t>
      </w:r>
      <w:r w:rsidRPr="004A1A89">
        <w:rPr>
          <w:b/>
        </w:rPr>
        <w:t xml:space="preserve"> F2(w) </w:t>
      </w:r>
      <w:r w:rsidRPr="004A1A89">
        <w:rPr>
          <w:rFonts w:ascii="Cambria Math" w:hAnsi="Cambria Math" w:cs="Cambria Math"/>
          <w:b/>
        </w:rPr>
        <w:t>∧</w:t>
      </w:r>
      <w:r w:rsidRPr="004A1A89">
        <w:rPr>
          <w:b/>
        </w:rPr>
        <w:t xml:space="preserve"> R17(</w:t>
      </w:r>
      <w:proofErr w:type="spellStart"/>
      <w:proofErr w:type="gramStart"/>
      <w:r w:rsidRPr="004A1A89">
        <w:rPr>
          <w:b/>
        </w:rPr>
        <w:t>z,w</w:t>
      </w:r>
      <w:proofErr w:type="spellEnd"/>
      <w:proofErr w:type="gramEnd"/>
      <w:r w:rsidRPr="004A1A89">
        <w:rPr>
          <w:b/>
        </w:rPr>
        <w:t xml:space="preserve">) </w:t>
      </w:r>
      <w:r w:rsidRPr="004A1A89">
        <w:rPr>
          <w:rFonts w:ascii="Cambria Math" w:hAnsi="Cambria Math" w:cs="Cambria Math"/>
          <w:b/>
        </w:rPr>
        <w:t>∧</w:t>
      </w:r>
      <w:r w:rsidRPr="004A1A89">
        <w:rPr>
          <w:b/>
        </w:rPr>
        <w:t xml:space="preserve"> R3i(</w:t>
      </w:r>
      <w:proofErr w:type="spellStart"/>
      <w:proofErr w:type="gramStart"/>
      <w:r w:rsidRPr="004A1A89">
        <w:rPr>
          <w:b/>
        </w:rPr>
        <w:t>w,y</w:t>
      </w:r>
      <w:proofErr w:type="spellEnd"/>
      <w:proofErr w:type="gramEnd"/>
      <w:r w:rsidRPr="004A1A89">
        <w:rPr>
          <w:b/>
        </w:rPr>
        <w:t>)]</w:t>
      </w:r>
    </w:p>
    <w:p w14:paraId="7A1B95B6" w14:textId="77777777" w:rsidR="00DE0A46" w:rsidRDefault="00DE0A46" w:rsidP="00DE0A46">
      <w:pPr>
        <w:pStyle w:val="Heading5"/>
        <w:spacing w:line="276" w:lineRule="auto"/>
      </w:pPr>
      <w:bookmarkStart w:id="6" w:name="_without_the_class"/>
      <w:bookmarkEnd w:id="6"/>
      <w:r>
        <w:t>without the class definitions, since they can be inferred from the properties:</w:t>
      </w:r>
    </w:p>
    <w:p w14:paraId="0F4B5E2E" w14:textId="77777777" w:rsidR="00DE0A46" w:rsidRDefault="00DE0A46" w:rsidP="00DE0A46">
      <w:pPr>
        <w:pStyle w:val="ListParagraph"/>
        <w:numPr>
          <w:ilvl w:val="0"/>
          <w:numId w:val="1"/>
        </w:numPr>
        <w:spacing w:after="240" w:line="276" w:lineRule="auto"/>
      </w:pPr>
      <w:r>
        <w:t>R2i(</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proofErr w:type="spellStart"/>
      <w:r>
        <w:t>uzw</w:t>
      </w:r>
      <w:proofErr w:type="spellEnd"/>
      <w:r>
        <w:t>) [R3(</w:t>
      </w:r>
      <w:proofErr w:type="spellStart"/>
      <w:proofErr w:type="gramStart"/>
      <w:r>
        <w:t>x,u</w:t>
      </w:r>
      <w:proofErr w:type="spellEnd"/>
      <w:proofErr w:type="gramEnd"/>
      <w:r>
        <w:t xml:space="preserve">) </w:t>
      </w:r>
      <w:r>
        <w:rPr>
          <w:rFonts w:ascii="Cambria Math" w:hAnsi="Cambria Math" w:cs="Cambria Math"/>
        </w:rPr>
        <w:t>∧</w:t>
      </w:r>
      <w:r>
        <w:t xml:space="preserve"> P16i(</w:t>
      </w:r>
      <w:proofErr w:type="spellStart"/>
      <w:proofErr w:type="gramStart"/>
      <w:r>
        <w:t>u,z</w:t>
      </w:r>
      <w:proofErr w:type="spellEnd"/>
      <w:proofErr w:type="gramEnd"/>
      <w:r>
        <w:t xml:space="preserve">) </w:t>
      </w:r>
      <w:r>
        <w:rPr>
          <w:rFonts w:ascii="Cambria Math" w:hAnsi="Cambria Math" w:cs="Cambria Math"/>
        </w:rPr>
        <w:t>∧</w:t>
      </w:r>
      <w:r>
        <w:t xml:space="preserve"> R17(</w:t>
      </w:r>
      <w:proofErr w:type="spellStart"/>
      <w:proofErr w:type="gramStart"/>
      <w:r>
        <w:t>z,w</w:t>
      </w:r>
      <w:proofErr w:type="spellEnd"/>
      <w:proofErr w:type="gramEnd"/>
      <w:r>
        <w:t xml:space="preserve">) </w:t>
      </w:r>
      <w:r>
        <w:rPr>
          <w:rFonts w:ascii="Cambria Math" w:hAnsi="Cambria Math" w:cs="Cambria Math"/>
        </w:rPr>
        <w:t>∧</w:t>
      </w:r>
      <w:r>
        <w:t xml:space="preserve"> R3i(</w:t>
      </w:r>
      <w:proofErr w:type="spellStart"/>
      <w:proofErr w:type="gramStart"/>
      <w:r>
        <w:t>w,y</w:t>
      </w:r>
      <w:proofErr w:type="spellEnd"/>
      <w:proofErr w:type="gramEnd"/>
      <w:r>
        <w:t xml:space="preserve">)] </w:t>
      </w:r>
    </w:p>
    <w:p w14:paraId="5968D650" w14:textId="77777777" w:rsidR="00DE0A46" w:rsidRDefault="00DE0A46" w:rsidP="00DE0A46">
      <w:pPr>
        <w:pStyle w:val="Heading5"/>
        <w:spacing w:line="276" w:lineRule="auto"/>
      </w:pPr>
      <w:r>
        <w:t>class definitions in italics to indicate that they can be inferred: (bold is only to indicate what would change)</w:t>
      </w:r>
    </w:p>
    <w:p w14:paraId="25F29F78" w14:textId="77777777" w:rsidR="00DE0A46" w:rsidRDefault="00DE0A46" w:rsidP="00DE0A46">
      <w:pPr>
        <w:pStyle w:val="ListParagraph"/>
        <w:numPr>
          <w:ilvl w:val="0"/>
          <w:numId w:val="1"/>
        </w:numPr>
        <w:spacing w:after="240" w:line="276" w:lineRule="auto"/>
      </w:pPr>
      <w:r>
        <w:t>R2i(</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proofErr w:type="spellStart"/>
      <w:r>
        <w:t>uzw</w:t>
      </w:r>
      <w:proofErr w:type="spellEnd"/>
      <w:r>
        <w:t xml:space="preserve">) [F2(u) </w:t>
      </w:r>
      <w:r>
        <w:rPr>
          <w:rFonts w:ascii="Cambria Math" w:hAnsi="Cambria Math" w:cs="Cambria Math"/>
        </w:rPr>
        <w:t>∧</w:t>
      </w:r>
      <w:r>
        <w:t xml:space="preserve"> R3(</w:t>
      </w:r>
      <w:proofErr w:type="spellStart"/>
      <w:proofErr w:type="gramStart"/>
      <w:r>
        <w:t>x,u</w:t>
      </w:r>
      <w:proofErr w:type="spellEnd"/>
      <w:proofErr w:type="gramEnd"/>
      <w:r>
        <w:t xml:space="preserve">) </w:t>
      </w:r>
      <w:r>
        <w:rPr>
          <w:rFonts w:ascii="Cambria Math" w:hAnsi="Cambria Math" w:cs="Cambria Math"/>
        </w:rPr>
        <w:t>∧</w:t>
      </w:r>
      <w:r>
        <w:t xml:space="preserve"> F28(z) </w:t>
      </w:r>
      <w:r>
        <w:rPr>
          <w:rFonts w:ascii="Cambria Math" w:hAnsi="Cambria Math" w:cs="Cambria Math"/>
        </w:rPr>
        <w:t>∧</w:t>
      </w:r>
      <w:r>
        <w:t xml:space="preserve"> P16i(</w:t>
      </w:r>
      <w:proofErr w:type="spellStart"/>
      <w:proofErr w:type="gramStart"/>
      <w:r>
        <w:t>u,z</w:t>
      </w:r>
      <w:proofErr w:type="spellEnd"/>
      <w:proofErr w:type="gramEnd"/>
      <w:r>
        <w:t xml:space="preserve">) </w:t>
      </w:r>
      <w:r>
        <w:rPr>
          <w:rFonts w:ascii="Cambria Math" w:hAnsi="Cambria Math" w:cs="Cambria Math"/>
        </w:rPr>
        <w:t>∧</w:t>
      </w:r>
      <w:r>
        <w:t xml:space="preserve"> F2(w) </w:t>
      </w:r>
      <w:r>
        <w:rPr>
          <w:rFonts w:ascii="Cambria Math" w:hAnsi="Cambria Math" w:cs="Cambria Math"/>
        </w:rPr>
        <w:t>∧</w:t>
      </w:r>
      <w:r>
        <w:t xml:space="preserve"> R17(</w:t>
      </w:r>
      <w:proofErr w:type="spellStart"/>
      <w:proofErr w:type="gramStart"/>
      <w:r>
        <w:t>z,w</w:t>
      </w:r>
      <w:proofErr w:type="spellEnd"/>
      <w:proofErr w:type="gramEnd"/>
      <w:r>
        <w:t xml:space="preserve">) </w:t>
      </w:r>
      <w:r>
        <w:rPr>
          <w:rFonts w:ascii="Cambria Math" w:hAnsi="Cambria Math" w:cs="Cambria Math"/>
        </w:rPr>
        <w:t>∧</w:t>
      </w:r>
      <w:r>
        <w:t xml:space="preserve"> R3i(</w:t>
      </w:r>
      <w:proofErr w:type="spellStart"/>
      <w:proofErr w:type="gramStart"/>
      <w:r>
        <w:t>w,y</w:t>
      </w:r>
      <w:proofErr w:type="spellEnd"/>
      <w:proofErr w:type="gramEnd"/>
      <w:r>
        <w:t>)]</w:t>
      </w:r>
    </w:p>
    <w:p w14:paraId="67DC815A" w14:textId="77777777" w:rsidR="00DE0A46" w:rsidRDefault="00DE0A46" w:rsidP="00DE0A46">
      <w:pPr>
        <w:pStyle w:val="Heading5"/>
        <w:spacing w:line="276" w:lineRule="auto"/>
      </w:pPr>
      <w:r>
        <w:t xml:space="preserve">give the class definitions in the </w:t>
      </w:r>
      <w:r>
        <w:rPr>
          <w:rFonts w:ascii="Cambria Math" w:hAnsi="Cambria Math" w:cs="Cambria Math"/>
        </w:rPr>
        <w:t>∃</w:t>
      </w:r>
      <w:r>
        <w:t xml:space="preserve"> bracket:</w:t>
      </w:r>
    </w:p>
    <w:p w14:paraId="115B53D5" w14:textId="77777777" w:rsidR="00DE0A46" w:rsidRDefault="00DE0A46" w:rsidP="00DE0A46">
      <w:pPr>
        <w:pStyle w:val="ListParagraph"/>
        <w:numPr>
          <w:ilvl w:val="0"/>
          <w:numId w:val="1"/>
        </w:numPr>
        <w:spacing w:after="240" w:line="276" w:lineRule="auto"/>
      </w:pPr>
      <w:r>
        <w:t>R2i(</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proofErr w:type="gramStart"/>
      <w:r>
        <w:t>u:F</w:t>
      </w:r>
      <w:proofErr w:type="gramEnd"/>
      <w:r>
        <w:t xml:space="preserve">2, </w:t>
      </w:r>
      <w:proofErr w:type="gramStart"/>
      <w:r>
        <w:t>z:F</w:t>
      </w:r>
      <w:proofErr w:type="gramEnd"/>
      <w:r>
        <w:t xml:space="preserve">28, </w:t>
      </w:r>
      <w:proofErr w:type="gramStart"/>
      <w:r>
        <w:t>w:F</w:t>
      </w:r>
      <w:proofErr w:type="gramEnd"/>
      <w:r>
        <w:t>2) [R3(</w:t>
      </w:r>
      <w:proofErr w:type="spellStart"/>
      <w:proofErr w:type="gramStart"/>
      <w:r>
        <w:t>x,u</w:t>
      </w:r>
      <w:proofErr w:type="spellEnd"/>
      <w:proofErr w:type="gramEnd"/>
      <w:r>
        <w:t xml:space="preserve">) </w:t>
      </w:r>
      <w:r>
        <w:rPr>
          <w:rFonts w:ascii="Cambria Math" w:hAnsi="Cambria Math" w:cs="Cambria Math"/>
        </w:rPr>
        <w:t>∧</w:t>
      </w:r>
      <w:r>
        <w:t xml:space="preserve"> P16i(</w:t>
      </w:r>
      <w:proofErr w:type="spellStart"/>
      <w:proofErr w:type="gramStart"/>
      <w:r>
        <w:t>u,z</w:t>
      </w:r>
      <w:proofErr w:type="spellEnd"/>
      <w:proofErr w:type="gramEnd"/>
      <w:r>
        <w:t xml:space="preserve">) </w:t>
      </w:r>
      <w:r>
        <w:rPr>
          <w:rFonts w:ascii="Cambria Math" w:hAnsi="Cambria Math" w:cs="Cambria Math"/>
        </w:rPr>
        <w:t>∧</w:t>
      </w:r>
      <w:r>
        <w:t xml:space="preserve"> R17(</w:t>
      </w:r>
      <w:proofErr w:type="spellStart"/>
      <w:proofErr w:type="gramStart"/>
      <w:r>
        <w:t>z,w</w:t>
      </w:r>
      <w:proofErr w:type="spellEnd"/>
      <w:proofErr w:type="gramEnd"/>
      <w:r>
        <w:t xml:space="preserve">) </w:t>
      </w:r>
      <w:r>
        <w:rPr>
          <w:rFonts w:ascii="Cambria Math" w:hAnsi="Cambria Math" w:cs="Cambria Math"/>
        </w:rPr>
        <w:t>∧</w:t>
      </w:r>
      <w:r>
        <w:t xml:space="preserve"> R3i(</w:t>
      </w:r>
      <w:proofErr w:type="spellStart"/>
      <w:proofErr w:type="gramStart"/>
      <w:r>
        <w:t>w,y</w:t>
      </w:r>
      <w:proofErr w:type="spellEnd"/>
      <w:proofErr w:type="gramEnd"/>
      <w:r>
        <w:t>)]</w:t>
      </w:r>
    </w:p>
    <w:p w14:paraId="77ABC8B3" w14:textId="77777777" w:rsidR="00DE0A46" w:rsidRDefault="00DE0A46" w:rsidP="00DE0A46">
      <w:pPr>
        <w:pStyle w:val="ListParagraph"/>
        <w:numPr>
          <w:ilvl w:val="0"/>
          <w:numId w:val="1"/>
        </w:numPr>
        <w:spacing w:after="240" w:line="276" w:lineRule="auto"/>
      </w:pPr>
      <w:r>
        <w:t>R2i(</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r>
        <w:t xml:space="preserve"> F2 u, F28 z, F2 w) [R3(</w:t>
      </w:r>
      <w:proofErr w:type="spellStart"/>
      <w:proofErr w:type="gramStart"/>
      <w:r>
        <w:t>x,u</w:t>
      </w:r>
      <w:proofErr w:type="spellEnd"/>
      <w:proofErr w:type="gramEnd"/>
      <w:r>
        <w:t xml:space="preserve">) </w:t>
      </w:r>
      <w:r>
        <w:rPr>
          <w:rFonts w:ascii="Cambria Math" w:hAnsi="Cambria Math" w:cs="Cambria Math"/>
        </w:rPr>
        <w:t>∧</w:t>
      </w:r>
      <w:r>
        <w:t xml:space="preserve"> P16i(</w:t>
      </w:r>
      <w:proofErr w:type="spellStart"/>
      <w:proofErr w:type="gramStart"/>
      <w:r>
        <w:t>u,z</w:t>
      </w:r>
      <w:proofErr w:type="spellEnd"/>
      <w:proofErr w:type="gramEnd"/>
      <w:r>
        <w:t xml:space="preserve">) </w:t>
      </w:r>
      <w:r>
        <w:rPr>
          <w:rFonts w:ascii="Cambria Math" w:hAnsi="Cambria Math" w:cs="Cambria Math"/>
        </w:rPr>
        <w:t>∧</w:t>
      </w:r>
      <w:r>
        <w:t xml:space="preserve"> R17(</w:t>
      </w:r>
      <w:proofErr w:type="spellStart"/>
      <w:proofErr w:type="gramStart"/>
      <w:r>
        <w:t>z,w</w:t>
      </w:r>
      <w:proofErr w:type="spellEnd"/>
      <w:proofErr w:type="gramEnd"/>
      <w:r>
        <w:t xml:space="preserve">) </w:t>
      </w:r>
      <w:r>
        <w:rPr>
          <w:rFonts w:ascii="Cambria Math" w:hAnsi="Cambria Math" w:cs="Cambria Math"/>
        </w:rPr>
        <w:t>∧</w:t>
      </w:r>
      <w:r>
        <w:t xml:space="preserve"> R3i(</w:t>
      </w:r>
      <w:proofErr w:type="spellStart"/>
      <w:proofErr w:type="gramStart"/>
      <w:r>
        <w:t>w,y</w:t>
      </w:r>
      <w:proofErr w:type="spellEnd"/>
      <w:proofErr w:type="gramEnd"/>
      <w:r>
        <w:t>)]</w:t>
      </w:r>
    </w:p>
    <w:p w14:paraId="143F6F52" w14:textId="77777777" w:rsidR="00DE0A46" w:rsidRDefault="00DE0A46" w:rsidP="00DE0A46">
      <w:pPr>
        <w:pStyle w:val="ListParagraph"/>
        <w:numPr>
          <w:ilvl w:val="0"/>
          <w:numId w:val="1"/>
        </w:numPr>
        <w:spacing w:after="240" w:line="276" w:lineRule="auto"/>
      </w:pPr>
      <w:r>
        <w:t>R2i(</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r>
        <w:t xml:space="preserve">u </w:t>
      </w:r>
      <w:r>
        <w:rPr>
          <w:rFonts w:ascii="Cambria Math" w:hAnsi="Cambria Math" w:cs="Cambria Math"/>
        </w:rPr>
        <w:t>∈</w:t>
      </w:r>
      <w:r>
        <w:t xml:space="preserve"> F2, z </w:t>
      </w:r>
      <w:r>
        <w:rPr>
          <w:rFonts w:ascii="Cambria Math" w:hAnsi="Cambria Math" w:cs="Cambria Math"/>
        </w:rPr>
        <w:t>∈</w:t>
      </w:r>
      <w:r>
        <w:t xml:space="preserve"> F28, w </w:t>
      </w:r>
      <w:r>
        <w:rPr>
          <w:rFonts w:ascii="Cambria Math" w:hAnsi="Cambria Math" w:cs="Cambria Math"/>
        </w:rPr>
        <w:t>∈</w:t>
      </w:r>
      <w:r>
        <w:t xml:space="preserve"> F2) [R3(</w:t>
      </w:r>
      <w:proofErr w:type="spellStart"/>
      <w:proofErr w:type="gramStart"/>
      <w:r>
        <w:t>x,u</w:t>
      </w:r>
      <w:proofErr w:type="spellEnd"/>
      <w:proofErr w:type="gramEnd"/>
      <w:r>
        <w:t xml:space="preserve">) </w:t>
      </w:r>
      <w:r>
        <w:rPr>
          <w:rFonts w:ascii="Cambria Math" w:hAnsi="Cambria Math" w:cs="Cambria Math"/>
        </w:rPr>
        <w:t>∧</w:t>
      </w:r>
      <w:r>
        <w:t xml:space="preserve"> P16i(</w:t>
      </w:r>
      <w:proofErr w:type="spellStart"/>
      <w:proofErr w:type="gramStart"/>
      <w:r>
        <w:t>u,z</w:t>
      </w:r>
      <w:proofErr w:type="spellEnd"/>
      <w:proofErr w:type="gramEnd"/>
      <w:r>
        <w:t xml:space="preserve">) </w:t>
      </w:r>
      <w:r>
        <w:rPr>
          <w:rFonts w:ascii="Cambria Math" w:hAnsi="Cambria Math" w:cs="Cambria Math"/>
        </w:rPr>
        <w:t>∧</w:t>
      </w:r>
      <w:r>
        <w:t xml:space="preserve"> R17(</w:t>
      </w:r>
      <w:proofErr w:type="spellStart"/>
      <w:proofErr w:type="gramStart"/>
      <w:r>
        <w:t>z,w</w:t>
      </w:r>
      <w:proofErr w:type="spellEnd"/>
      <w:proofErr w:type="gramEnd"/>
      <w:r>
        <w:t xml:space="preserve">) </w:t>
      </w:r>
      <w:r>
        <w:rPr>
          <w:rFonts w:ascii="Cambria Math" w:hAnsi="Cambria Math" w:cs="Cambria Math"/>
        </w:rPr>
        <w:t>∧</w:t>
      </w:r>
      <w:r>
        <w:t xml:space="preserve"> R3i(</w:t>
      </w:r>
      <w:proofErr w:type="spellStart"/>
      <w:proofErr w:type="gramStart"/>
      <w:r>
        <w:t>w,y</w:t>
      </w:r>
      <w:proofErr w:type="spellEnd"/>
      <w:proofErr w:type="gramEnd"/>
      <w:r>
        <w:t>)]</w:t>
      </w:r>
    </w:p>
    <w:p w14:paraId="609E4CAB" w14:textId="77777777" w:rsidR="00DE0A46" w:rsidRPr="004A1A89" w:rsidRDefault="00DE0A46" w:rsidP="00DE0A46">
      <w:pPr>
        <w:spacing w:after="240" w:line="276" w:lineRule="auto"/>
      </w:pPr>
      <w:r w:rsidRPr="004A1A89">
        <w:rPr>
          <w:b/>
        </w:rPr>
        <w:t>Decision</w:t>
      </w:r>
      <w:r>
        <w:t xml:space="preserve">: The SIG has agreed on an FOL standardized notation. New suggestions cannot be made in a sub-issue, so this cannot be resolved differently here. The first statement in boldface represents the agreed-on, standardized style. </w:t>
      </w:r>
    </w:p>
    <w:p w14:paraId="33F01895" w14:textId="77777777" w:rsidR="00DE0A46" w:rsidRDefault="00DE0A46" w:rsidP="00DE0A46">
      <w:pPr>
        <w:pStyle w:val="Heading4"/>
        <w:spacing w:line="276" w:lineRule="auto"/>
      </w:pPr>
      <w:bookmarkStart w:id="7" w:name="_Generic_statement_disallowing"/>
      <w:bookmarkEnd w:id="7"/>
      <w:r>
        <w:lastRenderedPageBreak/>
        <w:t xml:space="preserve">Generic statement disallowing redundant FOL statements </w:t>
      </w:r>
    </w:p>
    <w:p w14:paraId="1CEBEB84" w14:textId="77777777" w:rsidR="00DE0A46" w:rsidRDefault="00DE0A46" w:rsidP="00DE0A46">
      <w:pPr>
        <w:spacing w:after="240" w:line="276" w:lineRule="auto"/>
      </w:pPr>
      <w:r w:rsidRPr="005D564A">
        <w:rPr>
          <w:b/>
        </w:rPr>
        <w:t>Proposal</w:t>
      </w:r>
      <w:r>
        <w:t>: Drop redundant “irreflexive” statements if “asymmetric” already declared. Add a clause in the CIDOC CRM Introduction (either section: about the logical expressions used in the CIDOC CRM, or, the relevant spot under Terminology).</w:t>
      </w:r>
    </w:p>
    <w:p w14:paraId="21B6E333" w14:textId="77777777" w:rsidR="00DE0A46" w:rsidRDefault="00DE0A46" w:rsidP="00DE0A46">
      <w:pPr>
        <w:spacing w:after="240" w:line="276" w:lineRule="auto"/>
      </w:pPr>
      <w:r>
        <w:t>The same clause to be copied off to LRMoo.</w:t>
      </w:r>
    </w:p>
    <w:p w14:paraId="0036D082" w14:textId="77777777" w:rsidR="00DE0A46" w:rsidRDefault="00DE0A46" w:rsidP="00DE0A46">
      <w:pPr>
        <w:spacing w:after="240" w:line="276" w:lineRule="auto"/>
      </w:pPr>
      <w:r w:rsidRPr="005D564A">
        <w:rPr>
          <w:b/>
        </w:rPr>
        <w:t>Decision</w:t>
      </w:r>
      <w:r>
        <w:t>:  The SIG agreed to the proposal.</w:t>
      </w:r>
    </w:p>
    <w:p w14:paraId="51E9A873" w14:textId="77777777" w:rsidR="00DE0A46" w:rsidRDefault="00DE0A46" w:rsidP="00DE0A46">
      <w:pPr>
        <w:spacing w:after="240" w:line="276" w:lineRule="auto"/>
      </w:pPr>
      <w:r w:rsidRPr="005D564A">
        <w:rPr>
          <w:b/>
        </w:rPr>
        <w:t>HW</w:t>
      </w:r>
      <w:r>
        <w:t>:</w:t>
      </w:r>
      <w:r>
        <w:rPr>
          <w:lang w:val="el-GR"/>
        </w:rPr>
        <w:t xml:space="preserve"> </w:t>
      </w:r>
      <w:r>
        <w:t xml:space="preserve">CEO: add explanatory note (asymmetric </w:t>
      </w:r>
      <w:r>
        <w:rPr>
          <w:rFonts w:ascii="Cambria Math" w:hAnsi="Cambria Math" w:cs="Cambria Math"/>
        </w:rPr>
        <w:t>⇒</w:t>
      </w:r>
      <w:r>
        <w:t xml:space="preserve"> irreflexive) to CRM intro docs.</w:t>
      </w:r>
    </w:p>
    <w:p w14:paraId="0BF0177A" w14:textId="77777777" w:rsidR="00DE0A46" w:rsidRDefault="00DE0A46" w:rsidP="00DE0A46">
      <w:pPr>
        <w:pStyle w:val="Heading4"/>
        <w:spacing w:line="276" w:lineRule="auto"/>
      </w:pPr>
      <w:bookmarkStart w:id="8" w:name="_Shortcut_properties_(header"/>
      <w:bookmarkEnd w:id="8"/>
      <w:r>
        <w:t>Shortcut properties (header and position in document)</w:t>
      </w:r>
    </w:p>
    <w:p w14:paraId="14C16110" w14:textId="77777777" w:rsidR="00DE0A46" w:rsidRDefault="00DE0A46" w:rsidP="00DE0A46">
      <w:pPr>
        <w:spacing w:after="240" w:line="276" w:lineRule="auto"/>
      </w:pPr>
      <w:r>
        <w:t xml:space="preserve">PR will harmonize the LRMoo documentation with CIDOC CRM, so instead of listing the full paths under the property domain and range, she will move it right after the scope note. </w:t>
      </w:r>
    </w:p>
    <w:p w14:paraId="59B57010" w14:textId="77777777" w:rsidR="00DE0A46" w:rsidRDefault="00DE0A46" w:rsidP="00DE0A46">
      <w:pPr>
        <w:spacing w:after="240" w:line="276" w:lineRule="auto"/>
      </w:pPr>
      <w:r>
        <w:t xml:space="preserve">She will also change the header to “Full Path” instead of “Shortcut of” that it is in LRMoo. </w:t>
      </w:r>
    </w:p>
    <w:p w14:paraId="7FD0869C"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34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8"/>
    <w:rsid w:val="00590DE6"/>
    <w:rsid w:val="006C0313"/>
    <w:rsid w:val="00C82538"/>
    <w:rsid w:val="00D101B5"/>
    <w:rsid w:val="00D109EF"/>
    <w:rsid w:val="00DE0A46"/>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984AF-EFD0-4E07-BFF7-55C3D25E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46"/>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C82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82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82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82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5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5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5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5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538"/>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82538"/>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C82538"/>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C82538"/>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rsid w:val="00C82538"/>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8253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8253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8253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8253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825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53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8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53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82538"/>
    <w:pPr>
      <w:spacing w:before="160"/>
      <w:jc w:val="center"/>
    </w:pPr>
    <w:rPr>
      <w:i/>
      <w:iCs/>
      <w:color w:val="404040" w:themeColor="text1" w:themeTint="BF"/>
    </w:rPr>
  </w:style>
  <w:style w:type="character" w:customStyle="1" w:styleId="QuoteChar">
    <w:name w:val="Quote Char"/>
    <w:basedOn w:val="DefaultParagraphFont"/>
    <w:link w:val="Quote"/>
    <w:uiPriority w:val="29"/>
    <w:rsid w:val="00C82538"/>
    <w:rPr>
      <w:i/>
      <w:iCs/>
      <w:color w:val="404040" w:themeColor="text1" w:themeTint="BF"/>
      <w:lang w:val="en-GB"/>
    </w:rPr>
  </w:style>
  <w:style w:type="paragraph" w:styleId="ListParagraph">
    <w:name w:val="List Paragraph"/>
    <w:basedOn w:val="Normal"/>
    <w:uiPriority w:val="34"/>
    <w:qFormat/>
    <w:rsid w:val="00C82538"/>
    <w:pPr>
      <w:ind w:left="720"/>
      <w:contextualSpacing/>
    </w:pPr>
  </w:style>
  <w:style w:type="character" w:styleId="IntenseEmphasis">
    <w:name w:val="Intense Emphasis"/>
    <w:basedOn w:val="DefaultParagraphFont"/>
    <w:uiPriority w:val="21"/>
    <w:qFormat/>
    <w:rsid w:val="00C82538"/>
    <w:rPr>
      <w:i/>
      <w:iCs/>
      <w:color w:val="2F5496" w:themeColor="accent1" w:themeShade="BF"/>
    </w:rPr>
  </w:style>
  <w:style w:type="paragraph" w:styleId="IntenseQuote">
    <w:name w:val="Intense Quote"/>
    <w:basedOn w:val="Normal"/>
    <w:next w:val="Normal"/>
    <w:link w:val="IntenseQuoteChar"/>
    <w:uiPriority w:val="30"/>
    <w:qFormat/>
    <w:rsid w:val="00C82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538"/>
    <w:rPr>
      <w:i/>
      <w:iCs/>
      <w:color w:val="2F5496" w:themeColor="accent1" w:themeShade="BF"/>
      <w:lang w:val="en-GB"/>
    </w:rPr>
  </w:style>
  <w:style w:type="character" w:styleId="IntenseReference">
    <w:name w:val="Intense Reference"/>
    <w:basedOn w:val="DefaultParagraphFont"/>
    <w:uiPriority w:val="32"/>
    <w:qFormat/>
    <w:rsid w:val="00C82538"/>
    <w:rPr>
      <w:b/>
      <w:bCs/>
      <w:smallCaps/>
      <w:color w:val="2F5496" w:themeColor="accent1" w:themeShade="BF"/>
      <w:spacing w:val="5"/>
    </w:rPr>
  </w:style>
  <w:style w:type="character" w:styleId="Hyperlink">
    <w:name w:val="Hyperlink"/>
    <w:basedOn w:val="DefaultParagraphFont"/>
    <w:uiPriority w:val="99"/>
    <w:unhideWhenUsed/>
    <w:rsid w:val="00DE0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RgQxOdyaQofeGKP0ADx6xfls7cubnpQABiRLV3gvILw/edit?usp=sharing" TargetMode="External"/><Relationship Id="rId5" Type="http://schemas.openxmlformats.org/officeDocument/2006/relationships/hyperlink" Target="https://docs.google.com/presentation/d/1LqkpEBpUlla7z6jIATA4t2jiM1FoYVfcGxtn_cd0-ac/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2025-09-07T15:29:00Z</dcterms:created>
  <dcterms:modified xsi:type="dcterms:W3CDTF">2025-09-07T15:35:00Z</dcterms:modified>
</cp:coreProperties>
</file>