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E16A" w14:textId="77777777" w:rsidR="00C84422" w:rsidRDefault="00C84422" w:rsidP="00C84422">
      <w:pPr>
        <w:pStyle w:val="Heading3"/>
        <w:rPr>
          <w:lang w:val="en-GB"/>
        </w:rPr>
      </w:pPr>
      <w:bookmarkStart w:id="0" w:name="_Toc208418846"/>
      <w:r>
        <w:rPr>
          <w:lang w:val="en-GB"/>
        </w:rPr>
        <w:t>Issue 646:</w:t>
      </w:r>
      <w:bookmarkEnd w:id="0"/>
      <w:r>
        <w:rPr>
          <w:lang w:val="en-GB"/>
        </w:rPr>
        <w:t xml:space="preserve"> </w:t>
      </w:r>
    </w:p>
    <w:p w14:paraId="092C51CA" w14:textId="77777777" w:rsidR="00C84422" w:rsidRDefault="00C84422" w:rsidP="00C84422">
      <w:pPr>
        <w:pStyle w:val="Heading4"/>
        <w:rPr>
          <w:lang w:val="en-GB"/>
        </w:rPr>
      </w:pPr>
      <w:r>
        <w:rPr>
          <w:lang w:val="en-GB"/>
        </w:rPr>
        <w:t>Scope of CRMinf</w:t>
      </w:r>
    </w:p>
    <w:p w14:paraId="044A614B" w14:textId="77777777" w:rsidR="00C84422" w:rsidRPr="005B2660" w:rsidRDefault="00C84422" w:rsidP="00C84422">
      <w:pPr>
        <w:rPr>
          <w:rFonts w:asciiTheme="majorBidi" w:hAnsiTheme="majorBidi" w:cstheme="majorBidi"/>
          <w:b/>
          <w:bCs/>
          <w:sz w:val="32"/>
          <w:szCs w:val="32"/>
          <w:lang w:val="en-GB" w:eastAsia="zh-CN" w:bidi="hi-IN"/>
        </w:rPr>
      </w:pPr>
      <w:bookmarkStart w:id="1" w:name="_Toc71905644"/>
      <w:bookmarkStart w:id="2" w:name="_Toc63009426"/>
      <w:bookmarkStart w:id="3" w:name="_Toc70522450"/>
      <w:bookmarkStart w:id="4" w:name="_Toc69734417"/>
      <w:bookmarkStart w:id="5" w:name="_Toc71548504"/>
      <w:bookmarkStart w:id="6" w:name="_Toc71114658"/>
      <w:bookmarkStart w:id="7" w:name="_Toc197516489"/>
      <w:r w:rsidRPr="005B2660">
        <w:rPr>
          <w:rFonts w:asciiTheme="majorBidi" w:hAnsiTheme="majorBidi" w:cstheme="majorBidi"/>
          <w:b/>
          <w:bCs/>
          <w:sz w:val="32"/>
          <w:szCs w:val="32"/>
          <w:lang w:val="en-GB" w:eastAsia="zh-CN" w:bidi="hi-IN"/>
        </w:rPr>
        <w:t>S</w:t>
      </w:r>
      <w:bookmarkEnd w:id="1"/>
      <w:bookmarkEnd w:id="2"/>
      <w:bookmarkEnd w:id="3"/>
      <w:bookmarkEnd w:id="4"/>
      <w:bookmarkEnd w:id="5"/>
      <w:bookmarkEnd w:id="6"/>
      <w:r w:rsidRPr="005B2660">
        <w:rPr>
          <w:rFonts w:asciiTheme="majorBidi" w:hAnsiTheme="majorBidi" w:cstheme="majorBidi"/>
          <w:b/>
          <w:bCs/>
          <w:sz w:val="32"/>
          <w:szCs w:val="32"/>
          <w:lang w:val="en-GB" w:eastAsia="zh-CN" w:bidi="hi-IN"/>
        </w:rPr>
        <w:t>cope</w:t>
      </w:r>
      <w:bookmarkEnd w:id="7"/>
    </w:p>
    <w:p w14:paraId="3483227C"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CRMinf regards as “knowledge” anything someone says and can justify as “I know that X”, regardless of whether X is regarded to be true, false, probable, etc., whereas X itself is regarded as information or “data”. In this sense, knowledge resides in humans, who relate the symbols in information to states of affairs in current or past reality. “Knowledge representation” is regarded as a particular form of encoded information, for instance a CRM-compatible form. CRMinf aims at connecting the people who know something to the information representing their knowledge, and its justification. The model supposes scientific ethics and is not concerned with beliefs of people using CRMinf differently from what they state, but it can quite well be used to reason about deliberately false statements in historical sources.</w:t>
      </w:r>
    </w:p>
    <w:p w14:paraId="25CEB748"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0659FC88"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CRMinf is inspired by the IAM model in Doerr, Kritsotaki and Boutsika (2011), which in turn draws on a background of other argumentation models under the aspect of application to </w:t>
      </w:r>
      <w:r w:rsidRPr="005B2660">
        <w:rPr>
          <w:rFonts w:ascii="Times New Roman" w:eastAsia="Noto Serif CJK SC" w:hAnsi="Times New Roman" w:cs="Times New Roman"/>
          <w:i/>
          <w:color w:val="000000"/>
          <w:kern w:val="2"/>
          <w:lang w:val="en-GB" w:eastAsia="zh-CN" w:bidi="hi-IN"/>
        </w:rPr>
        <w:t>knowledge about the past</w:t>
      </w:r>
      <w:r w:rsidRPr="005B2660">
        <w:rPr>
          <w:rFonts w:ascii="Times New Roman" w:eastAsia="Noto Serif CJK SC" w:hAnsi="Times New Roman" w:cs="Times New Roman"/>
          <w:color w:val="000000"/>
          <w:kern w:val="2"/>
          <w:lang w:val="en-GB" w:eastAsia="zh-CN" w:bidi="hi-IN"/>
        </w:rPr>
        <w:t xml:space="preserve">, among them being the “logicist” approach (Gardin, 2003), (Gardin &amp; Roux, 2004) in use in France for archaeological data. Like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sidRPr="005B2660">
        <w:rPr>
          <w:rFonts w:ascii="Times New Roman" w:eastAsia="Noto Serif CJK SC" w:hAnsi="Times New Roman" w:cs="Times New Roman"/>
          <w:i/>
          <w:color w:val="000000"/>
          <w:kern w:val="2"/>
          <w:lang w:val="en-GB" w:eastAsia="zh-CN" w:bidi="hi-IN"/>
        </w:rPr>
        <w:t>not</w:t>
      </w:r>
      <w:r w:rsidRPr="005B2660">
        <w:rPr>
          <w:rFonts w:ascii="Times New Roman" w:eastAsia="Noto Serif CJK SC" w:hAnsi="Times New Roman" w:cs="Times New Roman"/>
          <w:color w:val="000000"/>
          <w:kern w:val="2"/>
          <w:lang w:val="en-GB" w:eastAsia="zh-CN" w:bidi="hi-IN"/>
        </w:rPr>
        <w:t xml:space="preserve"> the historical order of finding its elements. The latter is given explicitly by the time of argument making, which is taken to be a historical fact. </w:t>
      </w:r>
    </w:p>
    <w:p w14:paraId="4539A9CC"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 xml:space="preserve">CRMinf makes a basic distinction between three kinds of sources of knowledge because of the way it can be acquired, justified or falsified. These are (1) observation, (2) belief adoption and (3) inference making. </w:t>
      </w:r>
    </w:p>
    <w:p w14:paraId="5033E062"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Observation</w:t>
      </w:r>
      <w:r w:rsidRPr="005B2660">
        <w:rPr>
          <w:rFonts w:ascii="Times New Roman" w:eastAsia="Noto Serif CJK SC" w:hAnsi="Times New Roman" w:cs="Times New Roman"/>
          <w:color w:val="000000"/>
          <w:kern w:val="2"/>
          <w:lang w:val="en-GB" w:eastAsia="zh-CN" w:bidi="hi-IN"/>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such historical scientific knowledge. The complexity of observation processes, in particular with calibrated means, lies outside the scope of CRMinf, which is primarily concerned with the origin and further history of the observation results, thus providing a common generalization for other CRM extensions, notably CRMsci. In particular, the generic class for observation itself is declared as “S27 Observation” in CRMsci, making use of all constructs of CRMinf for argument making in general, and the class I11 Situation defined in CRMinf.</w:t>
      </w:r>
    </w:p>
    <w:p w14:paraId="7133F14E"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Belief adoption</w:t>
      </w:r>
      <w:r w:rsidRPr="005B2660">
        <w:rPr>
          <w:rFonts w:ascii="Times New Roman" w:eastAsia="Noto Serif CJK SC" w:hAnsi="Times New Roman" w:cs="Times New Roman"/>
          <w:color w:val="000000"/>
          <w:kern w:val="2"/>
          <w:lang w:val="en-GB" w:eastAsia="zh-CN" w:bidi="hi-IN"/>
        </w:rPr>
        <w:t xml:space="preserve"> is used in CRMinf as a term for the use of information someone has heard, read or seen presented in symbolic form and accepts as their own knowledge. It is the major source of all our communicated knowledge, including reports from observations. It is supported or questioned by assessing the provenance of the source and trust in its credibility. In case of inconsistencies between reported facts, a trust argument may be used to decide on the one or the other. Therefore, CRMinf has developed the concept of Belief Adoption into much more detail than IAM, and created an “articulation” (ontological connection) to the deciphering and reading of original texts addressed by the CRM extension </w:t>
      </w:r>
      <w:r w:rsidRPr="005B2660">
        <w:rPr>
          <w:rFonts w:ascii="Times New Roman" w:eastAsia="Noto Serif CJK SC" w:hAnsi="Times New Roman" w:cs="Times New Roman"/>
          <w:i/>
          <w:color w:val="000000"/>
          <w:kern w:val="2"/>
          <w:lang w:val="en-GB" w:eastAsia="zh-CN" w:bidi="hi-IN"/>
        </w:rPr>
        <w:t>CRMtex</w:t>
      </w:r>
      <w:r w:rsidRPr="005B2660">
        <w:rPr>
          <w:rFonts w:ascii="Times New Roman" w:eastAsia="Noto Serif CJK SC" w:hAnsi="Times New Roman" w:cs="Times New Roman"/>
          <w:color w:val="000000"/>
          <w:kern w:val="2"/>
          <w:lang w:val="en-GB" w:eastAsia="zh-CN" w:bidi="hi-IN"/>
        </w:rPr>
        <w:t>, in order to be able to represent critical methods in historical research. Subsequent activities of belief adoption form endless networks of information transfer, which are of great importance for historical research.</w:t>
      </w:r>
    </w:p>
    <w:p w14:paraId="70BD3824"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i/>
          <w:color w:val="000000"/>
          <w:kern w:val="2"/>
          <w:lang w:val="en-GB" w:eastAsia="zh-CN" w:bidi="hi-IN"/>
        </w:rPr>
        <w:t>Inference making</w:t>
      </w:r>
      <w:r w:rsidRPr="005B2660">
        <w:rPr>
          <w:rFonts w:ascii="Times New Roman" w:eastAsia="Noto Serif CJK SC" w:hAnsi="Times New Roman" w:cs="Times New Roman"/>
          <w:color w:val="000000"/>
          <w:kern w:val="2"/>
          <w:lang w:val="en-GB" w:eastAsia="zh-CN" w:bidi="hi-IN"/>
        </w:rPr>
        <w:t xml:space="preserve">, the third kind of acquiring knowledge, means that one concludes from the belief in the truth or likelihood of one or more propositions, the premises, that other propositions are true or likely, using background theories, such as common logic, laws of nature or assumptions about general human behaviour. The peculiarity </w:t>
      </w:r>
      <w:r w:rsidRPr="005B2660">
        <w:rPr>
          <w:rFonts w:ascii="Times New Roman" w:eastAsia="Noto Serif CJK SC" w:hAnsi="Times New Roman" w:cs="Times New Roman"/>
          <w:color w:val="000000"/>
          <w:kern w:val="2"/>
          <w:lang w:val="en-GB" w:eastAsia="zh-CN" w:bidi="hi-IN"/>
        </w:rPr>
        <w:lastRenderedPageBreak/>
        <w:t>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261FB231"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the conclusion of an instance of I1 Argumentation (through one of its sub-classes, S27 Observation, I5 Inference Making, or I7 Belief Adoption), and ends with any modification of its truth value or propositions.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as expressed, for instance, in a joint publication.</w:t>
      </w:r>
    </w:p>
    <w:p w14:paraId="2903D80C" w14:textId="77777777" w:rsidR="00C84422" w:rsidRPr="005B2660" w:rsidRDefault="00C84422" w:rsidP="00C84422">
      <w:pPr>
        <w:suppressAutoHyphens/>
        <w:spacing w:after="142" w:line="276" w:lineRule="auto"/>
        <w:rPr>
          <w:rFonts w:ascii="Times New Roman" w:eastAsia="Noto Serif CJK SC" w:hAnsi="Times New Roman" w:cs="Times New Roman"/>
          <w:color w:val="000000"/>
          <w:kern w:val="2"/>
          <w:lang w:val="en-GB" w:eastAsia="zh-CN" w:bidi="hi-IN"/>
        </w:rPr>
      </w:pPr>
      <w:r w:rsidRPr="005B2660">
        <w:rPr>
          <w:rFonts w:ascii="Times New Roman" w:eastAsia="Noto Serif CJK SC" w:hAnsi="Times New Roman" w:cs="Times New Roman"/>
          <w:color w:val="000000"/>
          <w:kern w:val="2"/>
          <w:lang w:val="en-GB" w:eastAsia="zh-CN" w:bidi="hi-IN"/>
        </w:rPr>
        <w:t>A classical definition of knowledge is that someone believes and can justify it, and it is true. Since to be actually true would require an absolute authority, documented knowledge by CRMinf constructs is regarded as something someone believes (I2 Belief) and can justify – by experience, inference or justified trust in the source. Therefore, a documented belief value, i.e., instance of I6 Belief Value, such as “TRUE”, does neither mean that a set of propositions is globally true in the sense of logic, nor that the documenting user believes that they are true. Instead, it means that the documenting user believes that the actor, documented for the respective belief expressed, in its turn, in some explicit form, takes certain propositions to be true “to the best of their knowledge”, as is the common scholarly assumption for all scientific publications. This sense of truth corresponds to “inference to the best explanation (IBE)” (Ladyman, 2002) and does not exclude revision when better evidence arrives. In cases where the underlying honesty of expressions by some actors cannot be assumed, it is recommended to document their statements more generally as products of E65 Creation, which applies to all propositions, and not as instances of I2 Belief. Otherwise, using CRMinf for documenting the progress of a serious scientific discourse would be compromised. Notwithstanding, opinions about specific propositional content can analytically be documented by instances of I16 Meaning Comprehension and I7 Belief Adoption. However,  documentation would equally be compromised by an unreflected global questioning of trustworthiness of any source, whereas occasional cases of “lies” in generally trusted sources can effectively be dealt with as exceptions when detected and as knowledge revisions by the documentalist about the source. In general, it is recommended to use a richer vocabulary of belief values, at least including “UNKNOWN”. CRMinf does not further prescribe such a vocabulary.</w:t>
      </w:r>
    </w:p>
    <w:p w14:paraId="1383FA76" w14:textId="77777777" w:rsidR="00C84422" w:rsidRPr="005B2660" w:rsidRDefault="00C84422" w:rsidP="00C84422">
      <w:pPr>
        <w:rPr>
          <w:lang w:val="en-GB"/>
        </w:rPr>
      </w:pPr>
      <w:r w:rsidRPr="005B2660">
        <w:rPr>
          <w:rFonts w:ascii="Times New Roman" w:eastAsia="Noto Serif CJK SC" w:hAnsi="Times New Roman" w:cs="Times New Roman"/>
          <w:color w:val="000000"/>
          <w:kern w:val="2"/>
          <w:lang w:val="en-GB" w:eastAsia="zh-CN" w:bidi="hi-IN"/>
        </w:rPr>
        <w:t>If scientists and scholars, and in particular curators, documented the provenance of the immediate sources for each information source in publicly accessible systems, this partial knowledge of provenance could be “stitched together” to more and more complete networks of provenance, similar to the way these days citations in scientific publications are processed. This is one major motivation for CRMinf; the other is to make transparent how knowledge was acquired for enabling the justification of future revisions, and for documenting who is supporting contested propositions.</w:t>
      </w:r>
    </w:p>
    <w:p w14:paraId="492C39E3" w14:textId="77777777" w:rsidR="00C84422" w:rsidRDefault="00C84422" w:rsidP="00C84422">
      <w:pPr>
        <w:pStyle w:val="Heading4"/>
        <w:rPr>
          <w:lang w:val="en-GB"/>
        </w:rPr>
      </w:pPr>
      <w:r w:rsidRPr="005B2660">
        <w:rPr>
          <w:lang w:val="en-GB"/>
        </w:rPr>
        <w:t>Class and property usage examples</w:t>
      </w:r>
    </w:p>
    <w:p w14:paraId="40B59C12" w14:textId="77777777" w:rsidR="00C84422" w:rsidRPr="005B2660" w:rsidRDefault="00C84422" w:rsidP="00C84422">
      <w:pPr>
        <w:rPr>
          <w:rFonts w:asciiTheme="majorBidi" w:hAnsiTheme="majorBidi" w:cstheme="majorBidi"/>
          <w:b/>
          <w:bCs/>
          <w:sz w:val="32"/>
          <w:szCs w:val="32"/>
          <w:lang w:val="en-GB" w:eastAsia="zh-CN" w:bidi="hi-IN"/>
        </w:rPr>
      </w:pPr>
      <w:bookmarkStart w:id="8" w:name="_Toc197516501"/>
      <w:r w:rsidRPr="005B2660">
        <w:rPr>
          <w:rFonts w:asciiTheme="majorBidi" w:hAnsiTheme="majorBidi" w:cstheme="majorBidi"/>
          <w:b/>
          <w:bCs/>
          <w:sz w:val="32"/>
          <w:szCs w:val="32"/>
          <w:lang w:val="en-GB" w:eastAsia="zh-CN" w:bidi="hi-IN"/>
        </w:rPr>
        <w:t>Class and property usage examples</w:t>
      </w:r>
      <w:bookmarkEnd w:id="8"/>
    </w:p>
    <w:p w14:paraId="123139E1"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first running example is about an important archaeological discovery, initially announced in the press, and subsequently in proper scientific archaeological publications (Mandolesi, 2013). It covers two simple events of </w:t>
      </w:r>
      <w:r w:rsidRPr="005B2660">
        <w:rPr>
          <w:rFonts w:ascii="Times New Roman" w:eastAsia="Noto Serif CJK SC" w:hAnsi="Times New Roman" w:cs="Lohit Devanagari"/>
          <w:i/>
          <w:kern w:val="2"/>
          <w:szCs w:val="24"/>
          <w:lang w:val="en-GB" w:eastAsia="zh-CN" w:bidi="hi-IN"/>
        </w:rPr>
        <w:t>observation</w:t>
      </w:r>
      <w:r w:rsidRPr="005B2660">
        <w:rPr>
          <w:rFonts w:ascii="Times New Roman" w:eastAsia="Noto Serif CJK SC" w:hAnsi="Times New Roman" w:cs="Lohit Devanagari"/>
          <w:kern w:val="2"/>
          <w:szCs w:val="24"/>
          <w:lang w:val="en-GB" w:eastAsia="zh-CN" w:bidi="hi-IN"/>
        </w:rPr>
        <w:t xml:space="preserve"> (S27 Observation), a simple example of an </w:t>
      </w:r>
      <w:r w:rsidRPr="005B2660">
        <w:rPr>
          <w:rFonts w:ascii="Times New Roman" w:eastAsia="Noto Serif CJK SC" w:hAnsi="Times New Roman" w:cs="Lohit Devanagari"/>
          <w:i/>
          <w:kern w:val="2"/>
          <w:szCs w:val="24"/>
          <w:lang w:val="en-GB" w:eastAsia="zh-CN" w:bidi="hi-IN"/>
        </w:rPr>
        <w:t>inference</w:t>
      </w:r>
      <w:r w:rsidRPr="005B2660">
        <w:rPr>
          <w:rFonts w:ascii="Times New Roman" w:eastAsia="Noto Serif CJK SC" w:hAnsi="Times New Roman" w:cs="Lohit Devanagari"/>
          <w:kern w:val="2"/>
          <w:szCs w:val="24"/>
          <w:lang w:val="en-GB" w:eastAsia="zh-CN" w:bidi="hi-IN"/>
        </w:rPr>
        <w:t xml:space="preserve"> (I5 Inference Making) based on a legitimate plausibility argument, and a rare published example of</w:t>
      </w:r>
      <w:r w:rsidRPr="005B2660">
        <w:rPr>
          <w:rFonts w:ascii="Times New Roman" w:eastAsia="Noto Serif CJK SC" w:hAnsi="Times New Roman" w:cs="Lohit Devanagari"/>
          <w:i/>
          <w:kern w:val="2"/>
          <w:szCs w:val="24"/>
          <w:lang w:val="en-GB" w:eastAsia="zh-CN" w:bidi="hi-IN"/>
        </w:rPr>
        <w:t xml:space="preserve"> knowledge revision</w:t>
      </w:r>
      <w:r w:rsidRPr="005B2660">
        <w:rPr>
          <w:rFonts w:ascii="Times New Roman" w:eastAsia="Noto Serif CJK SC" w:hAnsi="Times New Roman" w:cs="Lohit Devanagari"/>
          <w:kern w:val="2"/>
          <w:szCs w:val="24"/>
          <w:lang w:val="en-GB" w:eastAsia="zh-CN" w:bidi="hi-IN"/>
        </w:rPr>
        <w:t xml:space="preserve"> (I5 Inference Making) by the same author. </w:t>
      </w:r>
    </w:p>
    <w:p w14:paraId="05863054"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skeleton found on the left bench of Tomb 6423, nicknamed Tomba dell’Aryballos sospeso, in the Doganaccia necropolis of the Etruscan city of Tarquinia, Tuscany, by Alessandro Mandolesi on the 21th of September 2013, was initially estimated by Mandolesi to be the remains of a male person, due to the spear found </w:t>
      </w:r>
      <w:r w:rsidRPr="005B2660">
        <w:rPr>
          <w:rFonts w:ascii="Times New Roman" w:eastAsia="Noto Serif CJK SC" w:hAnsi="Times New Roman" w:cs="Lohit Devanagari"/>
          <w:kern w:val="2"/>
          <w:szCs w:val="24"/>
          <w:lang w:val="en-GB" w:eastAsia="zh-CN" w:bidi="hi-IN"/>
        </w:rPr>
        <w:lastRenderedPageBreak/>
        <w:t xml:space="preserve">next to it, and was published in the press as such. Soon after, osteological analysis carried out by the team revealed that it belonged to a female person, as published in the official academic papers afterwards. This is a good example for a simple inference and scientific knowledge revision. We refer to this skeleton in the examples found throughout the text as “The skeleton on the left bench in La Tomba dell’Aryballos sospeso”, and to the burial arrangement as “The burial arrangement on the left bench in La Tomba dell’Aryballos sospeso”, respectively. </w:t>
      </w:r>
    </w:p>
    <w:p w14:paraId="07F8B3DA"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We continue this example further: Critical to this example is the archaeological context. When opening the tomb, Mandolesi observed that it had been untouched since the time of the last burial it contained, a very rare fact. Therefore, the arrangement found was interpreted to be the one intended by the people who had carried out the burial. </w:t>
      </w:r>
    </w:p>
    <w:p w14:paraId="6B18618C" w14:textId="77777777" w:rsidR="00C84422"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interpretation of this example in terms of formal propositions is graphically shown in Figure 4, below; it can also be found in the examples for individual concepts throughout the class and property declarations. </w:t>
      </w:r>
      <w:r>
        <w:rPr>
          <w:rFonts w:ascii="Times New Roman" w:eastAsia="Noto Serif CJK SC" w:hAnsi="Times New Roman" w:cs="Lohit Devanagari"/>
          <w:kern w:val="2"/>
          <w:szCs w:val="24"/>
          <w:lang w:val="en-GB" w:eastAsia="zh-CN" w:bidi="hi-IN"/>
        </w:rPr>
        <w:t xml:space="preserve"> </w:t>
      </w:r>
    </w:p>
    <w:p w14:paraId="21633045"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second running example is the blog post by Francesca Bologna concerning Nero, and, in particular, his whereabouts during the Great Fire of Rome (Bologna, 2021). It demonstrates a case of understanding and citing two contradictory historical sources (I10 Provenance Statement), without explicitly believing them (I13 Intended Meaning Belief). Bologna proceeds with making a scholarly argument for trusting the one (I7 Belief Adoption) over the other, which she disbelieves (I5 Inference Making). The argument she makes is based on plausibility, the provenance of the information that the author of each source had, and an assumed bias on the part of one of the sources, which she contextually justifies. </w:t>
      </w:r>
    </w:p>
    <w:p w14:paraId="753F9D02"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Here are the relevant citations from Bologna (2021): </w:t>
      </w:r>
    </w:p>
    <w:p w14:paraId="24773CAE"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On 19 July AD 64, a fire started close to the Circus Maximus. The flames soon encompassed the entire city of Rome and the fire raged for nine days. Only four of the fourteen districts of the capital were spared, while three were completely destroyed. </w:t>
      </w:r>
    </w:p>
    <w:p w14:paraId="0D5FA8DE"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Later historians blamed Nero for the event, claiming that he set the capital ablaze in order to clear land for the construction of a vast new palace. According to Suetonius and Cassius Dio, Nero took in the view of the burning city from the imperial residence while playing the lyre and singing about the fall of Troy. This story, however, is fictional. </w:t>
      </w:r>
    </w:p>
    <w:p w14:paraId="29DE1555"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Most of what we know about Nero comes from the surviving works of three historians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–one that ended only when a new dynasty seized power, the Flavians. Authors writing under the Flavians had all an interest in legitimizing the new ruling family by portraying the Julio-Claudians in the worst possible light, turning history into propaganda. These accounts became the ‘historical’ sources used by later historians, therefore perpetuating a fabricated image of Nero, which has survived all the way to the present. </w:t>
      </w:r>
    </w:p>
    <w:p w14:paraId="47E518B3" w14:textId="77777777" w:rsidR="00C84422" w:rsidRPr="005B2660" w:rsidRDefault="00C84422" w:rsidP="00C84422">
      <w:pPr>
        <w:suppressAutoHyphens/>
        <w:spacing w:after="240" w:line="276" w:lineRule="auto"/>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kern w:val="2"/>
          <w:szCs w:val="24"/>
          <w:lang w:val="en-GB" w:eastAsia="zh-CN" w:bidi="hi-IN"/>
        </w:rPr>
        <w:t xml:space="preserve">The interpretation of this example in terms of formal propositions is graphically shown in Figure 5, below; it can also be found in the examples for individual concepts throughout the class and property declarations.  </w:t>
      </w:r>
    </w:p>
    <w:p w14:paraId="3AF1550F" w14:textId="77777777" w:rsidR="00C84422" w:rsidRPr="001520FB" w:rsidRDefault="00C84422" w:rsidP="00C84422">
      <w:pPr>
        <w:rPr>
          <w:rFonts w:ascii="Times New Roman" w:eastAsia="Noto Serif CJK SC" w:hAnsi="Times New Roman" w:cs="Lohit Devanagari"/>
          <w:kern w:val="2"/>
          <w:szCs w:val="24"/>
          <w:lang w:val="en-GB" w:eastAsia="zh-CN" w:bidi="hi-IN"/>
        </w:rPr>
      </w:pPr>
      <w:r>
        <w:rPr>
          <w:rFonts w:ascii="Times New Roman" w:eastAsia="Noto Serif CJK SC" w:hAnsi="Times New Roman" w:cs="Lohit Devanagari"/>
          <w:kern w:val="2"/>
          <w:szCs w:val="24"/>
          <w:lang w:val="en-GB" w:eastAsia="zh-CN" w:bidi="hi-IN"/>
        </w:rPr>
        <w:br w:type="page"/>
      </w:r>
    </w:p>
    <w:p w14:paraId="5758E59B" w14:textId="77777777" w:rsidR="00C84422" w:rsidRDefault="00C84422" w:rsidP="00C84422">
      <w:pPr>
        <w:rPr>
          <w:lang w:val="en-GB" w:eastAsia="zh-CN" w:bidi="hi-IN"/>
        </w:rPr>
        <w:sectPr w:rsidR="00C84422" w:rsidSect="005B2660">
          <w:pgSz w:w="11906" w:h="16838"/>
          <w:pgMar w:top="1418" w:right="1418" w:bottom="1559" w:left="1418" w:header="709" w:footer="964" w:gutter="0"/>
          <w:cols w:space="720"/>
          <w:formProt w:val="0"/>
          <w:docGrid w:linePitch="272" w:charSpace="73728"/>
        </w:sectPr>
      </w:pPr>
    </w:p>
    <w:p w14:paraId="086D5E41" w14:textId="77777777" w:rsidR="00C84422" w:rsidRDefault="00C84422" w:rsidP="00C84422">
      <w:pPr>
        <w:pStyle w:val="Heading4"/>
        <w:rPr>
          <w:lang w:val="en-GB" w:eastAsia="zh-CN" w:bidi="hi-IN"/>
        </w:rPr>
      </w:pPr>
      <w:r w:rsidRPr="001520FB">
        <w:rPr>
          <w:lang w:val="en-GB" w:eastAsia="zh-CN" w:bidi="hi-IN"/>
        </w:rPr>
        <w:lastRenderedPageBreak/>
        <w:t>Diagram depicting a knowledge revision process by A. Mandolesi</w:t>
      </w:r>
    </w:p>
    <w:p w14:paraId="66C58926" w14:textId="77777777" w:rsidR="00C84422" w:rsidRDefault="00C84422" w:rsidP="00C84422">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noProof/>
          <w:kern w:val="2"/>
          <w:szCs w:val="24"/>
          <w:lang w:val="en-GB" w:eastAsia="zh-CN" w:bidi="hi-IN"/>
        </w:rPr>
        <w:drawing>
          <wp:inline distT="0" distB="0" distL="0" distR="0" wp14:anchorId="2646A6AB" wp14:editId="7F74A8C9">
            <wp:extent cx="8987883" cy="5072110"/>
            <wp:effectExtent l="0" t="0" r="3810" b="0"/>
            <wp:docPr id="12259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20610" name="Picture 1225920610"/>
                    <pic:cNvPicPr/>
                  </pic:nvPicPr>
                  <pic:blipFill rotWithShape="1">
                    <a:blip r:embed="rId4" cstate="print">
                      <a:extLst>
                        <a:ext uri="{28A0092B-C50C-407E-A947-70E740481C1C}">
                          <a14:useLocalDpi xmlns:a14="http://schemas.microsoft.com/office/drawing/2010/main" val="0"/>
                        </a:ext>
                      </a:extLst>
                    </a:blip>
                    <a:srcRect l="769" t="1308" r="582" b="6495"/>
                    <a:stretch/>
                  </pic:blipFill>
                  <pic:spPr bwMode="auto">
                    <a:xfrm>
                      <a:off x="0" y="0"/>
                      <a:ext cx="9054316" cy="5109600"/>
                    </a:xfrm>
                    <a:prstGeom prst="rect">
                      <a:avLst/>
                    </a:prstGeom>
                    <a:ln>
                      <a:noFill/>
                    </a:ln>
                    <a:extLst>
                      <a:ext uri="{53640926-AAD7-44D8-BBD7-CCE9431645EC}">
                        <a14:shadowObscured xmlns:a14="http://schemas.microsoft.com/office/drawing/2010/main"/>
                      </a:ext>
                    </a:extLst>
                  </pic:spPr>
                </pic:pic>
              </a:graphicData>
            </a:graphic>
          </wp:inline>
        </w:drawing>
      </w:r>
    </w:p>
    <w:p w14:paraId="432B7715" w14:textId="77777777" w:rsidR="00C84422" w:rsidRPr="005B2660" w:rsidRDefault="00C84422" w:rsidP="00C84422">
      <w:pPr>
        <w:keepNext/>
        <w:suppressAutoHyphens/>
        <w:ind w:left="-810"/>
        <w:rPr>
          <w:rFonts w:ascii="Times New Roman" w:eastAsia="Noto Serif CJK SC" w:hAnsi="Times New Roman" w:cs="Lohit Devanagari"/>
          <w:kern w:val="2"/>
          <w:szCs w:val="24"/>
          <w:lang w:val="en-GB" w:eastAsia="zh-CN" w:bidi="hi-IN"/>
        </w:rPr>
      </w:pPr>
    </w:p>
    <w:p w14:paraId="75843944" w14:textId="77777777" w:rsidR="00C84422" w:rsidRPr="005B2660" w:rsidRDefault="00C84422" w:rsidP="00C84422">
      <w:pPr>
        <w:suppressLineNumbers/>
        <w:suppressAutoHyphens/>
        <w:spacing w:before="120" w:after="120"/>
        <w:rPr>
          <w:rFonts w:ascii="Times New Roman" w:eastAsia="Noto Serif CJK SC" w:hAnsi="Times New Roman" w:cs="Lohit Devanagari"/>
          <w:i/>
          <w:iCs/>
          <w:kern w:val="2"/>
          <w:szCs w:val="24"/>
          <w:lang w:val="en-GB" w:eastAsia="zh-CN" w:bidi="hi-IN"/>
        </w:rPr>
      </w:pPr>
      <w:bookmarkStart w:id="9" w:name="_Toc197516554"/>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Pr>
          <w:rFonts w:ascii="Times New Roman" w:eastAsia="Noto Serif CJK SC" w:hAnsi="Times New Roman" w:cs="Lohit Devanagari"/>
          <w:i/>
          <w:iCs/>
          <w:noProof/>
          <w:kern w:val="2"/>
          <w:szCs w:val="24"/>
          <w:lang w:val="en-GB" w:eastAsia="zh-CN" w:bidi="hi-IN"/>
        </w:rPr>
        <w:t>1</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La Tomba dell'Aryballos sospeso; a case of knowledge revision</w:t>
      </w:r>
      <w:bookmarkEnd w:id="9"/>
    </w:p>
    <w:p w14:paraId="6C95E155" w14:textId="77777777" w:rsidR="00C84422" w:rsidRPr="005B2660" w:rsidRDefault="00C84422" w:rsidP="00C84422">
      <w:pPr>
        <w:suppressAutoHyphens/>
        <w:rPr>
          <w:rFonts w:ascii="Times New Roman" w:eastAsia="Noto Serif CJK SC" w:hAnsi="Times New Roman" w:cs="Lohit Devanagari"/>
          <w:kern w:val="2"/>
          <w:szCs w:val="24"/>
          <w:lang w:val="en-GB" w:eastAsia="zh-CN" w:bidi="hi-IN"/>
        </w:rPr>
        <w:sectPr w:rsidR="00C84422" w:rsidRPr="005B2660" w:rsidSect="005B2660">
          <w:pgSz w:w="16838" w:h="11906" w:orient="landscape"/>
          <w:pgMar w:top="1411" w:right="1411" w:bottom="1411" w:left="1555" w:header="706" w:footer="965" w:gutter="0"/>
          <w:cols w:space="720"/>
          <w:formProt w:val="0"/>
          <w:docGrid w:linePitch="272" w:charSpace="73728"/>
        </w:sectPr>
      </w:pPr>
    </w:p>
    <w:p w14:paraId="4CF26EFE" w14:textId="77777777" w:rsidR="00C84422" w:rsidRDefault="00C84422" w:rsidP="00C84422">
      <w:pPr>
        <w:pStyle w:val="Heading4"/>
        <w:rPr>
          <w:lang w:val="en-GB"/>
        </w:rPr>
      </w:pPr>
      <w:r>
        <w:rPr>
          <w:lang w:val="en-GB"/>
        </w:rPr>
        <w:lastRenderedPageBreak/>
        <w:t xml:space="preserve">Diagram depicting a belief adoption by F. Bologna </w:t>
      </w:r>
    </w:p>
    <w:p w14:paraId="0B98DC85" w14:textId="77777777" w:rsidR="00C84422" w:rsidRDefault="00C84422" w:rsidP="00C84422">
      <w:pPr>
        <w:keepNext/>
        <w:suppressAutoHyphens/>
        <w:rPr>
          <w:rFonts w:ascii="Times New Roman" w:eastAsia="Noto Serif CJK SC" w:hAnsi="Times New Roman" w:cs="Lohit Devanagari"/>
          <w:kern w:val="2"/>
          <w:szCs w:val="24"/>
          <w:lang w:val="en-GB" w:eastAsia="zh-CN" w:bidi="hi-IN"/>
        </w:rPr>
      </w:pPr>
    </w:p>
    <w:p w14:paraId="0250906B" w14:textId="77777777" w:rsidR="00C84422" w:rsidRDefault="00C84422" w:rsidP="00C84422">
      <w:pPr>
        <w:keepNext/>
        <w:suppressAutoHyphens/>
        <w:rPr>
          <w:rFonts w:ascii="Times New Roman" w:eastAsia="Noto Serif CJK SC" w:hAnsi="Times New Roman" w:cs="Lohit Devanagari"/>
          <w:kern w:val="2"/>
          <w:szCs w:val="24"/>
          <w:lang w:val="en-GB" w:eastAsia="zh-CN" w:bidi="hi-IN"/>
        </w:rPr>
      </w:pPr>
    </w:p>
    <w:p w14:paraId="67C111E4" w14:textId="77777777" w:rsidR="00C84422" w:rsidRPr="005B2660" w:rsidRDefault="00C84422" w:rsidP="00C84422">
      <w:pPr>
        <w:keepNext/>
        <w:suppressAutoHyphens/>
        <w:ind w:left="-810"/>
        <w:rPr>
          <w:rFonts w:ascii="Times New Roman" w:eastAsia="Noto Serif CJK SC" w:hAnsi="Times New Roman" w:cs="Lohit Devanagari"/>
          <w:kern w:val="2"/>
          <w:szCs w:val="24"/>
          <w:lang w:val="en-GB" w:eastAsia="zh-CN" w:bidi="hi-IN"/>
        </w:rPr>
      </w:pPr>
      <w:r w:rsidRPr="005B2660">
        <w:rPr>
          <w:rFonts w:ascii="Times New Roman" w:eastAsia="Noto Serif CJK SC" w:hAnsi="Times New Roman" w:cs="Lohit Devanagari"/>
          <w:iCs/>
          <w:noProof/>
          <w:kern w:val="2"/>
          <w:szCs w:val="24"/>
          <w:lang w:val="en-GB" w:eastAsia="zh-CN" w:bidi="hi-IN"/>
        </w:rPr>
        <w:drawing>
          <wp:inline distT="0" distB="0" distL="0" distR="0" wp14:anchorId="397C2FD7" wp14:editId="6C4418A7">
            <wp:extent cx="8064752" cy="4401015"/>
            <wp:effectExtent l="0" t="0" r="0" b="0"/>
            <wp:docPr id="9876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7014" name="Picture 9876070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70120" cy="4403944"/>
                    </a:xfrm>
                    <a:prstGeom prst="rect">
                      <a:avLst/>
                    </a:prstGeom>
                  </pic:spPr>
                </pic:pic>
              </a:graphicData>
            </a:graphic>
          </wp:inline>
        </w:drawing>
      </w:r>
    </w:p>
    <w:p w14:paraId="74D83A6F" w14:textId="4C8A6ACB" w:rsidR="00C84422" w:rsidRPr="005B2660" w:rsidRDefault="00C84422" w:rsidP="00C84422">
      <w:pPr>
        <w:suppressLineNumbers/>
        <w:suppressAutoHyphens/>
        <w:spacing w:before="120" w:after="120"/>
        <w:rPr>
          <w:rFonts w:ascii="Times New Roman" w:eastAsia="Noto Serif CJK SC" w:hAnsi="Times New Roman" w:cs="Lohit Devanagari"/>
          <w:i/>
          <w:kern w:val="2"/>
          <w:szCs w:val="24"/>
          <w:lang w:val="en-GB" w:eastAsia="zh-CN" w:bidi="hi-IN"/>
        </w:rPr>
        <w:sectPr w:rsidR="00C84422" w:rsidRPr="005B2660" w:rsidSect="005B2660">
          <w:pgSz w:w="16838" w:h="11906" w:orient="landscape"/>
          <w:pgMar w:top="1411" w:right="1411" w:bottom="1411" w:left="1555" w:header="706" w:footer="965" w:gutter="0"/>
          <w:cols w:space="720"/>
          <w:formProt w:val="0"/>
          <w:docGrid w:linePitch="272" w:charSpace="73728"/>
        </w:sectPr>
      </w:pPr>
      <w:bookmarkStart w:id="10" w:name="_Toc197516555"/>
      <w:r w:rsidRPr="005B2660">
        <w:rPr>
          <w:rFonts w:ascii="Times New Roman" w:eastAsia="Noto Serif CJK SC" w:hAnsi="Times New Roman" w:cs="Lohit Devanagari"/>
          <w:i/>
          <w:iCs/>
          <w:kern w:val="2"/>
          <w:szCs w:val="24"/>
          <w:lang w:val="en-GB" w:eastAsia="zh-CN" w:bidi="hi-IN"/>
        </w:rPr>
        <w:t xml:space="preserve">Figure </w:t>
      </w:r>
      <w:r w:rsidRPr="005B2660">
        <w:rPr>
          <w:rFonts w:ascii="Times New Roman" w:eastAsia="Noto Serif CJK SC" w:hAnsi="Times New Roman" w:cs="Lohit Devanagari"/>
          <w:i/>
          <w:iCs/>
          <w:kern w:val="2"/>
          <w:szCs w:val="24"/>
          <w:lang w:val="en-GB" w:eastAsia="zh-CN" w:bidi="hi-IN"/>
        </w:rPr>
        <w:fldChar w:fldCharType="begin"/>
      </w:r>
      <w:r w:rsidRPr="005B2660">
        <w:rPr>
          <w:rFonts w:ascii="Times New Roman" w:eastAsia="Noto Serif CJK SC" w:hAnsi="Times New Roman" w:cs="Lohit Devanagari"/>
          <w:i/>
          <w:iCs/>
          <w:kern w:val="2"/>
          <w:szCs w:val="24"/>
          <w:lang w:val="en-GB" w:eastAsia="zh-CN" w:bidi="hi-IN"/>
        </w:rPr>
        <w:instrText xml:space="preserve"> SEQ Figure \* ARABIC </w:instrText>
      </w:r>
      <w:r w:rsidRPr="005B2660">
        <w:rPr>
          <w:rFonts w:ascii="Times New Roman" w:eastAsia="Noto Serif CJK SC" w:hAnsi="Times New Roman" w:cs="Lohit Devanagari"/>
          <w:i/>
          <w:iCs/>
          <w:kern w:val="2"/>
          <w:szCs w:val="24"/>
          <w:lang w:val="en-GB" w:eastAsia="zh-CN" w:bidi="hi-IN"/>
        </w:rPr>
        <w:fldChar w:fldCharType="separate"/>
      </w:r>
      <w:r>
        <w:rPr>
          <w:rFonts w:ascii="Times New Roman" w:eastAsia="Noto Serif CJK SC" w:hAnsi="Times New Roman" w:cs="Lohit Devanagari"/>
          <w:i/>
          <w:iCs/>
          <w:noProof/>
          <w:kern w:val="2"/>
          <w:szCs w:val="24"/>
          <w:lang w:val="en-GB" w:eastAsia="zh-CN" w:bidi="hi-IN"/>
        </w:rPr>
        <w:t>2</w:t>
      </w:r>
      <w:r w:rsidRPr="005B2660">
        <w:rPr>
          <w:rFonts w:ascii="Times New Roman" w:eastAsia="Noto Serif CJK SC" w:hAnsi="Times New Roman" w:cs="Lohit Devanagari"/>
          <w:i/>
          <w:iCs/>
          <w:kern w:val="2"/>
          <w:szCs w:val="24"/>
          <w:lang w:val="en-GB" w:eastAsia="zh-CN" w:bidi="hi-IN"/>
        </w:rPr>
        <w:fldChar w:fldCharType="end"/>
      </w:r>
      <w:r w:rsidRPr="005B2660">
        <w:rPr>
          <w:rFonts w:ascii="Times New Roman" w:eastAsia="Noto Serif CJK SC" w:hAnsi="Times New Roman" w:cs="Lohit Devanagari"/>
          <w:i/>
          <w:iCs/>
          <w:kern w:val="2"/>
          <w:szCs w:val="24"/>
          <w:lang w:val="en-GB" w:eastAsia="zh-CN" w:bidi="hi-IN"/>
        </w:rPr>
        <w:t>: A scholarly argument concerning Nero's whereabouts during the Great Fire of Rom</w:t>
      </w:r>
      <w:bookmarkEnd w:id="10"/>
      <w:r w:rsidR="00245A2F">
        <w:rPr>
          <w:rFonts w:ascii="Times New Roman" w:eastAsia="Noto Serif CJK SC" w:hAnsi="Times New Roman" w:cs="Lohit Devanagari"/>
          <w:i/>
          <w:iCs/>
          <w:kern w:val="2"/>
          <w:szCs w:val="24"/>
          <w:lang w:val="en-GB" w:eastAsia="zh-CN" w:bidi="hi-IN"/>
        </w:rPr>
        <w:t>e</w:t>
      </w:r>
    </w:p>
    <w:p w14:paraId="11962282" w14:textId="77777777" w:rsidR="0055322F" w:rsidRDefault="0055322F" w:rsidP="00662A17">
      <w:bookmarkStart w:id="11" w:name="_GoBack"/>
      <w:bookmarkEnd w:id="11"/>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F9"/>
    <w:rsid w:val="00245A2F"/>
    <w:rsid w:val="0055322F"/>
    <w:rsid w:val="006414F7"/>
    <w:rsid w:val="00662A17"/>
    <w:rsid w:val="00B643F9"/>
    <w:rsid w:val="00C67417"/>
    <w:rsid w:val="00C84422"/>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A1AE"/>
  <w15:chartTrackingRefBased/>
  <w15:docId w15:val="{91B40BE5-4E7F-4940-B145-B8A0B21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422"/>
  </w:style>
  <w:style w:type="paragraph" w:styleId="Heading3">
    <w:name w:val="heading 3"/>
    <w:basedOn w:val="Normal"/>
    <w:next w:val="Normal"/>
    <w:link w:val="Heading3Char"/>
    <w:uiPriority w:val="9"/>
    <w:unhideWhenUsed/>
    <w:qFormat/>
    <w:rsid w:val="00C8442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844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44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8442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11581</Characters>
  <Application>Microsoft Office Word</Application>
  <DocSecurity>0</DocSecurity>
  <Lines>96</Lines>
  <Paragraphs>27</Paragraphs>
  <ScaleCrop>false</ScaleCrop>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4</cp:revision>
  <dcterms:created xsi:type="dcterms:W3CDTF">2025-09-11T10:13:00Z</dcterms:created>
  <dcterms:modified xsi:type="dcterms:W3CDTF">2025-09-11T10:13:00Z</dcterms:modified>
</cp:coreProperties>
</file>