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50C3" w14:textId="77777777" w:rsidR="009837B1" w:rsidRDefault="009837B1" w:rsidP="009837B1">
      <w:pPr>
        <w:pStyle w:val="Heading3"/>
        <w:spacing w:line="276" w:lineRule="auto"/>
      </w:pPr>
      <w:bookmarkStart w:id="0" w:name="_Toc208138492"/>
      <w:r>
        <w:t>Issue 663:</w:t>
      </w:r>
      <w:bookmarkEnd w:id="0"/>
    </w:p>
    <w:p w14:paraId="761FF32C" w14:textId="77777777" w:rsidR="009837B1" w:rsidRDefault="009837B1" w:rsidP="009837B1">
      <w:pPr>
        <w:spacing w:line="276" w:lineRule="auto"/>
      </w:pPr>
      <w:r>
        <w:t xml:space="preserve">The definition of I17 One-Proposition Set, changed </w:t>
      </w:r>
    </w:p>
    <w:p w14:paraId="42C0D0E0" w14:textId="77777777" w:rsidR="009837B1" w:rsidRDefault="009837B1" w:rsidP="009837B1">
      <w:pPr>
        <w:pStyle w:val="Heading4"/>
        <w:spacing w:line="276" w:lineRule="auto"/>
      </w:pPr>
      <w:r>
        <w:t xml:space="preserve">FROM (OLD): </w:t>
      </w:r>
    </w:p>
    <w:p w14:paraId="7A19FECF" w14:textId="77777777" w:rsidR="009837B1" w:rsidRPr="00E94325" w:rsidRDefault="009837B1" w:rsidP="009837B1">
      <w:pPr>
        <w:spacing w:line="276" w:lineRule="auto"/>
        <w:rPr>
          <w:rFonts w:ascii="Arial" w:hAnsi="Arial" w:cs="Arial"/>
          <w:b/>
          <w:lang w:val="en-GB" w:eastAsia="zh-CN" w:bidi="hi-IN"/>
        </w:rPr>
      </w:pPr>
      <w:bookmarkStart w:id="1" w:name="_Toc184660144"/>
      <w:r w:rsidRPr="00E94325">
        <w:rPr>
          <w:rFonts w:ascii="Arial" w:hAnsi="Arial" w:cs="Arial"/>
          <w:b/>
          <w:lang w:val="en-GB" w:eastAsia="zh-CN" w:bidi="hi-IN"/>
        </w:rPr>
        <w:t>I17 One-Proposition Set</w:t>
      </w:r>
      <w:bookmarkEnd w:id="1"/>
    </w:p>
    <w:p w14:paraId="52513872" w14:textId="77777777" w:rsidR="009837B1" w:rsidRPr="00E94325" w:rsidRDefault="009837B1" w:rsidP="009837B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 xml:space="preserve">Subclass of: </w:t>
      </w:r>
    </w:p>
    <w:p w14:paraId="10EF40F6" w14:textId="77777777" w:rsidR="009837B1" w:rsidRPr="00E94325" w:rsidRDefault="009837B1" w:rsidP="009837B1">
      <w:pPr>
        <w:suppressAutoHyphens/>
        <w:spacing w:line="276" w:lineRule="auto"/>
        <w:ind w:left="1440"/>
        <w:rPr>
          <w:rFonts w:ascii="Times New Roman" w:eastAsia="Noto Serif CJK SC" w:hAnsi="Times New Roman" w:cs="Lohit Devanagari"/>
          <w:kern w:val="2"/>
          <w:szCs w:val="24"/>
          <w:lang w:val="en-GB" w:eastAsia="zh-CN" w:bidi="hi-IN"/>
        </w:rPr>
      </w:pPr>
      <w:hyperlink w:anchor="_toc1717">
        <w:bookmarkStart w:id="2" w:name="_Hlk167275239"/>
        <w:r w:rsidRPr="00E94325">
          <w:rPr>
            <w:rFonts w:ascii="Times New Roman" w:eastAsia="Noto Serif CJK SC" w:hAnsi="Times New Roman" w:cs="Lohit Devanagari"/>
            <w:color w:val="000000"/>
            <w:kern w:val="2"/>
            <w:szCs w:val="24"/>
            <w:u w:val="single"/>
            <w:lang w:val="en-GB" w:eastAsia="zh-CN" w:bidi="hi-IN"/>
          </w:rPr>
          <w:t>I4</w:t>
        </w:r>
      </w:hyperlink>
      <w:r w:rsidRPr="00E94325">
        <w:rPr>
          <w:rFonts w:ascii="Times New Roman" w:eastAsia="Noto Serif CJK SC" w:hAnsi="Times New Roman" w:cs="Lohit Devanagari"/>
          <w:color w:val="000000"/>
          <w:kern w:val="2"/>
          <w:szCs w:val="24"/>
          <w:lang w:val="en-GB" w:eastAsia="zh-CN" w:bidi="hi-IN"/>
        </w:rPr>
        <w:t xml:space="preserve"> Proposition Set</w:t>
      </w:r>
      <w:bookmarkEnd w:id="2"/>
    </w:p>
    <w:p w14:paraId="459BE526" w14:textId="77777777" w:rsidR="009837B1" w:rsidRPr="00E94325" w:rsidRDefault="009837B1" w:rsidP="009837B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Superclass of:</w:t>
      </w:r>
      <w:r w:rsidRPr="00E94325">
        <w:rPr>
          <w:rFonts w:ascii="Times New Roman" w:eastAsia="Noto Serif CJK SC" w:hAnsi="Times New Roman" w:cs="Times New Roman"/>
          <w:color w:val="000000"/>
          <w:kern w:val="2"/>
          <w:szCs w:val="24"/>
          <w:lang w:val="en-GB" w:eastAsia="zh-CN" w:bidi="hi-IN"/>
        </w:rPr>
        <w:tab/>
      </w:r>
    </w:p>
    <w:p w14:paraId="08B2BD19" w14:textId="77777777" w:rsidR="009837B1" w:rsidRPr="00E94325" w:rsidRDefault="009837B1" w:rsidP="009837B1">
      <w:pPr>
        <w:suppressAutoHyphens/>
        <w:spacing w:line="276" w:lineRule="auto"/>
        <w:ind w:left="1440"/>
        <w:rPr>
          <w:rFonts w:ascii="Times New Roman" w:eastAsia="Noto Serif CJK SC" w:hAnsi="Times New Roman" w:cs="Lohit Devanagari"/>
          <w:color w:val="000000"/>
          <w:kern w:val="2"/>
          <w:szCs w:val="24"/>
          <w:lang w:val="en-GB" w:eastAsia="zh-CN" w:bidi="hi-IN"/>
        </w:rPr>
      </w:pPr>
    </w:p>
    <w:p w14:paraId="4C0D16D6" w14:textId="77777777" w:rsidR="009837B1" w:rsidRPr="00E94325" w:rsidRDefault="009837B1" w:rsidP="009837B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Scope note:</w:t>
      </w:r>
    </w:p>
    <w:p w14:paraId="2D31F6C5" w14:textId="77777777" w:rsidR="009837B1" w:rsidRPr="00E94325" w:rsidRDefault="009837B1" w:rsidP="009837B1">
      <w:pPr>
        <w:suppressAutoHyphens/>
        <w:spacing w:after="170" w:line="276" w:lineRule="auto"/>
        <w:ind w:left="144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This class comprises proposition sets containing exactly one binary proposition which is or could, in principle be, encoded in a knowledge representation language. The identity of an instance of I17 One-Proposition Set is given by the total of its content, regardless equivalent encodings. </w:t>
      </w:r>
    </w:p>
    <w:p w14:paraId="70D4B409" w14:textId="77777777" w:rsidR="009837B1" w:rsidRPr="00E94325" w:rsidRDefault="009837B1" w:rsidP="009837B1">
      <w:pPr>
        <w:suppressAutoHyphens/>
        <w:spacing w:after="170" w:line="276" w:lineRule="auto"/>
        <w:ind w:left="144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 xml:space="preserve">An instance of I17 One-Proposition Set in a Knowledge Base may alternatively be implemented by a “reification” construct, and is regarded as logically equivalent in this model. Similarly, all triples of properties declared for one class to denote the domain, type and range of another property, such as the properties of E13 Attribute Assignment and its subclasses, can be interpreted as shortcuts to an instance of I17 One-Proposition Set and its properties </w:t>
      </w:r>
      <w:r w:rsidRPr="00E94325">
        <w:rPr>
          <w:rFonts w:ascii="Times New Roman" w:eastAsia="Noto Serif CJK SC" w:hAnsi="Times New Roman" w:cs="Times New Roman"/>
          <w:i/>
          <w:iCs/>
          <w:color w:val="000000"/>
          <w:kern w:val="2"/>
          <w:szCs w:val="24"/>
          <w:lang w:val="en-GB" w:eastAsia="zh-CN" w:bidi="hi-IN"/>
        </w:rPr>
        <w:t>J30 has domain (is domain of), J31 has range (is range of), J32 has property type (is property type of)</w:t>
      </w:r>
      <w:r w:rsidRPr="00E94325">
        <w:rPr>
          <w:rFonts w:ascii="Times New Roman" w:eastAsia="Noto Serif CJK SC" w:hAnsi="Times New Roman" w:cs="Times New Roman"/>
          <w:color w:val="000000"/>
          <w:kern w:val="2"/>
          <w:szCs w:val="24"/>
          <w:lang w:val="en-GB" w:eastAsia="zh-CN" w:bidi="hi-IN"/>
        </w:rPr>
        <w:t>, or as a “reification” implicit to the declaring class. </w:t>
      </w:r>
    </w:p>
    <w:p w14:paraId="2B0BC09F" w14:textId="77777777" w:rsidR="009837B1" w:rsidRPr="00E94325" w:rsidRDefault="009837B1" w:rsidP="009837B1">
      <w:pPr>
        <w:suppressAutoHyphens/>
        <w:spacing w:after="170" w:line="276" w:lineRule="auto"/>
        <w:ind w:left="1440"/>
        <w:rPr>
          <w:rFonts w:ascii="Times New Roman" w:eastAsia="Noto Serif CJK SC" w:hAnsi="Times New Roman" w:cs="Times New Roman"/>
          <w:color w:val="000000"/>
          <w:kern w:val="2"/>
          <w:lang w:val="en-GB" w:eastAsia="zh-CN" w:bidi="hi-IN"/>
        </w:rPr>
      </w:pPr>
      <w:r w:rsidRPr="00E94325">
        <w:rPr>
          <w:rFonts w:ascii="Times New Roman" w:eastAsia="Noto Serif CJK SC" w:hAnsi="Times New Roman" w:cs="Times New Roman"/>
          <w:color w:val="000000"/>
          <w:kern w:val="2"/>
          <w:szCs w:val="24"/>
          <w:lang w:val="en-GB" w:eastAsia="zh-CN" w:bidi="hi-IN"/>
        </w:rPr>
        <w:t xml:space="preserve">As such, the class I17 One-Proposition Set plays the role of an important </w:t>
      </w:r>
      <w:r w:rsidRPr="00E94325">
        <w:rPr>
          <w:rFonts w:ascii="Times New Roman" w:eastAsia="Noto Serif CJK SC" w:hAnsi="Times New Roman" w:cs="Times New Roman"/>
          <w:i/>
          <w:iCs/>
          <w:color w:val="000000"/>
          <w:kern w:val="2"/>
          <w:szCs w:val="24"/>
          <w:lang w:val="en-GB" w:eastAsia="zh-CN" w:bidi="hi-IN"/>
        </w:rPr>
        <w:t>logical interface</w:t>
      </w:r>
      <w:r w:rsidRPr="00E94325">
        <w:rPr>
          <w:rFonts w:ascii="Times New Roman" w:eastAsia="Noto Serif CJK SC" w:hAnsi="Times New Roman" w:cs="Times New Roman"/>
          <w:color w:val="000000"/>
          <w:kern w:val="2"/>
          <w:szCs w:val="24"/>
          <w:lang w:val="en-GB" w:eastAsia="zh-CN" w:bidi="hi-IN"/>
        </w:rPr>
        <w:t xml:space="preserve"> between different ways to document a discourse about propositions within a Knowledge Base. It is particularly relevant for implementing effective queries. For documentation, the use of simpler shortcut properties will, typically, be the preferred approach</w:t>
      </w:r>
      <w:r w:rsidRPr="00E94325">
        <w:rPr>
          <w:rFonts w:ascii="Times New Roman" w:eastAsia="Noto Serif CJK SC" w:hAnsi="Times New Roman" w:cs="Times New Roman"/>
          <w:kern w:val="2"/>
          <w:szCs w:val="24"/>
          <w:lang w:val="en-GB" w:eastAsia="zh-CN" w:bidi="hi-IN"/>
        </w:rPr>
        <w:t>.</w:t>
      </w:r>
      <w:r w:rsidRPr="00E94325">
        <w:rPr>
          <w:rFonts w:ascii="Times New Roman" w:eastAsia="Noto Serif CJK SC" w:hAnsi="Times New Roman" w:cs="Times New Roman"/>
          <w:color w:val="000000"/>
          <w:kern w:val="2"/>
          <w:lang w:val="en-GB" w:eastAsia="zh-CN" w:bidi="hi-IN"/>
        </w:rPr>
        <w:t xml:space="preserve"> </w:t>
      </w:r>
    </w:p>
    <w:p w14:paraId="7CE95745" w14:textId="77777777" w:rsidR="009837B1" w:rsidRPr="00E94325" w:rsidRDefault="009837B1" w:rsidP="009837B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Examples:</w:t>
      </w:r>
    </w:p>
    <w:p w14:paraId="1EC5E529" w14:textId="77777777" w:rsidR="009837B1" w:rsidRPr="00E94325" w:rsidRDefault="009837B1" w:rsidP="009837B1">
      <w:pPr>
        <w:numPr>
          <w:ilvl w:val="0"/>
          <w:numId w:val="2"/>
        </w:numPr>
        <w:suppressAutoHyphens/>
        <w:spacing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The proposition set with content:</w:t>
      </w:r>
    </w:p>
    <w:p w14:paraId="28F5095F" w14:textId="77777777" w:rsidR="009837B1" w:rsidRPr="00E94325" w:rsidRDefault="009837B1" w:rsidP="009837B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w:t>
      </w:r>
      <w:r w:rsidRPr="00E94325">
        <w:rPr>
          <w:rFonts w:ascii="Times New Roman" w:eastAsia="Noto Serif CJK SC" w:hAnsi="Times New Roman" w:cs="Times New Roman"/>
          <w:color w:val="000000"/>
          <w:kern w:val="2"/>
          <w:lang w:val="en-GB" w:eastAsia="zh-CN" w:bidi="hi-IN"/>
        </w:rPr>
        <w:t xml:space="preserve">The skeleton in </w:t>
      </w:r>
      <w:r w:rsidRPr="00E94325">
        <w:rPr>
          <w:rFonts w:ascii="Times New Roman" w:eastAsia="Noto Serif CJK SC" w:hAnsi="Times New Roman" w:cs="Lohit Devanagari"/>
          <w:color w:val="000000"/>
          <w:kern w:val="2"/>
          <w:szCs w:val="24"/>
          <w:lang w:val="en-GB" w:eastAsia="zh-CN" w:bidi="hi-IN"/>
        </w:rPr>
        <w:t>La Tomba dell'Aryballos sospeso on the left bench</w:t>
      </w:r>
      <w:r w:rsidRPr="00E94325">
        <w:rPr>
          <w:rFonts w:ascii="Times New Roman" w:eastAsia="Noto Serif CJK SC" w:hAnsi="Times New Roman" w:cs="Times New Roman"/>
          <w:color w:val="000000"/>
          <w:kern w:val="2"/>
          <w:lang w:val="en-GB" w:eastAsia="zh-CN"/>
        </w:rPr>
        <w:t xml:space="preserve"> (E20 Biological Object) </w:t>
      </w:r>
      <w:r w:rsidRPr="00E94325">
        <w:rPr>
          <w:rFonts w:ascii="Times New Roman" w:eastAsia="Noto Serif CJK SC" w:hAnsi="Times New Roman" w:cs="Times New Roman"/>
          <w:i/>
          <w:iCs/>
          <w:color w:val="000000"/>
          <w:kern w:val="2"/>
          <w:lang w:val="en-GB" w:eastAsia="zh-CN"/>
        </w:rPr>
        <w:t>P2 has type</w:t>
      </w:r>
      <w:r w:rsidRPr="00E94325">
        <w:rPr>
          <w:rFonts w:ascii="Times New Roman" w:eastAsia="Noto Serif CJK SC" w:hAnsi="Times New Roman" w:cs="Times New Roman"/>
          <w:color w:val="000000"/>
          <w:kern w:val="2"/>
          <w:lang w:val="en-GB" w:eastAsia="zh-CN" w:bidi="hi-IN"/>
        </w:rPr>
        <w:t xml:space="preserve"> ‘male’ (E55 Type)} (I17) (Squires, 2013)</w:t>
      </w:r>
    </w:p>
    <w:p w14:paraId="5B75532F" w14:textId="77777777" w:rsidR="009837B1" w:rsidRPr="00E94325" w:rsidRDefault="009837B1" w:rsidP="009837B1">
      <w:pPr>
        <w:numPr>
          <w:ilvl w:val="0"/>
          <w:numId w:val="2"/>
        </w:numPr>
        <w:suppressAutoHyphens/>
        <w:spacing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The proposition set with content:</w:t>
      </w:r>
    </w:p>
    <w:p w14:paraId="3F050B77" w14:textId="77777777" w:rsidR="009837B1" w:rsidRPr="00E94325" w:rsidRDefault="009837B1" w:rsidP="009837B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w:t>
      </w:r>
      <w:r w:rsidRPr="00E94325">
        <w:rPr>
          <w:rFonts w:ascii="Times New Roman" w:eastAsia="Noto Serif CJK SC" w:hAnsi="Times New Roman" w:cs="Times New Roman"/>
          <w:color w:val="000000"/>
          <w:kern w:val="2"/>
          <w:lang w:val="en-GB" w:eastAsia="zh-CN" w:bidi="hi-IN"/>
        </w:rPr>
        <w:t xml:space="preserve">The skeleton in </w:t>
      </w:r>
      <w:r w:rsidRPr="00E94325">
        <w:rPr>
          <w:rFonts w:ascii="Times New Roman" w:eastAsia="Noto Serif CJK SC" w:hAnsi="Times New Roman" w:cs="Lohit Devanagari"/>
          <w:color w:val="000000"/>
          <w:kern w:val="2"/>
          <w:szCs w:val="24"/>
          <w:lang w:val="en-GB" w:eastAsia="zh-CN" w:bidi="hi-IN"/>
        </w:rPr>
        <w:t>La Tomba dell'Aryballos sospeso on the left bench</w:t>
      </w:r>
      <w:r w:rsidRPr="00E94325">
        <w:rPr>
          <w:rFonts w:ascii="Times New Roman" w:eastAsia="Noto Serif CJK SC" w:hAnsi="Times New Roman" w:cs="Times New Roman"/>
          <w:color w:val="000000"/>
          <w:kern w:val="2"/>
          <w:lang w:val="en-GB" w:eastAsia="zh-CN"/>
        </w:rPr>
        <w:t xml:space="preserve"> (E20 Biological Object) </w:t>
      </w:r>
      <w:r w:rsidRPr="00E94325">
        <w:rPr>
          <w:rFonts w:ascii="Times New Roman" w:eastAsia="Noto Serif CJK SC" w:hAnsi="Times New Roman" w:cs="Times New Roman"/>
          <w:i/>
          <w:iCs/>
          <w:color w:val="000000"/>
          <w:kern w:val="2"/>
          <w:lang w:val="en-GB" w:eastAsia="zh-CN"/>
        </w:rPr>
        <w:t>P2 has type</w:t>
      </w:r>
      <w:r w:rsidRPr="00E94325">
        <w:rPr>
          <w:rFonts w:ascii="Times New Roman" w:eastAsia="Noto Serif CJK SC" w:hAnsi="Times New Roman" w:cs="Times New Roman"/>
          <w:color w:val="000000"/>
          <w:kern w:val="2"/>
          <w:lang w:val="en-GB" w:eastAsia="zh-CN" w:bidi="hi-IN"/>
        </w:rPr>
        <w:t xml:space="preserve"> ‘female’ (E55 Type)} (I17) (Mandolesi, 2013)</w:t>
      </w:r>
    </w:p>
    <w:p w14:paraId="3F95A275" w14:textId="77777777" w:rsidR="009837B1" w:rsidRPr="00E94325" w:rsidRDefault="009837B1" w:rsidP="009837B1">
      <w:pPr>
        <w:numPr>
          <w:ilvl w:val="0"/>
          <w:numId w:val="2"/>
        </w:numPr>
        <w:suppressAutoHyphens/>
        <w:spacing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The proposition set with content:</w:t>
      </w:r>
    </w:p>
    <w:p w14:paraId="6A862E41" w14:textId="77777777" w:rsidR="009837B1" w:rsidRPr="00E94325" w:rsidRDefault="009837B1" w:rsidP="009837B1">
      <w:pPr>
        <w:suppressAutoHyphens/>
        <w:spacing w:line="276" w:lineRule="auto"/>
        <w:ind w:left="2160"/>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Times New Roman"/>
          <w:color w:val="000000"/>
          <w:kern w:val="2"/>
          <w:lang w:val="en-GB" w:eastAsia="zh-CN" w:bidi="hi-IN"/>
        </w:rPr>
        <w:t xml:space="preserve">{The burial arrangement in </w:t>
      </w:r>
      <w:r w:rsidRPr="00E94325">
        <w:rPr>
          <w:rFonts w:ascii="Times New Roman" w:eastAsia="Noto Serif CJK SC" w:hAnsi="Times New Roman" w:cs="Lohit Devanagari"/>
          <w:color w:val="000000"/>
          <w:kern w:val="2"/>
          <w:szCs w:val="24"/>
          <w:lang w:val="en-GB" w:eastAsia="zh-CN" w:bidi="hi-IN"/>
        </w:rPr>
        <w:t xml:space="preserve">La Tomba dell'Aryballos sospeso on the left bench </w:t>
      </w:r>
      <w:r w:rsidRPr="00E94325">
        <w:rPr>
          <w:rFonts w:ascii="Times New Roman" w:eastAsia="Noto Serif CJK SC" w:hAnsi="Times New Roman" w:cs="Times New Roman"/>
          <w:color w:val="000000"/>
          <w:kern w:val="2"/>
          <w:lang w:val="en-GB" w:eastAsia="zh-CN"/>
        </w:rPr>
        <w:t xml:space="preserve">(E22 Human-Made Object) </w:t>
      </w:r>
      <w:r w:rsidRPr="00E94325">
        <w:rPr>
          <w:rFonts w:ascii="Times New Roman" w:eastAsia="Noto Serif CJK SC" w:hAnsi="Times New Roman" w:cs="Lohit Devanagari"/>
          <w:i/>
          <w:iCs/>
          <w:color w:val="000000"/>
          <w:kern w:val="2"/>
          <w:szCs w:val="24"/>
          <w:lang w:val="en-GB" w:eastAsia="zh-CN" w:bidi="hi-IN"/>
        </w:rPr>
        <w:t>is composed of</w:t>
      </w:r>
      <w:r w:rsidRPr="00E94325">
        <w:rPr>
          <w:rFonts w:ascii="Times New Roman" w:eastAsia="Noto Serif CJK SC" w:hAnsi="Times New Roman" w:cs="Times New Roman"/>
          <w:color w:val="000000"/>
          <w:kern w:val="2"/>
          <w:lang w:val="en-GB" w:eastAsia="zh-CN" w:bidi="hi-IN"/>
        </w:rPr>
        <w:t xml:space="preserve"> </w:t>
      </w:r>
      <w:proofErr w:type="gramStart"/>
      <w:r w:rsidRPr="00E94325">
        <w:rPr>
          <w:rFonts w:ascii="Times New Roman" w:eastAsia="Noto Serif CJK SC" w:hAnsi="Times New Roman" w:cs="Times New Roman"/>
          <w:color w:val="000000"/>
          <w:kern w:val="2"/>
          <w:lang w:val="en-GB" w:eastAsia="zh-CN" w:bidi="hi-IN"/>
        </w:rPr>
        <w:t>The</w:t>
      </w:r>
      <w:proofErr w:type="gramEnd"/>
      <w:r w:rsidRPr="00E94325">
        <w:rPr>
          <w:rFonts w:ascii="Times New Roman" w:eastAsia="Noto Serif CJK SC" w:hAnsi="Times New Roman" w:cs="Times New Roman"/>
          <w:color w:val="000000"/>
          <w:kern w:val="2"/>
          <w:lang w:val="en-GB" w:eastAsia="zh-CN" w:bidi="hi-IN"/>
        </w:rPr>
        <w:t xml:space="preserve"> spear found in </w:t>
      </w:r>
      <w:r w:rsidRPr="00E94325">
        <w:rPr>
          <w:rFonts w:ascii="Times New Roman" w:eastAsia="Noto Serif CJK SC" w:hAnsi="Times New Roman" w:cs="Lohit Devanagari"/>
          <w:color w:val="000000"/>
          <w:kern w:val="2"/>
          <w:szCs w:val="24"/>
          <w:lang w:val="en-GB" w:eastAsia="zh-CN" w:bidi="hi-IN"/>
        </w:rPr>
        <w:t>La Tomba dell'Aryballos sospeso</w:t>
      </w:r>
      <w:r w:rsidRPr="00E94325">
        <w:rPr>
          <w:rFonts w:ascii="Times New Roman" w:eastAsia="Noto Serif CJK SC" w:hAnsi="Times New Roman" w:cs="Times New Roman"/>
          <w:color w:val="000000"/>
          <w:kern w:val="2"/>
          <w:lang w:val="en-GB" w:eastAsia="zh-CN" w:bidi="hi-IN"/>
        </w:rPr>
        <w:t xml:space="preserve"> (</w:t>
      </w:r>
      <w:r w:rsidRPr="00E94325">
        <w:rPr>
          <w:rFonts w:ascii="Times New Roman" w:eastAsia="Noto Serif CJK SC" w:hAnsi="Times New Roman" w:cs="Times New Roman"/>
          <w:color w:val="000000"/>
          <w:kern w:val="2"/>
          <w:lang w:val="en-GB" w:eastAsia="zh-CN"/>
        </w:rPr>
        <w:t>E22 Human-Made Object</w:t>
      </w:r>
      <w:r w:rsidRPr="00E94325">
        <w:rPr>
          <w:rFonts w:ascii="Times New Roman" w:eastAsia="Noto Serif CJK SC" w:hAnsi="Times New Roman" w:cs="Times New Roman"/>
          <w:color w:val="000000"/>
          <w:kern w:val="2"/>
          <w:lang w:val="en-GB" w:eastAsia="zh-CN" w:bidi="hi-IN"/>
        </w:rPr>
        <w:t>)} (I17) (Mandolesi, 2013)</w:t>
      </w:r>
    </w:p>
    <w:p w14:paraId="38A965F4" w14:textId="77777777" w:rsidR="009837B1" w:rsidRPr="00E94325" w:rsidRDefault="009837B1" w:rsidP="009837B1">
      <w:pPr>
        <w:numPr>
          <w:ilvl w:val="0"/>
          <w:numId w:val="2"/>
        </w:numPr>
        <w:suppressAutoHyphens/>
        <w:spacing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The proposition set with content:</w:t>
      </w:r>
    </w:p>
    <w:p w14:paraId="55B92286" w14:textId="77777777" w:rsidR="009837B1" w:rsidRPr="00E94325" w:rsidRDefault="009837B1" w:rsidP="009837B1">
      <w:pPr>
        <w:suppressAutoHyphens/>
        <w:spacing w:line="276" w:lineRule="auto"/>
        <w:ind w:left="2160"/>
        <w:rPr>
          <w:rFonts w:ascii="Times New Roman" w:eastAsia="Noto Serif CJK SC" w:hAnsi="Times New Roman" w:cs="Times New Roman"/>
          <w:color w:val="000000"/>
          <w:kern w:val="2"/>
          <w:lang w:val="en-GB" w:eastAsia="zh-CN" w:bidi="hi-IN"/>
        </w:rPr>
      </w:pPr>
      <w:r w:rsidRPr="00E94325">
        <w:rPr>
          <w:rFonts w:ascii="Times New Roman" w:eastAsia="Noto Serif CJK SC" w:hAnsi="Times New Roman" w:cs="Times New Roman"/>
          <w:color w:val="000000"/>
          <w:kern w:val="2"/>
          <w:lang w:val="en-GB" w:eastAsia="zh-CN" w:bidi="hi-IN"/>
        </w:rPr>
        <w:t xml:space="preserve">{The skeleton in </w:t>
      </w:r>
      <w:r w:rsidRPr="00E94325">
        <w:rPr>
          <w:rFonts w:ascii="Times New Roman" w:eastAsia="Noto Serif CJK SC" w:hAnsi="Times New Roman" w:cs="Lohit Devanagari"/>
          <w:color w:val="000000"/>
          <w:kern w:val="2"/>
          <w:szCs w:val="24"/>
          <w:lang w:val="en-GB" w:eastAsia="zh-CN" w:bidi="hi-IN"/>
        </w:rPr>
        <w:t>La Tomba dell'Aryballos sospeso on the left bench</w:t>
      </w:r>
      <w:r w:rsidRPr="00E94325">
        <w:rPr>
          <w:rFonts w:ascii="Times New Roman" w:eastAsia="Noto Serif CJK SC" w:hAnsi="Times New Roman" w:cs="Times New Roman"/>
          <w:color w:val="000000"/>
          <w:kern w:val="2"/>
          <w:lang w:val="en-GB" w:eastAsia="zh-CN"/>
        </w:rPr>
        <w:t xml:space="preserve"> (E20 Biological Object) </w:t>
      </w:r>
      <w:r w:rsidRPr="00E94325">
        <w:rPr>
          <w:rFonts w:ascii="Times New Roman" w:eastAsia="Noto Serif CJK SC" w:hAnsi="Times New Roman" w:cs="Lohit Devanagari"/>
          <w:i/>
          <w:iCs/>
          <w:color w:val="000000"/>
          <w:kern w:val="2"/>
          <w:szCs w:val="24"/>
          <w:lang w:val="en-GB" w:eastAsia="zh-CN" w:bidi="hi-IN"/>
        </w:rPr>
        <w:t>forms part of</w:t>
      </w:r>
      <w:r w:rsidRPr="00E94325">
        <w:rPr>
          <w:rFonts w:ascii="Times New Roman" w:eastAsia="Noto Serif CJK SC" w:hAnsi="Times New Roman" w:cs="Times New Roman"/>
          <w:i/>
          <w:color w:val="000000"/>
          <w:kern w:val="2"/>
          <w:lang w:val="en-GB" w:eastAsia="zh-CN"/>
        </w:rPr>
        <w:t xml:space="preserve"> </w:t>
      </w:r>
      <w:proofErr w:type="gramStart"/>
      <w:r w:rsidRPr="00E94325">
        <w:rPr>
          <w:rFonts w:ascii="Times New Roman" w:eastAsia="Noto Serif CJK SC" w:hAnsi="Times New Roman" w:cs="Times New Roman"/>
          <w:color w:val="000000"/>
          <w:kern w:val="2"/>
          <w:lang w:val="en-GB" w:eastAsia="zh-CN" w:bidi="hi-IN"/>
        </w:rPr>
        <w:t>The</w:t>
      </w:r>
      <w:proofErr w:type="gramEnd"/>
      <w:r w:rsidRPr="00E94325">
        <w:rPr>
          <w:rFonts w:ascii="Times New Roman" w:eastAsia="Noto Serif CJK SC" w:hAnsi="Times New Roman" w:cs="Times New Roman"/>
          <w:color w:val="000000"/>
          <w:kern w:val="2"/>
          <w:lang w:val="en-GB" w:eastAsia="zh-CN" w:bidi="hi-IN"/>
        </w:rPr>
        <w:t xml:space="preserve"> burial arrangement in </w:t>
      </w:r>
      <w:r w:rsidRPr="00E94325">
        <w:rPr>
          <w:rFonts w:ascii="Times New Roman" w:eastAsia="Noto Serif CJK SC" w:hAnsi="Times New Roman" w:cs="Lohit Devanagari"/>
          <w:color w:val="000000"/>
          <w:kern w:val="2"/>
          <w:szCs w:val="24"/>
          <w:lang w:val="en-GB" w:eastAsia="zh-CN" w:bidi="hi-IN"/>
        </w:rPr>
        <w:t xml:space="preserve">La Tomba dell'Aryballos sospeso on the left bench </w:t>
      </w:r>
      <w:r w:rsidRPr="00E94325">
        <w:rPr>
          <w:rFonts w:ascii="Times New Roman" w:eastAsia="Noto Serif CJK SC" w:hAnsi="Times New Roman" w:cs="Times New Roman"/>
          <w:color w:val="000000"/>
          <w:kern w:val="2"/>
          <w:lang w:val="en-GB" w:eastAsia="zh-CN"/>
        </w:rPr>
        <w:t>(E22 Human-Made Object</w:t>
      </w:r>
      <w:r w:rsidRPr="00E94325">
        <w:rPr>
          <w:rFonts w:ascii="Times New Roman" w:eastAsia="Noto Serif CJK SC" w:hAnsi="Times New Roman" w:cs="Times New Roman"/>
          <w:color w:val="000000"/>
          <w:kern w:val="2"/>
          <w:lang w:val="en-GB" w:eastAsia="zh-CN" w:bidi="hi-IN"/>
        </w:rPr>
        <w:t>)} (I17) (Mandolesi, 2013)</w:t>
      </w:r>
    </w:p>
    <w:p w14:paraId="3A6E4333" w14:textId="77777777" w:rsidR="009837B1" w:rsidRPr="00E94325" w:rsidRDefault="009837B1" w:rsidP="009837B1">
      <w:pPr>
        <w:suppressAutoHyphens/>
        <w:spacing w:line="276" w:lineRule="auto"/>
        <w:ind w:left="1644"/>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Times New Roman"/>
          <w:color w:val="000000"/>
          <w:kern w:val="2"/>
          <w:lang w:val="en-GB" w:eastAsia="zh-CN" w:bidi="hi-IN"/>
        </w:rPr>
        <w:t xml:space="preserve">[The skeleton found on the left bench of </w:t>
      </w:r>
      <w:r w:rsidRPr="00E94325">
        <w:rPr>
          <w:rFonts w:ascii="Times New Roman" w:eastAsia="Noto Serif CJK SC" w:hAnsi="Times New Roman" w:cs="Lohit Devanagari"/>
          <w:color w:val="000000"/>
          <w:kern w:val="2"/>
          <w:szCs w:val="24"/>
          <w:lang w:val="en-GB" w:eastAsia="zh-CN" w:bidi="hi-IN"/>
        </w:rPr>
        <w:t>La Tomba dell'Aryballos sospeso</w:t>
      </w:r>
      <w:r w:rsidRPr="00E94325">
        <w:rPr>
          <w:rFonts w:ascii="Times New Roman" w:eastAsia="Noto Serif CJK SC" w:hAnsi="Times New Roman" w:cs="Times New Roman"/>
          <w:color w:val="000000"/>
          <w:kern w:val="2"/>
          <w:lang w:val="en-GB" w:eastAsia="zh-CN" w:bidi="hi-IN"/>
        </w:rPr>
        <w:t>, Doganaccia di Tarquinia, Tuscany, Italy, by Prof. Alessandro Mandolesi on the 21</w:t>
      </w:r>
      <w:r w:rsidRPr="00E94325">
        <w:rPr>
          <w:rFonts w:ascii="Times New Roman" w:eastAsia="Noto Serif CJK SC" w:hAnsi="Times New Roman" w:cs="Times New Roman"/>
          <w:color w:val="000000"/>
          <w:kern w:val="2"/>
          <w:vertAlign w:val="superscript"/>
          <w:lang w:val="en-GB" w:eastAsia="zh-CN" w:bidi="hi-IN"/>
        </w:rPr>
        <w:t>th</w:t>
      </w:r>
      <w:r w:rsidRPr="00E94325">
        <w:rPr>
          <w:rFonts w:ascii="Times New Roman" w:eastAsia="Noto Serif CJK SC" w:hAnsi="Times New Roman" w:cs="Times New Roman"/>
          <w:color w:val="000000"/>
          <w:kern w:val="2"/>
          <w:lang w:val="en-GB" w:eastAsia="zh-CN" w:bidi="hi-IN"/>
        </w:rPr>
        <w:t xml:space="preserve"> of September 2013, was initially estimated by Prof. Mandolesi to be the remains of a male person, due to the lance found next to it, and published in the press as such. Soon after, osteological analysis carried out by the team revealed that it was of a female person, as published in the academic papers afterwards. </w:t>
      </w:r>
      <w:r w:rsidRPr="00E94325">
        <w:rPr>
          <w:rFonts w:ascii="Times New Roman" w:eastAsia="Noto Serif CJK SC" w:hAnsi="Times New Roman" w:cs="Times New Roman"/>
          <w:color w:val="000000"/>
          <w:kern w:val="2"/>
          <w:lang w:val="en-GB" w:eastAsia="zh-CN" w:bidi="hi-IN"/>
        </w:rPr>
        <w:lastRenderedPageBreak/>
        <w:t xml:space="preserve">This is a good example for a simple inference and scientific knowledge revision. We refer to this skeleton in these examples of propositions as “The skeleton </w:t>
      </w:r>
      <w:r w:rsidRPr="00E94325">
        <w:rPr>
          <w:rFonts w:ascii="Times New Roman" w:eastAsia="Noto Serif CJK SC" w:hAnsi="Times New Roman" w:cs="Lohit Devanagari"/>
          <w:color w:val="000000"/>
          <w:kern w:val="2"/>
          <w:szCs w:val="24"/>
          <w:lang w:val="en-GB" w:eastAsia="zh-CN" w:bidi="hi-IN"/>
        </w:rPr>
        <w:t>on the left bench</w:t>
      </w:r>
      <w:r w:rsidRPr="00E94325">
        <w:rPr>
          <w:rFonts w:ascii="Times New Roman" w:eastAsia="Noto Serif CJK SC" w:hAnsi="Times New Roman" w:cs="Times New Roman"/>
          <w:color w:val="000000"/>
          <w:kern w:val="2"/>
          <w:lang w:val="en-GB" w:eastAsia="zh-CN" w:bidi="hi-IN"/>
        </w:rPr>
        <w:t xml:space="preserve"> in </w:t>
      </w:r>
      <w:r w:rsidRPr="00E94325">
        <w:rPr>
          <w:rFonts w:ascii="Times New Roman" w:eastAsia="Noto Serif CJK SC" w:hAnsi="Times New Roman" w:cs="Lohit Devanagari"/>
          <w:color w:val="000000"/>
          <w:kern w:val="2"/>
          <w:szCs w:val="24"/>
          <w:lang w:val="en-GB" w:eastAsia="zh-CN" w:bidi="hi-IN"/>
        </w:rPr>
        <w:t>La Tomba dell'Aryballos sospeso” and as “</w:t>
      </w:r>
      <w:r w:rsidRPr="00E94325">
        <w:rPr>
          <w:rFonts w:ascii="Times New Roman" w:eastAsia="Noto Serif CJK SC" w:hAnsi="Times New Roman" w:cs="Times New Roman"/>
          <w:color w:val="000000"/>
          <w:kern w:val="2"/>
          <w:lang w:val="en-GB" w:eastAsia="zh-CN" w:bidi="hi-IN"/>
        </w:rPr>
        <w:t xml:space="preserve">The burial arrangement </w:t>
      </w:r>
      <w:r w:rsidRPr="00E94325">
        <w:rPr>
          <w:rFonts w:ascii="Times New Roman" w:eastAsia="Noto Serif CJK SC" w:hAnsi="Times New Roman" w:cs="Lohit Devanagari"/>
          <w:color w:val="000000"/>
          <w:kern w:val="2"/>
          <w:szCs w:val="24"/>
          <w:lang w:val="en-GB" w:eastAsia="zh-CN" w:bidi="hi-IN"/>
        </w:rPr>
        <w:t>on the left bench</w:t>
      </w:r>
      <w:r w:rsidRPr="00E94325">
        <w:rPr>
          <w:rFonts w:ascii="Times New Roman" w:eastAsia="Noto Serif CJK SC" w:hAnsi="Times New Roman" w:cs="Times New Roman"/>
          <w:color w:val="000000"/>
          <w:kern w:val="2"/>
          <w:lang w:val="en-GB" w:eastAsia="zh-CN" w:bidi="hi-IN"/>
        </w:rPr>
        <w:t xml:space="preserve"> in </w:t>
      </w:r>
      <w:r w:rsidRPr="00E94325">
        <w:rPr>
          <w:rFonts w:ascii="Times New Roman" w:eastAsia="Noto Serif CJK SC" w:hAnsi="Times New Roman" w:cs="Lohit Devanagari"/>
          <w:color w:val="000000"/>
          <w:kern w:val="2"/>
          <w:szCs w:val="24"/>
          <w:lang w:val="en-GB" w:eastAsia="zh-CN" w:bidi="hi-IN"/>
        </w:rPr>
        <w:t>La Tomba dell'Aryballos sospeso” respectively, meaning any unique identifier for the same real object.</w:t>
      </w:r>
      <w:r w:rsidRPr="00E94325">
        <w:rPr>
          <w:rFonts w:ascii="Times New Roman" w:eastAsia="Noto Serif CJK SC" w:hAnsi="Times New Roman" w:cs="Times New Roman"/>
          <w:color w:val="000000"/>
          <w:kern w:val="2"/>
          <w:lang w:val="en-GB" w:eastAsia="zh-CN" w:bidi="hi-IN"/>
        </w:rPr>
        <w:t>]</w:t>
      </w:r>
    </w:p>
    <w:p w14:paraId="3314D12C" w14:textId="77777777" w:rsidR="009837B1" w:rsidRPr="00E94325" w:rsidRDefault="009837B1" w:rsidP="009837B1">
      <w:pPr>
        <w:numPr>
          <w:ilvl w:val="0"/>
          <w:numId w:val="2"/>
        </w:numPr>
        <w:suppressAutoHyphens/>
        <w:spacing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The proposition set with content:</w:t>
      </w:r>
    </w:p>
    <w:p w14:paraId="40A95010" w14:textId="77777777" w:rsidR="009837B1" w:rsidRPr="00E94325" w:rsidRDefault="009837B1" w:rsidP="009837B1">
      <w:pPr>
        <w:suppressAutoHyphens/>
        <w:spacing w:line="276" w:lineRule="auto"/>
        <w:ind w:left="216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Lohit Devanagari"/>
          <w:color w:val="000000"/>
          <w:kern w:val="2"/>
          <w:szCs w:val="24"/>
          <w:lang w:val="en-GB" w:eastAsia="zh-CN" w:bidi="hi-IN"/>
        </w:rPr>
        <w:t>{The book MS Sinai Greek 418 (</w:t>
      </w:r>
      <w:r w:rsidRPr="00E94325">
        <w:rPr>
          <w:rFonts w:ascii="Times New Roman" w:eastAsia="Noto Serif CJK SC" w:hAnsi="Times New Roman" w:cs="Times New Roman"/>
          <w:color w:val="000000"/>
          <w:kern w:val="2"/>
          <w:lang w:val="en-GB" w:eastAsia="zh-CN"/>
        </w:rPr>
        <w:t>E22 Human-Made Object</w:t>
      </w:r>
      <w:r w:rsidRPr="00E94325">
        <w:rPr>
          <w:rFonts w:ascii="Times New Roman" w:eastAsia="Noto Serif CJK SC" w:hAnsi="Times New Roman" w:cs="Lohit Devanagari"/>
          <w:color w:val="000000"/>
          <w:kern w:val="2"/>
          <w:szCs w:val="24"/>
          <w:lang w:val="en-GB" w:eastAsia="zh-CN" w:bidi="hi-IN"/>
        </w:rPr>
        <w:t xml:space="preserve">) </w:t>
      </w:r>
      <w:r w:rsidRPr="00E94325">
        <w:rPr>
          <w:rFonts w:ascii="Times New Roman" w:eastAsia="Noto Serif CJK SC" w:hAnsi="Times New Roman" w:cs="Lohit Devanagari"/>
          <w:i/>
          <w:iCs/>
          <w:color w:val="000000"/>
          <w:kern w:val="2"/>
          <w:szCs w:val="24"/>
          <w:lang w:val="en-GB" w:eastAsia="zh-CN" w:bidi="hi-IN"/>
        </w:rPr>
        <w:t>has binding structure</w:t>
      </w:r>
      <w:r w:rsidRPr="00E94325">
        <w:rPr>
          <w:rFonts w:ascii="Times New Roman" w:eastAsia="Noto Serif CJK SC" w:hAnsi="Times New Roman" w:cs="Lohit Devanagari"/>
          <w:color w:val="000000"/>
          <w:kern w:val="2"/>
          <w:szCs w:val="24"/>
          <w:lang w:val="en-GB" w:eastAsia="zh-CN" w:bidi="hi-IN"/>
        </w:rPr>
        <w:t xml:space="preserve"> ‘unsupported’ (E55 Type</w:t>
      </w:r>
      <w:proofErr w:type="gramStart"/>
      <w:r w:rsidRPr="00E94325">
        <w:rPr>
          <w:rFonts w:ascii="Times New Roman" w:eastAsia="Noto Serif CJK SC" w:hAnsi="Times New Roman" w:cs="Lohit Devanagari"/>
          <w:color w:val="000000"/>
          <w:kern w:val="2"/>
          <w:szCs w:val="24"/>
          <w:lang w:val="en-GB" w:eastAsia="zh-CN" w:bidi="hi-IN"/>
        </w:rPr>
        <w:t>) }</w:t>
      </w:r>
      <w:proofErr w:type="gramEnd"/>
      <w:r w:rsidRPr="00E94325">
        <w:rPr>
          <w:rFonts w:ascii="Times New Roman" w:eastAsia="Noto Serif CJK SC" w:hAnsi="Times New Roman" w:cs="Lohit Devanagari"/>
          <w:color w:val="000000"/>
          <w:kern w:val="2"/>
          <w:szCs w:val="24"/>
          <w:lang w:val="en-GB" w:eastAsia="zh-CN" w:bidi="hi-IN"/>
        </w:rPr>
        <w:t xml:space="preserve"> (Honey &amp; Pickwoad, 2010)</w:t>
      </w:r>
    </w:p>
    <w:p w14:paraId="3A714FCD" w14:textId="77777777" w:rsidR="009837B1" w:rsidRPr="00E94325" w:rsidRDefault="009837B1" w:rsidP="009837B1">
      <w:pPr>
        <w:suppressAutoHyphens/>
        <w:spacing w:line="276" w:lineRule="auto"/>
        <w:ind w:left="1440"/>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Lohit Devanagari"/>
          <w:color w:val="000000"/>
          <w:kern w:val="2"/>
          <w:szCs w:val="24"/>
          <w:lang w:val="en-GB" w:eastAsia="zh-CN" w:bidi="hi-IN"/>
        </w:rPr>
        <w:t xml:space="preserve">[‘has binding structure’ refers to a property, external to the CIDOC CRM, which connects a book (E22 </w:t>
      </w:r>
      <w:r w:rsidRPr="00E94325">
        <w:rPr>
          <w:rFonts w:ascii="Times New Roman" w:eastAsia="Noto Serif CJK SC" w:hAnsi="Times New Roman" w:cs="Times New Roman"/>
          <w:color w:val="000000"/>
          <w:kern w:val="2"/>
          <w:lang w:val="en-GB" w:eastAsia="zh-CN"/>
        </w:rPr>
        <w:t>Human-Made Object</w:t>
      </w:r>
      <w:r w:rsidRPr="00E94325">
        <w:rPr>
          <w:rFonts w:ascii="Times New Roman" w:eastAsia="Noto Serif CJK SC" w:hAnsi="Times New Roman" w:cs="Lohit Devanagari"/>
          <w:color w:val="000000"/>
          <w:kern w:val="2"/>
          <w:szCs w:val="24"/>
          <w:lang w:val="en-GB" w:eastAsia="zh-CN" w:bidi="hi-IN"/>
        </w:rPr>
        <w:t xml:space="preserve">) to the type of its binding structure (E55 Type)] </w:t>
      </w:r>
    </w:p>
    <w:p w14:paraId="280F4B15" w14:textId="77777777" w:rsidR="009837B1" w:rsidRPr="00E94325" w:rsidRDefault="009837B1" w:rsidP="009837B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In First Order Logic:</w:t>
      </w:r>
    </w:p>
    <w:p w14:paraId="6DC035C6" w14:textId="77777777" w:rsidR="009837B1" w:rsidRPr="00E94325" w:rsidRDefault="009837B1" w:rsidP="009837B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 xml:space="preserve">I17(x) </w:t>
      </w:r>
      <w:r w:rsidRPr="00E94325">
        <w:rPr>
          <w:rFonts w:ascii="Cambria Math" w:eastAsia="Noto Serif CJK SC" w:hAnsi="Cambria Math" w:cs="Times New Roman"/>
          <w:color w:val="000000"/>
          <w:kern w:val="2"/>
          <w:szCs w:val="24"/>
          <w:lang w:val="en-GB" w:eastAsia="zh-CN" w:bidi="hi-IN"/>
        </w:rPr>
        <w:t>⇒ I4(x)</w:t>
      </w:r>
    </w:p>
    <w:p w14:paraId="01DBE246" w14:textId="77777777" w:rsidR="009837B1" w:rsidRPr="00E94325" w:rsidRDefault="009837B1" w:rsidP="009837B1">
      <w:pPr>
        <w:suppressAutoHyphens/>
        <w:spacing w:line="276" w:lineRule="auto"/>
        <w:ind w:left="144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 xml:space="preserve">I17(x) </w:t>
      </w:r>
      <w:r w:rsidRPr="00E94325">
        <w:rPr>
          <w:rFonts w:ascii="Cambria Math" w:eastAsia="Noto Serif CJK SC" w:hAnsi="Cambria Math" w:cs="Cambria Math"/>
          <w:color w:val="000000"/>
          <w:kern w:val="2"/>
          <w:szCs w:val="24"/>
          <w:lang w:val="en-GB" w:eastAsia="zh-CN" w:bidi="hi-IN"/>
        </w:rPr>
        <w:t>⇒</w:t>
      </w:r>
      <w:r w:rsidRPr="00E94325">
        <w:rPr>
          <w:rFonts w:ascii="Times New Roman" w:eastAsia="Noto Serif CJK SC" w:hAnsi="Times New Roman" w:cs="Times New Roman"/>
          <w:color w:val="000000"/>
          <w:kern w:val="2"/>
          <w:szCs w:val="24"/>
          <w:lang w:val="en-GB" w:eastAsia="zh-CN" w:bidi="hi-IN"/>
        </w:rPr>
        <w:t xml:space="preserve"> (</w:t>
      </w:r>
      <w:r w:rsidRPr="00E94325">
        <w:rPr>
          <w:rFonts w:ascii="Cambria Math" w:eastAsia="Noto Serif CJK SC" w:hAnsi="Cambria Math" w:cs="Cambria Math"/>
          <w:color w:val="000000"/>
          <w:kern w:val="2"/>
          <w:szCs w:val="24"/>
          <w:lang w:val="en-GB" w:eastAsia="zh-CN" w:bidi="hi-IN"/>
        </w:rPr>
        <w:t>∃</w:t>
      </w:r>
      <w:r w:rsidRPr="00E94325">
        <w:rPr>
          <w:rFonts w:ascii="Times New Roman" w:eastAsia="Noto Serif CJK SC" w:hAnsi="Times New Roman" w:cs="Times New Roman"/>
          <w:color w:val="000000"/>
          <w:kern w:val="2"/>
          <w:szCs w:val="24"/>
          <w:lang w:val="en-GB" w:eastAsia="zh-CN" w:bidi="hi-IN"/>
        </w:rPr>
        <w:t>uvw) [E1(u) ˄ J30(</w:t>
      </w:r>
      <w:proofErr w:type="gramStart"/>
      <w:r w:rsidRPr="00E94325">
        <w:rPr>
          <w:rFonts w:ascii="Times New Roman" w:eastAsia="Noto Serif CJK SC" w:hAnsi="Times New Roman" w:cs="Times New Roman"/>
          <w:color w:val="000000"/>
          <w:kern w:val="2"/>
          <w:szCs w:val="24"/>
          <w:lang w:val="en-GB" w:eastAsia="zh-CN" w:bidi="hi-IN"/>
        </w:rPr>
        <w:t>x,u</w:t>
      </w:r>
      <w:proofErr w:type="gramEnd"/>
      <w:r w:rsidRPr="00E94325">
        <w:rPr>
          <w:rFonts w:ascii="Times New Roman" w:eastAsia="Noto Serif CJK SC" w:hAnsi="Times New Roman" w:cs="Times New Roman"/>
          <w:color w:val="000000"/>
          <w:kern w:val="2"/>
          <w:szCs w:val="24"/>
          <w:lang w:val="en-GB" w:eastAsia="zh-CN" w:bidi="hi-IN"/>
        </w:rPr>
        <w:t>) ˄ E1(v) ˄ J31(</w:t>
      </w:r>
      <w:proofErr w:type="gramStart"/>
      <w:r w:rsidRPr="00E94325">
        <w:rPr>
          <w:rFonts w:ascii="Times New Roman" w:eastAsia="Noto Serif CJK SC" w:hAnsi="Times New Roman" w:cs="Times New Roman"/>
          <w:color w:val="000000"/>
          <w:kern w:val="2"/>
          <w:szCs w:val="24"/>
          <w:lang w:val="en-GB" w:eastAsia="zh-CN" w:bidi="hi-IN"/>
        </w:rPr>
        <w:t>x,v</w:t>
      </w:r>
      <w:proofErr w:type="gramEnd"/>
      <w:r w:rsidRPr="00E94325">
        <w:rPr>
          <w:rFonts w:ascii="Times New Roman" w:eastAsia="Noto Serif CJK SC" w:hAnsi="Times New Roman" w:cs="Times New Roman"/>
          <w:color w:val="000000"/>
          <w:kern w:val="2"/>
          <w:szCs w:val="24"/>
          <w:lang w:val="en-GB" w:eastAsia="zh-CN" w:bidi="hi-IN"/>
        </w:rPr>
        <w:t>) ˄ E55(w) ˄ J32(</w:t>
      </w:r>
      <w:proofErr w:type="gramStart"/>
      <w:r w:rsidRPr="00E94325">
        <w:rPr>
          <w:rFonts w:ascii="Times New Roman" w:eastAsia="Noto Serif CJK SC" w:hAnsi="Times New Roman" w:cs="Times New Roman"/>
          <w:color w:val="000000"/>
          <w:kern w:val="2"/>
          <w:szCs w:val="24"/>
          <w:lang w:val="en-GB" w:eastAsia="zh-CN" w:bidi="hi-IN"/>
        </w:rPr>
        <w:t>x,w</w:t>
      </w:r>
      <w:proofErr w:type="gramEnd"/>
      <w:r w:rsidRPr="00E94325">
        <w:rPr>
          <w:rFonts w:ascii="Times New Roman" w:eastAsia="Noto Serif CJK SC" w:hAnsi="Times New Roman" w:cs="Times New Roman"/>
          <w:color w:val="000000"/>
          <w:kern w:val="2"/>
          <w:szCs w:val="24"/>
          <w:lang w:val="en-GB" w:eastAsia="zh-CN" w:bidi="hi-IN"/>
        </w:rPr>
        <w:t>)]</w:t>
      </w:r>
    </w:p>
    <w:p w14:paraId="6B8435EC" w14:textId="77777777" w:rsidR="009837B1" w:rsidRPr="00E94325" w:rsidRDefault="009837B1" w:rsidP="009837B1">
      <w:pPr>
        <w:suppressAutoHyphens/>
        <w:spacing w:line="276" w:lineRule="auto"/>
        <w:rPr>
          <w:rFonts w:ascii="Times New Roman" w:eastAsia="Noto Serif CJK SC" w:hAnsi="Times New Roman" w:cs="Lohit Devanagari"/>
          <w:color w:val="000000"/>
          <w:kern w:val="2"/>
          <w:szCs w:val="24"/>
          <w:lang w:val="en-GB" w:eastAsia="zh-CN" w:bidi="hi-IN"/>
        </w:rPr>
      </w:pPr>
    </w:p>
    <w:p w14:paraId="4A159C2B" w14:textId="77777777" w:rsidR="009837B1" w:rsidRPr="00E94325" w:rsidRDefault="009837B1" w:rsidP="009837B1">
      <w:pPr>
        <w:keepNext/>
        <w:suppressAutoHyphens/>
        <w:spacing w:before="170" w:line="276" w:lineRule="auto"/>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Times New Roman"/>
          <w:color w:val="000000"/>
          <w:kern w:val="2"/>
          <w:szCs w:val="24"/>
          <w:lang w:val="en-GB" w:eastAsia="zh-CN" w:bidi="hi-IN"/>
        </w:rPr>
        <w:t>Properties:</w:t>
      </w:r>
    </w:p>
    <w:p w14:paraId="3A14EAB9" w14:textId="77777777" w:rsidR="009837B1" w:rsidRPr="00E94325" w:rsidRDefault="009837B1" w:rsidP="009837B1">
      <w:pPr>
        <w:suppressAutoHyphens/>
        <w:spacing w:line="276" w:lineRule="auto"/>
        <w:ind w:left="1440"/>
        <w:rPr>
          <w:rFonts w:ascii="Times New Roman" w:eastAsia="Noto Serif CJK SC" w:hAnsi="Times New Roman" w:cs="Lohit Devanagari"/>
          <w:kern w:val="2"/>
          <w:szCs w:val="24"/>
          <w:lang w:val="en-GB" w:eastAsia="zh-CN" w:bidi="hi-IN"/>
        </w:rPr>
      </w:pPr>
      <w:hyperlink w:anchor="_toc2376">
        <w:r w:rsidRPr="00E94325">
          <w:rPr>
            <w:rFonts w:ascii="Times New Roman" w:eastAsia="Noto Serif CJK SC" w:hAnsi="Times New Roman" w:cs="Lohit Devanagari"/>
            <w:color w:val="000000"/>
            <w:kern w:val="2"/>
            <w:szCs w:val="24"/>
            <w:u w:val="single"/>
            <w:lang w:val="en-GB" w:eastAsia="zh-CN" w:bidi="hi-IN"/>
          </w:rPr>
          <w:t>J30</w:t>
        </w:r>
      </w:hyperlink>
      <w:r w:rsidRPr="00E94325">
        <w:rPr>
          <w:rFonts w:ascii="Times New Roman" w:eastAsia="Noto Serif CJK SC" w:hAnsi="Times New Roman" w:cs="Lohit Devanagari"/>
          <w:color w:val="000000"/>
          <w:kern w:val="2"/>
          <w:szCs w:val="24"/>
          <w:lang w:val="en-GB" w:eastAsia="zh-CN" w:bidi="hi-IN"/>
        </w:rPr>
        <w:t xml:space="preserve"> has domain (is domain of): E1 CRM Entity</w:t>
      </w:r>
    </w:p>
    <w:p w14:paraId="4F7D9186" w14:textId="77777777" w:rsidR="009837B1" w:rsidRDefault="009837B1" w:rsidP="009837B1">
      <w:pPr>
        <w:suppressAutoHyphens/>
        <w:spacing w:line="276" w:lineRule="auto"/>
        <w:ind w:left="720" w:firstLine="720"/>
        <w:rPr>
          <w:rFonts w:ascii="Times New Roman" w:eastAsia="Noto Serif CJK SC" w:hAnsi="Times New Roman" w:cs="Lohit Devanagari"/>
          <w:color w:val="000000"/>
          <w:kern w:val="2"/>
          <w:szCs w:val="24"/>
          <w:lang w:val="en-GB" w:eastAsia="zh-CN" w:bidi="hi-IN"/>
        </w:rPr>
      </w:pPr>
      <w:hyperlink w:anchor="_toc2404">
        <w:r w:rsidRPr="00E94325">
          <w:rPr>
            <w:rFonts w:ascii="Times New Roman" w:eastAsia="Noto Serif CJK SC" w:hAnsi="Times New Roman" w:cs="Lohit Devanagari"/>
            <w:color w:val="000000"/>
            <w:kern w:val="2"/>
            <w:szCs w:val="24"/>
            <w:u w:val="single"/>
            <w:lang w:val="en-GB" w:eastAsia="zh-CN" w:bidi="hi-IN"/>
          </w:rPr>
          <w:t>J31</w:t>
        </w:r>
      </w:hyperlink>
      <w:r w:rsidRPr="00E94325">
        <w:rPr>
          <w:rFonts w:ascii="Times New Roman" w:eastAsia="Noto Serif CJK SC" w:hAnsi="Times New Roman" w:cs="Lohit Devanagari"/>
          <w:color w:val="000000"/>
          <w:kern w:val="2"/>
          <w:szCs w:val="24"/>
          <w:lang w:val="en-GB" w:eastAsia="zh-CN" w:bidi="hi-IN"/>
        </w:rPr>
        <w:t xml:space="preserve"> has range (is range of): E1 CRM Entity </w:t>
      </w:r>
    </w:p>
    <w:p w14:paraId="1F44A51D" w14:textId="77777777" w:rsidR="009837B1" w:rsidRPr="00E94325" w:rsidRDefault="009837B1" w:rsidP="009837B1">
      <w:pPr>
        <w:suppressAutoHyphens/>
        <w:spacing w:line="276" w:lineRule="auto"/>
        <w:ind w:left="720" w:firstLine="720"/>
      </w:pPr>
      <w:hyperlink w:anchor="_toc2432">
        <w:r w:rsidRPr="00E94325">
          <w:rPr>
            <w:rFonts w:ascii="Times New Roman" w:eastAsia="Times New Roman" w:hAnsi="Times New Roman" w:cs="Times New Roman"/>
            <w:color w:val="000000"/>
            <w:kern w:val="2"/>
            <w:szCs w:val="24"/>
            <w:u w:val="single"/>
            <w:lang w:val="en-GB" w:eastAsia="zh-CN" w:bidi="hi-IN"/>
          </w:rPr>
          <w:t>J32</w:t>
        </w:r>
      </w:hyperlink>
      <w:r w:rsidRPr="00E94325">
        <w:rPr>
          <w:rFonts w:ascii="Times New Roman" w:eastAsia="Times New Roman" w:hAnsi="Times New Roman" w:cs="Times New Roman"/>
          <w:color w:val="000000"/>
          <w:kern w:val="2"/>
          <w:szCs w:val="24"/>
          <w:lang w:val="en-GB" w:eastAsia="zh-CN" w:bidi="hi-IN"/>
        </w:rPr>
        <w:t xml:space="preserve"> has property type (is property type of): E55 Type</w:t>
      </w:r>
    </w:p>
    <w:p w14:paraId="277EFE70" w14:textId="77777777" w:rsidR="009837B1" w:rsidRDefault="009837B1" w:rsidP="009837B1">
      <w:pPr>
        <w:pStyle w:val="Heading4"/>
        <w:spacing w:line="276" w:lineRule="auto"/>
      </w:pPr>
      <w:bookmarkStart w:id="3" w:name="_TO_(NEW):"/>
      <w:bookmarkEnd w:id="3"/>
      <w:r>
        <w:t xml:space="preserve">TO (NEW): </w:t>
      </w:r>
    </w:p>
    <w:p w14:paraId="4DF3CB4E" w14:textId="77777777" w:rsidR="009837B1" w:rsidRPr="00E94325" w:rsidRDefault="009837B1" w:rsidP="009837B1">
      <w:pPr>
        <w:spacing w:line="276" w:lineRule="auto"/>
        <w:rPr>
          <w:rFonts w:ascii="Arial" w:hAnsi="Arial" w:cs="Arial"/>
          <w:b/>
          <w:lang w:val="en-GB" w:eastAsia="zh-CN" w:bidi="hi-IN"/>
        </w:rPr>
      </w:pPr>
      <w:bookmarkStart w:id="4" w:name="_Toc197516517"/>
      <w:r w:rsidRPr="00E94325">
        <w:rPr>
          <w:rFonts w:ascii="Arial" w:hAnsi="Arial" w:cs="Arial"/>
          <w:b/>
          <w:lang w:val="en-GB" w:eastAsia="zh-CN" w:bidi="hi-IN"/>
        </w:rPr>
        <w:t>I17 One-Proposition Set</w:t>
      </w:r>
      <w:bookmarkEnd w:id="4"/>
    </w:p>
    <w:p w14:paraId="1CCB4728" w14:textId="77777777" w:rsidR="009837B1" w:rsidRPr="00E94325" w:rsidRDefault="009837B1" w:rsidP="009837B1">
      <w:pPr>
        <w:keepNext/>
        <w:suppressAutoHyphens/>
        <w:spacing w:before="170" w:line="276" w:lineRule="auto"/>
        <w:rPr>
          <w:rFonts w:ascii="Times New Roman" w:eastAsia="Noto Serif CJK SC" w:hAnsi="Times New Roman" w:cs="Times New Roman"/>
          <w:kern w:val="2"/>
          <w:szCs w:val="24"/>
          <w:lang w:val="en-GB" w:eastAsia="zh-CN" w:bidi="hi-IN"/>
        </w:rPr>
      </w:pPr>
      <w:r w:rsidRPr="00E94325">
        <w:rPr>
          <w:rFonts w:ascii="Times New Roman" w:eastAsia="Noto Serif CJK SC" w:hAnsi="Times New Roman" w:cs="Times New Roman"/>
          <w:kern w:val="2"/>
          <w:szCs w:val="24"/>
          <w:lang w:val="en-GB" w:eastAsia="zh-CN" w:bidi="hi-IN"/>
        </w:rPr>
        <w:t xml:space="preserve">Subclass of: </w:t>
      </w:r>
    </w:p>
    <w:p w14:paraId="3D757883" w14:textId="77777777" w:rsidR="009837B1" w:rsidRPr="00E94325" w:rsidRDefault="009837B1" w:rsidP="009837B1">
      <w:pPr>
        <w:suppressAutoHyphens/>
        <w:spacing w:line="276" w:lineRule="auto"/>
        <w:ind w:left="1440"/>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Lohit Devanagari"/>
          <w:kern w:val="2"/>
          <w:szCs w:val="24"/>
          <w:lang w:val="en-GB" w:eastAsia="zh-CN" w:bidi="hi-IN"/>
        </w:rPr>
        <w:t>I4 Proposition Set</w:t>
      </w:r>
    </w:p>
    <w:p w14:paraId="5E9D0F28" w14:textId="77777777" w:rsidR="009837B1" w:rsidRPr="00E94325" w:rsidRDefault="009837B1" w:rsidP="009837B1">
      <w:pPr>
        <w:keepNext/>
        <w:suppressAutoHyphens/>
        <w:spacing w:before="170" w:line="276" w:lineRule="auto"/>
        <w:rPr>
          <w:rFonts w:ascii="Times New Roman" w:eastAsia="Noto Serif CJK SC" w:hAnsi="Times New Roman" w:cs="Times New Roman"/>
          <w:kern w:val="2"/>
          <w:szCs w:val="24"/>
          <w:lang w:val="en-GB" w:eastAsia="zh-CN" w:bidi="hi-IN"/>
        </w:rPr>
      </w:pPr>
      <w:r w:rsidRPr="00E94325">
        <w:rPr>
          <w:rFonts w:ascii="Times New Roman" w:eastAsia="Noto Serif CJK SC" w:hAnsi="Times New Roman" w:cs="Times New Roman"/>
          <w:kern w:val="2"/>
          <w:szCs w:val="24"/>
          <w:lang w:val="en-GB" w:eastAsia="zh-CN" w:bidi="hi-IN"/>
        </w:rPr>
        <w:t>Superclass of:</w:t>
      </w:r>
      <w:r w:rsidRPr="00E94325">
        <w:rPr>
          <w:rFonts w:ascii="Times New Roman" w:eastAsia="Noto Serif CJK SC" w:hAnsi="Times New Roman" w:cs="Times New Roman"/>
          <w:kern w:val="2"/>
          <w:szCs w:val="24"/>
          <w:lang w:val="en-GB" w:eastAsia="zh-CN" w:bidi="hi-IN"/>
        </w:rPr>
        <w:tab/>
      </w:r>
    </w:p>
    <w:p w14:paraId="4A5B5C01" w14:textId="77777777" w:rsidR="009837B1" w:rsidRPr="00E94325" w:rsidRDefault="009837B1" w:rsidP="009837B1">
      <w:pPr>
        <w:suppressAutoHyphens/>
        <w:spacing w:line="276" w:lineRule="auto"/>
        <w:ind w:left="1440"/>
        <w:rPr>
          <w:rFonts w:ascii="Times New Roman" w:eastAsia="Noto Serif CJK SC" w:hAnsi="Times New Roman" w:cs="Lohit Devanagari"/>
          <w:kern w:val="2"/>
          <w:szCs w:val="24"/>
          <w:lang w:val="en-GB" w:eastAsia="zh-CN" w:bidi="hi-IN"/>
        </w:rPr>
      </w:pPr>
    </w:p>
    <w:p w14:paraId="2DE5707A" w14:textId="77777777" w:rsidR="009837B1" w:rsidRPr="00E94325" w:rsidRDefault="009837B1" w:rsidP="009837B1">
      <w:pPr>
        <w:keepNext/>
        <w:suppressAutoHyphens/>
        <w:spacing w:before="170" w:line="276" w:lineRule="auto"/>
        <w:rPr>
          <w:rFonts w:ascii="Times New Roman" w:eastAsia="Noto Serif CJK SC" w:hAnsi="Times New Roman" w:cs="Times New Roman"/>
          <w:kern w:val="2"/>
          <w:szCs w:val="24"/>
          <w:lang w:val="en-GB" w:eastAsia="zh-CN" w:bidi="hi-IN"/>
        </w:rPr>
      </w:pPr>
      <w:r w:rsidRPr="00E94325">
        <w:rPr>
          <w:rFonts w:ascii="Times New Roman" w:eastAsia="Noto Serif CJK SC" w:hAnsi="Times New Roman" w:cs="Times New Roman"/>
          <w:kern w:val="2"/>
          <w:szCs w:val="24"/>
          <w:lang w:val="en-GB" w:eastAsia="zh-CN" w:bidi="hi-IN"/>
        </w:rPr>
        <w:t>Scope note:</w:t>
      </w:r>
    </w:p>
    <w:p w14:paraId="5618B131" w14:textId="77777777" w:rsidR="009837B1" w:rsidRPr="00E94325" w:rsidRDefault="009837B1" w:rsidP="009837B1">
      <w:pPr>
        <w:suppressAutoHyphens/>
        <w:spacing w:after="170" w:line="276" w:lineRule="auto"/>
        <w:ind w:left="1440"/>
        <w:rPr>
          <w:rFonts w:ascii="Times New Roman" w:eastAsia="Noto Serif CJK SC" w:hAnsi="Times New Roman" w:cs="Times New Roman"/>
          <w:color w:val="000000"/>
          <w:kern w:val="2"/>
          <w:lang w:val="en-GB" w:eastAsia="zh-CN" w:bidi="hi-IN"/>
        </w:rPr>
      </w:pPr>
      <w:r w:rsidRPr="00E94325">
        <w:rPr>
          <w:rFonts w:ascii="Times New Roman" w:eastAsia="Noto Serif CJK SC" w:hAnsi="Times New Roman" w:cs="Times New Roman"/>
          <w:kern w:val="2"/>
          <w:szCs w:val="24"/>
          <w:lang w:val="en-GB" w:eastAsia="zh-CN" w:bidi="hi-IN"/>
        </w:rPr>
        <w:t>This class comprises proposition sets containing exactly one proposition representing a binary relationship, which is, or could, in principle, be, encoded in a knowledge representation language. The identity of an instance of I17 One-Proposition Set is given by its entire content, regardless of equivalent encodings</w:t>
      </w:r>
      <w:r w:rsidRPr="00E94325">
        <w:rPr>
          <w:rFonts w:ascii="Times New Roman" w:eastAsia="Noto Serif CJK SC" w:hAnsi="Times New Roman" w:cs="Times New Roman"/>
          <w:color w:val="000000"/>
          <w:kern w:val="2"/>
          <w:lang w:val="en-GB" w:eastAsia="zh-CN" w:bidi="hi-IN"/>
        </w:rPr>
        <w:t xml:space="preserve">. </w:t>
      </w:r>
    </w:p>
    <w:p w14:paraId="0C527979" w14:textId="77777777" w:rsidR="009837B1" w:rsidRPr="00E94325" w:rsidRDefault="009837B1" w:rsidP="009837B1">
      <w:pPr>
        <w:suppressAutoHyphens/>
        <w:spacing w:after="170" w:line="276" w:lineRule="auto"/>
        <w:ind w:left="1440"/>
        <w:rPr>
          <w:rFonts w:ascii="Times New Roman" w:eastAsia="Noto Serif CJK SC" w:hAnsi="Times New Roman" w:cs="Times New Roman"/>
          <w:color w:val="000000"/>
          <w:kern w:val="2"/>
          <w:lang w:val="en-GB" w:eastAsia="zh-CN" w:bidi="hi-IN"/>
        </w:rPr>
      </w:pPr>
      <w:r w:rsidRPr="00E94325">
        <w:rPr>
          <w:rFonts w:ascii="Times New Roman" w:eastAsia="Noto Serif CJK SC" w:hAnsi="Times New Roman" w:cs="Times New Roman"/>
          <w:color w:val="000000"/>
          <w:kern w:val="2"/>
          <w:lang w:val="en-GB" w:eastAsia="zh-CN" w:bidi="hi-IN"/>
        </w:rPr>
        <w:t xml:space="preserve">An instance of I17 One-Proposition Set in a Knowledge Base may, alternatively, be implemented by a ‘reification’ construct, and is regarded as logically equivalent in this model. Similarly, all triples of properties declared for one class that denote the domain, type, and range of another property, such as the properties of E13 Attribute Assignment and its subclasses, can be interpreted as shortcuts to an instance of I17 One-Proposition Set, and its properties, </w:t>
      </w:r>
      <w:r w:rsidRPr="00E94325">
        <w:rPr>
          <w:rFonts w:ascii="Times New Roman" w:eastAsia="Noto Serif CJK SC" w:hAnsi="Times New Roman" w:cs="Times New Roman"/>
          <w:i/>
          <w:iCs/>
          <w:color w:val="000000"/>
          <w:kern w:val="2"/>
          <w:lang w:val="en-GB" w:eastAsia="zh-CN" w:bidi="hi-IN"/>
        </w:rPr>
        <w:t>J30 has domain (is domain of)</w:t>
      </w:r>
      <w:r w:rsidRPr="00E94325">
        <w:rPr>
          <w:rFonts w:ascii="Times New Roman" w:eastAsia="Noto Serif CJK SC" w:hAnsi="Times New Roman" w:cs="Times New Roman"/>
          <w:color w:val="000000"/>
          <w:kern w:val="2"/>
          <w:lang w:val="en-GB" w:eastAsia="zh-CN" w:bidi="hi-IN"/>
        </w:rPr>
        <w:t>,</w:t>
      </w:r>
      <w:r w:rsidRPr="00E94325">
        <w:rPr>
          <w:rFonts w:ascii="Times New Roman" w:eastAsia="Noto Serif CJK SC" w:hAnsi="Times New Roman" w:cs="Times New Roman"/>
          <w:i/>
          <w:iCs/>
          <w:color w:val="000000"/>
          <w:kern w:val="2"/>
          <w:lang w:val="en-GB" w:eastAsia="zh-CN" w:bidi="hi-IN"/>
        </w:rPr>
        <w:t xml:space="preserve"> J31 has range (is range of)</w:t>
      </w:r>
      <w:r w:rsidRPr="00E94325">
        <w:rPr>
          <w:rFonts w:ascii="Times New Roman" w:eastAsia="Noto Serif CJK SC" w:hAnsi="Times New Roman" w:cs="Times New Roman"/>
          <w:color w:val="000000"/>
          <w:kern w:val="2"/>
          <w:lang w:val="en-GB" w:eastAsia="zh-CN" w:bidi="hi-IN"/>
        </w:rPr>
        <w:t>,</w:t>
      </w:r>
      <w:r w:rsidRPr="00E94325">
        <w:rPr>
          <w:rFonts w:ascii="Times New Roman" w:eastAsia="Noto Serif CJK SC" w:hAnsi="Times New Roman" w:cs="Times New Roman"/>
          <w:i/>
          <w:iCs/>
          <w:color w:val="000000"/>
          <w:kern w:val="2"/>
          <w:lang w:val="en-GB" w:eastAsia="zh-CN" w:bidi="hi-IN"/>
        </w:rPr>
        <w:t xml:space="preserve"> J32 has property type (is property type of)</w:t>
      </w:r>
      <w:r w:rsidRPr="00E94325">
        <w:rPr>
          <w:rFonts w:ascii="Times New Roman" w:eastAsia="Noto Serif CJK SC" w:hAnsi="Times New Roman" w:cs="Times New Roman"/>
          <w:color w:val="000000"/>
          <w:kern w:val="2"/>
          <w:lang w:val="en-GB" w:eastAsia="zh-CN" w:bidi="hi-IN"/>
        </w:rPr>
        <w:t>. Such property triples can also be interpreted as a ‘reification’ which is implicit in the declaring class.</w:t>
      </w:r>
    </w:p>
    <w:p w14:paraId="530AD42C" w14:textId="77777777" w:rsidR="009837B1" w:rsidRPr="00E94325" w:rsidRDefault="009837B1" w:rsidP="009837B1">
      <w:pPr>
        <w:suppressAutoHyphens/>
        <w:spacing w:after="170" w:line="276" w:lineRule="auto"/>
        <w:ind w:left="1440"/>
        <w:rPr>
          <w:rFonts w:ascii="Times New Roman" w:eastAsia="Noto Serif CJK SC" w:hAnsi="Times New Roman" w:cs="Times New Roman"/>
          <w:color w:val="000000"/>
          <w:kern w:val="2"/>
          <w:lang w:val="en-GB" w:eastAsia="zh-CN" w:bidi="hi-IN"/>
        </w:rPr>
      </w:pPr>
      <w:r w:rsidRPr="00E94325">
        <w:rPr>
          <w:rFonts w:ascii="Times New Roman" w:eastAsia="Noto Serif CJK SC" w:hAnsi="Times New Roman" w:cs="Times New Roman"/>
          <w:color w:val="000000"/>
          <w:kern w:val="2"/>
          <w:lang w:val="en-GB" w:eastAsia="zh-CN" w:bidi="hi-IN"/>
        </w:rPr>
        <w:t xml:space="preserve">As such, the class I17 One-Proposition Set plays the role of a logical interface between different ways to document a discourse about propositions within a Knowledge Base. It is particularly relevant for implementing effective queries. For documentation, the use of simpler shortcut properties will, typically, be the preferred approach. </w:t>
      </w:r>
    </w:p>
    <w:p w14:paraId="617A852F" w14:textId="77777777" w:rsidR="009837B1" w:rsidRPr="00E94325" w:rsidRDefault="009837B1" w:rsidP="009837B1">
      <w:pPr>
        <w:keepNext/>
        <w:suppressAutoHyphens/>
        <w:spacing w:before="170" w:line="276" w:lineRule="auto"/>
        <w:rPr>
          <w:rFonts w:ascii="Times New Roman" w:eastAsia="Noto Serif CJK SC" w:hAnsi="Times New Roman" w:cs="Times New Roman"/>
          <w:kern w:val="2"/>
          <w:szCs w:val="24"/>
          <w:lang w:val="en-GB" w:eastAsia="zh-CN" w:bidi="hi-IN"/>
        </w:rPr>
      </w:pPr>
      <w:r w:rsidRPr="00E94325">
        <w:rPr>
          <w:rFonts w:ascii="Times New Roman" w:eastAsia="Noto Serif CJK SC" w:hAnsi="Times New Roman" w:cs="Times New Roman"/>
          <w:kern w:val="2"/>
          <w:szCs w:val="24"/>
          <w:lang w:val="en-GB" w:eastAsia="zh-CN" w:bidi="hi-IN"/>
        </w:rPr>
        <w:t>Examples:</w:t>
      </w:r>
    </w:p>
    <w:p w14:paraId="345436D0" w14:textId="77777777" w:rsidR="009837B1" w:rsidRPr="00E94325" w:rsidRDefault="009837B1" w:rsidP="009837B1">
      <w:pPr>
        <w:numPr>
          <w:ilvl w:val="0"/>
          <w:numId w:val="1"/>
        </w:numPr>
        <w:suppressAutoHyphens/>
        <w:spacing w:line="276" w:lineRule="auto"/>
        <w:ind w:left="1667" w:hanging="227"/>
        <w:rPr>
          <w:rFonts w:ascii="Times New Roman" w:eastAsia="Noto Serif CJK SC" w:hAnsi="Times New Roman" w:cs="Times New Roman"/>
          <w:kern w:val="2"/>
          <w:lang w:val="en-GB" w:eastAsia="zh-CN" w:bidi="hi-IN"/>
        </w:rPr>
      </w:pPr>
      <w:r w:rsidRPr="00E94325">
        <w:rPr>
          <w:rFonts w:ascii="Times New Roman" w:eastAsia="Noto Serif CJK SC" w:hAnsi="Times New Roman" w:cs="Times New Roman"/>
          <w:kern w:val="2"/>
          <w:lang w:val="en-GB" w:eastAsia="zh-CN" w:bidi="hi-IN"/>
        </w:rPr>
        <w:t xml:space="preserve">the proposition set with content: </w:t>
      </w:r>
      <w:r w:rsidRPr="00E94325">
        <w:rPr>
          <w:rFonts w:ascii="Times New Roman" w:eastAsia="Noto Serif CJK SC" w:hAnsi="Times New Roman" w:cs="Times New Roman"/>
          <w:kern w:val="2"/>
          <w:lang w:val="en-GB" w:eastAsia="zh-CN" w:bidi="hi-IN"/>
        </w:rPr>
        <w:br/>
        <w:t xml:space="preserve">{The skeleton in La Tomba dell’Aryballos sospeso on the left Bench (E20 Biological Object) </w:t>
      </w:r>
      <w:r w:rsidRPr="00E94325">
        <w:rPr>
          <w:rFonts w:ascii="Times New Roman" w:eastAsia="Noto Serif CJK SC" w:hAnsi="Times New Roman" w:cs="Times New Roman"/>
          <w:i/>
          <w:iCs/>
          <w:kern w:val="2"/>
          <w:lang w:val="en-GB" w:eastAsia="zh-CN" w:bidi="hi-IN"/>
        </w:rPr>
        <w:t>P2 has type</w:t>
      </w:r>
      <w:r w:rsidRPr="00E94325">
        <w:rPr>
          <w:rFonts w:ascii="Times New Roman" w:eastAsia="Noto Serif CJK SC" w:hAnsi="Times New Roman" w:cs="Times New Roman"/>
          <w:kern w:val="2"/>
          <w:lang w:val="en-GB" w:eastAsia="zh-CN" w:bidi="hi-IN"/>
        </w:rPr>
        <w:t xml:space="preserve"> ‘male’ (E55 Type)} (I17) (Squires, 2013)</w:t>
      </w:r>
    </w:p>
    <w:p w14:paraId="1DC7A221" w14:textId="77777777" w:rsidR="009837B1" w:rsidRPr="00E94325" w:rsidRDefault="009837B1" w:rsidP="009837B1">
      <w:pPr>
        <w:numPr>
          <w:ilvl w:val="0"/>
          <w:numId w:val="1"/>
        </w:numPr>
        <w:suppressAutoHyphens/>
        <w:spacing w:line="276" w:lineRule="auto"/>
        <w:ind w:left="1667" w:hanging="227"/>
        <w:rPr>
          <w:rFonts w:ascii="Times New Roman" w:eastAsia="Noto Serif CJK SC" w:hAnsi="Times New Roman" w:cs="Times New Roman"/>
          <w:kern w:val="2"/>
          <w:lang w:val="en-GB" w:eastAsia="zh-CN" w:bidi="hi-IN"/>
        </w:rPr>
      </w:pPr>
      <w:r w:rsidRPr="00E94325">
        <w:rPr>
          <w:rFonts w:ascii="Times New Roman" w:eastAsia="Noto Serif CJK SC" w:hAnsi="Times New Roman" w:cs="Times New Roman"/>
          <w:kern w:val="2"/>
          <w:lang w:val="en-GB" w:eastAsia="zh-CN" w:bidi="hi-IN"/>
        </w:rPr>
        <w:lastRenderedPageBreak/>
        <w:t xml:space="preserve">the proposition set with content: </w:t>
      </w:r>
      <w:r w:rsidRPr="00E94325">
        <w:rPr>
          <w:rFonts w:ascii="Times New Roman" w:eastAsia="Noto Serif CJK SC" w:hAnsi="Times New Roman" w:cs="Times New Roman"/>
          <w:kern w:val="2"/>
          <w:lang w:val="en-GB" w:eastAsia="zh-CN" w:bidi="hi-IN"/>
        </w:rPr>
        <w:br/>
        <w:t xml:space="preserve">{The skeleton in La Tomba dell’Aryballos sospeso on the left Bench (E20 Biological Object) </w:t>
      </w:r>
      <w:r w:rsidRPr="00E94325">
        <w:rPr>
          <w:rFonts w:ascii="Times New Roman" w:eastAsia="Noto Serif CJK SC" w:hAnsi="Times New Roman" w:cs="Times New Roman"/>
          <w:i/>
          <w:iCs/>
          <w:kern w:val="2"/>
          <w:lang w:val="en-GB" w:eastAsia="zh-CN" w:bidi="hi-IN"/>
        </w:rPr>
        <w:t>P2 has type</w:t>
      </w:r>
      <w:r w:rsidRPr="00E94325">
        <w:rPr>
          <w:rFonts w:ascii="Times New Roman" w:eastAsia="Noto Serif CJK SC" w:hAnsi="Times New Roman" w:cs="Times New Roman"/>
          <w:kern w:val="2"/>
          <w:lang w:val="en-GB" w:eastAsia="zh-CN" w:bidi="hi-IN"/>
        </w:rPr>
        <w:t xml:space="preserve"> ‘female’ (E55 Type} (I17) (Mandolesi, 2013)</w:t>
      </w:r>
    </w:p>
    <w:p w14:paraId="0EA39A4B" w14:textId="77777777" w:rsidR="009837B1" w:rsidRPr="00E94325" w:rsidRDefault="009837B1" w:rsidP="009837B1">
      <w:pPr>
        <w:numPr>
          <w:ilvl w:val="0"/>
          <w:numId w:val="1"/>
        </w:numPr>
        <w:suppressAutoHyphens/>
        <w:spacing w:line="276" w:lineRule="auto"/>
        <w:ind w:left="1667" w:hanging="227"/>
        <w:rPr>
          <w:rFonts w:ascii="Times New Roman" w:eastAsia="Noto Serif CJK SC" w:hAnsi="Times New Roman" w:cs="Times New Roman"/>
          <w:kern w:val="2"/>
          <w:lang w:val="en-GB" w:eastAsia="zh-CN" w:bidi="hi-IN"/>
        </w:rPr>
      </w:pPr>
      <w:r w:rsidRPr="00E94325">
        <w:rPr>
          <w:rFonts w:ascii="Times New Roman" w:eastAsia="Noto Serif CJK SC" w:hAnsi="Times New Roman" w:cs="Times New Roman"/>
          <w:kern w:val="2"/>
          <w:lang w:val="en-GB" w:eastAsia="zh-CN" w:bidi="hi-IN"/>
        </w:rPr>
        <w:t xml:space="preserve">the proposition set with content: </w:t>
      </w:r>
      <w:r w:rsidRPr="00E94325">
        <w:rPr>
          <w:rFonts w:ascii="Times New Roman" w:eastAsia="Noto Serif CJK SC" w:hAnsi="Times New Roman" w:cs="Times New Roman"/>
          <w:kern w:val="2"/>
          <w:lang w:val="en-GB" w:eastAsia="zh-CN" w:bidi="hi-IN"/>
        </w:rPr>
        <w:br/>
        <w:t xml:space="preserve">{The burial arrangement in La Tomba dell'Aryballos sospeso on the left bench (E22 Human-Made Object) </w:t>
      </w:r>
      <w:r w:rsidRPr="00E94325">
        <w:rPr>
          <w:rFonts w:ascii="Times New Roman" w:eastAsia="Noto Serif CJK SC" w:hAnsi="Times New Roman" w:cs="Times New Roman"/>
          <w:i/>
          <w:iCs/>
          <w:kern w:val="2"/>
          <w:lang w:val="en-GB" w:eastAsia="zh-CN" w:bidi="hi-IN"/>
        </w:rPr>
        <w:t xml:space="preserve">is composed of </w:t>
      </w:r>
      <w:r w:rsidRPr="00E94325">
        <w:rPr>
          <w:rFonts w:ascii="Times New Roman" w:eastAsia="Noto Serif CJK SC" w:hAnsi="Times New Roman" w:cs="Times New Roman"/>
          <w:kern w:val="2"/>
          <w:lang w:val="en-GB" w:eastAsia="zh-CN" w:bidi="hi-IN"/>
        </w:rPr>
        <w:t>the spear found in La Tomba dell'Aryballos sospeso (E22 Human-Made Object)} (I17) (Mandolesi, 2013)</w:t>
      </w:r>
    </w:p>
    <w:p w14:paraId="3562DB9B" w14:textId="77777777" w:rsidR="009837B1" w:rsidRPr="00E94325" w:rsidRDefault="009837B1" w:rsidP="009837B1">
      <w:pPr>
        <w:numPr>
          <w:ilvl w:val="0"/>
          <w:numId w:val="1"/>
        </w:numPr>
        <w:suppressAutoHyphens/>
        <w:spacing w:line="276" w:lineRule="auto"/>
        <w:ind w:left="1667" w:hanging="227"/>
        <w:rPr>
          <w:rFonts w:ascii="Times New Roman" w:eastAsia="Noto Serif CJK SC" w:hAnsi="Times New Roman" w:cs="Times New Roman"/>
          <w:kern w:val="2"/>
          <w:lang w:val="en-GB" w:eastAsia="zh-CN" w:bidi="hi-IN"/>
        </w:rPr>
      </w:pPr>
      <w:r w:rsidRPr="00E94325">
        <w:rPr>
          <w:rFonts w:ascii="Times New Roman" w:eastAsia="Noto Serif CJK SC" w:hAnsi="Times New Roman" w:cs="Times New Roman"/>
          <w:kern w:val="2"/>
          <w:lang w:val="en-GB" w:eastAsia="zh-CN" w:bidi="hi-IN"/>
        </w:rPr>
        <w:t xml:space="preserve">the proposition set with content: </w:t>
      </w:r>
      <w:r w:rsidRPr="00E94325">
        <w:rPr>
          <w:rFonts w:ascii="Times New Roman" w:eastAsia="Noto Serif CJK SC" w:hAnsi="Times New Roman" w:cs="Times New Roman"/>
          <w:kern w:val="2"/>
          <w:lang w:val="en-GB" w:eastAsia="zh-CN" w:bidi="hi-IN"/>
        </w:rPr>
        <w:br/>
        <w:t xml:space="preserve">{The skeleton in La Tomba dell'Aryballos sospeso on the left bench (E20 Biological Object) </w:t>
      </w:r>
      <w:r w:rsidRPr="00E94325">
        <w:rPr>
          <w:rFonts w:ascii="Times New Roman" w:eastAsia="Noto Serif CJK SC" w:hAnsi="Times New Roman" w:cs="Times New Roman"/>
          <w:i/>
          <w:iCs/>
          <w:kern w:val="2"/>
          <w:lang w:val="en-GB" w:eastAsia="zh-CN" w:bidi="hi-IN"/>
        </w:rPr>
        <w:t>forms part of</w:t>
      </w:r>
      <w:r w:rsidRPr="00E94325">
        <w:rPr>
          <w:rFonts w:ascii="Times New Roman" w:eastAsia="Noto Serif CJK SC" w:hAnsi="Times New Roman" w:cs="Times New Roman"/>
          <w:kern w:val="2"/>
          <w:lang w:val="en-GB" w:eastAsia="zh-CN" w:bidi="hi-IN"/>
        </w:rPr>
        <w:t xml:space="preserve"> the burial arrangement in La Tomba dell'Aryballos sospeso on the left bench (E22 Human-Made Object)} (I17) (Mandolesi, 2013)</w:t>
      </w:r>
    </w:p>
    <w:p w14:paraId="2C8F912B" w14:textId="77777777" w:rsidR="009837B1" w:rsidRPr="00E94325" w:rsidRDefault="009837B1" w:rsidP="009837B1">
      <w:pPr>
        <w:numPr>
          <w:ilvl w:val="0"/>
          <w:numId w:val="1"/>
        </w:numPr>
        <w:suppressAutoHyphens/>
        <w:spacing w:line="276" w:lineRule="auto"/>
        <w:ind w:left="1667" w:hanging="227"/>
        <w:rPr>
          <w:rFonts w:ascii="Times New Roman" w:eastAsia="Noto Serif CJK SC" w:hAnsi="Times New Roman" w:cs="Times New Roman"/>
          <w:kern w:val="2"/>
          <w:lang w:val="en-GB" w:eastAsia="zh-CN" w:bidi="hi-IN"/>
        </w:rPr>
      </w:pPr>
      <w:r w:rsidRPr="00E94325">
        <w:rPr>
          <w:rFonts w:ascii="Times New Roman" w:eastAsia="Noto Serif CJK SC" w:hAnsi="Times New Roman" w:cs="Times New Roman"/>
          <w:kern w:val="2"/>
          <w:lang w:val="en-GB" w:eastAsia="zh-CN" w:bidi="hi-IN"/>
        </w:rPr>
        <w:t xml:space="preserve">the proposition set with content: </w:t>
      </w:r>
      <w:r w:rsidRPr="00E94325">
        <w:rPr>
          <w:rFonts w:ascii="Times New Roman" w:eastAsia="Noto Serif CJK SC" w:hAnsi="Times New Roman" w:cs="Times New Roman"/>
          <w:kern w:val="2"/>
          <w:lang w:val="en-GB" w:eastAsia="zh-CN" w:bidi="hi-IN"/>
        </w:rPr>
        <w:br/>
        <w:t xml:space="preserve">{The book MS Sinai Greek 418 (E22 Human-Made Object) </w:t>
      </w:r>
      <w:r w:rsidRPr="00E94325">
        <w:rPr>
          <w:rFonts w:ascii="Times New Roman" w:eastAsia="Noto Serif CJK SC" w:hAnsi="Times New Roman" w:cs="Times New Roman"/>
          <w:i/>
          <w:iCs/>
          <w:kern w:val="2"/>
          <w:lang w:val="en-GB" w:eastAsia="zh-CN" w:bidi="hi-IN"/>
        </w:rPr>
        <w:t>has binding structure</w:t>
      </w:r>
      <w:r w:rsidRPr="00E94325">
        <w:rPr>
          <w:rFonts w:ascii="Times New Roman" w:eastAsia="Noto Serif CJK SC" w:hAnsi="Times New Roman" w:cs="Times New Roman"/>
          <w:kern w:val="2"/>
          <w:lang w:val="en-GB" w:eastAsia="zh-CN" w:bidi="hi-IN"/>
        </w:rPr>
        <w:t xml:space="preserve"> ‘unsupported’ (E55 Type)} (I17) (Honey &amp; Pickwoad, 2010)</w:t>
      </w:r>
      <w:r w:rsidRPr="00E94325">
        <w:rPr>
          <w:rFonts w:ascii="Times New Roman" w:eastAsia="Noto Serif CJK SC" w:hAnsi="Times New Roman" w:cs="Times New Roman"/>
          <w:kern w:val="2"/>
          <w:lang w:val="en-GB" w:eastAsia="zh-CN" w:bidi="hi-IN"/>
        </w:rPr>
        <w:br/>
        <w:t>[‘has binding structure’ refers to a property, external to the CIDOC CRM, which connects a book (E22 Human-Made Object) to the type of its binding structure (E55 Type)]</w:t>
      </w:r>
    </w:p>
    <w:p w14:paraId="1AC0D984" w14:textId="77777777" w:rsidR="009837B1" w:rsidRPr="00E94325" w:rsidRDefault="009837B1" w:rsidP="009837B1">
      <w:pPr>
        <w:keepNext/>
        <w:suppressAutoHyphens/>
        <w:spacing w:before="170" w:line="276" w:lineRule="auto"/>
        <w:rPr>
          <w:rFonts w:ascii="Times New Roman" w:eastAsia="Noto Serif CJK SC" w:hAnsi="Times New Roman" w:cs="Times New Roman"/>
          <w:kern w:val="2"/>
          <w:szCs w:val="24"/>
          <w:lang w:val="en-GB" w:eastAsia="zh-CN" w:bidi="hi-IN"/>
        </w:rPr>
      </w:pPr>
      <w:r w:rsidRPr="00E94325">
        <w:rPr>
          <w:rFonts w:ascii="Times New Roman" w:eastAsia="Noto Serif CJK SC" w:hAnsi="Times New Roman" w:cs="Times New Roman"/>
          <w:kern w:val="2"/>
          <w:szCs w:val="24"/>
          <w:lang w:val="en-GB" w:eastAsia="zh-CN" w:bidi="hi-IN"/>
        </w:rPr>
        <w:t>In First Order Logic:</w:t>
      </w:r>
    </w:p>
    <w:p w14:paraId="73656DF3" w14:textId="77777777" w:rsidR="009837B1" w:rsidRPr="00E94325" w:rsidRDefault="009837B1" w:rsidP="009837B1">
      <w:pPr>
        <w:pBdr>
          <w:top w:val="nil"/>
          <w:left w:val="nil"/>
          <w:bottom w:val="nil"/>
          <w:right w:val="nil"/>
          <w:between w:val="nil"/>
        </w:pBdr>
        <w:suppressAutoHyphens/>
        <w:spacing w:line="276" w:lineRule="auto"/>
        <w:ind w:left="144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Lohit Devanagari"/>
          <w:color w:val="000000"/>
          <w:kern w:val="2"/>
          <w:szCs w:val="24"/>
          <w:lang w:val="en-GB" w:eastAsia="zh-CN" w:bidi="hi-IN"/>
        </w:rPr>
        <w:t xml:space="preserve">I17(x) </w:t>
      </w:r>
      <w:r w:rsidRPr="00E94325">
        <w:rPr>
          <w:rFonts w:ascii="Cambria Math" w:eastAsia="Cambria Math" w:hAnsi="Cambria Math" w:cs="Cambria Math"/>
          <w:color w:val="000000"/>
          <w:kern w:val="2"/>
          <w:szCs w:val="24"/>
          <w:lang w:val="en-GB" w:eastAsia="zh-CN" w:bidi="hi-IN"/>
        </w:rPr>
        <w:t>⇒ I4(x)</w:t>
      </w:r>
    </w:p>
    <w:p w14:paraId="1537EAAE" w14:textId="77777777" w:rsidR="009837B1" w:rsidRPr="00E94325" w:rsidRDefault="009837B1" w:rsidP="009837B1">
      <w:pPr>
        <w:pBdr>
          <w:top w:val="nil"/>
          <w:left w:val="nil"/>
          <w:bottom w:val="nil"/>
          <w:right w:val="nil"/>
          <w:between w:val="nil"/>
        </w:pBdr>
        <w:suppressAutoHyphens/>
        <w:spacing w:line="276" w:lineRule="auto"/>
        <w:ind w:left="1440"/>
        <w:rPr>
          <w:rFonts w:ascii="Times New Roman" w:eastAsia="Noto Serif CJK SC" w:hAnsi="Times New Roman" w:cs="Lohit Devanagari"/>
          <w:color w:val="000000"/>
          <w:kern w:val="2"/>
          <w:szCs w:val="24"/>
          <w:lang w:val="en-GB" w:eastAsia="zh-CN" w:bidi="hi-IN"/>
        </w:rPr>
      </w:pPr>
      <w:r w:rsidRPr="00E94325">
        <w:rPr>
          <w:rFonts w:ascii="Times New Roman" w:eastAsia="Noto Serif CJK SC" w:hAnsi="Times New Roman" w:cs="Lohit Devanagari"/>
          <w:color w:val="000000"/>
          <w:kern w:val="2"/>
          <w:szCs w:val="24"/>
          <w:lang w:val="en-GB" w:eastAsia="zh-CN" w:bidi="hi-IN"/>
        </w:rPr>
        <w:t xml:space="preserve">I17(x) </w:t>
      </w:r>
      <w:r w:rsidRPr="00E94325">
        <w:rPr>
          <w:rFonts w:ascii="Cambria Math" w:eastAsia="Cambria Math" w:hAnsi="Cambria Math" w:cs="Cambria Math"/>
          <w:color w:val="000000"/>
          <w:kern w:val="2"/>
          <w:szCs w:val="24"/>
          <w:lang w:val="en-GB" w:eastAsia="zh-CN" w:bidi="hi-IN"/>
        </w:rPr>
        <w:t>⇒</w:t>
      </w:r>
      <w:r w:rsidRPr="00E94325">
        <w:rPr>
          <w:rFonts w:ascii="Times New Roman" w:eastAsia="Noto Serif CJK SC" w:hAnsi="Times New Roman" w:cs="Lohit Devanagari"/>
          <w:color w:val="000000"/>
          <w:kern w:val="2"/>
          <w:szCs w:val="24"/>
          <w:lang w:val="en-GB" w:eastAsia="zh-CN" w:bidi="hi-IN"/>
        </w:rPr>
        <w:t xml:space="preserve"> (</w:t>
      </w:r>
      <w:r w:rsidRPr="00E94325">
        <w:rPr>
          <w:rFonts w:ascii="Cambria Math" w:eastAsia="Cambria Math" w:hAnsi="Cambria Math" w:cs="Cambria Math"/>
          <w:color w:val="000000"/>
          <w:kern w:val="2"/>
          <w:szCs w:val="24"/>
          <w:lang w:val="en-GB" w:eastAsia="zh-CN" w:bidi="hi-IN"/>
        </w:rPr>
        <w:t>∃</w:t>
      </w:r>
      <w:r w:rsidRPr="00E94325">
        <w:rPr>
          <w:rFonts w:ascii="Times New Roman" w:eastAsia="Noto Serif CJK SC" w:hAnsi="Times New Roman" w:cs="Lohit Devanagari"/>
          <w:color w:val="000000"/>
          <w:kern w:val="2"/>
          <w:szCs w:val="24"/>
          <w:lang w:val="en-GB" w:eastAsia="zh-CN" w:bidi="hi-IN"/>
        </w:rPr>
        <w:t>uvw) [E1(u) ˄ J30(</w:t>
      </w:r>
      <w:proofErr w:type="gramStart"/>
      <w:r w:rsidRPr="00E94325">
        <w:rPr>
          <w:rFonts w:ascii="Times New Roman" w:eastAsia="Noto Serif CJK SC" w:hAnsi="Times New Roman" w:cs="Lohit Devanagari"/>
          <w:color w:val="000000"/>
          <w:kern w:val="2"/>
          <w:szCs w:val="24"/>
          <w:lang w:val="en-GB" w:eastAsia="zh-CN" w:bidi="hi-IN"/>
        </w:rPr>
        <w:t>x,u</w:t>
      </w:r>
      <w:proofErr w:type="gramEnd"/>
      <w:r w:rsidRPr="00E94325">
        <w:rPr>
          <w:rFonts w:ascii="Times New Roman" w:eastAsia="Noto Serif CJK SC" w:hAnsi="Times New Roman" w:cs="Lohit Devanagari"/>
          <w:color w:val="000000"/>
          <w:kern w:val="2"/>
          <w:szCs w:val="24"/>
          <w:lang w:val="en-GB" w:eastAsia="zh-CN" w:bidi="hi-IN"/>
        </w:rPr>
        <w:t>) ˄ E1(v) ˄ J31(</w:t>
      </w:r>
      <w:proofErr w:type="gramStart"/>
      <w:r w:rsidRPr="00E94325">
        <w:rPr>
          <w:rFonts w:ascii="Times New Roman" w:eastAsia="Noto Serif CJK SC" w:hAnsi="Times New Roman" w:cs="Lohit Devanagari"/>
          <w:color w:val="000000"/>
          <w:kern w:val="2"/>
          <w:szCs w:val="24"/>
          <w:lang w:val="en-GB" w:eastAsia="zh-CN" w:bidi="hi-IN"/>
        </w:rPr>
        <w:t>x,v</w:t>
      </w:r>
      <w:proofErr w:type="gramEnd"/>
      <w:r w:rsidRPr="00E94325">
        <w:rPr>
          <w:rFonts w:ascii="Times New Roman" w:eastAsia="Noto Serif CJK SC" w:hAnsi="Times New Roman" w:cs="Lohit Devanagari"/>
          <w:color w:val="000000"/>
          <w:kern w:val="2"/>
          <w:szCs w:val="24"/>
          <w:lang w:val="en-GB" w:eastAsia="zh-CN" w:bidi="hi-IN"/>
        </w:rPr>
        <w:t>) ˄ E55(w) ˄ J32(</w:t>
      </w:r>
      <w:proofErr w:type="gramStart"/>
      <w:r w:rsidRPr="00E94325">
        <w:rPr>
          <w:rFonts w:ascii="Times New Roman" w:eastAsia="Noto Serif CJK SC" w:hAnsi="Times New Roman" w:cs="Lohit Devanagari"/>
          <w:color w:val="000000"/>
          <w:kern w:val="2"/>
          <w:szCs w:val="24"/>
          <w:lang w:val="en-GB" w:eastAsia="zh-CN" w:bidi="hi-IN"/>
        </w:rPr>
        <w:t>x,w</w:t>
      </w:r>
      <w:proofErr w:type="gramEnd"/>
      <w:r w:rsidRPr="00E94325">
        <w:rPr>
          <w:rFonts w:ascii="Times New Roman" w:eastAsia="Noto Serif CJK SC" w:hAnsi="Times New Roman" w:cs="Lohit Devanagari"/>
          <w:color w:val="000000"/>
          <w:kern w:val="2"/>
          <w:szCs w:val="24"/>
          <w:lang w:val="en-GB" w:eastAsia="zh-CN" w:bidi="hi-IN"/>
        </w:rPr>
        <w:t>)]</w:t>
      </w:r>
    </w:p>
    <w:p w14:paraId="1D32E22A" w14:textId="77777777" w:rsidR="009837B1" w:rsidRPr="00E94325" w:rsidRDefault="009837B1" w:rsidP="009837B1">
      <w:pPr>
        <w:keepNext/>
        <w:suppressAutoHyphens/>
        <w:spacing w:before="170" w:line="276" w:lineRule="auto"/>
        <w:rPr>
          <w:rFonts w:ascii="Times New Roman" w:eastAsia="Noto Serif CJK SC" w:hAnsi="Times New Roman" w:cs="Times New Roman"/>
          <w:kern w:val="2"/>
          <w:szCs w:val="24"/>
          <w:lang w:val="en-GB" w:eastAsia="zh-CN" w:bidi="hi-IN"/>
        </w:rPr>
      </w:pPr>
      <w:r w:rsidRPr="00E94325">
        <w:rPr>
          <w:rFonts w:ascii="Times New Roman" w:eastAsia="Noto Serif CJK SC" w:hAnsi="Times New Roman" w:cs="Times New Roman"/>
          <w:kern w:val="2"/>
          <w:szCs w:val="24"/>
          <w:lang w:val="en-GB" w:eastAsia="zh-CN" w:bidi="hi-IN"/>
        </w:rPr>
        <w:t>Properties:</w:t>
      </w:r>
    </w:p>
    <w:p w14:paraId="441B2DA3" w14:textId="77777777" w:rsidR="009837B1" w:rsidRPr="00E94325" w:rsidRDefault="009837B1" w:rsidP="009837B1">
      <w:pPr>
        <w:suppressAutoHyphens/>
        <w:spacing w:line="276" w:lineRule="auto"/>
        <w:ind w:left="1440"/>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Lohit Devanagari"/>
          <w:kern w:val="2"/>
          <w:szCs w:val="24"/>
          <w:lang w:val="en-GB" w:eastAsia="zh-CN" w:bidi="hi-IN"/>
        </w:rPr>
        <w:t>J30 has domain (is domain of): E1 CRM Entity</w:t>
      </w:r>
    </w:p>
    <w:p w14:paraId="61B2B1E3" w14:textId="77777777" w:rsidR="009837B1" w:rsidRPr="00E94325" w:rsidRDefault="009837B1" w:rsidP="009837B1">
      <w:pPr>
        <w:suppressAutoHyphens/>
        <w:spacing w:line="276" w:lineRule="auto"/>
        <w:ind w:left="1440"/>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Lohit Devanagari"/>
          <w:kern w:val="2"/>
          <w:szCs w:val="24"/>
          <w:lang w:val="en-GB" w:eastAsia="zh-CN" w:bidi="hi-IN"/>
        </w:rPr>
        <w:t xml:space="preserve">J31 has range (is range of): E1 CRM Entity </w:t>
      </w:r>
    </w:p>
    <w:p w14:paraId="1F5F2BFB" w14:textId="77777777" w:rsidR="009837B1" w:rsidRPr="00E94325" w:rsidRDefault="009837B1" w:rsidP="009837B1">
      <w:pPr>
        <w:suppressAutoHyphens/>
        <w:spacing w:line="276" w:lineRule="auto"/>
        <w:ind w:left="1440"/>
        <w:rPr>
          <w:rFonts w:ascii="Times New Roman" w:eastAsia="Noto Serif CJK SC" w:hAnsi="Times New Roman" w:cs="Lohit Devanagari"/>
          <w:kern w:val="2"/>
          <w:szCs w:val="24"/>
          <w:lang w:val="en-GB" w:eastAsia="zh-CN" w:bidi="hi-IN"/>
        </w:rPr>
      </w:pPr>
      <w:r w:rsidRPr="00E94325">
        <w:rPr>
          <w:rFonts w:ascii="Times New Roman" w:eastAsia="Noto Serif CJK SC" w:hAnsi="Times New Roman" w:cs="Lohit Devanagari"/>
          <w:kern w:val="2"/>
          <w:szCs w:val="24"/>
          <w:lang w:val="en-GB" w:eastAsia="zh-CN" w:bidi="hi-IN"/>
        </w:rPr>
        <w:t xml:space="preserve">J32 has property type (is property type of): E55 Type </w:t>
      </w:r>
    </w:p>
    <w:p w14:paraId="7E142336" w14:textId="77777777" w:rsidR="006C0313" w:rsidRDefault="006C0313"/>
    <w:sectPr w:rsidR="006C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960A9"/>
    <w:multiLevelType w:val="multilevel"/>
    <w:tmpl w:val="1CD0DAC8"/>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 w15:restartNumberingAfterBreak="0">
    <w:nsid w:val="65571761"/>
    <w:multiLevelType w:val="multilevel"/>
    <w:tmpl w:val="1032CEB2"/>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num w:numId="1" w16cid:durableId="1861623179">
    <w:abstractNumId w:val="0"/>
  </w:num>
  <w:num w:numId="2" w16cid:durableId="1597131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A4"/>
    <w:rsid w:val="00590DE6"/>
    <w:rsid w:val="006C0313"/>
    <w:rsid w:val="00960AA4"/>
    <w:rsid w:val="009837B1"/>
    <w:rsid w:val="00D101B5"/>
    <w:rsid w:val="00D109EF"/>
    <w:rsid w:val="00FE3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EE8F7-6FC7-419B-B194-FB730A1B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7B1"/>
    <w:pPr>
      <w:spacing w:after="0" w:line="240" w:lineRule="auto"/>
    </w:pPr>
    <w:rPr>
      <w:rFonts w:ascii="Calibri" w:hAnsi="Calibri" w:cs="Calibri"/>
      <w:kern w:val="0"/>
      <w:sz w:val="20"/>
      <w:szCs w:val="20"/>
      <w:lang w:bidi="ar-SA"/>
      <w14:ligatures w14:val="none"/>
    </w:rPr>
  </w:style>
  <w:style w:type="paragraph" w:styleId="Heading1">
    <w:name w:val="heading 1"/>
    <w:basedOn w:val="Normal"/>
    <w:next w:val="Normal"/>
    <w:link w:val="Heading1Char"/>
    <w:uiPriority w:val="9"/>
    <w:qFormat/>
    <w:rsid w:val="00960A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0A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60A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60A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0A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0A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A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A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A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AA4"/>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960AA4"/>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960AA4"/>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rsid w:val="00960AA4"/>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960AA4"/>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960AA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60AA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60AA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60AA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60A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AA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60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AA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60AA4"/>
    <w:pPr>
      <w:spacing w:before="160"/>
      <w:jc w:val="center"/>
    </w:pPr>
    <w:rPr>
      <w:i/>
      <w:iCs/>
      <w:color w:val="404040" w:themeColor="text1" w:themeTint="BF"/>
    </w:rPr>
  </w:style>
  <w:style w:type="character" w:customStyle="1" w:styleId="QuoteChar">
    <w:name w:val="Quote Char"/>
    <w:basedOn w:val="DefaultParagraphFont"/>
    <w:link w:val="Quote"/>
    <w:uiPriority w:val="29"/>
    <w:rsid w:val="00960AA4"/>
    <w:rPr>
      <w:i/>
      <w:iCs/>
      <w:color w:val="404040" w:themeColor="text1" w:themeTint="BF"/>
      <w:lang w:val="en-GB"/>
    </w:rPr>
  </w:style>
  <w:style w:type="paragraph" w:styleId="ListParagraph">
    <w:name w:val="List Paragraph"/>
    <w:basedOn w:val="Normal"/>
    <w:uiPriority w:val="34"/>
    <w:qFormat/>
    <w:rsid w:val="00960AA4"/>
    <w:pPr>
      <w:ind w:left="720"/>
      <w:contextualSpacing/>
    </w:pPr>
  </w:style>
  <w:style w:type="character" w:styleId="IntenseEmphasis">
    <w:name w:val="Intense Emphasis"/>
    <w:basedOn w:val="DefaultParagraphFont"/>
    <w:uiPriority w:val="21"/>
    <w:qFormat/>
    <w:rsid w:val="00960AA4"/>
    <w:rPr>
      <w:i/>
      <w:iCs/>
      <w:color w:val="2F5496" w:themeColor="accent1" w:themeShade="BF"/>
    </w:rPr>
  </w:style>
  <w:style w:type="paragraph" w:styleId="IntenseQuote">
    <w:name w:val="Intense Quote"/>
    <w:basedOn w:val="Normal"/>
    <w:next w:val="Normal"/>
    <w:link w:val="IntenseQuoteChar"/>
    <w:uiPriority w:val="30"/>
    <w:qFormat/>
    <w:rsid w:val="00960A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AA4"/>
    <w:rPr>
      <w:i/>
      <w:iCs/>
      <w:color w:val="2F5496" w:themeColor="accent1" w:themeShade="BF"/>
      <w:lang w:val="en-GB"/>
    </w:rPr>
  </w:style>
  <w:style w:type="character" w:styleId="IntenseReference">
    <w:name w:val="Intense Reference"/>
    <w:basedOn w:val="DefaultParagraphFont"/>
    <w:uiPriority w:val="32"/>
    <w:qFormat/>
    <w:rsid w:val="00960A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5777</Characters>
  <Application>Microsoft Office Word</Application>
  <DocSecurity>0</DocSecurity>
  <Lines>48</Lines>
  <Paragraphs>13</Paragraphs>
  <ScaleCrop>false</ScaleCrop>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2</cp:revision>
  <dcterms:created xsi:type="dcterms:W3CDTF">2025-09-07T15:43:00Z</dcterms:created>
  <dcterms:modified xsi:type="dcterms:W3CDTF">2025-09-07T15:43:00Z</dcterms:modified>
</cp:coreProperties>
</file>