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3B77" w14:textId="77777777" w:rsidR="00686390" w:rsidRDefault="00686390" w:rsidP="00686390">
      <w:pPr>
        <w:pStyle w:val="Heading3"/>
        <w:spacing w:line="276" w:lineRule="auto"/>
      </w:pPr>
      <w:bookmarkStart w:id="0" w:name="_Toc208138414"/>
      <w:r>
        <w:t>Issue 680: Adjusting properties of E54 Dimension</w:t>
      </w:r>
      <w:bookmarkEnd w:id="0"/>
    </w:p>
    <w:p w14:paraId="69D53FC9" w14:textId="77777777" w:rsidR="00686390" w:rsidRDefault="00686390" w:rsidP="00686390">
      <w:pPr>
        <w:spacing w:line="276" w:lineRule="auto"/>
      </w:pPr>
      <w:r>
        <w:t>The SIG reviewed the</w:t>
      </w:r>
      <w:r>
        <w:rPr>
          <w:lang w:val="el-GR"/>
        </w:rPr>
        <w:t xml:space="preserve"> </w:t>
      </w:r>
      <w:r>
        <w:t xml:space="preserve">HW by MD &amp; CEO on adjusting the FOL statements, property quantifiers, and scope notes for P179 had sales price (was sales price of) and P191 had duration (was duration of) to exclude unwarranted inferences concerning the kinds of entities the dimensions in question belong to. </w:t>
      </w:r>
    </w:p>
    <w:p w14:paraId="34FCF004" w14:textId="77777777" w:rsidR="00686390" w:rsidRDefault="00686390" w:rsidP="00686390">
      <w:pPr>
        <w:spacing w:line="276" w:lineRule="auto"/>
      </w:pPr>
      <w:r>
        <w:t xml:space="preserve">Namely, that </w:t>
      </w:r>
    </w:p>
    <w:p w14:paraId="669095CE" w14:textId="77777777" w:rsidR="00686390" w:rsidRDefault="00686390" w:rsidP="00686390">
      <w:pPr>
        <w:pStyle w:val="ListParagraph"/>
        <w:numPr>
          <w:ilvl w:val="0"/>
          <w:numId w:val="1"/>
        </w:numPr>
        <w:spacing w:line="276" w:lineRule="auto"/>
      </w:pPr>
      <w:r>
        <w:t xml:space="preserve">instantiating P191 had duration (was duration of) entails that its E54 Dimension is incompatible to any instance of E18 Physical Thing or E96 Purchase, </w:t>
      </w:r>
    </w:p>
    <w:p w14:paraId="53CFDD32" w14:textId="77777777" w:rsidR="00686390" w:rsidRDefault="00686390" w:rsidP="00686390">
      <w:pPr>
        <w:pStyle w:val="ListParagraph"/>
        <w:numPr>
          <w:ilvl w:val="0"/>
          <w:numId w:val="1"/>
        </w:numPr>
        <w:spacing w:line="276" w:lineRule="auto"/>
      </w:pPr>
      <w:r>
        <w:t xml:space="preserve">instantiating P179 had sales price (was sales price of) entails that the E97 Monetary Amount (isa E54 Dimension) is incompatible to any instance of E18 Physical Thing or E52 Timespan. </w:t>
      </w:r>
    </w:p>
    <w:p w14:paraId="6865AD70" w14:textId="77777777" w:rsidR="00686390" w:rsidRDefault="00686390" w:rsidP="00686390">
      <w:pPr>
        <w:spacing w:line="276" w:lineRule="auto"/>
      </w:pPr>
    </w:p>
    <w:p w14:paraId="1FBB9F92" w14:textId="77777777" w:rsidR="00686390" w:rsidRDefault="00686390" w:rsidP="00686390">
      <w:pPr>
        <w:spacing w:after="240" w:line="276" w:lineRule="auto"/>
      </w:pPr>
      <w:r>
        <w:t xml:space="preserve">The details of the proposal can be found in the Appendix. Discussion points and decisions involving P191 and P179 can be found below. </w:t>
      </w:r>
    </w:p>
    <w:p w14:paraId="7BE55D81" w14:textId="77777777" w:rsidR="00686390" w:rsidRDefault="00686390" w:rsidP="00686390">
      <w:pPr>
        <w:spacing w:line="276" w:lineRule="auto"/>
      </w:pPr>
      <w:r w:rsidRPr="005F2E49">
        <w:rPr>
          <w:b/>
          <w:bCs/>
        </w:rPr>
        <w:t>Discussion points</w:t>
      </w:r>
      <w:r w:rsidRPr="005F2E49">
        <w:t xml:space="preserve">: </w:t>
      </w:r>
    </w:p>
    <w:p w14:paraId="29412A48" w14:textId="77777777" w:rsidR="00686390" w:rsidRDefault="00686390" w:rsidP="00686390">
      <w:pPr>
        <w:spacing w:line="276" w:lineRule="auto"/>
      </w:pPr>
    </w:p>
    <w:p w14:paraId="43FFCEEB" w14:textId="77777777" w:rsidR="00686390" w:rsidRDefault="00686390" w:rsidP="00686390">
      <w:pPr>
        <w:spacing w:line="276" w:lineRule="auto"/>
      </w:pPr>
      <w:r>
        <w:t>There was a long discussion exploring whether</w:t>
      </w:r>
      <w:r w:rsidRPr="0093331A">
        <w:t xml:space="preserve"> monetary amounts, such as “$60”</w:t>
      </w:r>
      <w:r>
        <w:t xml:space="preserve"> could be applied </w:t>
      </w:r>
      <w:r w:rsidRPr="0093331A">
        <w:t>universally to all situations involving that amount</w:t>
      </w:r>
      <w:r>
        <w:t xml:space="preserve"> or if </w:t>
      </w:r>
      <w:r w:rsidRPr="0093331A">
        <w:t xml:space="preserve">such a value </w:t>
      </w:r>
      <w:r>
        <w:t xml:space="preserve">would </w:t>
      </w:r>
      <w:r w:rsidRPr="0093331A">
        <w:t xml:space="preserve">only </w:t>
      </w:r>
      <w:r>
        <w:t xml:space="preserve">exist </w:t>
      </w:r>
      <w:r w:rsidRPr="0093331A">
        <w:t xml:space="preserve">as </w:t>
      </w:r>
      <w:r>
        <w:t xml:space="preserve">the </w:t>
      </w:r>
      <w:r w:rsidRPr="0093331A">
        <w:t>agreed-upon figure within a specific context and moment in time</w:t>
      </w:r>
      <w:r>
        <w:t xml:space="preserve">, instead. </w:t>
      </w:r>
    </w:p>
    <w:p w14:paraId="47B1E124" w14:textId="77777777" w:rsidR="00686390" w:rsidRDefault="00686390" w:rsidP="00686390">
      <w:pPr>
        <w:pStyle w:val="ListParagraph"/>
        <w:numPr>
          <w:ilvl w:val="0"/>
          <w:numId w:val="2"/>
        </w:numPr>
        <w:spacing w:line="276" w:lineRule="auto"/>
      </w:pPr>
      <w:r>
        <w:t xml:space="preserve">Ideas converged around taking </w:t>
      </w:r>
      <w:r w:rsidRPr="0093331A">
        <w:t xml:space="preserve">prices </w:t>
      </w:r>
      <w:r>
        <w:t>to be</w:t>
      </w:r>
      <w:r w:rsidRPr="0093331A">
        <w:t xml:space="preserve"> determined in </w:t>
      </w:r>
      <w:r>
        <w:t xml:space="preserve">in the context of interested parties agreeing over the price of an item or service at particular moment in time, </w:t>
      </w:r>
      <w:r w:rsidRPr="0093331A">
        <w:t>and therefore cannot be assigned a universal identifier</w:t>
      </w:r>
      <w:r>
        <w:t xml:space="preserve">, much like what is the case in </w:t>
      </w:r>
      <w:r w:rsidRPr="0093331A">
        <w:t xml:space="preserve">physical measurements, </w:t>
      </w:r>
      <w:r>
        <w:t xml:space="preserve">despite </w:t>
      </w:r>
      <w:r w:rsidRPr="0093331A">
        <w:t>monetary amounts function</w:t>
      </w:r>
      <w:r>
        <w:t>ing</w:t>
      </w:r>
      <w:r w:rsidRPr="0093331A">
        <w:t xml:space="preserve"> differently in practice and </w:t>
      </w:r>
      <w:r>
        <w:t>being</w:t>
      </w:r>
      <w:r w:rsidRPr="0093331A">
        <w:t xml:space="preserve"> typically modeled simply as sales prices without further </w:t>
      </w:r>
      <w:r>
        <w:t xml:space="preserve">specification. </w:t>
      </w:r>
    </w:p>
    <w:p w14:paraId="0E16FEC5" w14:textId="77777777" w:rsidR="00686390" w:rsidRPr="0093331A" w:rsidRDefault="00686390" w:rsidP="00686390">
      <w:pPr>
        <w:pStyle w:val="ListParagraph"/>
        <w:numPr>
          <w:ilvl w:val="0"/>
          <w:numId w:val="2"/>
        </w:numPr>
        <w:spacing w:line="276" w:lineRule="auto"/>
      </w:pPr>
      <w:r>
        <w:t xml:space="preserve">At the same time, it was acknowledged that </w:t>
      </w:r>
      <w:r w:rsidRPr="00DE669E">
        <w:t xml:space="preserve">the term </w:t>
      </w:r>
      <w:r w:rsidRPr="00DE669E">
        <w:rPr>
          <w:i/>
          <w:iCs/>
        </w:rPr>
        <w:t>monetary amount</w:t>
      </w:r>
      <w:r w:rsidRPr="00DE669E">
        <w:t xml:space="preserve"> can be misleading, since it does not represent a fixed quantity but rather the agreed value of, for example, </w:t>
      </w:r>
      <w:r w:rsidRPr="0093331A">
        <w:t>“$60”</w:t>
      </w:r>
      <w:r>
        <w:t xml:space="preserve"> given a particular context</w:t>
      </w:r>
      <w:r w:rsidRPr="00DE669E">
        <w:t>. It would therefore be reasonable to clarify this explicitly, and perhaps also note, as CIDOC CRM often does, that certain operations—such as adding or comparing numbers—fall outside its scope and must be addressed elsewhere.</w:t>
      </w:r>
      <w:r>
        <w:br/>
      </w:r>
      <w:r w:rsidRPr="00DE669E">
        <w:rPr>
          <w:b/>
          <w:bCs/>
        </w:rPr>
        <w:t>WS</w:t>
      </w:r>
      <w:r>
        <w:t xml:space="preserve"> took upon himself to draft such a statement (in a new issue that he will start). </w:t>
      </w:r>
    </w:p>
    <w:p w14:paraId="23387321" w14:textId="77777777" w:rsidR="00686390" w:rsidRDefault="00686390" w:rsidP="00686390">
      <w:pPr>
        <w:spacing w:line="276" w:lineRule="auto"/>
        <w:rPr>
          <w:b/>
          <w:bCs/>
          <w:lang w:val="el-GR"/>
        </w:rPr>
      </w:pPr>
    </w:p>
    <w:p w14:paraId="47A58F3B" w14:textId="77777777" w:rsidR="00686390" w:rsidRDefault="00686390" w:rsidP="00686390">
      <w:pPr>
        <w:spacing w:line="276" w:lineRule="auto"/>
      </w:pPr>
      <w:r w:rsidRPr="005F2E49">
        <w:rPr>
          <w:b/>
          <w:bCs/>
        </w:rPr>
        <w:t>Decisions</w:t>
      </w:r>
      <w:r>
        <w:t xml:space="preserve">: </w:t>
      </w:r>
    </w:p>
    <w:p w14:paraId="3574A6E5" w14:textId="77777777" w:rsidR="00686390" w:rsidRDefault="00686390" w:rsidP="00686390">
      <w:pPr>
        <w:pStyle w:val="ListParagraph"/>
        <w:numPr>
          <w:ilvl w:val="0"/>
          <w:numId w:val="1"/>
        </w:numPr>
        <w:spacing w:after="240" w:line="276" w:lineRule="auto"/>
      </w:pPr>
      <w:r>
        <w:t xml:space="preserve">the SIG approved the new definition for </w:t>
      </w:r>
      <w:hyperlink w:anchor="_P179_had_sales" w:history="1">
        <w:r w:rsidRPr="0093331A">
          <w:rPr>
            <w:rStyle w:val="Hyperlink"/>
          </w:rPr>
          <w:t>P179</w:t>
        </w:r>
      </w:hyperlink>
      <w:r>
        <w:t xml:space="preserve"> and </w:t>
      </w:r>
      <w:hyperlink w:anchor="_P191_had_duration" w:history="1">
        <w:r w:rsidRPr="0093331A">
          <w:rPr>
            <w:rStyle w:val="Hyperlink"/>
          </w:rPr>
          <w:t>P191</w:t>
        </w:r>
      </w:hyperlink>
      <w:r>
        <w:t xml:space="preserve"> proposed by MD &amp; CEO. The details can be found in the </w:t>
      </w:r>
      <w:r w:rsidRPr="0093331A">
        <w:t>appendix</w:t>
      </w:r>
      <w:r>
        <w:t xml:space="preserve">. </w:t>
      </w:r>
    </w:p>
    <w:p w14:paraId="57337E93" w14:textId="77777777" w:rsidR="00686390" w:rsidRDefault="00686390" w:rsidP="00686390">
      <w:pPr>
        <w:pStyle w:val="ListParagraph"/>
        <w:numPr>
          <w:ilvl w:val="0"/>
          <w:numId w:val="1"/>
        </w:numPr>
        <w:spacing w:after="240" w:line="276" w:lineRule="auto"/>
      </w:pPr>
      <w:r>
        <w:t xml:space="preserve">HW: WS to start a new issue where he will propose a statement explaining that historical aspects of each documented value (comparisons and whatnots) do not fall within the scope of CIDOC CRM. </w:t>
      </w:r>
    </w:p>
    <w:p w14:paraId="6D8BB001" w14:textId="77777777" w:rsidR="00686390" w:rsidRDefault="00686390" w:rsidP="00686390">
      <w:pPr>
        <w:spacing w:after="240" w:line="276" w:lineRule="auto"/>
      </w:pPr>
      <w:r w:rsidRPr="00C37CC4">
        <w:rPr>
          <w:b/>
          <w:bCs/>
        </w:rPr>
        <w:t>N.b.:</w:t>
      </w:r>
      <w:r>
        <w:t xml:space="preserve"> the exclusion statements proposed for P43, P179, P191 were not part of this discussion</w:t>
      </w:r>
    </w:p>
    <w:p w14:paraId="2E91E364" w14:textId="77777777" w:rsidR="00686390" w:rsidRDefault="00686390" w:rsidP="00686390">
      <w:pPr>
        <w:pStyle w:val="Heading3"/>
        <w:spacing w:line="276" w:lineRule="auto"/>
      </w:pPr>
      <w:bookmarkStart w:id="1" w:name="_Toc208138488"/>
      <w:r>
        <w:t>Issue 680:</w:t>
      </w:r>
      <w:bookmarkEnd w:id="1"/>
      <w:r>
        <w:t xml:space="preserve"> </w:t>
      </w:r>
    </w:p>
    <w:p w14:paraId="2DCD45AD" w14:textId="77777777" w:rsidR="00686390" w:rsidRDefault="00686390" w:rsidP="00686390">
      <w:pPr>
        <w:pStyle w:val="Heading4"/>
        <w:spacing w:line="276" w:lineRule="auto"/>
      </w:pPr>
      <w:bookmarkStart w:id="2" w:name="_P179_had_sales"/>
      <w:bookmarkEnd w:id="2"/>
      <w:r>
        <w:t xml:space="preserve">P179 had </w:t>
      </w:r>
      <w:r w:rsidRPr="0006503D">
        <w:t>sales</w:t>
      </w:r>
      <w:r>
        <w:t xml:space="preserve"> price (was sales price of)</w:t>
      </w:r>
    </w:p>
    <w:p w14:paraId="36F6C93A" w14:textId="77777777" w:rsidR="00686390" w:rsidRDefault="00686390" w:rsidP="00686390">
      <w:pPr>
        <w:pStyle w:val="Heading5"/>
        <w:spacing w:line="276" w:lineRule="auto"/>
      </w:pPr>
      <w:r>
        <w:t xml:space="preserve">Change </w:t>
      </w:r>
      <w:r w:rsidRPr="0006503D">
        <w:t>from</w:t>
      </w:r>
      <w:r>
        <w:t xml:space="preserve"> (OLD) definition</w:t>
      </w:r>
    </w:p>
    <w:p w14:paraId="34928592" w14:textId="77777777" w:rsidR="00686390" w:rsidRPr="0006503D" w:rsidRDefault="00686390" w:rsidP="00686390">
      <w:pPr>
        <w:spacing w:line="276" w:lineRule="auto"/>
        <w:rPr>
          <w:rFonts w:ascii="Arial" w:hAnsi="Arial" w:cs="Arial"/>
          <w:b/>
        </w:rPr>
      </w:pPr>
      <w:bookmarkStart w:id="3" w:name="_Toc149225001"/>
      <w:r w:rsidRPr="0006503D">
        <w:rPr>
          <w:rFonts w:ascii="Arial" w:hAnsi="Arial" w:cs="Arial"/>
          <w:b/>
        </w:rPr>
        <w:t>P179 had sales price (was sales price of)</w:t>
      </w:r>
      <w:bookmarkEnd w:id="3"/>
      <w:r w:rsidRPr="0006503D">
        <w:rPr>
          <w:rFonts w:ascii="Arial" w:hAnsi="Arial" w:cs="Arial"/>
          <w:b/>
        </w:rPr>
        <w:t xml:space="preserve"> </w:t>
      </w:r>
    </w:p>
    <w:p w14:paraId="741B0129" w14:textId="77777777" w:rsidR="00686390" w:rsidRDefault="00686390" w:rsidP="00686390">
      <w:pPr>
        <w:pStyle w:val="CRMDescriptionLabel"/>
      </w:pPr>
      <w:r>
        <w:lastRenderedPageBreak/>
        <w:t>Domain:</w:t>
      </w:r>
    </w:p>
    <w:p w14:paraId="4B087AE7" w14:textId="77777777" w:rsidR="00686390" w:rsidRPr="00601161" w:rsidRDefault="00686390" w:rsidP="00686390">
      <w:pPr>
        <w:pStyle w:val="CRMDomainRange"/>
      </w:pPr>
      <w:hyperlink w:anchor="_toc8754">
        <w:r w:rsidRPr="00601161">
          <w:rPr>
            <w:rStyle w:val="Hyperlink1"/>
          </w:rPr>
          <w:t>E96</w:t>
        </w:r>
      </w:hyperlink>
      <w:r w:rsidRPr="00601161">
        <w:t xml:space="preserve"> Purchase</w:t>
      </w:r>
    </w:p>
    <w:p w14:paraId="1F5FD73F" w14:textId="77777777" w:rsidR="00686390" w:rsidRPr="00601161" w:rsidRDefault="00686390" w:rsidP="00686390">
      <w:pPr>
        <w:pStyle w:val="CRMDescriptionLabel"/>
      </w:pPr>
      <w:r w:rsidRPr="00601161">
        <w:t xml:space="preserve">Range: </w:t>
      </w:r>
    </w:p>
    <w:p w14:paraId="3AD151DF" w14:textId="77777777" w:rsidR="00686390" w:rsidRPr="00601161" w:rsidRDefault="00686390" w:rsidP="00686390">
      <w:pPr>
        <w:pStyle w:val="CRMDomainRange"/>
      </w:pPr>
      <w:hyperlink w:anchor="_toc8766">
        <w:r w:rsidRPr="00601161">
          <w:rPr>
            <w:rStyle w:val="Hyperlink1"/>
          </w:rPr>
          <w:t>E97</w:t>
        </w:r>
      </w:hyperlink>
      <w:r w:rsidRPr="00601161">
        <w:t xml:space="preserve"> Monetary Amount</w:t>
      </w:r>
    </w:p>
    <w:p w14:paraId="0B3EA484" w14:textId="77777777" w:rsidR="00686390" w:rsidRPr="00601161" w:rsidRDefault="00686390" w:rsidP="00686390">
      <w:pPr>
        <w:pStyle w:val="CRMDescriptionLabel"/>
      </w:pPr>
      <w:r w:rsidRPr="00601161">
        <w:t>Quantification:</w:t>
      </w:r>
    </w:p>
    <w:p w14:paraId="7D3A20E2" w14:textId="77777777" w:rsidR="00686390" w:rsidRPr="00601161" w:rsidRDefault="00686390" w:rsidP="00686390">
      <w:pPr>
        <w:pStyle w:val="CRMQuantification"/>
      </w:pPr>
      <w:r>
        <w:t>one to one</w:t>
      </w:r>
      <w:r w:rsidRPr="00601161">
        <w:t>, necessary (1,</w:t>
      </w:r>
      <w:r>
        <w:t>1</w:t>
      </w:r>
      <w:r w:rsidRPr="00601161">
        <w:t>:0,</w:t>
      </w:r>
      <w:r>
        <w:t>1</w:t>
      </w:r>
      <w:r w:rsidRPr="00601161">
        <w:t>)</w:t>
      </w:r>
    </w:p>
    <w:p w14:paraId="3A0C8280" w14:textId="77777777" w:rsidR="00686390" w:rsidRPr="00601161" w:rsidRDefault="00686390" w:rsidP="00686390">
      <w:pPr>
        <w:pStyle w:val="CRMDescriptionLabel"/>
      </w:pPr>
      <w:r w:rsidRPr="00601161">
        <w:t>Scope note:</w:t>
      </w:r>
    </w:p>
    <w:p w14:paraId="0CF740D8" w14:textId="77777777" w:rsidR="00686390" w:rsidRPr="00601161" w:rsidRDefault="00686390" w:rsidP="00686390">
      <w:pPr>
        <w:pStyle w:val="CRMScopeNoteText"/>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p>
    <w:p w14:paraId="047F57DE" w14:textId="77777777" w:rsidR="00686390" w:rsidRPr="00601161" w:rsidRDefault="00686390" w:rsidP="00686390">
      <w:pPr>
        <w:pStyle w:val="CRMDescriptionLabel"/>
      </w:pPr>
      <w:r w:rsidRPr="00601161">
        <w:t>Examples:</w:t>
      </w:r>
    </w:p>
    <w:p w14:paraId="245A985F" w14:textId="77777777" w:rsidR="00686390" w:rsidRPr="00601161" w:rsidRDefault="00686390" w:rsidP="00686390">
      <w:pPr>
        <w:pStyle w:val="CRMExample"/>
        <w:numPr>
          <w:ilvl w:val="0"/>
          <w:numId w:val="3"/>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42943B3F" w14:textId="77777777" w:rsidR="00686390" w:rsidRPr="00601161" w:rsidRDefault="00686390" w:rsidP="00686390">
      <w:pPr>
        <w:pStyle w:val="CRMExample"/>
        <w:numPr>
          <w:ilvl w:val="0"/>
          <w:numId w:val="3"/>
        </w:numPr>
      </w:pPr>
      <w:r w:rsidRPr="00601161">
        <w:t xml:space="preserve">The purchase of 10 </w:t>
      </w:r>
      <w:proofErr w:type="spellStart"/>
      <w:r w:rsidRPr="00601161">
        <w:t>okka</w:t>
      </w:r>
      <w:proofErr w:type="spellEnd"/>
      <w:r w:rsidRPr="00601161">
        <w:t xml:space="preserve">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(Syrmas, 1896)</w:t>
      </w:r>
    </w:p>
    <w:p w14:paraId="4BB1A558" w14:textId="77777777" w:rsidR="00686390" w:rsidRPr="00601161" w:rsidRDefault="00686390" w:rsidP="00686390">
      <w:pPr>
        <w:pStyle w:val="CRMDescriptionLabel"/>
      </w:pPr>
      <w:r w:rsidRPr="00601161">
        <w:t>In first-order logic:</w:t>
      </w:r>
    </w:p>
    <w:p w14:paraId="7921096A" w14:textId="77777777" w:rsidR="00686390" w:rsidRPr="00D41AC3" w:rsidRDefault="00686390" w:rsidP="00686390">
      <w:pPr>
        <w:pStyle w:val="CRMFirstOrderLogic"/>
        <w:rPr>
          <w:lang w:val="fr-FR"/>
        </w:rPr>
      </w:pPr>
      <w:r w:rsidRPr="00D41AC3">
        <w:rPr>
          <w:lang w:val="fr-FR"/>
        </w:rPr>
        <w:t>P179(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E96(x)</w:t>
      </w:r>
    </w:p>
    <w:p w14:paraId="03732FA8" w14:textId="77777777" w:rsidR="00686390" w:rsidRDefault="00686390" w:rsidP="00686390">
      <w:pPr>
        <w:pStyle w:val="CRMFirstOrderLogic"/>
        <w:rPr>
          <w:lang w:val="fr-FR"/>
        </w:rPr>
      </w:pPr>
      <w:r w:rsidRPr="00D41AC3">
        <w:rPr>
          <w:lang w:val="fr-FR"/>
        </w:rPr>
        <w:t>P179(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E97(y)</w:t>
      </w:r>
    </w:p>
    <w:p w14:paraId="74F7F527" w14:textId="77777777" w:rsidR="00686390" w:rsidRPr="0006503D" w:rsidRDefault="00686390" w:rsidP="00686390">
      <w:pPr>
        <w:spacing w:line="276" w:lineRule="auto"/>
      </w:pPr>
    </w:p>
    <w:p w14:paraId="6784D10D" w14:textId="77777777" w:rsidR="00686390" w:rsidRDefault="00686390" w:rsidP="00686390">
      <w:pPr>
        <w:pStyle w:val="Heading5"/>
        <w:spacing w:line="276" w:lineRule="auto"/>
      </w:pPr>
      <w:r>
        <w:t>Change to (NEW) scope note</w:t>
      </w:r>
    </w:p>
    <w:p w14:paraId="6D54D189" w14:textId="77777777" w:rsidR="00686390" w:rsidRPr="0074772D" w:rsidRDefault="00686390" w:rsidP="00686390">
      <w:pPr>
        <w:spacing w:line="276" w:lineRule="auto"/>
        <w:rPr>
          <w:rFonts w:ascii="Arial" w:hAnsi="Arial" w:cs="Arial"/>
          <w:b/>
        </w:rPr>
      </w:pPr>
      <w:bookmarkStart w:id="4" w:name="_Toc70522707"/>
      <w:bookmarkStart w:id="5" w:name="_Toc69734671"/>
      <w:bookmarkStart w:id="6" w:name="_Toc63009683"/>
      <w:bookmarkStart w:id="7" w:name="_Toc71548758"/>
      <w:bookmarkStart w:id="8" w:name="_Toc71114915"/>
      <w:bookmarkStart w:id="9" w:name="_Toc197444254"/>
      <w:r w:rsidRPr="0074772D">
        <w:rPr>
          <w:rFonts w:ascii="Arial" w:hAnsi="Arial" w:cs="Arial"/>
          <w:b/>
        </w:rPr>
        <w:t>P179 had sales price (was sales price of)</w:t>
      </w:r>
      <w:bookmarkEnd w:id="4"/>
      <w:bookmarkEnd w:id="5"/>
      <w:bookmarkEnd w:id="6"/>
      <w:bookmarkEnd w:id="7"/>
      <w:bookmarkEnd w:id="8"/>
      <w:bookmarkEnd w:id="9"/>
      <w:r w:rsidRPr="0074772D">
        <w:rPr>
          <w:rFonts w:ascii="Arial" w:hAnsi="Arial" w:cs="Arial"/>
          <w:b/>
        </w:rPr>
        <w:t xml:space="preserve"> </w:t>
      </w:r>
    </w:p>
    <w:p w14:paraId="69F77199" w14:textId="77777777" w:rsidR="00686390" w:rsidRPr="00601161" w:rsidRDefault="00686390" w:rsidP="00686390">
      <w:pPr>
        <w:pStyle w:val="CRMDescriptionLabel"/>
      </w:pPr>
      <w:bookmarkStart w:id="10" w:name="_heading=h.13acmbr"/>
      <w:bookmarkEnd w:id="10"/>
      <w:r w:rsidRPr="00601161">
        <w:t>Domain:</w:t>
      </w:r>
    </w:p>
    <w:p w14:paraId="54CDEC19" w14:textId="77777777" w:rsidR="00686390" w:rsidRPr="00601161" w:rsidRDefault="00686390" w:rsidP="00686390">
      <w:pPr>
        <w:pStyle w:val="CRMDomainRange"/>
      </w:pPr>
      <w:hyperlink w:anchor="_toc8754">
        <w:r w:rsidRPr="00601161">
          <w:rPr>
            <w:rStyle w:val="Hyperlink1"/>
          </w:rPr>
          <w:t>E96</w:t>
        </w:r>
      </w:hyperlink>
      <w:r w:rsidRPr="00601161">
        <w:t xml:space="preserve"> Purchase</w:t>
      </w:r>
    </w:p>
    <w:p w14:paraId="7AE75C09" w14:textId="77777777" w:rsidR="00686390" w:rsidRPr="00601161" w:rsidRDefault="00686390" w:rsidP="00686390">
      <w:pPr>
        <w:pStyle w:val="CRMDescriptionLabel"/>
      </w:pPr>
      <w:r w:rsidRPr="00601161">
        <w:t xml:space="preserve">Range: </w:t>
      </w:r>
    </w:p>
    <w:p w14:paraId="18C2C71F" w14:textId="77777777" w:rsidR="00686390" w:rsidRPr="00601161" w:rsidRDefault="00686390" w:rsidP="00686390">
      <w:pPr>
        <w:pStyle w:val="CRMDomainRange"/>
      </w:pPr>
      <w:hyperlink w:anchor="_toc8766">
        <w:r w:rsidRPr="00601161">
          <w:rPr>
            <w:rStyle w:val="Hyperlink1"/>
          </w:rPr>
          <w:t>E97</w:t>
        </w:r>
      </w:hyperlink>
      <w:r w:rsidRPr="00601161">
        <w:t xml:space="preserve"> Monetary Amount</w:t>
      </w:r>
    </w:p>
    <w:p w14:paraId="035DC1DD" w14:textId="77777777" w:rsidR="00686390" w:rsidRPr="00601161" w:rsidRDefault="00686390" w:rsidP="00686390">
      <w:pPr>
        <w:pStyle w:val="CRMDescriptionLabel"/>
      </w:pPr>
      <w:r w:rsidRPr="00601161">
        <w:t>Quantification:</w:t>
      </w:r>
    </w:p>
    <w:p w14:paraId="3EE2E758" w14:textId="77777777" w:rsidR="00686390" w:rsidRPr="00601161" w:rsidRDefault="00686390" w:rsidP="00686390">
      <w:pPr>
        <w:pStyle w:val="CRMQuantification"/>
      </w:pPr>
      <w:r>
        <w:t>one to one</w:t>
      </w:r>
      <w:r w:rsidRPr="00601161">
        <w:t>, necessary (1,</w:t>
      </w:r>
      <w:r>
        <w:t>1</w:t>
      </w:r>
      <w:r w:rsidRPr="00601161">
        <w:t>:0,</w:t>
      </w:r>
      <w:r>
        <w:t>1</w:t>
      </w:r>
      <w:r w:rsidRPr="00601161">
        <w:t>)</w:t>
      </w:r>
    </w:p>
    <w:p w14:paraId="21D1ED51" w14:textId="77777777" w:rsidR="00686390" w:rsidRPr="00601161" w:rsidRDefault="00686390" w:rsidP="00686390">
      <w:pPr>
        <w:pStyle w:val="CRMDescriptionLabel"/>
      </w:pPr>
      <w:r w:rsidRPr="00601161">
        <w:t>Scope note:</w:t>
      </w:r>
    </w:p>
    <w:p w14:paraId="0D8A07CF" w14:textId="77777777" w:rsidR="00686390" w:rsidRPr="00DF614E" w:rsidRDefault="00686390" w:rsidP="00686390">
      <w:pPr>
        <w:pStyle w:val="CRMScopeNoteText"/>
        <w:rPr>
          <w:lang w:val="en-US"/>
        </w:rPr>
      </w:pPr>
      <w:r w:rsidRPr="00601161">
        <w:t>This property establishes the relationship between an instance of E96 Purchase and the instance of E97 Monetary Amount that forms the compensation for the transaction. The monetary amount agreed upon may change in the course of the purchase activity.</w:t>
      </w:r>
      <w:r>
        <w:t xml:space="preserve"> The instance of E97 Monetary Amount related to a purchase via </w:t>
      </w:r>
      <w:r w:rsidRPr="00DF614E">
        <w:rPr>
          <w:i/>
        </w:rPr>
        <w:t xml:space="preserve">P179 had sales price (was sales price of) </w:t>
      </w:r>
      <w:r>
        <w:t xml:space="preserve">should be the final one at the tune the ownership was being transferred, regardless of whether it was actually completely paid or compensated in other ways. Since the value of the same nominal monetary amount may change over time, region, or even depend on the deal itself, the instance of E97 Monetary Amount referred to by this property is regarded as specific to the domain instance, regardless of whether other transactions agree on the same nominal amount. Further, the particular instance of E97 Monetary Amount may be credited to the sellers. </w:t>
      </w:r>
    </w:p>
    <w:p w14:paraId="035A3957" w14:textId="77777777" w:rsidR="00686390" w:rsidRPr="00601161" w:rsidRDefault="00686390" w:rsidP="00686390">
      <w:pPr>
        <w:pStyle w:val="CRMDescriptionLabel"/>
      </w:pPr>
      <w:r w:rsidRPr="00601161">
        <w:lastRenderedPageBreak/>
        <w:t>Examples:</w:t>
      </w:r>
    </w:p>
    <w:p w14:paraId="3756675E" w14:textId="77777777" w:rsidR="00686390" w:rsidRPr="00601161" w:rsidRDefault="00686390" w:rsidP="00686390">
      <w:pPr>
        <w:pStyle w:val="CRMExample"/>
        <w:numPr>
          <w:ilvl w:val="0"/>
          <w:numId w:val="3"/>
        </w:numPr>
      </w:pPr>
      <w:r w:rsidRPr="00601161">
        <w:t>The sale of Vincent van Gogh’s “Still Life: Vase with Fifteen Sunflowers” 30</w:t>
      </w:r>
      <w:r w:rsidRPr="00601161">
        <w:rPr>
          <w:vertAlign w:val="superscript"/>
        </w:rPr>
        <w:t>th</w:t>
      </w:r>
      <w:r w:rsidRPr="00601161">
        <w:t xml:space="preserve"> March 1987 (E96)</w:t>
      </w:r>
      <w:r w:rsidRPr="00601161">
        <w:rPr>
          <w:i/>
        </w:rPr>
        <w:t xml:space="preserve"> had sales price</w:t>
      </w:r>
      <w:r w:rsidRPr="00601161">
        <w:t xml:space="preserve"> Christies’ hammer price for “Still Life: Vase with Fifteen Sunflowers” (E97).</w:t>
      </w:r>
    </w:p>
    <w:p w14:paraId="08C853CC" w14:textId="77777777" w:rsidR="00686390" w:rsidRPr="00601161" w:rsidRDefault="00686390" w:rsidP="00686390">
      <w:pPr>
        <w:pStyle w:val="CRMExample"/>
        <w:numPr>
          <w:ilvl w:val="0"/>
          <w:numId w:val="3"/>
        </w:numPr>
      </w:pPr>
      <w:r w:rsidRPr="00601161">
        <w:t xml:space="preserve">The purchase of 10 </w:t>
      </w:r>
      <w:proofErr w:type="spellStart"/>
      <w:r w:rsidRPr="00601161">
        <w:t>okka</w:t>
      </w:r>
      <w:proofErr w:type="spellEnd"/>
      <w:r w:rsidRPr="00601161">
        <w:t xml:space="preserve"> of nails by the captain A. Syrmas on 18</w:t>
      </w:r>
      <w:r w:rsidRPr="00601161">
        <w:rPr>
          <w:vertAlign w:val="superscript"/>
        </w:rPr>
        <w:t>th</w:t>
      </w:r>
      <w:r w:rsidRPr="00601161">
        <w:t xml:space="preserve"> September 1895 (E96)</w:t>
      </w:r>
      <w:r w:rsidRPr="00601161">
        <w:rPr>
          <w:i/>
        </w:rPr>
        <w:t xml:space="preserve"> had sales price </w:t>
      </w:r>
      <w:r w:rsidRPr="00601161">
        <w:t>20 piastre (</w:t>
      </w:r>
      <w:proofErr w:type="spellStart"/>
      <w:r w:rsidRPr="00601161">
        <w:t>grosi</w:t>
      </w:r>
      <w:proofErr w:type="spellEnd"/>
      <w:r w:rsidRPr="00601161">
        <w:t>) (E97). (Syrmas, 1896)</w:t>
      </w:r>
    </w:p>
    <w:p w14:paraId="08437A00" w14:textId="77777777" w:rsidR="00686390" w:rsidRPr="00601161" w:rsidRDefault="00686390" w:rsidP="00686390">
      <w:pPr>
        <w:pStyle w:val="CRMDescriptionLabel"/>
      </w:pPr>
      <w:bookmarkStart w:id="11" w:name="_heading=h.22faf7d"/>
      <w:bookmarkEnd w:id="11"/>
      <w:r w:rsidRPr="00601161">
        <w:t>In first-order logic:</w:t>
      </w:r>
    </w:p>
    <w:p w14:paraId="1FAC1104" w14:textId="77777777" w:rsidR="00686390" w:rsidRPr="00D41AC3" w:rsidRDefault="00686390" w:rsidP="00686390">
      <w:pPr>
        <w:pStyle w:val="CRMFirstOrderLogic"/>
        <w:rPr>
          <w:lang w:val="fr-FR"/>
        </w:rPr>
      </w:pPr>
      <w:r w:rsidRPr="00D41AC3">
        <w:rPr>
          <w:lang w:val="fr-FR"/>
        </w:rPr>
        <w:t>P179(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E96(x)</w:t>
      </w:r>
    </w:p>
    <w:p w14:paraId="27159714" w14:textId="77777777" w:rsidR="00686390" w:rsidRPr="00D41AC3" w:rsidRDefault="00686390" w:rsidP="00686390">
      <w:pPr>
        <w:pStyle w:val="CRMFirstOrderLogic"/>
        <w:rPr>
          <w:lang w:val="fr-FR"/>
        </w:rPr>
      </w:pPr>
      <w:r w:rsidRPr="00D41AC3">
        <w:rPr>
          <w:lang w:val="fr-FR"/>
        </w:rPr>
        <w:t>P179(</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E97(y)</w:t>
      </w:r>
    </w:p>
    <w:p w14:paraId="02519ED4" w14:textId="77777777" w:rsidR="00686390" w:rsidRDefault="00686390" w:rsidP="00686390">
      <w:pPr>
        <w:pStyle w:val="Heading4"/>
        <w:spacing w:line="276" w:lineRule="auto"/>
      </w:pPr>
      <w:bookmarkStart w:id="12" w:name="_P191_had_duration"/>
      <w:bookmarkEnd w:id="12"/>
      <w:r>
        <w:t>P191 had duration (was duration of)</w:t>
      </w:r>
    </w:p>
    <w:p w14:paraId="1046E636" w14:textId="77777777" w:rsidR="00686390" w:rsidRDefault="00686390" w:rsidP="00686390">
      <w:pPr>
        <w:pStyle w:val="Heading5"/>
        <w:spacing w:line="276" w:lineRule="auto"/>
      </w:pPr>
      <w:r>
        <w:t>Change from (OLD definition)</w:t>
      </w:r>
    </w:p>
    <w:p w14:paraId="0AFA6C21" w14:textId="77777777" w:rsidR="00686390" w:rsidRPr="0006503D" w:rsidRDefault="00686390" w:rsidP="00686390">
      <w:pPr>
        <w:spacing w:line="276" w:lineRule="auto"/>
        <w:rPr>
          <w:rFonts w:ascii="Arial" w:hAnsi="Arial" w:cs="Arial"/>
          <w:b/>
        </w:rPr>
      </w:pPr>
      <w:bookmarkStart w:id="13" w:name="_Toc70522718"/>
      <w:bookmarkStart w:id="14" w:name="_Toc69734682"/>
      <w:bookmarkStart w:id="15" w:name="_Toc71548769"/>
      <w:bookmarkStart w:id="16" w:name="_Toc71114926"/>
      <w:bookmarkStart w:id="17" w:name="_Toc63009694"/>
      <w:bookmarkStart w:id="18" w:name="_Toc149225012"/>
      <w:r w:rsidRPr="0006503D">
        <w:rPr>
          <w:rFonts w:ascii="Arial" w:hAnsi="Arial" w:cs="Arial"/>
          <w:b/>
        </w:rPr>
        <w:t>P191 had duration (was duration of)</w:t>
      </w:r>
      <w:bookmarkEnd w:id="13"/>
      <w:bookmarkEnd w:id="14"/>
      <w:bookmarkEnd w:id="15"/>
      <w:bookmarkEnd w:id="16"/>
      <w:bookmarkEnd w:id="17"/>
      <w:bookmarkEnd w:id="18"/>
    </w:p>
    <w:p w14:paraId="4412F58B" w14:textId="77777777" w:rsidR="00686390" w:rsidRPr="00601161" w:rsidRDefault="00686390" w:rsidP="00686390">
      <w:pPr>
        <w:pStyle w:val="CRMDescriptionLabel"/>
      </w:pPr>
      <w:bookmarkStart w:id="19" w:name="_toc11910"/>
      <w:bookmarkEnd w:id="19"/>
      <w:r w:rsidRPr="00601161">
        <w:t xml:space="preserve">Domain: </w:t>
      </w:r>
    </w:p>
    <w:p w14:paraId="2662C13F" w14:textId="77777777" w:rsidR="00686390" w:rsidRPr="00601161" w:rsidRDefault="00686390" w:rsidP="00686390">
      <w:pPr>
        <w:pStyle w:val="CRMDomainRange"/>
      </w:pPr>
      <w:hyperlink w:anchor="_toc8080">
        <w:r w:rsidRPr="00601161">
          <w:rPr>
            <w:rStyle w:val="Hyperlink1"/>
          </w:rPr>
          <w:t>E52</w:t>
        </w:r>
      </w:hyperlink>
      <w:r w:rsidRPr="00601161">
        <w:t xml:space="preserve"> Time-Span</w:t>
      </w:r>
    </w:p>
    <w:p w14:paraId="359C4902" w14:textId="77777777" w:rsidR="00686390" w:rsidRPr="00601161" w:rsidRDefault="00686390" w:rsidP="00686390">
      <w:pPr>
        <w:pStyle w:val="CRMDescriptionLabel"/>
      </w:pPr>
      <w:r w:rsidRPr="00601161">
        <w:t>Range:</w:t>
      </w:r>
    </w:p>
    <w:p w14:paraId="47A99144" w14:textId="77777777" w:rsidR="00686390" w:rsidRPr="00601161" w:rsidRDefault="00686390" w:rsidP="00686390">
      <w:pPr>
        <w:pStyle w:val="CRMDomainRange"/>
      </w:pPr>
      <w:hyperlink w:anchor="_toc8128">
        <w:r w:rsidRPr="00601161">
          <w:rPr>
            <w:rStyle w:val="Hyperlink1"/>
            <w:szCs w:val="20"/>
          </w:rPr>
          <w:t>E54</w:t>
        </w:r>
      </w:hyperlink>
      <w:r w:rsidRPr="00601161">
        <w:rPr>
          <w:color w:val="000000"/>
          <w:szCs w:val="20"/>
        </w:rPr>
        <w:t xml:space="preserve"> </w:t>
      </w:r>
      <w:r w:rsidRPr="00601161">
        <w:t>Dimension</w:t>
      </w:r>
    </w:p>
    <w:p w14:paraId="4F36B8BE" w14:textId="77777777" w:rsidR="00686390" w:rsidRPr="00601161" w:rsidRDefault="00686390" w:rsidP="00686390">
      <w:pPr>
        <w:pStyle w:val="CRMDescriptionLabel"/>
      </w:pPr>
      <w:r w:rsidRPr="00601161">
        <w:t>Quantification:</w:t>
      </w:r>
    </w:p>
    <w:p w14:paraId="015A1F1A" w14:textId="77777777" w:rsidR="00686390" w:rsidRPr="00601161" w:rsidRDefault="00686390" w:rsidP="00686390">
      <w:pPr>
        <w:pStyle w:val="CRMSuperSubProperty"/>
      </w:pPr>
      <w:r>
        <w:t>one</w:t>
      </w:r>
      <w:r w:rsidRPr="00601161">
        <w:t xml:space="preserve"> to one, necessary (1,1:0,</w:t>
      </w:r>
      <w:r>
        <w:t>1</w:t>
      </w:r>
      <w:r w:rsidRPr="00601161">
        <w:t>)</w:t>
      </w:r>
    </w:p>
    <w:p w14:paraId="7967E642" w14:textId="77777777" w:rsidR="00686390" w:rsidRPr="00601161" w:rsidRDefault="00686390" w:rsidP="00686390">
      <w:pPr>
        <w:pStyle w:val="CRMDescriptionLabel"/>
      </w:pPr>
      <w:r w:rsidRPr="00601161">
        <w:t xml:space="preserve">Scope note: </w:t>
      </w:r>
    </w:p>
    <w:p w14:paraId="21F96C90" w14:textId="77777777" w:rsidR="00686390" w:rsidRPr="00601161" w:rsidRDefault="00686390" w:rsidP="00686390">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a numerical interval to the property </w:t>
      </w:r>
      <w:r w:rsidRPr="00601161">
        <w:rPr>
          <w:i/>
        </w:rPr>
        <w:t>P90 has value</w:t>
      </w:r>
      <w:r w:rsidRPr="00601161">
        <w:t xml:space="preserve"> of E54 Dimension.</w:t>
      </w:r>
    </w:p>
    <w:p w14:paraId="78C6959E" w14:textId="77777777" w:rsidR="00686390" w:rsidRPr="00601161" w:rsidRDefault="00686390" w:rsidP="00686390">
      <w:pPr>
        <w:pStyle w:val="CRMDescriptionLabel"/>
      </w:pPr>
      <w:r w:rsidRPr="00601161">
        <w:t xml:space="preserve">Examples: </w:t>
      </w:r>
    </w:p>
    <w:p w14:paraId="7566CF46" w14:textId="77777777" w:rsidR="00686390" w:rsidRPr="00601161" w:rsidRDefault="00686390" w:rsidP="00686390">
      <w:pPr>
        <w:pStyle w:val="CRMExample"/>
        <w:numPr>
          <w:ilvl w:val="0"/>
          <w:numId w:val="3"/>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042A9A75" w14:textId="77777777" w:rsidR="00686390" w:rsidRPr="00601161" w:rsidRDefault="00686390" w:rsidP="00686390">
      <w:pPr>
        <w:pStyle w:val="CRMDescriptionLabel"/>
        <w:rPr>
          <w:color w:val="000000"/>
          <w:szCs w:val="20"/>
        </w:rPr>
      </w:pPr>
      <w:r w:rsidRPr="00601161">
        <w:rPr>
          <w:color w:val="000000"/>
          <w:szCs w:val="20"/>
        </w:rPr>
        <w:t>In first-order logic:</w:t>
      </w:r>
    </w:p>
    <w:p w14:paraId="71742EE0" w14:textId="77777777" w:rsidR="00686390" w:rsidRPr="00D41AC3" w:rsidRDefault="00686390" w:rsidP="00686390">
      <w:pPr>
        <w:pStyle w:val="CRMFirstOrderLogic"/>
        <w:rPr>
          <w:lang w:val="fr-FR"/>
        </w:rPr>
      </w:pPr>
      <w:r w:rsidRPr="00D41AC3">
        <w:rPr>
          <w:lang w:val="fr-FR"/>
        </w:rPr>
        <w:t>P191(</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E52(x)</w:t>
      </w:r>
    </w:p>
    <w:p w14:paraId="1137464F" w14:textId="77777777" w:rsidR="00686390" w:rsidRDefault="00686390" w:rsidP="00686390">
      <w:pPr>
        <w:pStyle w:val="CRMFirstOrderLogic"/>
        <w:rPr>
          <w:color w:val="000000"/>
          <w:szCs w:val="20"/>
          <w:lang w:val="fr-FR"/>
        </w:rPr>
      </w:pPr>
      <w:r w:rsidRPr="00D41AC3">
        <w:rPr>
          <w:lang w:val="fr-FR"/>
        </w:rPr>
        <w:t>P191(</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E54(y)</w:t>
      </w:r>
    </w:p>
    <w:p w14:paraId="1090ECCA" w14:textId="77777777" w:rsidR="00686390" w:rsidRPr="0006503D" w:rsidRDefault="00686390" w:rsidP="00686390">
      <w:pPr>
        <w:spacing w:line="276" w:lineRule="auto"/>
      </w:pPr>
    </w:p>
    <w:p w14:paraId="22D8BBAE" w14:textId="77777777" w:rsidR="00686390" w:rsidRDefault="00686390" w:rsidP="00686390">
      <w:pPr>
        <w:pStyle w:val="Heading5"/>
        <w:spacing w:line="276" w:lineRule="auto"/>
      </w:pPr>
      <w:r>
        <w:t>Change to (NEW definition)</w:t>
      </w:r>
    </w:p>
    <w:p w14:paraId="6FA4C1D3" w14:textId="77777777" w:rsidR="00686390" w:rsidRPr="0006503D" w:rsidRDefault="00686390" w:rsidP="00686390">
      <w:pPr>
        <w:spacing w:line="276" w:lineRule="auto"/>
        <w:rPr>
          <w:rFonts w:ascii="Arial" w:hAnsi="Arial" w:cs="Arial"/>
          <w:b/>
        </w:rPr>
      </w:pPr>
      <w:r w:rsidRPr="0006503D">
        <w:rPr>
          <w:rFonts w:ascii="Arial" w:hAnsi="Arial" w:cs="Arial"/>
          <w:b/>
        </w:rPr>
        <w:t>P191 had duration (was duration of)</w:t>
      </w:r>
    </w:p>
    <w:p w14:paraId="1EAC9DA9" w14:textId="77777777" w:rsidR="00686390" w:rsidRPr="00601161" w:rsidRDefault="00686390" w:rsidP="00686390">
      <w:pPr>
        <w:pStyle w:val="CRMDescriptionLabel"/>
      </w:pPr>
      <w:r w:rsidRPr="00601161">
        <w:t xml:space="preserve">Domain: </w:t>
      </w:r>
    </w:p>
    <w:p w14:paraId="5F292659" w14:textId="77777777" w:rsidR="00686390" w:rsidRPr="00601161" w:rsidRDefault="00686390" w:rsidP="00686390">
      <w:pPr>
        <w:pStyle w:val="CRMDomainRange"/>
      </w:pPr>
      <w:hyperlink w:anchor="_toc8080">
        <w:r w:rsidRPr="00601161">
          <w:rPr>
            <w:rStyle w:val="Hyperlink1"/>
          </w:rPr>
          <w:t>E52</w:t>
        </w:r>
      </w:hyperlink>
      <w:r w:rsidRPr="00601161">
        <w:t xml:space="preserve"> Time-Span</w:t>
      </w:r>
    </w:p>
    <w:p w14:paraId="48B108E3" w14:textId="77777777" w:rsidR="00686390" w:rsidRPr="00601161" w:rsidRDefault="00686390" w:rsidP="00686390">
      <w:pPr>
        <w:pStyle w:val="CRMDescriptionLabel"/>
      </w:pPr>
      <w:r w:rsidRPr="00601161">
        <w:t>Range:</w:t>
      </w:r>
    </w:p>
    <w:p w14:paraId="4AAEBD2A" w14:textId="77777777" w:rsidR="00686390" w:rsidRPr="00601161" w:rsidRDefault="00686390" w:rsidP="00686390">
      <w:pPr>
        <w:pStyle w:val="CRMDomainRange"/>
      </w:pPr>
      <w:hyperlink w:anchor="_toc8128">
        <w:r w:rsidRPr="00601161">
          <w:rPr>
            <w:rStyle w:val="Hyperlink1"/>
            <w:szCs w:val="20"/>
          </w:rPr>
          <w:t>E54</w:t>
        </w:r>
      </w:hyperlink>
      <w:r w:rsidRPr="00601161">
        <w:rPr>
          <w:color w:val="000000"/>
          <w:szCs w:val="20"/>
        </w:rPr>
        <w:t xml:space="preserve"> </w:t>
      </w:r>
      <w:r w:rsidRPr="00601161">
        <w:t>Dimension</w:t>
      </w:r>
    </w:p>
    <w:p w14:paraId="2C9BBFC9" w14:textId="77777777" w:rsidR="00686390" w:rsidRPr="00601161" w:rsidRDefault="00686390" w:rsidP="00686390">
      <w:pPr>
        <w:pStyle w:val="CRMDescriptionLabel"/>
      </w:pPr>
      <w:r w:rsidRPr="00601161">
        <w:t>Quantification:</w:t>
      </w:r>
    </w:p>
    <w:p w14:paraId="6E195F74" w14:textId="77777777" w:rsidR="00686390" w:rsidRPr="00601161" w:rsidRDefault="00686390" w:rsidP="00686390">
      <w:pPr>
        <w:pStyle w:val="CRMSuperSubProperty"/>
      </w:pPr>
      <w:r>
        <w:t>one</w:t>
      </w:r>
      <w:r w:rsidRPr="00601161">
        <w:t xml:space="preserve"> to one, necessary (1,1:0,</w:t>
      </w:r>
      <w:r>
        <w:t>1</w:t>
      </w:r>
      <w:r w:rsidRPr="00601161">
        <w:t>)</w:t>
      </w:r>
    </w:p>
    <w:p w14:paraId="5E6FD262" w14:textId="77777777" w:rsidR="00686390" w:rsidRPr="00601161" w:rsidRDefault="00686390" w:rsidP="00686390">
      <w:pPr>
        <w:pStyle w:val="CRMDescriptionLabel"/>
      </w:pPr>
      <w:r w:rsidRPr="00601161">
        <w:lastRenderedPageBreak/>
        <w:t xml:space="preserve">Scope note: </w:t>
      </w:r>
    </w:p>
    <w:p w14:paraId="02E6F384" w14:textId="77777777" w:rsidR="00686390" w:rsidRPr="00601161" w:rsidRDefault="00686390" w:rsidP="00686390">
      <w:pPr>
        <w:pStyle w:val="CRMScopeNoteText"/>
      </w:pPr>
      <w:r w:rsidRPr="00601161">
        <w:t xml:space="preserve">This property describes the length of time covered by an instance of E52 Time-Span. It allows an instance of E52 Time-Span to be associated with an instance of E54 Dimension representing duration independent from the actual beginning and end. Indeterminacy of the duration value can be expressed by assigning </w:t>
      </w:r>
      <w:r>
        <w:t xml:space="preserve">to the property of E54 Dimension </w:t>
      </w:r>
      <w:r w:rsidRPr="00601161">
        <w:t>a numerical interval.</w:t>
      </w:r>
    </w:p>
    <w:p w14:paraId="7118B05E" w14:textId="77777777" w:rsidR="00686390" w:rsidRPr="00601161" w:rsidRDefault="00686390" w:rsidP="00686390">
      <w:pPr>
        <w:pStyle w:val="CRMDescriptionLabel"/>
      </w:pPr>
      <w:r w:rsidRPr="00601161">
        <w:t xml:space="preserve">Examples: </w:t>
      </w:r>
    </w:p>
    <w:p w14:paraId="5B3306CD" w14:textId="77777777" w:rsidR="00686390" w:rsidRPr="00601161" w:rsidRDefault="00686390" w:rsidP="00686390">
      <w:pPr>
        <w:pStyle w:val="CRMExample"/>
        <w:numPr>
          <w:ilvl w:val="0"/>
          <w:numId w:val="3"/>
        </w:numPr>
      </w:pPr>
      <w:r w:rsidRPr="00601161">
        <w:t xml:space="preserve">The time-span of the Battle of </w:t>
      </w:r>
      <w:proofErr w:type="spellStart"/>
      <w:r w:rsidRPr="00601161">
        <w:t>Issos</w:t>
      </w:r>
      <w:proofErr w:type="spellEnd"/>
      <w:r w:rsidRPr="00601161">
        <w:t xml:space="preserve"> 333 B.C.E. (E52) </w:t>
      </w:r>
      <w:r w:rsidRPr="00601161">
        <w:rPr>
          <w:i/>
        </w:rPr>
        <w:t>had duration</w:t>
      </w:r>
      <w:r w:rsidRPr="00601161">
        <w:t xml:space="preserve"> Battle of </w:t>
      </w:r>
      <w:proofErr w:type="spellStart"/>
      <w:r w:rsidRPr="00601161">
        <w:t>Issos</w:t>
      </w:r>
      <w:proofErr w:type="spellEnd"/>
      <w:r w:rsidRPr="00601161">
        <w:t xml:space="preserve"> duration (E54). (Howard, 2012)</w:t>
      </w:r>
    </w:p>
    <w:p w14:paraId="4F98D298" w14:textId="77777777" w:rsidR="00686390" w:rsidRPr="00601161" w:rsidRDefault="00686390" w:rsidP="00686390">
      <w:pPr>
        <w:pStyle w:val="CRMDescriptionLabel"/>
        <w:rPr>
          <w:color w:val="000000"/>
          <w:szCs w:val="20"/>
        </w:rPr>
      </w:pPr>
      <w:r w:rsidRPr="00601161">
        <w:rPr>
          <w:color w:val="000000"/>
          <w:szCs w:val="20"/>
        </w:rPr>
        <w:t>In first-order logic:</w:t>
      </w:r>
    </w:p>
    <w:p w14:paraId="34D3EF2E" w14:textId="77777777" w:rsidR="00686390" w:rsidRDefault="00686390" w:rsidP="00686390">
      <w:pPr>
        <w:pStyle w:val="CRMFirstOrderLogic"/>
        <w:rPr>
          <w:lang w:val="fr-FR"/>
        </w:rPr>
      </w:pPr>
      <w:r w:rsidRPr="00D41AC3">
        <w:rPr>
          <w:lang w:val="fr-FR"/>
        </w:rPr>
        <w:t>P191(</w:t>
      </w:r>
      <w:proofErr w:type="spellStart"/>
      <w:proofErr w:type="gramStart"/>
      <w:r w:rsidRPr="00D41AC3">
        <w:rPr>
          <w:lang w:val="fr-FR"/>
        </w:rPr>
        <w:t>x,y</w:t>
      </w:r>
      <w:proofErr w:type="spellEnd"/>
      <w:proofErr w:type="gramEnd"/>
      <w:r w:rsidRPr="00D41AC3">
        <w:rPr>
          <w:lang w:val="fr-FR"/>
        </w:rPr>
        <w:t xml:space="preserve">) </w:t>
      </w:r>
      <w:r w:rsidRPr="00D41AC3">
        <w:rPr>
          <w:rFonts w:ascii="Cambria Math" w:hAnsi="Cambria Math" w:cs="Cambria Math"/>
          <w:lang w:val="fr-FR"/>
        </w:rPr>
        <w:t>⇒</w:t>
      </w:r>
      <w:r w:rsidRPr="00D41AC3">
        <w:rPr>
          <w:lang w:val="fr-FR"/>
        </w:rPr>
        <w:t xml:space="preserve"> E52(x)</w:t>
      </w:r>
    </w:p>
    <w:p w14:paraId="418B8902" w14:textId="77777777" w:rsidR="00686390" w:rsidRPr="00D41AC3" w:rsidRDefault="00686390" w:rsidP="00686390">
      <w:pPr>
        <w:pStyle w:val="CRMFirstOrderLogic"/>
        <w:rPr>
          <w:lang w:val="fr-FR"/>
        </w:rPr>
      </w:pPr>
      <w:r w:rsidRPr="0093331A">
        <w:rPr>
          <w:lang w:val="fr-FR"/>
        </w:rPr>
        <w:t>P191(</w:t>
      </w:r>
      <w:proofErr w:type="spellStart"/>
      <w:proofErr w:type="gramStart"/>
      <w:r w:rsidRPr="0093331A">
        <w:rPr>
          <w:lang w:val="fr-FR"/>
        </w:rPr>
        <w:t>x,y</w:t>
      </w:r>
      <w:proofErr w:type="spellEnd"/>
      <w:proofErr w:type="gramEnd"/>
      <w:r w:rsidRPr="0093331A">
        <w:rPr>
          <w:lang w:val="fr-FR"/>
        </w:rPr>
        <w:t xml:space="preserve">) </w:t>
      </w:r>
      <w:r w:rsidRPr="0093331A">
        <w:rPr>
          <w:rFonts w:ascii="Cambria Math" w:hAnsi="Cambria Math" w:cs="Cambria Math"/>
          <w:lang w:val="fr-FR"/>
        </w:rPr>
        <w:t>⇒</w:t>
      </w:r>
      <w:r w:rsidRPr="0093331A">
        <w:rPr>
          <w:lang w:val="fr-FR"/>
        </w:rPr>
        <w:t xml:space="preserve"> E54(y)</w:t>
      </w:r>
    </w:p>
    <w:p w14:paraId="66C7CF9F"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54148"/>
    <w:multiLevelType w:val="hybridMultilevel"/>
    <w:tmpl w:val="AA66B660"/>
    <w:lvl w:ilvl="0" w:tplc="B7607D94">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16cid:durableId="1089346241">
    <w:abstractNumId w:val="0"/>
  </w:num>
  <w:num w:numId="2" w16cid:durableId="472724282">
    <w:abstractNumId w:val="1"/>
  </w:num>
  <w:num w:numId="3" w16cid:durableId="20055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90"/>
    <w:rsid w:val="00590DE6"/>
    <w:rsid w:val="00686390"/>
    <w:rsid w:val="006C0313"/>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F1ED"/>
  <w15:chartTrackingRefBased/>
  <w15:docId w15:val="{8F333B58-D521-4587-AE12-FC46E28C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90"/>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686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6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9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8639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68639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8639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8639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8639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8639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8639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8639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86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39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86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39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86390"/>
    <w:pPr>
      <w:spacing w:before="160"/>
      <w:jc w:val="center"/>
    </w:pPr>
    <w:rPr>
      <w:i/>
      <w:iCs/>
      <w:color w:val="404040" w:themeColor="text1" w:themeTint="BF"/>
    </w:rPr>
  </w:style>
  <w:style w:type="character" w:customStyle="1" w:styleId="QuoteChar">
    <w:name w:val="Quote Char"/>
    <w:basedOn w:val="DefaultParagraphFont"/>
    <w:link w:val="Quote"/>
    <w:uiPriority w:val="29"/>
    <w:rsid w:val="00686390"/>
    <w:rPr>
      <w:i/>
      <w:iCs/>
      <w:color w:val="404040" w:themeColor="text1" w:themeTint="BF"/>
      <w:lang w:val="en-GB"/>
    </w:rPr>
  </w:style>
  <w:style w:type="paragraph" w:styleId="ListParagraph">
    <w:name w:val="List Paragraph"/>
    <w:basedOn w:val="Normal"/>
    <w:uiPriority w:val="34"/>
    <w:qFormat/>
    <w:rsid w:val="00686390"/>
    <w:pPr>
      <w:ind w:left="720"/>
      <w:contextualSpacing/>
    </w:pPr>
  </w:style>
  <w:style w:type="character" w:styleId="IntenseEmphasis">
    <w:name w:val="Intense Emphasis"/>
    <w:basedOn w:val="DefaultParagraphFont"/>
    <w:uiPriority w:val="21"/>
    <w:qFormat/>
    <w:rsid w:val="00686390"/>
    <w:rPr>
      <w:i/>
      <w:iCs/>
      <w:color w:val="2F5496" w:themeColor="accent1" w:themeShade="BF"/>
    </w:rPr>
  </w:style>
  <w:style w:type="paragraph" w:styleId="IntenseQuote">
    <w:name w:val="Intense Quote"/>
    <w:basedOn w:val="Normal"/>
    <w:next w:val="Normal"/>
    <w:link w:val="IntenseQuoteChar"/>
    <w:uiPriority w:val="30"/>
    <w:qFormat/>
    <w:rsid w:val="0068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390"/>
    <w:rPr>
      <w:i/>
      <w:iCs/>
      <w:color w:val="2F5496" w:themeColor="accent1" w:themeShade="BF"/>
      <w:lang w:val="en-GB"/>
    </w:rPr>
  </w:style>
  <w:style w:type="character" w:styleId="IntenseReference">
    <w:name w:val="Intense Reference"/>
    <w:basedOn w:val="DefaultParagraphFont"/>
    <w:uiPriority w:val="32"/>
    <w:qFormat/>
    <w:rsid w:val="00686390"/>
    <w:rPr>
      <w:b/>
      <w:bCs/>
      <w:smallCaps/>
      <w:color w:val="2F5496" w:themeColor="accent1" w:themeShade="BF"/>
      <w:spacing w:val="5"/>
    </w:rPr>
  </w:style>
  <w:style w:type="character" w:styleId="Hyperlink">
    <w:name w:val="Hyperlink"/>
    <w:basedOn w:val="DefaultParagraphFont"/>
    <w:uiPriority w:val="99"/>
    <w:unhideWhenUsed/>
    <w:rsid w:val="00686390"/>
    <w:rPr>
      <w:color w:val="0563C1" w:themeColor="hyperlink"/>
      <w:u w:val="single"/>
    </w:rPr>
  </w:style>
  <w:style w:type="character" w:customStyle="1" w:styleId="Hyperlink1">
    <w:name w:val="Hyperlink1"/>
    <w:qFormat/>
    <w:rsid w:val="00686390"/>
    <w:rPr>
      <w:color w:val="000000"/>
      <w:u w:val="dotted"/>
    </w:rPr>
  </w:style>
  <w:style w:type="paragraph" w:customStyle="1" w:styleId="CRMDescriptionLabel">
    <w:name w:val="CRM Description Label"/>
    <w:basedOn w:val="BodyText"/>
    <w:qFormat/>
    <w:rsid w:val="00686390"/>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DomainRange">
    <w:name w:val="CRM Domain Range"/>
    <w:basedOn w:val="BodyText"/>
    <w:qFormat/>
    <w:rsid w:val="0068639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686390"/>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68639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Quantification">
    <w:name w:val="CRM Quantification"/>
    <w:basedOn w:val="BodyText"/>
    <w:qFormat/>
    <w:rsid w:val="00686390"/>
    <w:pPr>
      <w:suppressAutoHyphens/>
      <w:spacing w:after="142"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686390"/>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Property">
    <w:name w:val="CRM Super Sub Property"/>
    <w:basedOn w:val="BodyText"/>
    <w:qFormat/>
    <w:rsid w:val="00686390"/>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styleId="BodyText">
    <w:name w:val="Body Text"/>
    <w:basedOn w:val="Normal"/>
    <w:link w:val="BodyTextChar"/>
    <w:uiPriority w:val="99"/>
    <w:semiHidden/>
    <w:unhideWhenUsed/>
    <w:rsid w:val="00686390"/>
    <w:pPr>
      <w:spacing w:after="120"/>
    </w:pPr>
  </w:style>
  <w:style w:type="character" w:customStyle="1" w:styleId="BodyTextChar">
    <w:name w:val="Body Text Char"/>
    <w:basedOn w:val="DefaultParagraphFont"/>
    <w:link w:val="BodyText"/>
    <w:uiPriority w:val="99"/>
    <w:semiHidden/>
    <w:rsid w:val="00686390"/>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2025-09-07T11:27:00Z</dcterms:created>
  <dcterms:modified xsi:type="dcterms:W3CDTF">2025-09-07T11:39:00Z</dcterms:modified>
</cp:coreProperties>
</file>