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E28" w:rsidRDefault="00E12E28" w:rsidP="00E12E28">
      <w:pPr>
        <w:pStyle w:val="Heading3"/>
        <w:rPr>
          <w:lang w:val="en-GB"/>
        </w:rPr>
      </w:pPr>
      <w:bookmarkStart w:id="0" w:name="_Toc208418845"/>
      <w:r>
        <w:rPr>
          <w:lang w:val="en-GB"/>
        </w:rPr>
        <w:t>Issue 683:</w:t>
      </w:r>
      <w:bookmarkEnd w:id="0"/>
      <w:r>
        <w:rPr>
          <w:lang w:val="en-GB"/>
        </w:rPr>
        <w:t xml:space="preserve"> </w:t>
      </w:r>
    </w:p>
    <w:p w:rsidR="00E12E28" w:rsidRPr="00DD071D" w:rsidRDefault="00E12E28" w:rsidP="00E12E28">
      <w:pPr>
        <w:rPr>
          <w:rFonts w:ascii="Arial" w:hAnsi="Arial" w:cs="Arial"/>
          <w:b/>
        </w:rPr>
      </w:pPr>
      <w:bookmarkStart w:id="1" w:name="_Toc198298559"/>
      <w:r w:rsidRPr="00DD071D">
        <w:rPr>
          <w:rFonts w:ascii="Arial" w:hAnsi="Arial" w:cs="Arial"/>
          <w:b/>
        </w:rPr>
        <w:t>O39 observed dimension (was observed in)</w:t>
      </w:r>
      <w:bookmarkEnd w:id="1"/>
    </w:p>
    <w:p w:rsidR="00E12E28" w:rsidRPr="0000642F" w:rsidRDefault="00E12E28" w:rsidP="00E12E28">
      <w:pPr>
        <w:pStyle w:val="CRMDescriptionLabel"/>
      </w:pPr>
      <w:r w:rsidRPr="0000642F">
        <w:t>Domain:</w:t>
      </w:r>
    </w:p>
    <w:p w:rsidR="00E12E28" w:rsidRPr="0000642F" w:rsidRDefault="00E12E28" w:rsidP="00E12E28">
      <w:pPr>
        <w:pStyle w:val="CRMDomainRange"/>
      </w:pPr>
      <w:r>
        <w:t>S21 Measurement</w:t>
      </w:r>
    </w:p>
    <w:p w:rsidR="00E12E28" w:rsidRPr="0000642F" w:rsidRDefault="00E12E28" w:rsidP="00E12E28">
      <w:pPr>
        <w:pStyle w:val="CRMDescriptionLabel"/>
      </w:pPr>
      <w:r w:rsidRPr="0000642F">
        <w:t>Range:</w:t>
      </w:r>
    </w:p>
    <w:p w:rsidR="00E12E28" w:rsidRPr="0000642F" w:rsidRDefault="00E12E28" w:rsidP="00E12E28">
      <w:pPr>
        <w:pStyle w:val="CRMDomainRange"/>
      </w:pPr>
      <w:r>
        <w:t xml:space="preserve">E54 Dimension </w:t>
      </w:r>
    </w:p>
    <w:p w:rsidR="00E12E28" w:rsidRPr="0000642F" w:rsidRDefault="00E12E28" w:rsidP="00E12E28">
      <w:pPr>
        <w:pStyle w:val="CRMDescriptionLabel"/>
      </w:pPr>
      <w:r w:rsidRPr="0000642F">
        <w:t>Subproperty of:</w:t>
      </w:r>
    </w:p>
    <w:p w:rsidR="00E12E28" w:rsidRPr="0000642F" w:rsidRDefault="00E12E28" w:rsidP="00E12E28">
      <w:pPr>
        <w:pStyle w:val="CRMDomainRange"/>
      </w:pPr>
    </w:p>
    <w:p w:rsidR="00E12E28" w:rsidRPr="0000642F" w:rsidRDefault="00E12E28" w:rsidP="00E12E28">
      <w:pPr>
        <w:pStyle w:val="CRMDescriptionLabel"/>
      </w:pPr>
      <w:r w:rsidRPr="0000642F">
        <w:t>Superproperty of:</w:t>
      </w:r>
    </w:p>
    <w:p w:rsidR="00E12E28" w:rsidRPr="0000642F" w:rsidRDefault="00E12E28" w:rsidP="00E12E28">
      <w:pPr>
        <w:pStyle w:val="CRMSuperSubProperty"/>
      </w:pPr>
      <w:r w:rsidRPr="002C2861">
        <w:t>E16 Measurement. P40 observed dimension (was observed in): E54 Dimension</w:t>
      </w:r>
    </w:p>
    <w:p w:rsidR="00E12E28" w:rsidRPr="0000642F" w:rsidRDefault="00E12E28" w:rsidP="00E12E28">
      <w:pPr>
        <w:pStyle w:val="CRMDescriptionLabel"/>
      </w:pPr>
      <w:r w:rsidRPr="0000642F">
        <w:t>Quantification:</w:t>
      </w:r>
    </w:p>
    <w:p w:rsidR="00E12E28" w:rsidRPr="0000642F" w:rsidRDefault="00E12E28" w:rsidP="00E12E28">
      <w:pPr>
        <w:pStyle w:val="CRMQuantification"/>
      </w:pPr>
      <w:r>
        <w:t>one</w:t>
      </w:r>
      <w:r w:rsidRPr="0000642F">
        <w:t xml:space="preserve"> to </w:t>
      </w:r>
      <w:r>
        <w:t>one, necessary</w:t>
      </w:r>
      <w:r w:rsidRPr="0000642F">
        <w:t xml:space="preserve"> (</w:t>
      </w:r>
      <w:r>
        <w:t>1</w:t>
      </w:r>
      <w:r w:rsidRPr="0000642F">
        <w:t>,</w:t>
      </w:r>
      <w:r>
        <w:t>1</w:t>
      </w:r>
      <w:r w:rsidRPr="0000642F">
        <w:t>:0,</w:t>
      </w:r>
      <w:r>
        <w:t>1</w:t>
      </w:r>
      <w:r w:rsidRPr="0000642F">
        <w:t>)</w:t>
      </w:r>
    </w:p>
    <w:p w:rsidR="00E12E28" w:rsidRPr="0000642F" w:rsidRDefault="00E12E28" w:rsidP="00E12E28">
      <w:pPr>
        <w:pStyle w:val="CRMDescriptionLabel"/>
      </w:pPr>
      <w:r w:rsidRPr="0000642F">
        <w:t>Scope note:</w:t>
      </w:r>
    </w:p>
    <w:p w:rsidR="00E12E28" w:rsidRDefault="00E12E28" w:rsidP="00E12E28">
      <w:pPr>
        <w:pStyle w:val="CRMScopeNoteText"/>
      </w:pPr>
      <w:r>
        <w:t xml:space="preserve">This property records the dimension of an instance of S15 Observable Entity or a specific constellation of such instances that was observed in an instance of S21 Measurement. The observed items should be documented using the property </w:t>
      </w:r>
      <w:r w:rsidRPr="002C2861">
        <w:rPr>
          <w:i/>
          <w:iCs/>
        </w:rPr>
        <w:t>O24 measured (was measured by)</w:t>
      </w:r>
      <w:r>
        <w:t>.</w:t>
      </w:r>
    </w:p>
    <w:p w:rsidR="00E12E28" w:rsidRDefault="00E12E28" w:rsidP="00E12E28">
      <w:pPr>
        <w:pStyle w:val="CRMScopeNoteText"/>
      </w:pPr>
      <w:r>
        <w:t xml:space="preserve">One measurement activity may determine only one dimension of an instance of S15 Observable Entity or a specific constellation of such instances. Such a dimension may be any observable and quantifiable aspect of the latter. Weight, length, spatial or temporal distances are characteristic kinds of dimensions in this sense. </w:t>
      </w:r>
    </w:p>
    <w:p w:rsidR="00E12E28" w:rsidRDefault="00E12E28" w:rsidP="00E12E28">
      <w:pPr>
        <w:pStyle w:val="CRMScopeNoteText"/>
      </w:pPr>
      <w:r>
        <w:t>A dimension of one or more instances of S15 Observable Entity may be determined either by direct observation or using recorded evidence. However, determination by measuring requires the presence of the measured items. Other methods may constitute other kinds of instances of I1 Argumentation.</w:t>
      </w:r>
    </w:p>
    <w:p w:rsidR="00E12E28" w:rsidRDefault="00E12E28" w:rsidP="00E12E28">
      <w:pPr>
        <w:pStyle w:val="CRMScopeNoteText"/>
      </w:pPr>
      <w:r>
        <w:t>Even though knowledge of the value of a dimension requires measurement, the dimension may be an object of discourse prior to, or even without, any measurement being made.</w:t>
      </w:r>
    </w:p>
    <w:p w:rsidR="00E12E28" w:rsidRDefault="00E12E28" w:rsidP="00E12E28">
      <w:pPr>
        <w:pStyle w:val="CRMScopeNoteText"/>
      </w:pPr>
      <w:r>
        <w:t xml:space="preserve">This property is a part of the fully developed path from S15 Observable Entity through </w:t>
      </w:r>
      <w:r w:rsidRPr="002C2861">
        <w:rPr>
          <w:i/>
          <w:iCs/>
        </w:rPr>
        <w:t>O24i was measured by (measured)</w:t>
      </w:r>
      <w:r>
        <w:t xml:space="preserve">, S21 Measurement, </w:t>
      </w:r>
      <w:r w:rsidRPr="002C2861">
        <w:rPr>
          <w:i/>
          <w:iCs/>
        </w:rPr>
        <w:t>O39 observed dimension (was observed in)</w:t>
      </w:r>
      <w:r>
        <w:t xml:space="preserve"> to E54 Dimension</w:t>
      </w:r>
      <w:r w:rsidRPr="0000642F">
        <w:t>.</w:t>
      </w:r>
    </w:p>
    <w:p w:rsidR="00E12E28" w:rsidRPr="0000642F" w:rsidRDefault="00E12E28" w:rsidP="00E12E28">
      <w:pPr>
        <w:pStyle w:val="CRMScopeNoteText"/>
      </w:pPr>
      <w:r w:rsidRPr="002D707D">
        <w:t xml:space="preserve">Referring to an instance of E54 Dimension by this property is mutually exclusive to using either property </w:t>
      </w:r>
      <w:r w:rsidRPr="002D707D">
        <w:rPr>
          <w:i/>
        </w:rPr>
        <w:t>P191 had duration (was duration of)</w:t>
      </w:r>
      <w:r w:rsidRPr="002D707D">
        <w:t xml:space="preserve"> or </w:t>
      </w:r>
      <w:r w:rsidRPr="002D707D">
        <w:rPr>
          <w:i/>
        </w:rPr>
        <w:t>P179 had sales price (was sales price)</w:t>
      </w:r>
      <w:r w:rsidRPr="002D707D">
        <w:t xml:space="preserve">. This follows from the same rule as for </w:t>
      </w:r>
      <w:r w:rsidRPr="002D707D">
        <w:rPr>
          <w:i/>
        </w:rPr>
        <w:t>O12 has dimension (is dimension of).</w:t>
      </w:r>
    </w:p>
    <w:p w:rsidR="00E12E28" w:rsidRPr="0000642F" w:rsidRDefault="00E12E28" w:rsidP="00E12E28">
      <w:pPr>
        <w:pStyle w:val="CRMDescriptionLabel"/>
      </w:pPr>
      <w:r w:rsidRPr="0000642F">
        <w:t>Full path:</w:t>
      </w:r>
    </w:p>
    <w:p w:rsidR="00E12E28" w:rsidRPr="0000642F" w:rsidRDefault="00E12E28" w:rsidP="00E12E28">
      <w:pPr>
        <w:pStyle w:val="CRMFullPath"/>
      </w:pPr>
    </w:p>
    <w:p w:rsidR="00E12E28" w:rsidRPr="0000642F" w:rsidRDefault="00E12E28" w:rsidP="00E12E28">
      <w:pPr>
        <w:pStyle w:val="CRMDescriptionLabel"/>
      </w:pPr>
      <w:r w:rsidRPr="0000642F">
        <w:t xml:space="preserve">Examples: </w:t>
      </w:r>
    </w:p>
    <w:p w:rsidR="00E12E28" w:rsidRPr="0000642F" w:rsidRDefault="00E12E28" w:rsidP="00E12E28">
      <w:pPr>
        <w:pStyle w:val="CRMExample"/>
        <w:numPr>
          <w:ilvl w:val="0"/>
          <w:numId w:val="1"/>
        </w:numPr>
        <w:ind w:left="1800"/>
      </w:pPr>
      <w:r>
        <w:t>.</w:t>
      </w:r>
      <w:r w:rsidRPr="0000642F">
        <w:t>)</w:t>
      </w:r>
    </w:p>
    <w:p w:rsidR="00E12E28" w:rsidRPr="0000642F" w:rsidRDefault="00E12E28" w:rsidP="00E12E28">
      <w:pPr>
        <w:pStyle w:val="CRMDescriptionLabel"/>
      </w:pPr>
      <w:r>
        <w:t>In first-order logic</w:t>
      </w:r>
      <w:r w:rsidRPr="0000642F">
        <w:t xml:space="preserve">: </w:t>
      </w:r>
    </w:p>
    <w:p w:rsidR="00E12E28" w:rsidRPr="000F1ED3" w:rsidRDefault="00E12E28" w:rsidP="00E12E28">
      <w:pPr>
        <w:pStyle w:val="CRMFirstOrderLogic"/>
      </w:pPr>
      <w:r w:rsidRPr="000F1ED3">
        <w:t xml:space="preserve">O39(x,y) </w:t>
      </w:r>
      <w:r w:rsidRPr="000F1ED3">
        <w:rPr>
          <w:rFonts w:ascii="Cambria Math" w:hAnsi="Cambria Math" w:cs="Cambria Math"/>
        </w:rPr>
        <w:t>⇒</w:t>
      </w:r>
      <w:r w:rsidRPr="000F1ED3">
        <w:t xml:space="preserve"> S21(x)</w:t>
      </w:r>
    </w:p>
    <w:p w:rsidR="00E12E28" w:rsidRPr="000F1ED3" w:rsidRDefault="00E12E28" w:rsidP="00E12E28">
      <w:pPr>
        <w:pStyle w:val="CRMFirstOrderLogic"/>
      </w:pPr>
      <w:r w:rsidRPr="000F1ED3">
        <w:t xml:space="preserve">O39(x,y) </w:t>
      </w:r>
      <w:r w:rsidRPr="000F1ED3">
        <w:rPr>
          <w:rFonts w:ascii="Cambria Math" w:hAnsi="Cambria Math" w:cs="Cambria Math"/>
        </w:rPr>
        <w:t>⇒</w:t>
      </w:r>
      <w:r w:rsidRPr="000F1ED3">
        <w:t xml:space="preserve"> E54(y)</w:t>
      </w:r>
    </w:p>
    <w:p w:rsidR="00E12E28" w:rsidRPr="000F1ED3" w:rsidRDefault="00E12E28" w:rsidP="00E12E28">
      <w:pPr>
        <w:pStyle w:val="CRMFirstOrderLogic"/>
      </w:pPr>
      <w:r w:rsidRPr="000F1ED3">
        <w:lastRenderedPageBreak/>
        <w:t xml:space="preserve">O29(x,y) </w:t>
      </w:r>
      <w:r w:rsidRPr="000F1ED3">
        <w:rPr>
          <w:rFonts w:ascii="Cambria Math" w:hAnsi="Cambria Math" w:cs="Cambria Math"/>
        </w:rPr>
        <w:t>⇒</w:t>
      </w:r>
      <w:r w:rsidRPr="000F1ED3">
        <w:t xml:space="preserve"> (</w:t>
      </w:r>
      <w:r w:rsidRPr="000F1ED3">
        <w:rPr>
          <w:rFonts w:ascii="Cambria Math" w:hAnsi="Cambria Math" w:cs="Cambria Math"/>
        </w:rPr>
        <w:t>∃</w:t>
      </w:r>
      <w:r w:rsidRPr="000F1ED3">
        <w:t xml:space="preserve">z) [S15(z) </w:t>
      </w:r>
      <w:r w:rsidRPr="000F1ED3">
        <w:rPr>
          <w:rFonts w:ascii="Cambria Math" w:hAnsi="Cambria Math" w:cs="Cambria Math"/>
        </w:rPr>
        <w:t>∧</w:t>
      </w:r>
      <w:r w:rsidRPr="000F1ED3">
        <w:t xml:space="preserve"> O24i(z,x) </w:t>
      </w:r>
      <w:r w:rsidRPr="000F1ED3">
        <w:rPr>
          <w:rFonts w:ascii="Cambria Math" w:hAnsi="Cambria Math" w:cs="Cambria Math"/>
        </w:rPr>
        <w:t>∧</w:t>
      </w:r>
      <w:r w:rsidRPr="000F1ED3">
        <w:t xml:space="preserve"> O39(x,y)] </w:t>
      </w:r>
      <w:r w:rsidRPr="000F1ED3">
        <w:rPr>
          <w:rFonts w:ascii="Cambria Math" w:hAnsi="Cambria Math" w:cs="Cambria Math"/>
        </w:rPr>
        <w:t>⇒</w:t>
      </w:r>
      <w:r w:rsidRPr="000F1ED3">
        <w:t xml:space="preserve"> </w:t>
      </w:r>
      <w:r w:rsidRPr="000F1ED3">
        <w:rPr>
          <w:rFonts w:ascii="Cambria Math" w:hAnsi="Cambria Math" w:cs="Cambria Math"/>
        </w:rPr>
        <w:t>∃</w:t>
      </w:r>
      <w:r w:rsidRPr="000F1ED3">
        <w:t>z</w:t>
      </w:r>
      <w:r>
        <w:t xml:space="preserve"> </w:t>
      </w:r>
      <w:r w:rsidRPr="000F1ED3">
        <w:t>O12(z,y)</w:t>
      </w:r>
    </w:p>
    <w:p w:rsidR="00E12E28" w:rsidRPr="000F1ED3" w:rsidRDefault="00E12E28" w:rsidP="00E12E28">
      <w:pPr>
        <w:pStyle w:val="CRMFirstOrderLogic"/>
      </w:pPr>
      <w:r w:rsidRPr="000F1ED3">
        <w:t xml:space="preserve">P40(x,y) </w:t>
      </w:r>
      <w:r w:rsidRPr="000F1ED3">
        <w:rPr>
          <w:rFonts w:ascii="Cambria Math" w:hAnsi="Cambria Math" w:cs="Cambria Math"/>
        </w:rPr>
        <w:t>⇒</w:t>
      </w:r>
      <w:r w:rsidRPr="000F1ED3">
        <w:t xml:space="preserve"> O39(x,y)</w:t>
      </w:r>
    </w:p>
    <w:p w:rsidR="00E12E28" w:rsidRPr="000F1ED3" w:rsidRDefault="00E12E28" w:rsidP="00E12E28">
      <w:pPr>
        <w:pStyle w:val="CRMFirstOrderLogic"/>
      </w:pPr>
      <w:r w:rsidRPr="000F1ED3">
        <w:t xml:space="preserve">P40(x,y) </w:t>
      </w:r>
      <w:r w:rsidRPr="000F1ED3">
        <w:rPr>
          <w:rFonts w:ascii="Cambria Math" w:hAnsi="Cambria Math" w:cs="Cambria Math"/>
        </w:rPr>
        <w:t>⇔</w:t>
      </w:r>
      <w:r w:rsidRPr="000F1ED3">
        <w:t xml:space="preserve"> O39(x,y) </w:t>
      </w:r>
      <w:r w:rsidRPr="000F1ED3">
        <w:rPr>
          <w:rFonts w:ascii="Cambria Math" w:hAnsi="Cambria Math" w:cs="Cambria Math"/>
        </w:rPr>
        <w:t>∧</w:t>
      </w:r>
      <w:r w:rsidRPr="000F1ED3">
        <w:t xml:space="preserve"> E18(x) </w:t>
      </w:r>
      <w:r w:rsidRPr="000F1ED3">
        <w:rPr>
          <w:rFonts w:ascii="Cambria Math" w:hAnsi="Cambria Math" w:cs="Cambria Math"/>
        </w:rPr>
        <w:t>∧</w:t>
      </w:r>
      <w:r w:rsidRPr="000F1ED3">
        <w:t xml:space="preserve"> ¬S25(y)</w:t>
      </w:r>
    </w:p>
    <w:p w:rsidR="00E12E28" w:rsidRPr="000F1ED3" w:rsidRDefault="00E12E28" w:rsidP="00E12E28">
      <w:pPr>
        <w:pStyle w:val="CRMFirstOrderLogic"/>
      </w:pPr>
    </w:p>
    <w:p w:rsidR="00E12E28" w:rsidRPr="000F1ED3" w:rsidRDefault="00E12E28" w:rsidP="00E12E28">
      <w:pPr>
        <w:pStyle w:val="CRMFirstOrderLogic"/>
      </w:pPr>
      <w:r w:rsidRPr="000F1ED3">
        <w:t>By deduction:</w:t>
      </w:r>
    </w:p>
    <w:p w:rsidR="00E12E28" w:rsidRPr="000F1ED3" w:rsidRDefault="00E12E28" w:rsidP="00E12E28">
      <w:pPr>
        <w:pStyle w:val="CRMFirstOrderLogic"/>
      </w:pPr>
      <w:r w:rsidRPr="000F1ED3">
        <w:t xml:space="preserve">O39(x,y) </w:t>
      </w:r>
      <w:r w:rsidRPr="000F1ED3">
        <w:rPr>
          <w:rFonts w:ascii="Cambria Math" w:hAnsi="Cambria Math" w:cs="Cambria Math"/>
        </w:rPr>
        <w:t>∧</w:t>
      </w:r>
      <w:r w:rsidRPr="000F1ED3">
        <w:t xml:space="preserve"> P179(z,w) </w:t>
      </w:r>
      <w:r w:rsidRPr="000F1ED3">
        <w:rPr>
          <w:rFonts w:ascii="Cambria Math" w:hAnsi="Cambria Math" w:cs="Cambria Math"/>
        </w:rPr>
        <w:t>⇒</w:t>
      </w:r>
      <w:r w:rsidRPr="000F1ED3">
        <w:t xml:space="preserve"> w≠y </w:t>
      </w:r>
    </w:p>
    <w:p w:rsidR="00E12E28" w:rsidRPr="0000642F" w:rsidRDefault="00E12E28" w:rsidP="00E12E28">
      <w:pPr>
        <w:pStyle w:val="CRMFirstOrderLogic"/>
      </w:pPr>
      <w:r w:rsidRPr="000F1ED3">
        <w:t xml:space="preserve">O39(x,y) </w:t>
      </w:r>
      <w:r w:rsidRPr="000F1ED3">
        <w:rPr>
          <w:rFonts w:ascii="Cambria Math" w:hAnsi="Cambria Math" w:cs="Cambria Math"/>
        </w:rPr>
        <w:t>∧</w:t>
      </w:r>
      <w:r w:rsidRPr="000F1ED3">
        <w:t xml:space="preserve"> P191(z,w) </w:t>
      </w:r>
      <w:r w:rsidRPr="000F1ED3">
        <w:rPr>
          <w:rFonts w:ascii="Cambria Math" w:hAnsi="Cambria Math" w:cs="Cambria Math"/>
        </w:rPr>
        <w:t>⇒</w:t>
      </w:r>
      <w:r w:rsidRPr="000F1ED3">
        <w:t xml:space="preserve"> w≠y</w:t>
      </w:r>
    </w:p>
    <w:p w:rsidR="00E12E28" w:rsidRPr="00BF3E82" w:rsidRDefault="00E12E28" w:rsidP="00E12E28">
      <w:pPr>
        <w:spacing w:line="276" w:lineRule="auto"/>
        <w:rPr>
          <w:lang w:val="en-GB"/>
        </w:rPr>
      </w:pPr>
    </w:p>
    <w:p w:rsidR="0055322F" w:rsidRDefault="0055322F">
      <w:bookmarkStart w:id="2" w:name="_GoBack"/>
      <w:bookmarkEnd w:id="2"/>
    </w:p>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D215B7"/>
    <w:multiLevelType w:val="hybridMultilevel"/>
    <w:tmpl w:val="FED6F0E2"/>
    <w:lvl w:ilvl="0" w:tplc="04080005">
      <w:start w:val="1"/>
      <w:numFmt w:val="bullet"/>
      <w:lvlText w:val=""/>
      <w:lvlJc w:val="left"/>
      <w:pPr>
        <w:ind w:left="405" w:hanging="360"/>
      </w:pPr>
      <w:rPr>
        <w:rFonts w:ascii="Wingdings" w:hAnsi="Wingdings"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28"/>
    <w:rsid w:val="0055322F"/>
    <w:rsid w:val="006414F7"/>
    <w:rsid w:val="00C67417"/>
    <w:rsid w:val="00D83776"/>
    <w:rsid w:val="00E1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0FFCE-790A-4BAA-9909-6B92CC20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E28"/>
  </w:style>
  <w:style w:type="paragraph" w:styleId="Heading3">
    <w:name w:val="heading 3"/>
    <w:basedOn w:val="Normal"/>
    <w:next w:val="Normal"/>
    <w:link w:val="Heading3Char"/>
    <w:uiPriority w:val="9"/>
    <w:unhideWhenUsed/>
    <w:qFormat/>
    <w:rsid w:val="00E12E2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2E28"/>
    <w:rPr>
      <w:rFonts w:asciiTheme="majorHAnsi" w:eastAsiaTheme="majorEastAsia" w:hAnsiTheme="majorHAnsi" w:cstheme="majorBidi"/>
      <w:color w:val="1F3763" w:themeColor="accent1" w:themeShade="7F"/>
      <w:sz w:val="24"/>
      <w:szCs w:val="24"/>
    </w:rPr>
  </w:style>
  <w:style w:type="paragraph" w:customStyle="1" w:styleId="CRMDescriptionLabel">
    <w:name w:val="CRM Description Label"/>
    <w:basedOn w:val="BodyText"/>
    <w:qFormat/>
    <w:rsid w:val="00E12E28"/>
    <w:pPr>
      <w:keepNext/>
      <w:suppressAutoHyphens/>
      <w:spacing w:before="170" w:after="0" w:line="276" w:lineRule="auto"/>
    </w:pPr>
    <w:rPr>
      <w:rFonts w:ascii="Times New Roman" w:eastAsia="Noto Serif CJK SC" w:hAnsi="Times New Roman" w:cs="Lohit Devanagari"/>
      <w:kern w:val="2"/>
      <w:szCs w:val="24"/>
      <w:lang w:val="en-GB" w:eastAsia="zh-CN" w:bidi="hi-IN"/>
    </w:rPr>
  </w:style>
  <w:style w:type="paragraph" w:customStyle="1" w:styleId="CRMDomainRange">
    <w:name w:val="CRM Domain Range"/>
    <w:basedOn w:val="BodyText"/>
    <w:qFormat/>
    <w:rsid w:val="00E12E28"/>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Example">
    <w:name w:val="CRM Example"/>
    <w:basedOn w:val="BodyText"/>
    <w:qFormat/>
    <w:rsid w:val="00E12E28"/>
    <w:pPr>
      <w:suppressAutoHyphens/>
      <w:spacing w:after="0" w:line="276" w:lineRule="auto"/>
      <w:ind w:left="1440" w:hanging="283"/>
    </w:pPr>
    <w:rPr>
      <w:rFonts w:ascii="Times New Roman" w:eastAsia="Noto Serif CJK SC" w:hAnsi="Times New Roman" w:cs="Lohit Devanagari"/>
      <w:kern w:val="2"/>
      <w:szCs w:val="24"/>
      <w:lang w:val="en-GB" w:eastAsia="zh-CN" w:bidi="hi-IN"/>
    </w:rPr>
  </w:style>
  <w:style w:type="paragraph" w:customStyle="1" w:styleId="CRMFirstOrderLogic">
    <w:name w:val="CRM First Order Logic"/>
    <w:basedOn w:val="BodyText"/>
    <w:qFormat/>
    <w:rsid w:val="00E12E28"/>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Quantification">
    <w:name w:val="CRM Quantification"/>
    <w:basedOn w:val="BodyText"/>
    <w:qFormat/>
    <w:rsid w:val="00E12E28"/>
    <w:pPr>
      <w:suppressAutoHyphens/>
      <w:spacing w:after="142" w:line="276" w:lineRule="auto"/>
      <w:ind w:left="1440"/>
    </w:pPr>
    <w:rPr>
      <w:rFonts w:ascii="Times New Roman" w:eastAsia="Noto Serif CJK SC" w:hAnsi="Times New Roman" w:cs="Lohit Devanagari"/>
      <w:kern w:val="2"/>
      <w:szCs w:val="24"/>
      <w:lang w:val="en-GB" w:eastAsia="zh-CN" w:bidi="hi-IN"/>
    </w:rPr>
  </w:style>
  <w:style w:type="paragraph" w:customStyle="1" w:styleId="CRMScopeNoteText">
    <w:name w:val="CRM Scope Note Text"/>
    <w:basedOn w:val="BodyText"/>
    <w:qFormat/>
    <w:rsid w:val="00E12E28"/>
    <w:pPr>
      <w:suppressAutoHyphens/>
      <w:spacing w:after="170" w:line="276" w:lineRule="auto"/>
      <w:ind w:left="1440"/>
    </w:pPr>
    <w:rPr>
      <w:rFonts w:ascii="Times New Roman" w:eastAsia="Noto Serif CJK SC" w:hAnsi="Times New Roman" w:cs="Lohit Devanagari"/>
      <w:kern w:val="2"/>
      <w:szCs w:val="24"/>
      <w:lang w:val="en-GB" w:eastAsia="zh-CN" w:bidi="hi-IN"/>
    </w:rPr>
  </w:style>
  <w:style w:type="paragraph" w:customStyle="1" w:styleId="CRMSuperSubProperty">
    <w:name w:val="CRM Super Sub Property"/>
    <w:basedOn w:val="BodyText"/>
    <w:qFormat/>
    <w:rsid w:val="00E12E28"/>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FullPath">
    <w:name w:val="CRM Full Path"/>
    <w:basedOn w:val="CRMScopeNoteText"/>
    <w:qFormat/>
    <w:rsid w:val="00E12E28"/>
  </w:style>
  <w:style w:type="paragraph" w:styleId="BodyText">
    <w:name w:val="Body Text"/>
    <w:basedOn w:val="Normal"/>
    <w:link w:val="BodyTextChar"/>
    <w:uiPriority w:val="99"/>
    <w:semiHidden/>
    <w:unhideWhenUsed/>
    <w:rsid w:val="00E12E28"/>
    <w:pPr>
      <w:spacing w:after="120"/>
    </w:pPr>
  </w:style>
  <w:style w:type="character" w:customStyle="1" w:styleId="BodyTextChar">
    <w:name w:val="Body Text Char"/>
    <w:basedOn w:val="DefaultParagraphFont"/>
    <w:link w:val="BodyText"/>
    <w:uiPriority w:val="99"/>
    <w:semiHidden/>
    <w:rsid w:val="00E12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2025-09-10T14:49:00Z</dcterms:created>
  <dcterms:modified xsi:type="dcterms:W3CDTF">2025-09-10T14:49:00Z</dcterms:modified>
</cp:coreProperties>
</file>