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C1BA" w14:textId="77777777" w:rsidR="002F77B7" w:rsidRDefault="002F77B7" w:rsidP="002F77B7">
      <w:pPr>
        <w:pStyle w:val="Heading3"/>
        <w:spacing w:line="276" w:lineRule="auto"/>
      </w:pPr>
      <w:bookmarkStart w:id="0" w:name="_Toc208138493"/>
      <w:r>
        <w:t>Issue 690:</w:t>
      </w:r>
      <w:bookmarkEnd w:id="0"/>
      <w:r>
        <w:t xml:space="preserve"> </w:t>
      </w:r>
    </w:p>
    <w:p w14:paraId="3EA20B02" w14:textId="77777777" w:rsidR="002F77B7" w:rsidRDefault="002F77B7" w:rsidP="002F77B7">
      <w:pPr>
        <w:spacing w:line="276" w:lineRule="auto"/>
      </w:pPr>
      <w:r>
        <w:t xml:space="preserve">Proposal to change I11 Situation </w:t>
      </w:r>
    </w:p>
    <w:p w14:paraId="698D311A" w14:textId="77777777" w:rsidR="002F77B7" w:rsidRDefault="002F77B7" w:rsidP="002F77B7">
      <w:pPr>
        <w:pStyle w:val="Heading4"/>
        <w:spacing w:line="276" w:lineRule="auto"/>
      </w:pPr>
      <w:r>
        <w:t>FROM (OLD)</w:t>
      </w:r>
    </w:p>
    <w:p w14:paraId="68A1A96E" w14:textId="77777777" w:rsidR="002F77B7" w:rsidRPr="00A703AC" w:rsidRDefault="002F77B7" w:rsidP="002F77B7">
      <w:pPr>
        <w:spacing w:line="276" w:lineRule="auto"/>
        <w:rPr>
          <w:rFonts w:ascii="Arial" w:hAnsi="Arial" w:cs="Arial"/>
          <w:b/>
        </w:rPr>
      </w:pPr>
      <w:bookmarkStart w:id="1" w:name="_Toc184660138"/>
      <w:r w:rsidRPr="00A703AC">
        <w:rPr>
          <w:rFonts w:ascii="Arial" w:hAnsi="Arial" w:cs="Arial"/>
          <w:b/>
        </w:rPr>
        <w:t>I11 Situation</w:t>
      </w:r>
      <w:bookmarkEnd w:id="1"/>
    </w:p>
    <w:p w14:paraId="1CEDCBE3" w14:textId="77777777" w:rsidR="002F77B7" w:rsidRDefault="002F77B7" w:rsidP="002F77B7">
      <w:pPr>
        <w:pStyle w:val="CRMDescriptionLabel"/>
        <w:rPr>
          <w:color w:val="000000"/>
        </w:rPr>
      </w:pPr>
      <w:r>
        <w:rPr>
          <w:rFonts w:cs="Times New Roman"/>
          <w:color w:val="000000"/>
        </w:rPr>
        <w:t xml:space="preserve">Subclass of: </w:t>
      </w:r>
    </w:p>
    <w:p w14:paraId="69B37EA8" w14:textId="77777777" w:rsidR="002F77B7" w:rsidRDefault="002F77B7" w:rsidP="002F77B7">
      <w:pPr>
        <w:pStyle w:val="CRMSuperSubClass"/>
      </w:pPr>
      <w:hyperlink w:anchor="_toc1717">
        <w:r>
          <w:rPr>
            <w:rStyle w:val="Hyperlink"/>
            <w:color w:val="000000"/>
          </w:rPr>
          <w:t>I4</w:t>
        </w:r>
      </w:hyperlink>
      <w:r>
        <w:rPr>
          <w:color w:val="000000"/>
        </w:rPr>
        <w:t xml:space="preserve"> Proposition Set</w:t>
      </w:r>
    </w:p>
    <w:p w14:paraId="260EDFE7" w14:textId="77777777" w:rsidR="002F77B7" w:rsidRDefault="002F77B7" w:rsidP="002F77B7">
      <w:pPr>
        <w:pStyle w:val="CRMDescriptionLabel"/>
        <w:rPr>
          <w:color w:val="000000"/>
        </w:rPr>
      </w:pPr>
      <w:r>
        <w:rPr>
          <w:rFonts w:cs="Times New Roman"/>
          <w:color w:val="000000"/>
        </w:rPr>
        <w:t>Superclass of:</w:t>
      </w:r>
      <w:r>
        <w:rPr>
          <w:rFonts w:cs="Times New Roman"/>
          <w:color w:val="000000"/>
        </w:rPr>
        <w:tab/>
      </w:r>
    </w:p>
    <w:p w14:paraId="23B077D6" w14:textId="77777777" w:rsidR="002F77B7" w:rsidRDefault="002F77B7" w:rsidP="002F77B7">
      <w:pPr>
        <w:pStyle w:val="CRMSuperSubClass"/>
        <w:rPr>
          <w:color w:val="000000"/>
        </w:rPr>
      </w:pPr>
    </w:p>
    <w:p w14:paraId="43F21B31" w14:textId="77777777" w:rsidR="002F77B7" w:rsidRDefault="002F77B7" w:rsidP="002F77B7">
      <w:pPr>
        <w:pStyle w:val="CRMDescriptionLabel"/>
        <w:rPr>
          <w:color w:val="000000"/>
        </w:rPr>
      </w:pPr>
      <w:r>
        <w:rPr>
          <w:rFonts w:cs="Times New Roman"/>
          <w:color w:val="000000"/>
        </w:rPr>
        <w:t>Scope note:</w:t>
      </w:r>
    </w:p>
    <w:p w14:paraId="3A0A0775" w14:textId="77777777" w:rsidR="002F77B7" w:rsidRDefault="002F77B7" w:rsidP="002F77B7">
      <w:pPr>
        <w:pStyle w:val="CRMScopeNoteText"/>
        <w:rPr>
          <w:rFonts w:cs="Times New Roman"/>
          <w:color w:val="000000"/>
        </w:rPr>
      </w:pPr>
      <w:r>
        <w:rPr>
          <w:rFonts w:cs="Times New Roman"/>
          <w:color w:val="000000"/>
        </w:rPr>
        <w:t xml:space="preserve">This class comprises the persistence of particular value ranges of the properties of a particular thing or things, over a timespan. The identity of an instance of I11 Situation is given by prescribing kinds of properties and a particular timespan and optionally a spatial area. This prescription of properties enables the possibility of observing the values of those properties prescribed, that hold in the specified timespan and spatial area. </w:t>
      </w:r>
    </w:p>
    <w:p w14:paraId="2DCCF97C" w14:textId="77777777" w:rsidR="002F77B7" w:rsidRDefault="002F77B7" w:rsidP="002F77B7">
      <w:pPr>
        <w:pStyle w:val="CRMScopeNoteText"/>
        <w:rPr>
          <w:rFonts w:cs="Times New Roman"/>
          <w:color w:val="000000"/>
        </w:rPr>
      </w:pPr>
      <w:r>
        <w:rPr>
          <w:rFonts w:cs="Times New Roman"/>
          <w:color w:val="000000"/>
        </w:rPr>
        <w:t>In general, there are no natural boundaries to the combination of the kinds of properties or the space and the timespan under consideration upon defining a situation, other than the interest and ability of the observer to do so. Therefore, this class is purely epistemological in nature, describing arbitrary units of observation of the world</w:t>
      </w:r>
    </w:p>
    <w:p w14:paraId="2B8BC5B1" w14:textId="77777777" w:rsidR="002F77B7" w:rsidRDefault="002F77B7" w:rsidP="002F77B7">
      <w:pPr>
        <w:pStyle w:val="CRMDescriptionLabel"/>
        <w:rPr>
          <w:color w:val="000000"/>
        </w:rPr>
      </w:pPr>
      <w:r>
        <w:rPr>
          <w:rFonts w:cs="Times New Roman"/>
          <w:color w:val="000000"/>
        </w:rPr>
        <w:t>Examples:</w:t>
      </w:r>
    </w:p>
    <w:p w14:paraId="2C2BE142" w14:textId="77777777" w:rsidR="002F77B7" w:rsidRDefault="002F77B7" w:rsidP="002F77B7">
      <w:pPr>
        <w:pStyle w:val="CRMExample"/>
        <w:numPr>
          <w:ilvl w:val="0"/>
          <w:numId w:val="2"/>
        </w:numPr>
        <w:ind w:left="1667" w:hanging="227"/>
        <w:rPr>
          <w:color w:val="000000"/>
        </w:rPr>
      </w:pPr>
      <w:r>
        <w:rPr>
          <w:rFonts w:cs="Times New Roman"/>
          <w:color w:val="000000"/>
          <w:szCs w:val="20"/>
        </w:rPr>
        <w:t xml:space="preserve">the persistence of the value of the pH for sample XIV during the period of the pH measurement, which took place one month after the application of </w:t>
      </w:r>
      <w:proofErr w:type="gramStart"/>
      <w:r>
        <w:rPr>
          <w:rFonts w:cs="Times New Roman"/>
          <w:color w:val="000000"/>
          <w:szCs w:val="20"/>
        </w:rPr>
        <w:t>Ca(</w:t>
      </w:r>
      <w:proofErr w:type="gramEnd"/>
      <w:r>
        <w:rPr>
          <w:rFonts w:cs="Times New Roman"/>
          <w:color w:val="000000"/>
          <w:szCs w:val="20"/>
        </w:rPr>
        <w:t>OH)</w:t>
      </w:r>
      <w:r>
        <w:rPr>
          <w:rFonts w:cs="Times New Roman"/>
          <w:color w:val="000000"/>
          <w:szCs w:val="20"/>
          <w:vertAlign w:val="subscript"/>
        </w:rPr>
        <w:t>2</w:t>
      </w:r>
      <w:r>
        <w:rPr>
          <w:rFonts w:cs="Times New Roman"/>
          <w:color w:val="000000"/>
          <w:szCs w:val="20"/>
        </w:rPr>
        <w:t xml:space="preserve"> dispersion to the sample (Giorgi et al., 2002).</w:t>
      </w:r>
    </w:p>
    <w:p w14:paraId="2A6D5F2B" w14:textId="77777777" w:rsidR="002F77B7" w:rsidRDefault="002F77B7" w:rsidP="002F77B7">
      <w:pPr>
        <w:pStyle w:val="CRMExample"/>
        <w:ind w:left="1667" w:firstLine="0"/>
        <w:rPr>
          <w:color w:val="000000"/>
          <w:lang w:val="en-US"/>
        </w:rPr>
      </w:pPr>
    </w:p>
    <w:p w14:paraId="40E8C552" w14:textId="77777777" w:rsidR="002F77B7" w:rsidRDefault="002F77B7" w:rsidP="002F77B7">
      <w:pPr>
        <w:pStyle w:val="CRMDescriptionLabel"/>
        <w:rPr>
          <w:color w:val="000000"/>
        </w:rPr>
      </w:pPr>
      <w:r>
        <w:rPr>
          <w:rFonts w:cs="Times New Roman"/>
          <w:color w:val="000000"/>
        </w:rPr>
        <w:t>In First Order Logic:</w:t>
      </w:r>
    </w:p>
    <w:p w14:paraId="3CE6A651" w14:textId="77777777" w:rsidR="002F77B7" w:rsidRDefault="002F77B7" w:rsidP="002F77B7">
      <w:pPr>
        <w:pStyle w:val="CRMFirstOrderLogic"/>
        <w:rPr>
          <w:color w:val="000000"/>
        </w:rPr>
      </w:pPr>
      <w:r>
        <w:rPr>
          <w:rFonts w:cs="Times New Roman"/>
          <w:color w:val="000000"/>
        </w:rPr>
        <w:t xml:space="preserve">I11(x) </w:t>
      </w:r>
      <w:r>
        <w:rPr>
          <w:rFonts w:ascii="Cambria Math" w:hAnsi="Cambria Math" w:cs="Times New Roman"/>
          <w:color w:val="000000"/>
        </w:rPr>
        <w:t>⇒ I4(x)</w:t>
      </w:r>
    </w:p>
    <w:p w14:paraId="77874EDC" w14:textId="77777777" w:rsidR="002F77B7" w:rsidRDefault="002F77B7" w:rsidP="002F77B7">
      <w:pPr>
        <w:pStyle w:val="CRMDescriptionLabel"/>
        <w:rPr>
          <w:color w:val="000000"/>
        </w:rPr>
      </w:pPr>
      <w:r>
        <w:rPr>
          <w:rFonts w:cs="Times New Roman"/>
          <w:color w:val="000000"/>
        </w:rPr>
        <w:t>Properties:</w:t>
      </w:r>
    </w:p>
    <w:p w14:paraId="1CE93B2B" w14:textId="77777777" w:rsidR="002F77B7" w:rsidRDefault="002F77B7" w:rsidP="002F77B7">
      <w:pPr>
        <w:pStyle w:val="CRMPropertyofEntity"/>
      </w:pPr>
      <w:hyperlink w:anchor="_toc2244">
        <w:r>
          <w:rPr>
            <w:rStyle w:val="Hyperlink"/>
            <w:color w:val="000000"/>
          </w:rPr>
          <w:t>J24</w:t>
        </w:r>
      </w:hyperlink>
      <w:r>
        <w:rPr>
          <w:color w:val="000000"/>
        </w:rPr>
        <w:t xml:space="preserve"> held at least for (is at least validity of): E52 Time-Span</w:t>
      </w:r>
    </w:p>
    <w:p w14:paraId="3A8FB42B" w14:textId="77777777" w:rsidR="002F77B7" w:rsidRDefault="002F77B7" w:rsidP="002F77B7">
      <w:pPr>
        <w:spacing w:line="276" w:lineRule="auto"/>
      </w:pPr>
    </w:p>
    <w:p w14:paraId="35FF9D67" w14:textId="77777777" w:rsidR="002F77B7" w:rsidRDefault="002F77B7" w:rsidP="002F77B7">
      <w:pPr>
        <w:pStyle w:val="Heading4"/>
        <w:spacing w:line="276" w:lineRule="auto"/>
      </w:pPr>
      <w:r>
        <w:t>TO (NEW)</w:t>
      </w:r>
    </w:p>
    <w:p w14:paraId="2A4652B5" w14:textId="77777777" w:rsidR="002F77B7" w:rsidRPr="00A703AC" w:rsidRDefault="002F77B7" w:rsidP="002F77B7">
      <w:pPr>
        <w:spacing w:line="276" w:lineRule="auto"/>
        <w:rPr>
          <w:rFonts w:ascii="Arial" w:hAnsi="Arial" w:cs="Arial"/>
          <w:b/>
        </w:rPr>
      </w:pPr>
      <w:bookmarkStart w:id="2" w:name="_Toc197516511"/>
      <w:r w:rsidRPr="00A703AC">
        <w:rPr>
          <w:rFonts w:ascii="Arial" w:hAnsi="Arial" w:cs="Arial"/>
          <w:b/>
        </w:rPr>
        <w:t>I11 Situation</w:t>
      </w:r>
      <w:bookmarkEnd w:id="2"/>
    </w:p>
    <w:p w14:paraId="66DFBEDF" w14:textId="77777777" w:rsidR="002F77B7" w:rsidRPr="00A703AC" w:rsidRDefault="002F77B7" w:rsidP="002F77B7">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Subclass of: </w:t>
      </w:r>
    </w:p>
    <w:p w14:paraId="30AA580A" w14:textId="77777777" w:rsidR="002F77B7" w:rsidRPr="00A703AC" w:rsidRDefault="002F77B7" w:rsidP="002F77B7">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I4 Proposition Set</w:t>
      </w:r>
    </w:p>
    <w:p w14:paraId="1200481C" w14:textId="77777777" w:rsidR="002F77B7" w:rsidRPr="00A703AC" w:rsidRDefault="002F77B7" w:rsidP="002F77B7">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Superclass of:</w:t>
      </w:r>
      <w:r w:rsidRPr="00A703AC">
        <w:rPr>
          <w:rFonts w:ascii="Times New Roman" w:eastAsia="Noto Serif CJK SC" w:hAnsi="Times New Roman" w:cs="Times New Roman"/>
          <w:kern w:val="2"/>
          <w:szCs w:val="24"/>
          <w:lang w:val="en-GB" w:eastAsia="zh-CN" w:bidi="hi-IN"/>
        </w:rPr>
        <w:tab/>
      </w:r>
    </w:p>
    <w:p w14:paraId="2FDB10CC" w14:textId="77777777" w:rsidR="002F77B7" w:rsidRPr="00A703AC" w:rsidRDefault="002F77B7" w:rsidP="002F77B7">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S28 Observable Situation</w:t>
      </w:r>
    </w:p>
    <w:p w14:paraId="0220258D" w14:textId="77777777" w:rsidR="002F77B7" w:rsidRDefault="002F77B7" w:rsidP="002F77B7">
      <w:pPr>
        <w:suppressAutoHyphens/>
        <w:spacing w:line="276" w:lineRule="auto"/>
        <w:rPr>
          <w:rFonts w:ascii="Times New Roman" w:eastAsia="Noto Serif CJK SC" w:hAnsi="Times New Roman" w:cs="Lohit Devanagari"/>
          <w:kern w:val="2"/>
          <w:szCs w:val="24"/>
          <w:lang w:val="en-GB" w:eastAsia="zh-CN" w:bidi="hi-IN"/>
        </w:rPr>
      </w:pPr>
    </w:p>
    <w:p w14:paraId="264D319F" w14:textId="77777777" w:rsidR="002F77B7" w:rsidRPr="00A703AC" w:rsidRDefault="002F77B7" w:rsidP="002F77B7">
      <w:pPr>
        <w:pStyle w:val="Heading5"/>
        <w:spacing w:line="276" w:lineRule="auto"/>
        <w:rPr>
          <w:rFonts w:eastAsia="Noto Serif CJK SC"/>
          <w:lang w:val="en-GB" w:eastAsia="zh-CN" w:bidi="hi-IN"/>
        </w:rPr>
      </w:pPr>
      <w:r>
        <w:rPr>
          <w:rFonts w:eastAsia="Noto Serif CJK SC"/>
          <w:lang w:val="en-GB" w:eastAsia="zh-CN" w:bidi="hi-IN"/>
        </w:rPr>
        <w:t>[N.b.: The scope note was not approved by the SIG – HW to SdS to redraft it.]</w:t>
      </w:r>
    </w:p>
    <w:p w14:paraId="7A75585C" w14:textId="77777777" w:rsidR="002F77B7" w:rsidRPr="00A703AC" w:rsidRDefault="002F77B7" w:rsidP="002F77B7">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Scope note:</w:t>
      </w:r>
      <w:r>
        <w:rPr>
          <w:rFonts w:ascii="Times New Roman" w:eastAsia="Noto Serif CJK SC" w:hAnsi="Times New Roman" w:cs="Times New Roman"/>
          <w:kern w:val="2"/>
          <w:szCs w:val="24"/>
          <w:lang w:val="en-GB" w:eastAsia="zh-CN" w:bidi="hi-IN"/>
        </w:rPr>
        <w:t xml:space="preserve"> </w:t>
      </w:r>
    </w:p>
    <w:p w14:paraId="02CBA9BA" w14:textId="77777777" w:rsidR="002F77B7" w:rsidRPr="00A703AC" w:rsidRDefault="002F77B7" w:rsidP="002F77B7">
      <w:pPr>
        <w:suppressAutoHyphens/>
        <w:spacing w:after="170"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This class comprises sets of formal propositions characterizing a particular state of affairs as having certain relations between particular items or within certain ranges or kinds of related </w:t>
      </w:r>
      <w:r w:rsidRPr="00A703AC">
        <w:rPr>
          <w:rFonts w:ascii="Times New Roman" w:eastAsia="Noto Serif CJK SC" w:hAnsi="Times New Roman" w:cs="Times New Roman"/>
          <w:kern w:val="2"/>
          <w:szCs w:val="24"/>
          <w:lang w:val="en-GB" w:eastAsia="zh-CN" w:bidi="hi-IN"/>
        </w:rPr>
        <w:lastRenderedPageBreak/>
        <w:t>entities, over or within a timespan. The respective characterization is in general not regarded as being complete, but as constituting an aspect of interest of an actor. It may capture an observed aspect of a real situation, such as some known “persons A and B have met”, or be used for a question, such as whether “persons A and B have ever met”, or even for negation, such as “</w:t>
      </w:r>
      <w:r w:rsidRPr="00A703AC">
        <w:rPr>
          <w:rFonts w:ascii="Times New Roman" w:eastAsia="Noto Serif CJK SC" w:hAnsi="Times New Roman" w:cs="Times New Roman"/>
          <w:i/>
          <w:iCs/>
          <w:kern w:val="2"/>
          <w:szCs w:val="24"/>
          <w:lang w:val="en-GB" w:eastAsia="zh-CN" w:bidi="hi-IN"/>
        </w:rPr>
        <w:t>persons A and B have met</w:t>
      </w:r>
      <w:r w:rsidRPr="00A703AC">
        <w:rPr>
          <w:rFonts w:ascii="Times New Roman" w:eastAsia="Noto Serif CJK SC" w:hAnsi="Times New Roman" w:cs="Times New Roman"/>
          <w:kern w:val="2"/>
          <w:szCs w:val="24"/>
          <w:lang w:val="en-GB" w:eastAsia="zh-CN" w:bidi="hi-IN"/>
        </w:rPr>
        <w:t xml:space="preserve"> is FALSE”. </w:t>
      </w:r>
    </w:p>
    <w:p w14:paraId="5A3AF20D" w14:textId="77777777" w:rsidR="002F77B7" w:rsidRPr="00A703AC" w:rsidRDefault="002F77B7" w:rsidP="002F77B7">
      <w:pPr>
        <w:suppressAutoHyphens/>
        <w:spacing w:after="170"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Since many kinds of properties in the knowledge representation framework, that the CRM is based on, do not specify times of validity, a particular timespan, further constraining the concerned validity of all referred properties, can optionally be specified using the property </w:t>
      </w:r>
      <w:r w:rsidRPr="00A703AC">
        <w:rPr>
          <w:rFonts w:ascii="Times New Roman" w:eastAsia="Noto Serif CJK SC" w:hAnsi="Times New Roman" w:cs="Times New Roman"/>
          <w:i/>
          <w:iCs/>
          <w:kern w:val="2"/>
          <w:szCs w:val="24"/>
          <w:lang w:val="en-GB" w:eastAsia="zh-CN" w:bidi="hi-IN"/>
        </w:rPr>
        <w:t>J24 held at least for (is at least validity of)</w:t>
      </w:r>
      <w:r w:rsidRPr="00A703AC">
        <w:rPr>
          <w:rFonts w:ascii="Times New Roman" w:eastAsia="Noto Serif CJK SC" w:hAnsi="Times New Roman" w:cs="Times New Roman"/>
          <w:kern w:val="2"/>
          <w:szCs w:val="24"/>
          <w:lang w:val="en-GB" w:eastAsia="zh-CN" w:bidi="hi-IN"/>
        </w:rPr>
        <w:t xml:space="preserve">. The identity of an instance of I11 Situation is given its total content f propositions, regardless of encoding, or the value for the property </w:t>
      </w:r>
      <w:r w:rsidRPr="00A703AC">
        <w:rPr>
          <w:rFonts w:ascii="Times New Roman" w:eastAsia="Noto Serif CJK SC" w:hAnsi="Times New Roman" w:cs="Times New Roman"/>
          <w:i/>
          <w:iCs/>
          <w:kern w:val="2"/>
          <w:szCs w:val="24"/>
          <w:lang w:val="en-GB" w:eastAsia="zh-CN" w:bidi="hi-IN"/>
        </w:rPr>
        <w:t>J24 held at least for (is at least validity of)</w:t>
      </w:r>
      <w:r w:rsidRPr="00A703AC">
        <w:rPr>
          <w:rFonts w:ascii="Times New Roman" w:eastAsia="Noto Serif CJK SC" w:hAnsi="Times New Roman" w:cs="Times New Roman"/>
          <w:kern w:val="2"/>
          <w:szCs w:val="24"/>
          <w:lang w:val="en-GB" w:eastAsia="zh-CN" w:bidi="hi-IN"/>
        </w:rPr>
        <w:t>, if used. If an instance of I11 Situation is used to characterize an observation, its temporal validity is necessarily constrained at least to the period of observation</w:t>
      </w:r>
      <w:r w:rsidRPr="00A703AC">
        <w:rPr>
          <w:rFonts w:ascii="Times New Roman" w:eastAsia="Noto Serif CJK SC" w:hAnsi="Times New Roman" w:cs="Times New Roman"/>
          <w:color w:val="000000"/>
          <w:kern w:val="2"/>
          <w:lang w:val="en-GB" w:eastAsia="zh-CN" w:bidi="hi-IN"/>
        </w:rPr>
        <w:t xml:space="preserve">. </w:t>
      </w:r>
    </w:p>
    <w:p w14:paraId="2264C062" w14:textId="77777777" w:rsidR="002F77B7" w:rsidRPr="00A703AC" w:rsidRDefault="002F77B7" w:rsidP="002F77B7">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Examples:</w:t>
      </w:r>
    </w:p>
    <w:p w14:paraId="0E352A0D" w14:textId="77777777" w:rsidR="002F77B7" w:rsidRPr="00A703AC" w:rsidRDefault="002F77B7" w:rsidP="002F77B7">
      <w:pPr>
        <w:numPr>
          <w:ilvl w:val="0"/>
          <w:numId w:val="1"/>
        </w:numPr>
        <w:suppressAutoHyphens/>
        <w:spacing w:line="276" w:lineRule="auto"/>
        <w:ind w:left="1667" w:hanging="227"/>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 xml:space="preserve">the persistence of the value of the pH for sample XIV during the period of the pH measurement, which took place one month after the application of </w:t>
      </w:r>
      <w:proofErr w:type="gramStart"/>
      <w:r w:rsidRPr="00A703AC">
        <w:rPr>
          <w:rFonts w:ascii="Times New Roman" w:eastAsia="Noto Serif CJK SC" w:hAnsi="Times New Roman" w:cs="Times New Roman"/>
          <w:kern w:val="2"/>
          <w:lang w:val="en-GB" w:eastAsia="zh-CN" w:bidi="hi-IN"/>
        </w:rPr>
        <w:t>Ca(</w:t>
      </w:r>
      <w:proofErr w:type="gramEnd"/>
      <w:r w:rsidRPr="00A703AC">
        <w:rPr>
          <w:rFonts w:ascii="Times New Roman" w:eastAsia="Noto Serif CJK SC" w:hAnsi="Times New Roman" w:cs="Times New Roman"/>
          <w:kern w:val="2"/>
          <w:lang w:val="en-GB" w:eastAsia="zh-CN" w:bidi="hi-IN"/>
        </w:rPr>
        <w:t>OH)2 dispersion to the sample (Giorgi et al., 2002)</w:t>
      </w:r>
    </w:p>
    <w:p w14:paraId="289ADBE9" w14:textId="77777777" w:rsidR="002F77B7" w:rsidRPr="00A703AC" w:rsidRDefault="002F77B7" w:rsidP="002F77B7">
      <w:pPr>
        <w:numPr>
          <w:ilvl w:val="0"/>
          <w:numId w:val="1"/>
        </w:numPr>
        <w:suppressAutoHyphens/>
        <w:spacing w:line="276" w:lineRule="auto"/>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The situation reported by Shaykh Abu Abdallah (Ibn Battuta) about his visit to Cairo, Egypt, in 1326AD: “As for the Maristan [hospital], which lies "between the two castles" near the mausoleum of Sultan Qala'un, no description is adequate to its beauties. It contains an innumerable quantity of appliances and medicaments, and its daily revenue is put as high as a thousand dinars.”</w:t>
      </w:r>
    </w:p>
    <w:p w14:paraId="57F35368" w14:textId="77777777" w:rsidR="002F77B7" w:rsidRPr="00A703AC" w:rsidRDefault="002F77B7" w:rsidP="002F77B7">
      <w:pPr>
        <w:suppressAutoHyphens/>
        <w:spacing w:line="276" w:lineRule="auto"/>
        <w:ind w:left="1644"/>
        <w:rPr>
          <w:rFonts w:ascii="Times New Roman" w:eastAsia="Noto Serif CJK SC" w:hAnsi="Times New Roman" w:cs="Times New Roman"/>
          <w:kern w:val="2"/>
          <w:lang w:val="en-GB" w:eastAsia="zh-CN" w:bidi="hi-IN"/>
        </w:rPr>
      </w:pPr>
      <w:r w:rsidRPr="00A703AC">
        <w:rPr>
          <w:rFonts w:ascii="Times New Roman" w:eastAsia="Noto Serif CJK SC" w:hAnsi="Times New Roman" w:cs="Times New Roman"/>
          <w:kern w:val="2"/>
          <w:lang w:val="en-GB" w:eastAsia="zh-CN" w:bidi="hi-IN"/>
        </w:rPr>
        <w:t>[After the translation by H.A.R Gibb 1926 of the travel report by Ibn Battuta, from Tanger, Marocco. The Maristan exists still today, but this is the original report about its operation by an eye witness in the year 1326. The reported revenue came from donations. The treatment was free.]  (Gibb 1926, pp. 50-51)</w:t>
      </w:r>
    </w:p>
    <w:p w14:paraId="2CD3ADD9" w14:textId="77777777" w:rsidR="002F77B7" w:rsidRPr="00A703AC" w:rsidRDefault="002F77B7" w:rsidP="002F77B7">
      <w:pPr>
        <w:numPr>
          <w:ilvl w:val="0"/>
          <w:numId w:val="1"/>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situation reported by Shaykh Abu Abdallah (Ibn Battuta) about his visit to China, in </w:t>
      </w:r>
      <w:r w:rsidRPr="00A703AC">
        <w:rPr>
          <w:rFonts w:ascii="Times New Roman" w:eastAsia="Noto Serif CJK SC" w:hAnsi="Times New Roman" w:cs="Lohit Devanagari"/>
          <w:kern w:val="2"/>
          <w:szCs w:val="24"/>
          <w:lang w:val="en-GB" w:eastAsia="zh-CN" w:bidi="hi-IN"/>
        </w:rPr>
        <w:t>1345-1346 AD</w:t>
      </w:r>
      <w:r w:rsidRPr="00A703AC">
        <w:rPr>
          <w:rFonts w:ascii="Times New Roman" w:eastAsia="Noto Serif CJK SC" w:hAnsi="Times New Roman" w:cs="Lohit Devanagari"/>
          <w:color w:val="000000"/>
          <w:kern w:val="2"/>
          <w:szCs w:val="24"/>
          <w:lang w:val="en-GB" w:eastAsia="zh-CN" w:bidi="hi-IN"/>
        </w:rPr>
        <w:t>: “In every Chinese city there is a quarter for Muslims in which they live by themselves, and in which they have mosques both for the Friday services and for other religious purposes. The Muslims arc honoured and respected.”</w:t>
      </w:r>
    </w:p>
    <w:p w14:paraId="4FC13B58"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kern w:val="2"/>
          <w:szCs w:val="24"/>
          <w:lang w:val="en-GB" w:eastAsia="zh-CN" w:bidi="hi-IN"/>
        </w:rPr>
        <w:t>[After the translation by H.A.R Gibb 1926 of the travel report by Ibn Battuta, from Tanger, Marocco. Ibn Battuta visited China, at least the cities of Quanzhou and Hangzhou, in the year 1345-1346] (Gibb 1926, pp. 283)</w:t>
      </w:r>
    </w:p>
    <w:p w14:paraId="430E6CD2" w14:textId="77777777" w:rsidR="002F77B7" w:rsidRPr="00A703AC" w:rsidRDefault="002F77B7" w:rsidP="002F77B7">
      <w:pPr>
        <w:numPr>
          <w:ilvl w:val="0"/>
          <w:numId w:val="1"/>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 The situation reported by Seydi Ali Reis arriving with the remainder of his fleet in Surat, Gujarat, India in 1554AD: Sultan Ahmad Shah III, the 12-year-old new ruler of Gujarat, being at war with the usurper Nasir-ul-Mulk Khan at Burudj. Nasir-ul-Mulk Khan having allied with Portuguese colonies Goa. Melek Essed being commander of Daman, Gujarat, India and Hamza Agha commander of Surat under Sultan Ahmad. The Portuguese being at war with the Ottoman Empire over the control of the Indian Ocean. Sultan Ahmad seeking support by Seydi Ali Reis’ soldiers.</w:t>
      </w:r>
    </w:p>
    <w:p w14:paraId="1B718391"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[Seydi Ali Reis (or Katib-I Rumi) (1498-1563), admiral of Egypt of the Ottoman Empire under Suleiman I was ordered to transfer a fleet of 15 galleys from Basra, Irak, to Egypt, and driven by heavy storms to the coast of Gujarat. In his book “The Mirror of Countries”, 1557, he reported this expedition and his return home by land through Central Asia. This is a short summary from the German translation pp. 173-176 (Diez 1815)]</w:t>
      </w:r>
    </w:p>
    <w:p w14:paraId="6CD10BE5" w14:textId="77777777" w:rsidR="002F77B7" w:rsidRPr="00A703AC" w:rsidRDefault="002F77B7" w:rsidP="002F77B7">
      <w:pPr>
        <w:numPr>
          <w:ilvl w:val="0"/>
          <w:numId w:val="1"/>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 The situation reported by Antonio Pigafetta from Magellan’s voyage at 21st of October 1520, about at S 52°24’ W 69°30’: “This strait was a round place surrounded by mountains, as I have said, and the greater number of the sailors thought that there was no place by which to go out </w:t>
      </w:r>
      <w:r w:rsidRPr="00A703AC">
        <w:rPr>
          <w:rFonts w:ascii="Times New Roman" w:eastAsia="Noto Serif CJK SC" w:hAnsi="Times New Roman" w:cs="Lohit Devanagari"/>
          <w:color w:val="000000"/>
          <w:kern w:val="2"/>
          <w:szCs w:val="24"/>
          <w:lang w:val="en-GB" w:eastAsia="zh-CN" w:bidi="hi-IN"/>
        </w:rPr>
        <w:lastRenderedPageBreak/>
        <w:t>thence to enter into the peaceful sea. But the captain-general said that there was another strait for going out, and said that he knew it well, because he had seen it by a marine chart of the King of Portugal, which map had been made by a great pilot and mariner named Martin of Bohemia”. (Pigafetta and Stanley, 1874: 58)</w:t>
      </w:r>
    </w:p>
    <w:p w14:paraId="2AC22F34"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[Antonio Pigafetta was the chronicler of the voyage, one of the survivors. During the expedition, he served as Magellan's assistant until Magellan's death in the Philippine Islands, and kept an accurate journal (‘Antonio Pigafetta’, 2024).]</w:t>
      </w:r>
    </w:p>
    <w:p w14:paraId="76999DA7" w14:textId="77777777" w:rsidR="002F77B7" w:rsidRPr="00A703AC" w:rsidRDefault="002F77B7" w:rsidP="002F77B7">
      <w:pPr>
        <w:numPr>
          <w:ilvl w:val="0"/>
          <w:numId w:val="1"/>
        </w:numPr>
        <w:pBdr>
          <w:top w:val="nil"/>
          <w:left w:val="nil"/>
          <w:bottom w:val="nil"/>
          <w:right w:val="nil"/>
          <w:between w:val="nil"/>
        </w:pBdr>
        <w:suppressAutoHyphens/>
        <w:spacing w:line="276" w:lineRule="auto"/>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proposition set with content:</w:t>
      </w:r>
    </w:p>
    <w:p w14:paraId="7E41FF9B"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content of the La Tomba dell'Aryballos sospeso at the time of its opening (E24 Physical Human-Made Thing) is composed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burial arrangement in La Tomba dell'Aryballos sospeso on the left bench (E22 Human-Made Object).</w:t>
      </w:r>
    </w:p>
    <w:p w14:paraId="44F7EBE6"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burial arrangement in La Tomba dell'Aryballos sospeso on the left bench (E22 Human-Made Object) is composed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spear found in La Tomba dell'Aryballos sospeso (E22 Human-Made Object).</w:t>
      </w:r>
    </w:p>
    <w:p w14:paraId="7621A381"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skeleton in La Tomba dell'Aryballos sospeso on the left bench (E20 Biological Object) forms part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burial arrangement in La Tomba dell'Aryballos sospeso on the left bench (E22 Human-Made Object).</w:t>
      </w:r>
    </w:p>
    <w:p w14:paraId="038A7A9C"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xml:space="preserve">The skeleton in La Tomba dell'Aryballos sospeso on the right bench (E20 Biological Object) forms part of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content of the La Tomba dell'Aryballos sospeso at the time of its opening (E24 Physical Human-Made Thing).</w:t>
      </w:r>
    </w:p>
    <w:p w14:paraId="728E7821"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bookmarkStart w:id="3" w:name="_heading=h.vi2cp0mjmzzx" w:colFirst="0" w:colLast="0"/>
      <w:bookmarkEnd w:id="3"/>
      <w:r w:rsidRPr="00A703AC">
        <w:rPr>
          <w:rFonts w:ascii="Times New Roman" w:eastAsia="Noto Serif CJK SC" w:hAnsi="Times New Roman" w:cs="Lohit Devanagari"/>
          <w:color w:val="000000"/>
          <w:kern w:val="2"/>
          <w:szCs w:val="24"/>
          <w:lang w:val="en-GB" w:eastAsia="zh-CN" w:bidi="hi-IN"/>
        </w:rPr>
        <w:t xml:space="preserve">The content of the La Tomba dell'Aryballos sospeso at the time of its opening (E24 Physical Human-Made Thing) has condition </w:t>
      </w:r>
      <w:proofErr w:type="gramStart"/>
      <w:r w:rsidRPr="00A703AC">
        <w:rPr>
          <w:rFonts w:ascii="Times New Roman" w:eastAsia="Noto Serif CJK SC" w:hAnsi="Times New Roman" w:cs="Lohit Devanagari"/>
          <w:color w:val="000000"/>
          <w:kern w:val="2"/>
          <w:szCs w:val="24"/>
          <w:lang w:val="en-GB" w:eastAsia="zh-CN" w:bidi="hi-IN"/>
        </w:rPr>
        <w:t>The</w:t>
      </w:r>
      <w:proofErr w:type="gramEnd"/>
      <w:r w:rsidRPr="00A703AC">
        <w:rPr>
          <w:rFonts w:ascii="Times New Roman" w:eastAsia="Noto Serif CJK SC" w:hAnsi="Times New Roman" w:cs="Lohit Devanagari"/>
          <w:color w:val="000000"/>
          <w:kern w:val="2"/>
          <w:szCs w:val="24"/>
          <w:lang w:val="en-GB" w:eastAsia="zh-CN" w:bidi="hi-IN"/>
        </w:rPr>
        <w:t xml:space="preserve"> condition of the content of the La Tomba dell'Aryballos sospeso from its sealing to its opening (E3 Condition State).</w:t>
      </w:r>
    </w:p>
    <w:p w14:paraId="5EA37270"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condition of the content of the La Tomba dell'Aryballos sospeso from its sealing to its opening (E3 Condition State) has type ‘intact’ (E55 Type).</w:t>
      </w:r>
    </w:p>
    <w:p w14:paraId="3F6A149E"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condition of the content of the La Tomba dell'Aryballos sospeso from its sealing to its opening (E3 Condition State) has time-span The time-span of La Tomba dell'Aryballos sospeso from its sealing to its opening (E52 Time-Span).</w:t>
      </w:r>
    </w:p>
    <w:p w14:paraId="63A5DABF"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The time-span of La Tomba dell'Aryballos sospeso from its sealing to its opening (E52 Time-Span) ongoing throughout 570 BCE – 09-21-2013 CE (E61 Time Primitive).</w:t>
      </w:r>
    </w:p>
    <w:p w14:paraId="6CC5BA0F" w14:textId="77777777" w:rsidR="002F77B7" w:rsidRPr="00A703AC" w:rsidRDefault="002F77B7" w:rsidP="002F77B7">
      <w:pPr>
        <w:pBdr>
          <w:top w:val="nil"/>
          <w:left w:val="nil"/>
          <w:bottom w:val="nil"/>
          <w:right w:val="nil"/>
          <w:between w:val="nil"/>
        </w:pBdr>
        <w:suppressAutoHyphens/>
        <w:spacing w:line="276" w:lineRule="auto"/>
        <w:ind w:left="1644"/>
        <w:rPr>
          <w:rFonts w:ascii="Times New Roman" w:eastAsia="Noto Serif CJK SC" w:hAnsi="Times New Roman" w:cs="Lohit Devanagari"/>
          <w:color w:val="000000"/>
          <w:kern w:val="2"/>
          <w:szCs w:val="24"/>
          <w:lang w:val="en-GB" w:eastAsia="zh-CN" w:bidi="hi-IN"/>
        </w:rPr>
      </w:pPr>
      <w:r w:rsidRPr="00A703AC">
        <w:rPr>
          <w:rFonts w:ascii="Times New Roman" w:eastAsia="Noto Serif CJK SC" w:hAnsi="Times New Roman" w:cs="Lohit Devanagari"/>
          <w:color w:val="000000"/>
          <w:kern w:val="2"/>
          <w:szCs w:val="24"/>
          <w:lang w:val="en-GB" w:eastAsia="zh-CN" w:bidi="hi-IN"/>
        </w:rPr>
        <w:t>} (I11) (Mandolesi 2013)</w:t>
      </w:r>
    </w:p>
    <w:p w14:paraId="787FC822" w14:textId="77777777" w:rsidR="002F77B7" w:rsidRPr="00A703AC" w:rsidRDefault="002F77B7" w:rsidP="002F77B7">
      <w:pPr>
        <w:suppressAutoHyphens/>
        <w:spacing w:line="276" w:lineRule="auto"/>
        <w:ind w:left="1644"/>
        <w:rPr>
          <w:rFonts w:ascii="Times New Roman" w:eastAsia="Noto Serif CJK SC" w:hAnsi="Times New Roman" w:cs="Times New Roman"/>
          <w:kern w:val="2"/>
          <w:lang w:val="en-GB" w:eastAsia="zh-CN" w:bidi="hi-IN"/>
        </w:rPr>
      </w:pPr>
      <w:r w:rsidRPr="00A703AC">
        <w:rPr>
          <w:rFonts w:ascii="Times New Roman" w:eastAsia="Noto Serif CJK SC" w:hAnsi="Times New Roman" w:cs="Lohit Devanagari"/>
          <w:color w:val="000000"/>
          <w:kern w:val="2"/>
          <w:szCs w:val="24"/>
          <w:lang w:val="en-GB" w:eastAsia="zh-CN" w:bidi="hi-IN"/>
        </w:rPr>
        <w:t>[This Situation is the strict result of an observation, except for the duration of the condition of “being intact”</w:t>
      </w:r>
      <w:r w:rsidRPr="00A703AC">
        <w:rPr>
          <w:rFonts w:ascii="Times New Roman" w:eastAsia="Noto Serif CJK SC" w:hAnsi="Times New Roman" w:cs="Lohit Devanagari"/>
          <w:color w:val="000000"/>
          <w:kern w:val="2"/>
          <w:szCs w:val="24"/>
          <w:lang w:val="el-GR" w:eastAsia="zh-CN" w:bidi="hi-IN"/>
        </w:rPr>
        <w:t>.</w:t>
      </w:r>
      <w:r w:rsidRPr="00A703AC">
        <w:rPr>
          <w:rFonts w:ascii="Times New Roman" w:eastAsia="Noto Serif CJK SC" w:hAnsi="Times New Roman" w:cs="Lohit Devanagari"/>
          <w:color w:val="000000"/>
          <w:kern w:val="2"/>
          <w:szCs w:val="24"/>
          <w:lang w:val="en-GB" w:eastAsia="zh-CN" w:bidi="hi-IN"/>
        </w:rPr>
        <w:t>]</w:t>
      </w:r>
    </w:p>
    <w:p w14:paraId="592DB5C3" w14:textId="77777777" w:rsidR="002F77B7" w:rsidRPr="00A703AC" w:rsidRDefault="002F77B7" w:rsidP="002F77B7">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In First Order Logic:</w:t>
      </w:r>
    </w:p>
    <w:p w14:paraId="49A2EBF5" w14:textId="77777777" w:rsidR="002F77B7" w:rsidRPr="00A703AC" w:rsidRDefault="002F77B7" w:rsidP="002F77B7">
      <w:pPr>
        <w:suppressAutoHyphens/>
        <w:spacing w:line="276" w:lineRule="auto"/>
        <w:ind w:left="1440"/>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 xml:space="preserve">I11(x) </w:t>
      </w:r>
      <w:r w:rsidRPr="00A703AC">
        <w:rPr>
          <w:rFonts w:ascii="Cambria Math" w:eastAsia="Noto Serif CJK SC" w:hAnsi="Cambria Math" w:cs="Cambria Math"/>
          <w:kern w:val="2"/>
          <w:szCs w:val="24"/>
          <w:lang w:val="en-GB" w:eastAsia="zh-CN" w:bidi="hi-IN"/>
        </w:rPr>
        <w:t>⇒</w:t>
      </w:r>
      <w:r w:rsidRPr="00A703AC">
        <w:rPr>
          <w:rFonts w:ascii="Times New Roman" w:eastAsia="Noto Serif CJK SC" w:hAnsi="Times New Roman" w:cs="Times New Roman"/>
          <w:kern w:val="2"/>
          <w:szCs w:val="24"/>
          <w:lang w:val="en-GB" w:eastAsia="zh-CN" w:bidi="hi-IN"/>
        </w:rPr>
        <w:t xml:space="preserve"> I4(x)</w:t>
      </w:r>
    </w:p>
    <w:p w14:paraId="0A42E1FC" w14:textId="77777777" w:rsidR="002F77B7" w:rsidRPr="00A703AC" w:rsidRDefault="002F77B7" w:rsidP="002F77B7">
      <w:pPr>
        <w:keepNext/>
        <w:suppressAutoHyphens/>
        <w:spacing w:before="170" w:line="276" w:lineRule="auto"/>
        <w:rPr>
          <w:rFonts w:ascii="Times New Roman" w:eastAsia="Noto Serif CJK SC" w:hAnsi="Times New Roman" w:cs="Times New Roman"/>
          <w:kern w:val="2"/>
          <w:szCs w:val="24"/>
          <w:lang w:val="en-GB" w:eastAsia="zh-CN" w:bidi="hi-IN"/>
        </w:rPr>
      </w:pPr>
      <w:r w:rsidRPr="00A703AC">
        <w:rPr>
          <w:rFonts w:ascii="Times New Roman" w:eastAsia="Noto Serif CJK SC" w:hAnsi="Times New Roman" w:cs="Times New Roman"/>
          <w:kern w:val="2"/>
          <w:szCs w:val="24"/>
          <w:lang w:val="en-GB" w:eastAsia="zh-CN" w:bidi="hi-IN"/>
        </w:rPr>
        <w:t>Properties:</w:t>
      </w:r>
    </w:p>
    <w:p w14:paraId="42E43B11" w14:textId="77777777" w:rsidR="002F77B7" w:rsidRPr="00A703AC" w:rsidRDefault="002F77B7" w:rsidP="002F77B7">
      <w:pPr>
        <w:suppressAutoHyphens/>
        <w:spacing w:line="276" w:lineRule="auto"/>
        <w:ind w:left="1440"/>
        <w:rPr>
          <w:rFonts w:ascii="Times New Roman" w:eastAsia="Noto Serif CJK SC" w:hAnsi="Times New Roman" w:cs="Lohit Devanagari"/>
          <w:kern w:val="2"/>
          <w:szCs w:val="24"/>
          <w:lang w:val="en-GB" w:eastAsia="zh-CN" w:bidi="hi-IN"/>
        </w:rPr>
      </w:pPr>
      <w:r w:rsidRPr="00A703AC">
        <w:rPr>
          <w:rFonts w:ascii="Times New Roman" w:eastAsia="Noto Serif CJK SC" w:hAnsi="Times New Roman" w:cs="Lohit Devanagari"/>
          <w:kern w:val="2"/>
          <w:szCs w:val="24"/>
          <w:lang w:val="en-GB" w:eastAsia="zh-CN" w:bidi="hi-IN"/>
        </w:rPr>
        <w:t>J24 held at least for (is at least validity of): E52 Time-Span</w:t>
      </w:r>
    </w:p>
    <w:p w14:paraId="07440F37" w14:textId="77777777" w:rsidR="006C0313" w:rsidRDefault="006C0313"/>
    <w:sectPr w:rsidR="006C0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960A9"/>
    <w:multiLevelType w:val="multilevel"/>
    <w:tmpl w:val="1CD0DAC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 w15:restartNumberingAfterBreak="0">
    <w:nsid w:val="65571761"/>
    <w:multiLevelType w:val="multilevel"/>
    <w:tmpl w:val="1032CEB2"/>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num w:numId="1" w16cid:durableId="1861623179">
    <w:abstractNumId w:val="0"/>
  </w:num>
  <w:num w:numId="2" w16cid:durableId="1597131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C0"/>
    <w:rsid w:val="000731C0"/>
    <w:rsid w:val="002F77B7"/>
    <w:rsid w:val="00590DE6"/>
    <w:rsid w:val="006C0313"/>
    <w:rsid w:val="00D101B5"/>
    <w:rsid w:val="00D109EF"/>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CAF6B-C748-48FD-94A2-29D9C6F2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B7"/>
    <w:pPr>
      <w:spacing w:after="0" w:line="240" w:lineRule="auto"/>
    </w:pPr>
    <w:rPr>
      <w:rFonts w:ascii="Calibri" w:hAnsi="Calibri" w:cs="Calibri"/>
      <w:kern w:val="0"/>
      <w:sz w:val="20"/>
      <w:szCs w:val="20"/>
      <w:lang w:bidi="ar-SA"/>
      <w14:ligatures w14:val="none"/>
    </w:rPr>
  </w:style>
  <w:style w:type="paragraph" w:styleId="Heading1">
    <w:name w:val="heading 1"/>
    <w:basedOn w:val="Normal"/>
    <w:next w:val="Normal"/>
    <w:link w:val="Heading1Char"/>
    <w:uiPriority w:val="9"/>
    <w:qFormat/>
    <w:rsid w:val="000731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31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731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731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731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31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1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1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1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1C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731C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0731C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0731C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rsid w:val="000731C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731C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731C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731C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731C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731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1C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73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1C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731C0"/>
    <w:pPr>
      <w:spacing w:before="160"/>
      <w:jc w:val="center"/>
    </w:pPr>
    <w:rPr>
      <w:i/>
      <w:iCs/>
      <w:color w:val="404040" w:themeColor="text1" w:themeTint="BF"/>
    </w:rPr>
  </w:style>
  <w:style w:type="character" w:customStyle="1" w:styleId="QuoteChar">
    <w:name w:val="Quote Char"/>
    <w:basedOn w:val="DefaultParagraphFont"/>
    <w:link w:val="Quote"/>
    <w:uiPriority w:val="29"/>
    <w:rsid w:val="000731C0"/>
    <w:rPr>
      <w:i/>
      <w:iCs/>
      <w:color w:val="404040" w:themeColor="text1" w:themeTint="BF"/>
      <w:lang w:val="en-GB"/>
    </w:rPr>
  </w:style>
  <w:style w:type="paragraph" w:styleId="ListParagraph">
    <w:name w:val="List Paragraph"/>
    <w:basedOn w:val="Normal"/>
    <w:uiPriority w:val="34"/>
    <w:qFormat/>
    <w:rsid w:val="000731C0"/>
    <w:pPr>
      <w:ind w:left="720"/>
      <w:contextualSpacing/>
    </w:pPr>
  </w:style>
  <w:style w:type="character" w:styleId="IntenseEmphasis">
    <w:name w:val="Intense Emphasis"/>
    <w:basedOn w:val="DefaultParagraphFont"/>
    <w:uiPriority w:val="21"/>
    <w:qFormat/>
    <w:rsid w:val="000731C0"/>
    <w:rPr>
      <w:i/>
      <w:iCs/>
      <w:color w:val="2F5496" w:themeColor="accent1" w:themeShade="BF"/>
    </w:rPr>
  </w:style>
  <w:style w:type="paragraph" w:styleId="IntenseQuote">
    <w:name w:val="Intense Quote"/>
    <w:basedOn w:val="Normal"/>
    <w:next w:val="Normal"/>
    <w:link w:val="IntenseQuoteChar"/>
    <w:uiPriority w:val="30"/>
    <w:qFormat/>
    <w:rsid w:val="00073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31C0"/>
    <w:rPr>
      <w:i/>
      <w:iCs/>
      <w:color w:val="2F5496" w:themeColor="accent1" w:themeShade="BF"/>
      <w:lang w:val="en-GB"/>
    </w:rPr>
  </w:style>
  <w:style w:type="character" w:styleId="IntenseReference">
    <w:name w:val="Intense Reference"/>
    <w:basedOn w:val="DefaultParagraphFont"/>
    <w:uiPriority w:val="32"/>
    <w:qFormat/>
    <w:rsid w:val="000731C0"/>
    <w:rPr>
      <w:b/>
      <w:bCs/>
      <w:smallCaps/>
      <w:color w:val="2F5496" w:themeColor="accent1" w:themeShade="BF"/>
      <w:spacing w:val="5"/>
    </w:rPr>
  </w:style>
  <w:style w:type="character" w:styleId="Hyperlink">
    <w:name w:val="Hyperlink"/>
    <w:basedOn w:val="DefaultParagraphFont"/>
    <w:uiPriority w:val="99"/>
    <w:unhideWhenUsed/>
    <w:rsid w:val="002F77B7"/>
    <w:rPr>
      <w:color w:val="0563C1" w:themeColor="hyperlink"/>
      <w:u w:val="single"/>
    </w:rPr>
  </w:style>
  <w:style w:type="paragraph" w:customStyle="1" w:styleId="CRMDescriptionLabel">
    <w:name w:val="CRM Description Label"/>
    <w:basedOn w:val="BodyText"/>
    <w:qFormat/>
    <w:rsid w:val="002F77B7"/>
    <w:pPr>
      <w:keepNext/>
      <w:suppressAutoHyphens/>
      <w:spacing w:before="170" w:after="0" w:line="276" w:lineRule="auto"/>
    </w:pPr>
    <w:rPr>
      <w:rFonts w:ascii="Times New Roman" w:eastAsia="Noto Serif CJK SC" w:hAnsi="Times New Roman" w:cs="Lohit Devanagari"/>
      <w:kern w:val="2"/>
      <w:szCs w:val="24"/>
      <w:lang w:val="en-GB" w:eastAsia="zh-CN" w:bidi="hi-IN"/>
    </w:rPr>
  </w:style>
  <w:style w:type="paragraph" w:customStyle="1" w:styleId="CRMExample">
    <w:name w:val="CRM Example"/>
    <w:basedOn w:val="BodyText"/>
    <w:qFormat/>
    <w:rsid w:val="002F77B7"/>
    <w:pPr>
      <w:suppressAutoHyphens/>
      <w:spacing w:after="0" w:line="276" w:lineRule="auto"/>
      <w:ind w:left="1440" w:hanging="283"/>
    </w:pPr>
    <w:rPr>
      <w:rFonts w:ascii="Times New Roman" w:eastAsia="Noto Serif CJK SC" w:hAnsi="Times New Roman" w:cs="Lohit Devanagari"/>
      <w:kern w:val="2"/>
      <w:szCs w:val="24"/>
      <w:lang w:val="en-GB" w:eastAsia="zh-CN" w:bidi="hi-IN"/>
    </w:rPr>
  </w:style>
  <w:style w:type="paragraph" w:customStyle="1" w:styleId="CRMFirstOrderLogic">
    <w:name w:val="CRM First Order Logic"/>
    <w:basedOn w:val="BodyText"/>
    <w:qFormat/>
    <w:rsid w:val="002F77B7"/>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ScopeNoteText">
    <w:name w:val="CRM Scope Note Text"/>
    <w:basedOn w:val="BodyText"/>
    <w:qFormat/>
    <w:rsid w:val="002F77B7"/>
    <w:pPr>
      <w:suppressAutoHyphens/>
      <w:spacing w:after="170" w:line="276" w:lineRule="auto"/>
      <w:ind w:left="1440"/>
    </w:pPr>
    <w:rPr>
      <w:rFonts w:ascii="Times New Roman" w:eastAsia="Noto Serif CJK SC" w:hAnsi="Times New Roman" w:cs="Lohit Devanagari"/>
      <w:kern w:val="2"/>
      <w:szCs w:val="24"/>
      <w:lang w:val="en-GB" w:eastAsia="zh-CN" w:bidi="hi-IN"/>
    </w:rPr>
  </w:style>
  <w:style w:type="paragraph" w:customStyle="1" w:styleId="CRMPropertyofEntity">
    <w:name w:val="CRM Property of Entity"/>
    <w:basedOn w:val="BodyText"/>
    <w:qFormat/>
    <w:rsid w:val="002F77B7"/>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customStyle="1" w:styleId="CRMSuperSubClass">
    <w:name w:val="CRM Super Sub Class"/>
    <w:basedOn w:val="BodyText"/>
    <w:qFormat/>
    <w:rsid w:val="002F77B7"/>
    <w:pPr>
      <w:suppressAutoHyphens/>
      <w:spacing w:after="0" w:line="276" w:lineRule="auto"/>
      <w:ind w:left="1440"/>
    </w:pPr>
    <w:rPr>
      <w:rFonts w:ascii="Times New Roman" w:eastAsia="Noto Serif CJK SC" w:hAnsi="Times New Roman" w:cs="Lohit Devanagari"/>
      <w:kern w:val="2"/>
      <w:szCs w:val="24"/>
      <w:lang w:val="en-GB" w:eastAsia="zh-CN" w:bidi="hi-IN"/>
    </w:rPr>
  </w:style>
  <w:style w:type="paragraph" w:styleId="BodyText">
    <w:name w:val="Body Text"/>
    <w:basedOn w:val="Normal"/>
    <w:link w:val="BodyTextChar"/>
    <w:uiPriority w:val="99"/>
    <w:semiHidden/>
    <w:unhideWhenUsed/>
    <w:rsid w:val="002F77B7"/>
    <w:pPr>
      <w:spacing w:after="120"/>
    </w:pPr>
  </w:style>
  <w:style w:type="character" w:customStyle="1" w:styleId="BodyTextChar">
    <w:name w:val="Body Text Char"/>
    <w:basedOn w:val="DefaultParagraphFont"/>
    <w:link w:val="BodyText"/>
    <w:uiPriority w:val="99"/>
    <w:semiHidden/>
    <w:rsid w:val="002F77B7"/>
    <w:rPr>
      <w:rFonts w:ascii="Calibri" w:hAnsi="Calibri" w:cs="Calibri"/>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1193</Words>
  <Characters>6803</Characters>
  <Application>Microsoft Office Word</Application>
  <DocSecurity>0</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2</cp:revision>
  <dcterms:created xsi:type="dcterms:W3CDTF">2025-09-07T15:46:00Z</dcterms:created>
  <dcterms:modified xsi:type="dcterms:W3CDTF">2025-09-07T15:46:00Z</dcterms:modified>
</cp:coreProperties>
</file>