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27" w:rsidRDefault="00BA5527">
      <w:bookmarkStart w:id="0" w:name="_GoBack"/>
      <w:bookmarkEnd w:id="0"/>
      <w:r>
        <w:t>Possible entry</w:t>
      </w:r>
      <w:r w:rsidR="00931BD0">
        <w:t xml:space="preserve"> for transitivity</w:t>
      </w:r>
      <w:r>
        <w:t xml:space="preserve"> in the term list on pp vii </w:t>
      </w:r>
      <w:r w:rsidR="00931BD0">
        <w:t>–</w:t>
      </w:r>
      <w:r>
        <w:t xml:space="preserve"> xiii</w:t>
      </w:r>
      <w:r w:rsidR="00931BD0">
        <w:t>.</w:t>
      </w:r>
      <w:r w:rsidR="00D21C31">
        <w:t xml:space="preserve">  A suggestion is to insert  the first paragraph as an entry in the term list and then add all three in the section </w:t>
      </w:r>
      <w:r w:rsidR="00641098">
        <w:t xml:space="preserve"> “Modelling principles”</w:t>
      </w:r>
    </w:p>
    <w:p w:rsidR="00BA5527" w:rsidRDefault="00BA5527"/>
    <w:p w:rsidR="00BA5527" w:rsidRDefault="00BA5527"/>
    <w:tbl>
      <w:tblPr>
        <w:tblW w:w="0" w:type="auto"/>
        <w:tblLayout w:type="fixed"/>
        <w:tblLook w:val="0000" w:firstRow="0" w:lastRow="0" w:firstColumn="0" w:lastColumn="0" w:noHBand="0" w:noVBand="0"/>
      </w:tblPr>
      <w:tblGrid>
        <w:gridCol w:w="1728"/>
        <w:gridCol w:w="7558"/>
      </w:tblGrid>
      <w:tr w:rsidR="00BA5527" w:rsidRPr="0057462B" w:rsidTr="000C0235">
        <w:tc>
          <w:tcPr>
            <w:tcW w:w="1728" w:type="dxa"/>
            <w:tcBorders>
              <w:top w:val="nil"/>
              <w:left w:val="nil"/>
              <w:bottom w:val="nil"/>
              <w:right w:val="nil"/>
            </w:tcBorders>
          </w:tcPr>
          <w:p w:rsidR="00BA5527" w:rsidRDefault="00BA5527" w:rsidP="000C0235">
            <w:pPr>
              <w:rPr>
                <w:szCs w:val="20"/>
              </w:rPr>
            </w:pPr>
            <w:r>
              <w:rPr>
                <w:szCs w:val="20"/>
              </w:rPr>
              <w:t>transitivity</w:t>
            </w:r>
          </w:p>
          <w:p w:rsidR="00BA5527" w:rsidRDefault="00BA5527" w:rsidP="000C0235">
            <w:pPr>
              <w:rPr>
                <w:szCs w:val="20"/>
              </w:rPr>
            </w:pPr>
          </w:p>
          <w:p w:rsidR="00BA5527" w:rsidRDefault="00BA5527" w:rsidP="000C0235">
            <w:pPr>
              <w:rPr>
                <w:szCs w:val="20"/>
              </w:rPr>
            </w:pPr>
          </w:p>
          <w:p w:rsidR="00BA5527" w:rsidRDefault="00BA5527" w:rsidP="000C0235">
            <w:pPr>
              <w:rPr>
                <w:szCs w:val="20"/>
              </w:rPr>
            </w:pPr>
          </w:p>
          <w:p w:rsidR="00BA5527" w:rsidRDefault="00BA5527" w:rsidP="000C0235">
            <w:pPr>
              <w:rPr>
                <w:szCs w:val="20"/>
              </w:rPr>
            </w:pPr>
          </w:p>
          <w:p w:rsidR="00BA5527" w:rsidRDefault="00BA5527" w:rsidP="000C0235">
            <w:pPr>
              <w:rPr>
                <w:szCs w:val="20"/>
              </w:rPr>
            </w:pPr>
          </w:p>
          <w:p w:rsidR="00BA5527" w:rsidRDefault="00BA5527" w:rsidP="000C0235">
            <w:pPr>
              <w:rPr>
                <w:szCs w:val="20"/>
              </w:rPr>
            </w:pPr>
          </w:p>
          <w:p w:rsidR="00BA5527" w:rsidRDefault="00BA5527" w:rsidP="000C0235">
            <w:pPr>
              <w:rPr>
                <w:szCs w:val="20"/>
              </w:rPr>
            </w:pPr>
          </w:p>
          <w:p w:rsidR="00BA5527" w:rsidRPr="0057462B" w:rsidRDefault="00BA5527" w:rsidP="000C0235">
            <w:pPr>
              <w:rPr>
                <w:szCs w:val="20"/>
              </w:rPr>
            </w:pPr>
          </w:p>
        </w:tc>
        <w:tc>
          <w:tcPr>
            <w:tcW w:w="7558" w:type="dxa"/>
            <w:tcBorders>
              <w:top w:val="nil"/>
              <w:left w:val="nil"/>
              <w:bottom w:val="nil"/>
              <w:right w:val="nil"/>
            </w:tcBorders>
          </w:tcPr>
          <w:p w:rsidR="00BA5527" w:rsidRDefault="00BA5527" w:rsidP="000C0235">
            <w:pPr>
              <w:jc w:val="both"/>
              <w:rPr>
                <w:szCs w:val="20"/>
              </w:rPr>
            </w:pPr>
            <w:r>
              <w:rPr>
                <w:szCs w:val="20"/>
              </w:rPr>
              <w:t>Transitivity is defined in the standard way found in mathematics or logic: A property P is transitive if the domain and range is the same class and for all instances x, y, z of this class the following is the case: If x is related</w:t>
            </w:r>
            <w:r w:rsidR="00931BD0">
              <w:rPr>
                <w:szCs w:val="20"/>
              </w:rPr>
              <w:t xml:space="preserve"> by P</w:t>
            </w:r>
            <w:r>
              <w:rPr>
                <w:szCs w:val="20"/>
              </w:rPr>
              <w:t xml:space="preserve"> to y and y is related</w:t>
            </w:r>
            <w:r w:rsidR="00931BD0">
              <w:rPr>
                <w:szCs w:val="20"/>
              </w:rPr>
              <w:t xml:space="preserve"> by</w:t>
            </w:r>
            <w:r>
              <w:rPr>
                <w:szCs w:val="20"/>
              </w:rPr>
              <w:t>P  to z, then x is related by P to z. The intention of a property as described in the scope note will decide whether a property is transitive. For example overlap in time or in space are not transitive, while occurs before is transitive. Transitivity is especially useful when CRM is implemented in a system with deduction.</w:t>
            </w:r>
          </w:p>
          <w:p w:rsidR="00BA5527" w:rsidRDefault="00931BD0" w:rsidP="000C0235">
            <w:pPr>
              <w:jc w:val="both"/>
              <w:rPr>
                <w:szCs w:val="20"/>
              </w:rPr>
            </w:pPr>
            <w:r>
              <w:rPr>
                <w:szCs w:val="20"/>
              </w:rPr>
              <w:t xml:space="preserve">CRM is formulated as a class system with inheritance. A property P with domain A and range B will also be a property between possible subclasses of A and B. </w:t>
            </w:r>
            <w:r w:rsidR="00BF2281">
              <w:rPr>
                <w:szCs w:val="20"/>
              </w:rPr>
              <w:t>In</w:t>
            </w:r>
            <w:r>
              <w:rPr>
                <w:szCs w:val="20"/>
              </w:rPr>
              <w:t xml:space="preserve"> many cases there will be a common subclass C </w:t>
            </w:r>
            <w:r w:rsidR="0040475D">
              <w:rPr>
                <w:szCs w:val="20"/>
              </w:rPr>
              <w:t>of A and B. In these cases when the</w:t>
            </w:r>
            <w:r w:rsidR="00BF2281">
              <w:rPr>
                <w:szCs w:val="20"/>
              </w:rPr>
              <w:t xml:space="preserve"> property restricted to C, that is, with C as domain and range, the restricted property could be transitive. </w:t>
            </w:r>
            <w:r w:rsidR="0040475D">
              <w:rPr>
                <w:szCs w:val="20"/>
              </w:rPr>
              <w:t xml:space="preserve">In the current </w:t>
            </w:r>
            <w:r w:rsidR="00BF2281">
              <w:rPr>
                <w:szCs w:val="20"/>
              </w:rPr>
              <w:t xml:space="preserve">version of CRM, there is only one case where a property restricted to a common subclass of its domain and range is transitive. </w:t>
            </w:r>
            <w:r w:rsidR="00BA5527">
              <w:rPr>
                <w:szCs w:val="20"/>
              </w:rPr>
              <w:t xml:space="preserve">An information object can be incorporated in a symbolic object and thus an information object can be incorporated in another information object. </w:t>
            </w:r>
          </w:p>
          <w:p w:rsidR="00D21C31" w:rsidRDefault="00D21C31" w:rsidP="000C0235">
            <w:pPr>
              <w:jc w:val="both"/>
              <w:rPr>
                <w:szCs w:val="20"/>
              </w:rPr>
            </w:pPr>
            <w:r>
              <w:rPr>
                <w:szCs w:val="20"/>
              </w:rPr>
              <w:t>In the definition of CRM the transitive properties are explicitly marked as such in the scope notes. All unmarked properties should be considered as intransitive.</w:t>
            </w:r>
          </w:p>
          <w:p w:rsidR="00BA5527" w:rsidRDefault="00BA5527" w:rsidP="000C0235">
            <w:pPr>
              <w:jc w:val="both"/>
              <w:rPr>
                <w:szCs w:val="20"/>
              </w:rPr>
            </w:pPr>
          </w:p>
          <w:p w:rsidR="00BA5527" w:rsidRPr="0057462B" w:rsidRDefault="00BA5527" w:rsidP="000C0235">
            <w:pPr>
              <w:jc w:val="both"/>
              <w:rPr>
                <w:szCs w:val="20"/>
              </w:rPr>
            </w:pPr>
          </w:p>
        </w:tc>
      </w:tr>
    </w:tbl>
    <w:p w:rsidR="008D7A85" w:rsidRDefault="008D7A85"/>
    <w:p w:rsidR="00BA5527" w:rsidRDefault="0040475D">
      <w:r>
        <w:t xml:space="preserve">In my notes there is one scope note that is marked as not well formulated, P150 defines typical parts of (defines typical wholes of). I have reread the scope note and find it ok. However, to </w:t>
      </w:r>
      <w:r w:rsidR="00D21C31">
        <w:t xml:space="preserve">avoid confusions and discussion, the scope note should state that the property is intransitive. </w:t>
      </w:r>
    </w:p>
    <w:p w:rsidR="00641098" w:rsidRDefault="00641098"/>
    <w:p w:rsidR="00641098" w:rsidRPr="0057462B" w:rsidRDefault="00641098" w:rsidP="00641098">
      <w:pPr>
        <w:pStyle w:val="Heading3"/>
      </w:pPr>
      <w:bookmarkStart w:id="1" w:name="_Toc427859894"/>
      <w:r w:rsidRPr="0057462B">
        <w:t>P150 defines typical parts of (defines typical wholes for)</w:t>
      </w:r>
      <w:bookmarkEnd w:id="1"/>
    </w:p>
    <w:p w:rsidR="00641098" w:rsidRPr="0057462B" w:rsidRDefault="00641098" w:rsidP="00641098">
      <w:r w:rsidRPr="0057462B">
        <w:t>Domain:</w:t>
      </w:r>
      <w:r w:rsidRPr="0057462B">
        <w:tab/>
      </w:r>
      <w:r w:rsidRPr="0057462B">
        <w:tab/>
        <w:t>E55 Type</w:t>
      </w:r>
    </w:p>
    <w:p w:rsidR="00641098" w:rsidRPr="0057462B" w:rsidRDefault="00641098" w:rsidP="00641098">
      <w:r w:rsidRPr="0057462B">
        <w:t>Range:</w:t>
      </w:r>
      <w:r w:rsidRPr="0057462B">
        <w:tab/>
      </w:r>
      <w:r w:rsidRPr="0057462B">
        <w:tab/>
        <w:t>E55 Type</w:t>
      </w:r>
    </w:p>
    <w:p w:rsidR="00641098" w:rsidRPr="0057462B" w:rsidRDefault="00641098" w:rsidP="00641098">
      <w:r w:rsidRPr="0057462B">
        <w:t>Quantification:</w:t>
      </w:r>
      <w:r w:rsidRPr="0057462B">
        <w:tab/>
        <w:t>many to many (0,n:0,n)</w:t>
      </w:r>
    </w:p>
    <w:p w:rsidR="00641098" w:rsidRPr="0057462B" w:rsidRDefault="00641098" w:rsidP="00641098"/>
    <w:p w:rsidR="00641098" w:rsidRPr="0057462B" w:rsidRDefault="00641098" w:rsidP="00641098">
      <w:pPr>
        <w:ind w:left="1440" w:hanging="1440"/>
      </w:pPr>
      <w:r>
        <w:t>Scope note:</w:t>
      </w:r>
      <w:r>
        <w:tab/>
        <w:t xml:space="preserve">This </w:t>
      </w:r>
      <w:r w:rsidRPr="00C11CAB">
        <w:rPr>
          <w:highlight w:val="green"/>
        </w:rPr>
        <w:t>property</w:t>
      </w:r>
      <w:r>
        <w:t xml:space="preserve"> </w:t>
      </w:r>
      <w:r w:rsidRPr="0057462B">
        <w:t xml:space="preserve"> associates an instance of E55 Type “A” with an instance of E55 Type “B”, when items of type “A” typically form part of items of type “B”, such as “car motors” and “cars”.</w:t>
      </w:r>
      <w:r>
        <w:t xml:space="preserve"> </w:t>
      </w:r>
      <w:r w:rsidRPr="004E4205">
        <w:rPr>
          <w:highlight w:val="yellow"/>
        </w:rPr>
        <w:t>The property is in general not transitive</w:t>
      </w:r>
      <w:r w:rsidR="004E4205" w:rsidRPr="004E4205">
        <w:rPr>
          <w:highlight w:val="yellow"/>
        </w:rPr>
        <w:t>.</w:t>
      </w:r>
    </w:p>
    <w:p w:rsidR="00641098" w:rsidRPr="0057462B" w:rsidRDefault="00641098" w:rsidP="00641098">
      <w:pPr>
        <w:ind w:left="1440" w:hanging="1440"/>
      </w:pPr>
    </w:p>
    <w:p w:rsidR="00641098" w:rsidRDefault="00641098" w:rsidP="00641098">
      <w:pPr>
        <w:ind w:left="1440"/>
      </w:pPr>
      <w:r w:rsidRPr="00C11CAB">
        <w:rPr>
          <w:highlight w:val="green"/>
        </w:rPr>
        <w:t>It allows types to be organised into hierarchies based on one type describing a typical part of another. This property is equivalent to "broader term partitive  (BTP)" as defined in ISO 2788 and “broaderPartitive” in SKOS.</w:t>
      </w:r>
      <w:r>
        <w:t xml:space="preserve"> </w:t>
      </w:r>
    </w:p>
    <w:p w:rsidR="00641098" w:rsidRPr="0057462B" w:rsidRDefault="00641098" w:rsidP="00641098"/>
    <w:p w:rsidR="00641098" w:rsidRPr="00F43006" w:rsidRDefault="00641098" w:rsidP="00641098">
      <w:r w:rsidRPr="00F43006">
        <w:t>Examples:</w:t>
      </w:r>
      <w:r w:rsidRPr="00F43006">
        <w:tab/>
      </w:r>
    </w:p>
    <w:p w:rsidR="00641098" w:rsidRDefault="00641098" w:rsidP="00641098">
      <w:pPr>
        <w:pStyle w:val="FootnoteText"/>
        <w:widowControl/>
        <w:numPr>
          <w:ilvl w:val="0"/>
          <w:numId w:val="1"/>
        </w:numPr>
      </w:pPr>
      <w:r w:rsidRPr="00F43006">
        <w:t xml:space="preserve">Car motors (E55) </w:t>
      </w:r>
      <w:r w:rsidRPr="00F43006">
        <w:rPr>
          <w:i/>
        </w:rPr>
        <w:t>defines typical parts of</w:t>
      </w:r>
      <w:r w:rsidRPr="00F43006">
        <w:t xml:space="preserve"> cars (E55)</w:t>
      </w:r>
    </w:p>
    <w:p w:rsidR="00641098" w:rsidRPr="00F43006" w:rsidRDefault="00641098" w:rsidP="00641098">
      <w:pPr>
        <w:pStyle w:val="FootnoteText"/>
        <w:widowControl/>
      </w:pPr>
    </w:p>
    <w:p w:rsidR="00641098" w:rsidRPr="000D33CC" w:rsidRDefault="00641098" w:rsidP="00641098">
      <w:pPr>
        <w:rPr>
          <w:lang w:val="en-US"/>
        </w:rPr>
      </w:pPr>
      <w:r w:rsidRPr="000D33CC">
        <w:rPr>
          <w:szCs w:val="20"/>
          <w:lang w:val="en-US"/>
        </w:rPr>
        <w:t>In First Order Logic</w:t>
      </w:r>
      <w:r w:rsidRPr="000D33CC">
        <w:rPr>
          <w:lang w:val="en-US"/>
        </w:rPr>
        <w:t>:</w:t>
      </w:r>
    </w:p>
    <w:p w:rsidR="00641098" w:rsidRPr="000D33CC" w:rsidRDefault="00641098" w:rsidP="00641098">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 Type)</w:t>
      </w:r>
    </w:p>
    <w:p w:rsidR="00641098" w:rsidRPr="000D33CC" w:rsidRDefault="00641098" w:rsidP="00641098">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rsidR="00641098" w:rsidRDefault="00641098"/>
    <w:p w:rsidR="009B1676" w:rsidRDefault="009B1676"/>
    <w:p w:rsidR="009B1676" w:rsidRDefault="009B1676">
      <w:r>
        <w:t>I have added a sentence to the scope note of P165 which is  the only property which is transitive when restricted:</w:t>
      </w:r>
    </w:p>
    <w:p w:rsidR="009B1676" w:rsidRDefault="009B1676"/>
    <w:p w:rsidR="009B1676" w:rsidRDefault="009B1676" w:rsidP="009B1676">
      <w:pPr>
        <w:pStyle w:val="Heading3"/>
      </w:pPr>
      <w:bookmarkStart w:id="2" w:name="_Toc427859902"/>
      <w:r>
        <w:t>P165 incorporates (</w:t>
      </w:r>
      <w:r w:rsidRPr="003313B8">
        <w:t>is incorporated in)</w:t>
      </w:r>
      <w:bookmarkEnd w:id="2"/>
    </w:p>
    <w:p w:rsidR="009B1676" w:rsidRPr="003473AD" w:rsidRDefault="009B1676" w:rsidP="009B1676">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rsidR="009B1676" w:rsidRPr="003473AD" w:rsidRDefault="009B1676" w:rsidP="009B1676">
      <w:pPr>
        <w:tabs>
          <w:tab w:val="left" w:pos="1560"/>
        </w:tabs>
        <w:spacing w:after="120"/>
        <w:jc w:val="both"/>
      </w:pPr>
      <w:r w:rsidRPr="003473AD">
        <w:t>Range:</w:t>
      </w:r>
      <w:r w:rsidRPr="003473AD">
        <w:tab/>
      </w:r>
      <w:hyperlink w:anchor="_E90_Symbolic_Object_1" w:history="1">
        <w:r w:rsidRPr="003473AD">
          <w:rPr>
            <w:rStyle w:val="Hyperlink"/>
          </w:rPr>
          <w:t>E90</w:t>
        </w:r>
      </w:hyperlink>
      <w:r w:rsidRPr="003473AD">
        <w:t xml:space="preserve"> Symbolic Object</w:t>
      </w:r>
    </w:p>
    <w:p w:rsidR="009B1676" w:rsidRPr="003473AD" w:rsidRDefault="009B1676" w:rsidP="009B1676">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_"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rsidR="009B1676" w:rsidRPr="003473AD" w:rsidRDefault="009B1676" w:rsidP="009B1676">
      <w:pPr>
        <w:tabs>
          <w:tab w:val="left" w:pos="1560"/>
        </w:tabs>
        <w:spacing w:after="120"/>
      </w:pPr>
      <w:r w:rsidRPr="003473AD">
        <w:t>Quantification:</w:t>
      </w:r>
      <w:r w:rsidRPr="003473AD">
        <w:tab/>
        <w:t>(0,n :0,n)</w:t>
      </w:r>
    </w:p>
    <w:p w:rsidR="009B1676" w:rsidRPr="0009105D" w:rsidRDefault="009B1676" w:rsidP="009B1676">
      <w:pPr>
        <w:spacing w:after="120"/>
        <w:ind w:left="1560" w:hanging="1560"/>
        <w:jc w:val="both"/>
      </w:pPr>
      <w:r w:rsidRPr="0096050F">
        <w:rPr>
          <w:highlight w:val="yellow"/>
        </w:rPr>
        <w:lastRenderedPageBreak/>
        <w:t>Scope note:</w:t>
      </w:r>
      <w:r w:rsidRPr="0096050F">
        <w:rPr>
          <w:highlight w:val="yellow"/>
        </w:rPr>
        <w:tab/>
      </w:r>
      <w:r w:rsidRPr="0009105D">
        <w:t>This property associates an instance of E73 Information Object with an instance of E90 Symbolic Object (or any of its subclasses) that was included in it.</w:t>
      </w:r>
    </w:p>
    <w:p w:rsidR="009B1676" w:rsidRPr="0009105D" w:rsidRDefault="009B1676" w:rsidP="009B1676">
      <w:pPr>
        <w:spacing w:after="120"/>
        <w:ind w:left="1560"/>
        <w:jc w:val="both"/>
      </w:pPr>
      <w:r w:rsidRPr="0009105D">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9B1676" w:rsidRPr="0009105D" w:rsidRDefault="009B1676" w:rsidP="009B1676">
      <w:pPr>
        <w:spacing w:after="120"/>
        <w:ind w:left="1560"/>
        <w:jc w:val="both"/>
      </w:pPr>
      <w:r w:rsidRPr="0009105D">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rsidR="009B1676" w:rsidRPr="0009105D" w:rsidRDefault="009B1676" w:rsidP="009B1676">
      <w:pPr>
        <w:spacing w:after="120"/>
        <w:ind w:left="1560"/>
        <w:jc w:val="both"/>
      </w:pPr>
      <w:r w:rsidRPr="0009105D">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rsidR="009B1676" w:rsidRDefault="009B1676" w:rsidP="009B1676">
      <w:pPr>
        <w:spacing w:after="120"/>
        <w:ind w:left="1560"/>
        <w:jc w:val="both"/>
      </w:pPr>
      <w:r w:rsidRPr="009B1676">
        <w:rPr>
          <w:highlight w:val="yellow"/>
        </w:rPr>
        <w:t>When restricted to information objects, that is, seen as a property with E73 Information Object as domain and range the property is transitive.</w:t>
      </w:r>
      <w:r>
        <w:t xml:space="preserve"> </w:t>
      </w:r>
    </w:p>
    <w:p w:rsidR="009B1676" w:rsidRDefault="009B1676" w:rsidP="009B1676">
      <w:pPr>
        <w:spacing w:after="120"/>
        <w:ind w:left="1560"/>
        <w:jc w:val="both"/>
      </w:pPr>
      <w:r w:rsidRPr="0096050F">
        <w:rPr>
          <w:highlight w:val="yellow"/>
        </w:rPr>
        <w:t>A digital photograph of a manuscript page incorporates the text of the manuscript page</w:t>
      </w:r>
    </w:p>
    <w:p w:rsidR="009B1676" w:rsidRPr="0057462B" w:rsidRDefault="009B1676" w:rsidP="009B1676">
      <w:pPr>
        <w:rPr>
          <w:szCs w:val="20"/>
        </w:rPr>
      </w:pPr>
      <w:r w:rsidRPr="0057462B">
        <w:rPr>
          <w:szCs w:val="20"/>
        </w:rPr>
        <w:t>Examples:</w:t>
      </w:r>
      <w:r w:rsidRPr="0057462B">
        <w:rPr>
          <w:szCs w:val="20"/>
        </w:rPr>
        <w:tab/>
      </w:r>
    </w:p>
    <w:p w:rsidR="009B1676" w:rsidRDefault="009B1676" w:rsidP="009B1676">
      <w:pPr>
        <w:numPr>
          <w:ilvl w:val="0"/>
          <w:numId w:val="2"/>
        </w:numPr>
        <w:spacing w:after="120"/>
        <w:jc w:val="both"/>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rsidR="009B1676" w:rsidRPr="0032220C" w:rsidRDefault="009B1676" w:rsidP="009B1676">
      <w:pPr>
        <w:numPr>
          <w:ilvl w:val="0"/>
          <w:numId w:val="2"/>
        </w:numPr>
        <w:spacing w:after="120"/>
        <w:jc w:val="both"/>
      </w:pPr>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p>
    <w:p w:rsidR="009B1676" w:rsidRDefault="009B1676" w:rsidP="009B1676">
      <w:pPr>
        <w:numPr>
          <w:ilvl w:val="0"/>
          <w:numId w:val="2"/>
        </w:numPr>
        <w:spacing w:after="120"/>
        <w:jc w:val="both"/>
      </w:pPr>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p>
    <w:p w:rsidR="009B1676" w:rsidRDefault="009B1676" w:rsidP="009B1676">
      <w:pPr>
        <w:ind w:left="1440" w:hanging="1440"/>
      </w:pPr>
    </w:p>
    <w:p w:rsidR="009B1676" w:rsidRPr="000D33CC" w:rsidRDefault="009B1676" w:rsidP="009B1676">
      <w:pPr>
        <w:ind w:left="1440" w:hanging="1440"/>
        <w:rPr>
          <w:lang w:val="en-US"/>
        </w:rPr>
      </w:pPr>
      <w:r w:rsidRPr="000D33CC">
        <w:rPr>
          <w:szCs w:val="20"/>
          <w:lang w:val="en-US"/>
        </w:rPr>
        <w:t>In First Order Logic</w:t>
      </w:r>
      <w:r w:rsidRPr="000D33CC">
        <w:rPr>
          <w:lang w:val="en-US"/>
        </w:rPr>
        <w:t>:</w:t>
      </w:r>
    </w:p>
    <w:p w:rsidR="009B1676" w:rsidRPr="000D33CC" w:rsidRDefault="009B1676" w:rsidP="009B1676">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rsidR="009B1676" w:rsidRPr="002B3B46" w:rsidRDefault="009B1676" w:rsidP="009B1676">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rsidR="009B1676" w:rsidRPr="000D33CC" w:rsidRDefault="009B1676" w:rsidP="009B1676">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rsidR="009B1676" w:rsidRPr="000D33CC" w:rsidRDefault="009B1676" w:rsidP="009B1676">
      <w:pPr>
        <w:spacing w:after="120"/>
        <w:ind w:left="1560"/>
        <w:jc w:val="both"/>
        <w:rPr>
          <w:lang w:val="es-ES"/>
        </w:rPr>
      </w:pPr>
    </w:p>
    <w:p w:rsidR="009B1676" w:rsidRPr="009B1676" w:rsidRDefault="009B1676">
      <w:pPr>
        <w:rPr>
          <w:lang w:val="es-ES"/>
        </w:rPr>
      </w:pPr>
    </w:p>
    <w:sectPr w:rsidR="009B1676" w:rsidRPr="009B1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27"/>
    <w:rsid w:val="0040475D"/>
    <w:rsid w:val="004E4205"/>
    <w:rsid w:val="00641098"/>
    <w:rsid w:val="008D7A85"/>
    <w:rsid w:val="00931BD0"/>
    <w:rsid w:val="009B1676"/>
    <w:rsid w:val="00BA5527"/>
    <w:rsid w:val="00BF2281"/>
    <w:rsid w:val="00CD4498"/>
    <w:rsid w:val="00D21C3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27"/>
    <w:pPr>
      <w:widowControl w:val="0"/>
      <w:autoSpaceDE w:val="0"/>
      <w:autoSpaceDN w:val="0"/>
      <w:spacing w:after="0" w:line="240" w:lineRule="auto"/>
    </w:pPr>
    <w:rPr>
      <w:rFonts w:ascii="Times New Roman" w:eastAsia="Times New Roman" w:hAnsi="Times New Roman" w:cs="Times New Roman"/>
      <w:sz w:val="20"/>
      <w:szCs w:val="24"/>
      <w:lang w:val="en-GB" w:eastAsia="en-US"/>
    </w:rPr>
  </w:style>
  <w:style w:type="paragraph" w:styleId="Heading3">
    <w:name w:val="heading 3"/>
    <w:basedOn w:val="Normal"/>
    <w:next w:val="Normal"/>
    <w:link w:val="Heading3Char"/>
    <w:qFormat/>
    <w:rsid w:val="00641098"/>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1098"/>
    <w:rPr>
      <w:rFonts w:ascii="Arial" w:eastAsia="Times New Roman" w:hAnsi="Arial" w:cs="Arial"/>
      <w:b/>
      <w:bCs/>
      <w:sz w:val="20"/>
      <w:szCs w:val="24"/>
      <w:lang w:val="en-GB" w:eastAsia="en-US"/>
    </w:rPr>
  </w:style>
  <w:style w:type="paragraph" w:styleId="FootnoteText">
    <w:name w:val="footnote text"/>
    <w:basedOn w:val="Normal"/>
    <w:link w:val="FootnoteTextChar"/>
    <w:semiHidden/>
    <w:rsid w:val="00641098"/>
    <w:pPr>
      <w:jc w:val="both"/>
    </w:pPr>
    <w:rPr>
      <w:szCs w:val="20"/>
    </w:rPr>
  </w:style>
  <w:style w:type="character" w:customStyle="1" w:styleId="FootnoteTextChar">
    <w:name w:val="Footnote Text Char"/>
    <w:basedOn w:val="DefaultParagraphFont"/>
    <w:link w:val="FootnoteText"/>
    <w:semiHidden/>
    <w:rsid w:val="00641098"/>
    <w:rPr>
      <w:rFonts w:ascii="Times New Roman" w:eastAsia="Times New Roman" w:hAnsi="Times New Roman" w:cs="Times New Roman"/>
      <w:sz w:val="20"/>
      <w:szCs w:val="20"/>
      <w:lang w:val="en-GB" w:eastAsia="en-US"/>
    </w:rPr>
  </w:style>
  <w:style w:type="character" w:styleId="Hyperlink">
    <w:name w:val="Hyperlink"/>
    <w:uiPriority w:val="99"/>
    <w:rsid w:val="009B16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27"/>
    <w:pPr>
      <w:widowControl w:val="0"/>
      <w:autoSpaceDE w:val="0"/>
      <w:autoSpaceDN w:val="0"/>
      <w:spacing w:after="0" w:line="240" w:lineRule="auto"/>
    </w:pPr>
    <w:rPr>
      <w:rFonts w:ascii="Times New Roman" w:eastAsia="Times New Roman" w:hAnsi="Times New Roman" w:cs="Times New Roman"/>
      <w:sz w:val="20"/>
      <w:szCs w:val="24"/>
      <w:lang w:val="en-GB" w:eastAsia="en-US"/>
    </w:rPr>
  </w:style>
  <w:style w:type="paragraph" w:styleId="Heading3">
    <w:name w:val="heading 3"/>
    <w:basedOn w:val="Normal"/>
    <w:next w:val="Normal"/>
    <w:link w:val="Heading3Char"/>
    <w:qFormat/>
    <w:rsid w:val="00641098"/>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1098"/>
    <w:rPr>
      <w:rFonts w:ascii="Arial" w:eastAsia="Times New Roman" w:hAnsi="Arial" w:cs="Arial"/>
      <w:b/>
      <w:bCs/>
      <w:sz w:val="20"/>
      <w:szCs w:val="24"/>
      <w:lang w:val="en-GB" w:eastAsia="en-US"/>
    </w:rPr>
  </w:style>
  <w:style w:type="paragraph" w:styleId="FootnoteText">
    <w:name w:val="footnote text"/>
    <w:basedOn w:val="Normal"/>
    <w:link w:val="FootnoteTextChar"/>
    <w:semiHidden/>
    <w:rsid w:val="00641098"/>
    <w:pPr>
      <w:jc w:val="both"/>
    </w:pPr>
    <w:rPr>
      <w:szCs w:val="20"/>
    </w:rPr>
  </w:style>
  <w:style w:type="character" w:customStyle="1" w:styleId="FootnoteTextChar">
    <w:name w:val="Footnote Text Char"/>
    <w:basedOn w:val="DefaultParagraphFont"/>
    <w:link w:val="FootnoteText"/>
    <w:semiHidden/>
    <w:rsid w:val="00641098"/>
    <w:rPr>
      <w:rFonts w:ascii="Times New Roman" w:eastAsia="Times New Roman" w:hAnsi="Times New Roman" w:cs="Times New Roman"/>
      <w:sz w:val="20"/>
      <w:szCs w:val="20"/>
      <w:lang w:val="en-GB" w:eastAsia="en-US"/>
    </w:rPr>
  </w:style>
  <w:style w:type="character" w:styleId="Hyperlink">
    <w:name w:val="Hyperlink"/>
    <w:uiPriority w:val="99"/>
    <w:rsid w:val="009B1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Christian-Emil Smith Ore</dc:creator>
  <cp:lastModifiedBy>Bekiari Xrysoula</cp:lastModifiedBy>
  <cp:revision>2</cp:revision>
  <dcterms:created xsi:type="dcterms:W3CDTF">2016-02-24T06:30:00Z</dcterms:created>
  <dcterms:modified xsi:type="dcterms:W3CDTF">2016-02-24T06:30:00Z</dcterms:modified>
</cp:coreProperties>
</file>